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567FB3" w14:textId="3D2ECBA8" w:rsidR="00DC515A" w:rsidRDefault="004C18B6">
      <w:r>
        <w:rPr>
          <w:noProof/>
        </w:rPr>
        <mc:AlternateContent>
          <mc:Choice Requires="wps">
            <w:drawing>
              <wp:anchor distT="0" distB="0" distL="114300" distR="114300" simplePos="0" relativeHeight="251664384" behindDoc="0" locked="0" layoutInCell="1" allowOverlap="1" wp14:anchorId="51636FB6" wp14:editId="253FBA39">
                <wp:simplePos x="0" y="0"/>
                <wp:positionH relativeFrom="column">
                  <wp:posOffset>-861695</wp:posOffset>
                </wp:positionH>
                <wp:positionV relativeFrom="paragraph">
                  <wp:posOffset>-629285</wp:posOffset>
                </wp:positionV>
                <wp:extent cx="7575550" cy="972185"/>
                <wp:effectExtent l="38100" t="0" r="63500" b="18415"/>
                <wp:wrapNone/>
                <wp:docPr id="1347559963" name="Ribbon: Tilted Down 1"/>
                <wp:cNvGraphicFramePr/>
                <a:graphic xmlns:a="http://schemas.openxmlformats.org/drawingml/2006/main">
                  <a:graphicData uri="http://schemas.microsoft.com/office/word/2010/wordprocessingShape">
                    <wps:wsp>
                      <wps:cNvSpPr/>
                      <wps:spPr>
                        <a:xfrm>
                          <a:off x="0" y="0"/>
                          <a:ext cx="7575550" cy="972185"/>
                        </a:xfrm>
                        <a:prstGeom prst="ribbon">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77B424" w14:textId="7B45DD41" w:rsidR="004C18B6" w:rsidRPr="00B105BB" w:rsidRDefault="009D2F04" w:rsidP="004C18B6">
                            <w:pPr>
                              <w:jc w:val="center"/>
                              <w:rPr>
                                <w:rFonts w:ascii="ADLaM Display" w:hAnsi="ADLaM Display" w:cs="ADLaM Display"/>
                                <w:color w:val="FFFFFF" w:themeColor="background1"/>
                                <w:sz w:val="18"/>
                                <w:szCs w:val="18"/>
                              </w:rPr>
                            </w:pPr>
                            <w:r w:rsidRPr="00B105BB">
                              <w:rPr>
                                <w:rFonts w:ascii="ADLaM Display" w:eastAsia="Times New Roman" w:hAnsi="ADLaM Display" w:cs="ADLaM Display"/>
                                <w:b/>
                                <w:bCs/>
                                <w:i/>
                                <w:iCs/>
                                <w:color w:val="FFFFFF" w:themeColor="background1"/>
                                <w:sz w:val="18"/>
                                <w:szCs w:val="18"/>
                                <w:u w:val="single"/>
                              </w:rPr>
                              <w:t>Understanding Modern Community Mental Health Services (CMHS)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636FB6" id="_x0000_t53" coordsize="21600,21600" o:spt="53" adj="5400,2700" path="m,l@3,qx@4@11l@4@10@5@10@5@11qy@6,l@21,0@19@15@21@16@9@16@9@17qy@8@22l@1@22qx@0@17l@0@16,0@16,2700@15xem@4@11nfqy@3@12l@1@12qx@0@13@1@10l@4@10em@5@11nfqy@6@12l@8@12qx@9@13@8@10l@5@10em@0@13nfl@0@16em@9@13nfl@9@16e">
                <v:formulas>
                  <v:f eqn="val #0"/>
                  <v:f eqn="sum @0 675 0"/>
                  <v:f eqn="sum @1 675 0"/>
                  <v:f eqn="sum @2 675 0"/>
                  <v:f eqn="sum @3 675 0"/>
                  <v:f eqn="sum width 0 @4"/>
                  <v:f eqn="sum width 0 @3"/>
                  <v:f eqn="sum width 0 @2"/>
                  <v:f eqn="sum width 0 @1"/>
                  <v:f eqn="sum width 0 @0"/>
                  <v:f eqn="val #1"/>
                  <v:f eqn="prod @10 1 4"/>
                  <v:f eqn="prod @11 2 1"/>
                  <v:f eqn="prod @11 3 1"/>
                  <v:f eqn="prod height 1 2"/>
                  <v:f eqn="sum @14 0 @12"/>
                  <v:f eqn="sum height 0 @10"/>
                  <v:f eqn="sum height 0 @11"/>
                  <v:f eqn="prod width 1 2"/>
                  <v:f eqn="sum width 0 2700"/>
                  <v:f eqn="sum @18 0 2700"/>
                  <v:f eqn="val width"/>
                  <v:f eqn="val height"/>
                </v:formulas>
                <v:path o:extrusionok="f" o:connecttype="custom" o:connectlocs="@18,@10;2700,@15;@18,21600;@19,@15" o:connectangles="270,180,90,0" textboxrect="@0,@10,@9,21600"/>
                <v:handles>
                  <v:h position="#0,bottomRight" xrange="2700,8100"/>
                  <v:h position="center,#1" yrange="0,7200"/>
                </v:handles>
                <o:complex v:ext="view"/>
              </v:shapetype>
              <v:shape id="Ribbon: Tilted Down 1" o:spid="_x0000_s1026" type="#_x0000_t53" style="position:absolute;margin-left:-67.85pt;margin-top:-49.55pt;width:596.5pt;height:76.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" adj=",3600" fillcolor="#156082 [3204]" strokecolor="#030e13 [484]" strokeweight="1.5pt">
                <v:stroke joinstyle="miter"/>
                <v:textbox>
                  <w:txbxContent>
                    <w:p w14:paraId="7C77B424" w14:textId="7B45DD41" w:rsidR="004C18B6" w:rsidRPr="00B105BB" w:rsidRDefault="009D2F04" w:rsidP="004C18B6">
                      <w:pPr>
                        <w:jc w:val="center"/>
                        <w:rPr>
                          <w:rFonts w:ascii="ADLaM Display" w:hAnsi="ADLaM Display" w:cs="ADLaM Display"/>
                          <w:color w:val="FFFFFF" w:themeColor="background1"/>
                          <w:sz w:val="18"/>
                          <w:szCs w:val="18"/>
                        </w:rPr>
                      </w:pPr>
                      <w:r w:rsidRPr="00B105BB">
                        <w:rPr>
                          <w:rFonts w:ascii="ADLaM Display" w:eastAsia="Times New Roman" w:hAnsi="ADLaM Display" w:cs="ADLaM Display"/>
                          <w:b/>
                          <w:bCs/>
                          <w:i/>
                          <w:iCs/>
                          <w:color w:val="FFFFFF" w:themeColor="background1"/>
                          <w:sz w:val="18"/>
                          <w:szCs w:val="18"/>
                          <w:u w:val="single"/>
                        </w:rPr>
                        <w:t>Understanding Modern Community Mental Health Services (CMHS)</w:t>
                      </w:r>
                    </w:p>
                  </w:txbxContent>
                </v:textbox>
              </v:shape>
            </w:pict>
          </mc:Fallback>
        </mc:AlternateContent>
      </w:r>
    </w:p>
    <w:p w14:paraId="10568827" w14:textId="1A5C4E4B" w:rsidR="00411D4B" w:rsidRDefault="00EB50E8">
      <w:r>
        <w:rPr>
          <w:noProof/>
        </w:rPr>
        <mc:AlternateContent>
          <mc:Choice Requires="wps">
            <w:drawing>
              <wp:anchor distT="0" distB="0" distL="114300" distR="114300" simplePos="0" relativeHeight="251660288" behindDoc="0" locked="0" layoutInCell="1" allowOverlap="1" wp14:anchorId="0D84D986" wp14:editId="115E9D7A">
                <wp:simplePos x="0" y="0"/>
                <wp:positionH relativeFrom="column">
                  <wp:posOffset>3009265</wp:posOffset>
                </wp:positionH>
                <wp:positionV relativeFrom="paragraph">
                  <wp:posOffset>80010</wp:posOffset>
                </wp:positionV>
                <wp:extent cx="3761105" cy="1996440"/>
                <wp:effectExtent l="0" t="0" r="10795" b="22860"/>
                <wp:wrapNone/>
                <wp:docPr id="801385328" name="Rectangle: Rounded Corners 7"/>
                <wp:cNvGraphicFramePr/>
                <a:graphic xmlns:a="http://schemas.openxmlformats.org/drawingml/2006/main">
                  <a:graphicData uri="http://schemas.microsoft.com/office/word/2010/wordprocessingShape">
                    <wps:wsp>
                      <wps:cNvSpPr/>
                      <wps:spPr>
                        <a:xfrm>
                          <a:off x="0" y="0"/>
                          <a:ext cx="3761105" cy="1996440"/>
                        </a:xfrm>
                        <a:prstGeom prst="roundRect">
                          <a:avLst>
                            <a:gd name="adj" fmla="val 20089"/>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64B1FAC" w14:textId="77777777" w:rsidR="00412C0A" w:rsidRPr="009B144E" w:rsidRDefault="00412C0A" w:rsidP="00445546">
                            <w:pPr>
                              <w:rPr>
                                <w:b/>
                                <w:bCs/>
                                <w:i/>
                                <w:iCs/>
                                <w:sz w:val="16"/>
                                <w:szCs w:val="16"/>
                                <w:u w:val="single"/>
                              </w:rPr>
                            </w:pPr>
                            <w:r w:rsidRPr="009B144E">
                              <w:rPr>
                                <w:b/>
                                <w:bCs/>
                                <w:i/>
                                <w:iCs/>
                                <w:sz w:val="16"/>
                                <w:szCs w:val="16"/>
                                <w:u w:val="single"/>
                              </w:rPr>
                              <w:t>Brief History</w:t>
                            </w:r>
                          </w:p>
                          <w:p w14:paraId="4B0AD7EF" w14:textId="77777777" w:rsidR="00412C0A" w:rsidRPr="001000F2" w:rsidRDefault="00412C0A" w:rsidP="00445546">
                            <w:pPr>
                              <w:rPr>
                                <w:sz w:val="16"/>
                                <w:szCs w:val="16"/>
                              </w:rPr>
                            </w:pPr>
                            <w:r w:rsidRPr="001000F2">
                              <w:rPr>
                                <w:rFonts w:ascii="Arial" w:hAnsi="Arial" w:cs="Arial"/>
                                <w:sz w:val="16"/>
                                <w:szCs w:val="16"/>
                              </w:rPr>
                              <w:t>​</w:t>
                            </w:r>
                            <w:r w:rsidRPr="001000F2">
                              <w:rPr>
                                <w:sz w:val="16"/>
                                <w:szCs w:val="16"/>
                              </w:rPr>
                              <w:t>The origins of CMHS lie in the "Deinstitutionalisation" movement of the 1960s and 70s. Prior to this, people with mental health issues were often long-term residents of large, isolated "asylums."</w:t>
                            </w:r>
                          </w:p>
                          <w:p w14:paraId="7A0ACC7A" w14:textId="77777777" w:rsidR="00412C0A" w:rsidRPr="001000F2" w:rsidRDefault="00412C0A" w:rsidP="00445546">
                            <w:pPr>
                              <w:rPr>
                                <w:sz w:val="16"/>
                                <w:szCs w:val="16"/>
                              </w:rPr>
                            </w:pPr>
                            <w:r w:rsidRPr="001000F2">
                              <w:rPr>
                                <w:rFonts w:ascii="Arial" w:hAnsi="Arial" w:cs="Arial"/>
                                <w:sz w:val="16"/>
                                <w:szCs w:val="16"/>
                              </w:rPr>
                              <w:t>​</w:t>
                            </w:r>
                            <w:r w:rsidRPr="001000F2">
                              <w:rPr>
                                <w:sz w:val="16"/>
                                <w:szCs w:val="16"/>
                              </w:rPr>
                              <w:t>The 1959 Mental Health Act began the shift toward community care.</w:t>
                            </w:r>
                          </w:p>
                          <w:p w14:paraId="0B5370AA" w14:textId="77777777" w:rsidR="00412C0A" w:rsidRPr="001000F2" w:rsidRDefault="00412C0A" w:rsidP="00445546">
                            <w:pPr>
                              <w:rPr>
                                <w:sz w:val="16"/>
                                <w:szCs w:val="16"/>
                              </w:rPr>
                            </w:pPr>
                            <w:r w:rsidRPr="001000F2">
                              <w:rPr>
                                <w:rFonts w:ascii="Arial" w:hAnsi="Arial" w:cs="Arial"/>
                                <w:sz w:val="16"/>
                                <w:szCs w:val="16"/>
                              </w:rPr>
                              <w:t>​</w:t>
                            </w:r>
                            <w:r w:rsidRPr="001000F2">
                              <w:rPr>
                                <w:sz w:val="16"/>
                                <w:szCs w:val="16"/>
                              </w:rPr>
                              <w:t>The 1990 NHS and Community Care Act solidified this by moving funding from large hospitals to local authorities.</w:t>
                            </w:r>
                          </w:p>
                          <w:p w14:paraId="07EB2AE5" w14:textId="1B15E57A" w:rsidR="00AC1E9E" w:rsidRPr="001000F2" w:rsidRDefault="00412C0A" w:rsidP="00445546">
                            <w:pPr>
                              <w:rPr>
                                <w:sz w:val="16"/>
                                <w:szCs w:val="16"/>
                              </w:rPr>
                            </w:pPr>
                            <w:r w:rsidRPr="001000F2">
                              <w:rPr>
                                <w:rFonts w:ascii="Arial" w:hAnsi="Arial" w:cs="Arial"/>
                                <w:sz w:val="16"/>
                                <w:szCs w:val="16"/>
                              </w:rPr>
                              <w:t>​</w:t>
                            </w:r>
                            <w:r w:rsidRPr="001000F2">
                              <w:rPr>
                                <w:sz w:val="16"/>
                                <w:szCs w:val="16"/>
                              </w:rPr>
                              <w:t>This history reflects a shift from "custodial" care (locking people away) to "recovery-focused" care (supporting people in their own homes).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84D986" id="Rectangle: Rounded Corners 7" o:spid="_x0000_s1027" style="position:absolute;margin-left:236.95pt;margin-top:6.3pt;width:296.15pt;height:15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3165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" fillcolor="#156082 [3204]" strokecolor="#030e13 [484]" strokeweight="1.5pt">
                <v:stroke joinstyle="miter"/>
                <v:textbox>
                  <w:txbxContent>
                    <w:p w14:paraId="464B1FAC" w14:textId="77777777" w:rsidR="00412C0A" w:rsidRPr="009B144E" w:rsidRDefault="00412C0A" w:rsidP="00445546">
                      <w:pPr>
                        <w:rPr>
                          <w:b/>
                          <w:bCs/>
                          <w:i/>
                          <w:iCs/>
                          <w:sz w:val="16"/>
                          <w:szCs w:val="16"/>
                          <w:u w:val="single"/>
                        </w:rPr>
                      </w:pPr>
                      <w:r w:rsidRPr="009B144E">
                        <w:rPr>
                          <w:b/>
                          <w:bCs/>
                          <w:i/>
                          <w:iCs/>
                          <w:sz w:val="16"/>
                          <w:szCs w:val="16"/>
                          <w:u w:val="single"/>
                        </w:rPr>
                        <w:t>Brief History</w:t>
                      </w:r>
                    </w:p>
                    <w:p w14:paraId="4B0AD7EF" w14:textId="77777777" w:rsidR="00412C0A" w:rsidRPr="001000F2" w:rsidRDefault="00412C0A" w:rsidP="00445546">
                      <w:pPr>
                        <w:rPr>
                          <w:sz w:val="16"/>
                          <w:szCs w:val="16"/>
                        </w:rPr>
                      </w:pPr>
                      <w:r w:rsidRPr="001000F2">
                        <w:rPr>
                          <w:rFonts w:ascii="Arial" w:hAnsi="Arial" w:cs="Arial"/>
                          <w:sz w:val="16"/>
                          <w:szCs w:val="16"/>
                        </w:rPr>
                        <w:t>​</w:t>
                      </w:r>
                      <w:r w:rsidRPr="001000F2">
                        <w:rPr>
                          <w:sz w:val="16"/>
                          <w:szCs w:val="16"/>
                        </w:rPr>
                        <w:t>The origins of CMHS lie in the "Deinstitutionalisation" movement of the 1960s and 70s. Prior to this, people with mental health issues were often long-term residents of large, isolated "asylums."</w:t>
                      </w:r>
                    </w:p>
                    <w:p w14:paraId="7A0ACC7A" w14:textId="77777777" w:rsidR="00412C0A" w:rsidRPr="001000F2" w:rsidRDefault="00412C0A" w:rsidP="00445546">
                      <w:pPr>
                        <w:rPr>
                          <w:sz w:val="16"/>
                          <w:szCs w:val="16"/>
                        </w:rPr>
                      </w:pPr>
                      <w:r w:rsidRPr="001000F2">
                        <w:rPr>
                          <w:rFonts w:ascii="Arial" w:hAnsi="Arial" w:cs="Arial"/>
                          <w:sz w:val="16"/>
                          <w:szCs w:val="16"/>
                        </w:rPr>
                        <w:t>​</w:t>
                      </w:r>
                      <w:r w:rsidRPr="001000F2">
                        <w:rPr>
                          <w:sz w:val="16"/>
                          <w:szCs w:val="16"/>
                        </w:rPr>
                        <w:t>The 1959 Mental Health Act began the shift toward community care.</w:t>
                      </w:r>
                    </w:p>
                    <w:p w14:paraId="0B5370AA" w14:textId="77777777" w:rsidR="00412C0A" w:rsidRPr="001000F2" w:rsidRDefault="00412C0A" w:rsidP="00445546">
                      <w:pPr>
                        <w:rPr>
                          <w:sz w:val="16"/>
                          <w:szCs w:val="16"/>
                        </w:rPr>
                      </w:pPr>
                      <w:r w:rsidRPr="001000F2">
                        <w:rPr>
                          <w:rFonts w:ascii="Arial" w:hAnsi="Arial" w:cs="Arial"/>
                          <w:sz w:val="16"/>
                          <w:szCs w:val="16"/>
                        </w:rPr>
                        <w:t>​</w:t>
                      </w:r>
                      <w:r w:rsidRPr="001000F2">
                        <w:rPr>
                          <w:sz w:val="16"/>
                          <w:szCs w:val="16"/>
                        </w:rPr>
                        <w:t>The 1990 NHS and Community Care Act solidified this by moving funding from large hospitals to local authorities.</w:t>
                      </w:r>
                    </w:p>
                    <w:p w14:paraId="07EB2AE5" w14:textId="1B15E57A" w:rsidR="00AC1E9E" w:rsidRPr="001000F2" w:rsidRDefault="00412C0A" w:rsidP="00445546">
                      <w:pPr>
                        <w:rPr>
                          <w:sz w:val="16"/>
                          <w:szCs w:val="16"/>
                        </w:rPr>
                      </w:pPr>
                      <w:r w:rsidRPr="001000F2">
                        <w:rPr>
                          <w:rFonts w:ascii="Arial" w:hAnsi="Arial" w:cs="Arial"/>
                          <w:sz w:val="16"/>
                          <w:szCs w:val="16"/>
                        </w:rPr>
                        <w:t>​</w:t>
                      </w:r>
                      <w:r w:rsidRPr="001000F2">
                        <w:rPr>
                          <w:sz w:val="16"/>
                          <w:szCs w:val="16"/>
                        </w:rPr>
                        <w:t>This history reflects a shift from "custodial" care (locking people away) to "recovery-focused" care (supporting people in their own homes).</w:t>
                      </w:r>
                    </w:p>
                  </w:txbxContent>
                </v:textbox>
              </v:roundrect>
            </w:pict>
          </mc:Fallback>
        </mc:AlternateContent>
      </w:r>
      <w:r w:rsidR="004144CA">
        <w:rPr>
          <w:noProof/>
        </w:rPr>
        <mc:AlternateContent>
          <mc:Choice Requires="wps">
            <w:drawing>
              <wp:anchor distT="45720" distB="45720" distL="114300" distR="114300" simplePos="0" relativeHeight="251666432" behindDoc="0" locked="0" layoutInCell="1" allowOverlap="1" wp14:anchorId="2A3A2272" wp14:editId="75CC1367">
                <wp:simplePos x="0" y="0"/>
                <wp:positionH relativeFrom="column">
                  <wp:posOffset>-536575</wp:posOffset>
                </wp:positionH>
                <wp:positionV relativeFrom="paragraph">
                  <wp:posOffset>243840</wp:posOffset>
                </wp:positionV>
                <wp:extent cx="3108960" cy="1617980"/>
                <wp:effectExtent l="0" t="0" r="15240" b="20320"/>
                <wp:wrapSquare wrapText="bothSides"/>
                <wp:docPr id="657512791" name="Text Box 3"/>
                <wp:cNvGraphicFramePr/>
                <a:graphic xmlns:a="http://schemas.openxmlformats.org/drawingml/2006/main">
                  <a:graphicData uri="http://schemas.microsoft.com/office/word/2010/wordprocessingShape">
                    <wps:wsp>
                      <wps:cNvSpPr txBox="1"/>
                      <wps:spPr>
                        <a:xfrm>
                          <a:off x="0" y="0"/>
                          <a:ext cx="3108960" cy="1617980"/>
                        </a:xfrm>
                        <a:prstGeom prst="rect">
                          <a:avLst/>
                        </a:prstGeom>
                        <a:solidFill>
                          <a:prstClr val="white"/>
                        </a:solidFill>
                        <a:ln w="6350">
                          <a:solidFill>
                            <a:prstClr val="black"/>
                          </a:solidFill>
                        </a:ln>
                      </wps:spPr>
                      <wps:txbx>
                        <w:txbxContent>
                          <w:p w14:paraId="63BD1570" w14:textId="1BC8923C" w:rsidR="00E84AA3" w:rsidRDefault="004144CA">
                            <w:r>
                              <w:t>NAME:</w:t>
                            </w:r>
                            <w:r w:rsidR="00EB5943">
                              <w:t xml:space="preserve"> </w:t>
                            </w:r>
                            <w:r w:rsidR="00CF2192">
                              <w:t>AUDREY GOLDING</w:t>
                            </w:r>
                          </w:p>
                          <w:p w14:paraId="0CBA5086" w14:textId="309D40B8" w:rsidR="00E84AA3" w:rsidRDefault="00E84AA3">
                            <w:r>
                              <w:t xml:space="preserve">STUDENT </w:t>
                            </w:r>
                            <w:r w:rsidR="001D3DA1">
                              <w:t>ID</w:t>
                            </w:r>
                            <w:r>
                              <w:t>:</w:t>
                            </w:r>
                            <w:r w:rsidR="00EB5943">
                              <w:t xml:space="preserve"> </w:t>
                            </w:r>
                            <w:r w:rsidR="00CF2192">
                              <w:t>2515</w:t>
                            </w:r>
                            <w:r w:rsidR="00EB5943">
                              <w:t>364</w:t>
                            </w:r>
                          </w:p>
                          <w:p w14:paraId="47623CB1" w14:textId="72C20538" w:rsidR="001D3DA1" w:rsidRDefault="001D3DA1">
                            <w:r>
                              <w:t>MODULE CODE:</w:t>
                            </w:r>
                            <w:r w:rsidR="00EB5943">
                              <w:t>LCHS4003_BIRM</w:t>
                            </w:r>
                          </w:p>
                          <w:p w14:paraId="51AF5279" w14:textId="4982EE07" w:rsidR="001D3DA1" w:rsidRDefault="00CF2192">
                            <w:r>
                              <w:t>LECTURER:</w:t>
                            </w:r>
                            <w:r w:rsidR="00EB5943">
                              <w:t xml:space="preserve"> </w:t>
                            </w:r>
                            <w:proofErr w:type="spellStart"/>
                            <w:r w:rsidR="002F54F1">
                              <w:t>Aishat</w:t>
                            </w:r>
                            <w:proofErr w:type="spellEnd"/>
                            <w:r w:rsidR="002F54F1">
                              <w:t xml:space="preserve"> </w:t>
                            </w:r>
                            <w:proofErr w:type="spellStart"/>
                            <w:r w:rsidR="002F54F1">
                              <w:t>Ba</w:t>
                            </w:r>
                            <w:r w:rsidR="00EB50E8">
                              <w:t>kre</w:t>
                            </w:r>
                            <w:proofErr w:type="spellEnd"/>
                          </w:p>
                          <w:p w14:paraId="4D3AB7F6" w14:textId="5393C1DC" w:rsidR="00CF2192" w:rsidRDefault="00CF2192">
                            <w:r>
                              <w:t>SUBMITTED ON: 23/02/2026</w:t>
                            </w:r>
                          </w:p>
                          <w:p w14:paraId="5A215FFF" w14:textId="77777777" w:rsidR="00E84AA3" w:rsidRDefault="00E84AA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3A2272" id="_x0000_t202" coordsize="21600,21600" o:spt="202" path="m,l,21600r21600,l21600,xe">
                <v:stroke joinstyle="miter"/>
                <v:path gradientshapeok="t" o:connecttype="rect"/>
              </v:shapetype>
              <v:shape id="Text Box 3" o:spid="_x0000_s1028" type="#_x0000_t202" style="position:absolute;margin-left:-42.25pt;margin-top:19.2pt;width:244.8pt;height:127.4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" strokeweight=".5pt">
                <v:textbox>
                  <w:txbxContent>
                    <w:p w14:paraId="63BD1570" w14:textId="1BC8923C" w:rsidR="00E84AA3" w:rsidRDefault="004144CA">
                      <w:r>
                        <w:t>NAME:</w:t>
                      </w:r>
                      <w:r w:rsidR="00EB5943">
                        <w:t xml:space="preserve"> </w:t>
                      </w:r>
                      <w:r w:rsidR="00CF2192">
                        <w:t>AUDREY GOLDING</w:t>
                      </w:r>
                    </w:p>
                    <w:p w14:paraId="0CBA5086" w14:textId="309D40B8" w:rsidR="00E84AA3" w:rsidRDefault="00E84AA3">
                      <w:r>
                        <w:t xml:space="preserve">STUDENT </w:t>
                      </w:r>
                      <w:r w:rsidR="001D3DA1">
                        <w:t>ID</w:t>
                      </w:r>
                      <w:r>
                        <w:t>:</w:t>
                      </w:r>
                      <w:r w:rsidR="00EB5943">
                        <w:t xml:space="preserve"> </w:t>
                      </w:r>
                      <w:r w:rsidR="00CF2192">
                        <w:t>2515</w:t>
                      </w:r>
                      <w:r w:rsidR="00EB5943">
                        <w:t>364</w:t>
                      </w:r>
                    </w:p>
                    <w:p w14:paraId="47623CB1" w14:textId="72C20538" w:rsidR="001D3DA1" w:rsidRDefault="001D3DA1">
                      <w:r>
                        <w:t>MODULE CODE:</w:t>
                      </w:r>
                      <w:r w:rsidR="00EB5943">
                        <w:t>LCHS4003_BIRM</w:t>
                      </w:r>
                    </w:p>
                    <w:p w14:paraId="51AF5279" w14:textId="4982EE07" w:rsidR="001D3DA1" w:rsidRDefault="00CF2192">
                      <w:r>
                        <w:t>LECTURER:</w:t>
                      </w:r>
                      <w:r w:rsidR="00EB5943">
                        <w:t xml:space="preserve"> </w:t>
                      </w:r>
                      <w:proofErr w:type="spellStart"/>
                      <w:r w:rsidR="002F54F1">
                        <w:t>Aishat</w:t>
                      </w:r>
                      <w:proofErr w:type="spellEnd"/>
                      <w:r w:rsidR="002F54F1">
                        <w:t xml:space="preserve"> </w:t>
                      </w:r>
                      <w:proofErr w:type="spellStart"/>
                      <w:r w:rsidR="002F54F1">
                        <w:t>Ba</w:t>
                      </w:r>
                      <w:r w:rsidR="00EB50E8">
                        <w:t>kre</w:t>
                      </w:r>
                      <w:proofErr w:type="spellEnd"/>
                    </w:p>
                    <w:p w14:paraId="4D3AB7F6" w14:textId="5393C1DC" w:rsidR="00CF2192" w:rsidRDefault="00CF2192">
                      <w:r>
                        <w:t>SUBMITTED ON: 23/02/2026</w:t>
                      </w:r>
                    </w:p>
                    <w:p w14:paraId="5A215FFF" w14:textId="77777777" w:rsidR="00E84AA3" w:rsidRDefault="00E84AA3"/>
                  </w:txbxContent>
                </v:textbox>
                <w10:wrap type="square"/>
              </v:shape>
            </w:pict>
          </mc:Fallback>
        </mc:AlternateContent>
      </w:r>
    </w:p>
    <w:p w14:paraId="215378AF" w14:textId="61AC1C1F" w:rsidR="00C06716" w:rsidRDefault="00C06716"/>
    <w:p w14:paraId="133CC17B" w14:textId="77777777" w:rsidR="00C06716" w:rsidRDefault="00C06716"/>
    <w:p w14:paraId="0B2E3C15" w14:textId="77777777" w:rsidR="00C06716" w:rsidRDefault="00C06716"/>
    <w:p w14:paraId="7A7BEDA1" w14:textId="77777777" w:rsidR="00C06716" w:rsidRDefault="00C06716"/>
    <w:p w14:paraId="74F520B4" w14:textId="30745F2B" w:rsidR="00C06716" w:rsidRDefault="00C06716"/>
    <w:p w14:paraId="11D54F13" w14:textId="69844DA8" w:rsidR="00C06716" w:rsidRDefault="00BB178D">
      <w:r>
        <w:rPr>
          <w:noProof/>
        </w:rPr>
        <mc:AlternateContent>
          <mc:Choice Requires="wps">
            <w:drawing>
              <wp:anchor distT="0" distB="0" distL="114300" distR="114300" simplePos="0" relativeHeight="251659264" behindDoc="0" locked="0" layoutInCell="1" allowOverlap="1" wp14:anchorId="487E73AF" wp14:editId="3568F4F5">
                <wp:simplePos x="0" y="0"/>
                <wp:positionH relativeFrom="column">
                  <wp:posOffset>-780415</wp:posOffset>
                </wp:positionH>
                <wp:positionV relativeFrom="paragraph">
                  <wp:posOffset>221615</wp:posOffset>
                </wp:positionV>
                <wp:extent cx="3718560" cy="1968500"/>
                <wp:effectExtent l="0" t="0" r="15240" b="12700"/>
                <wp:wrapNone/>
                <wp:docPr id="1751434979" name="Rectangle: Rounded Corners 6"/>
                <wp:cNvGraphicFramePr/>
                <a:graphic xmlns:a="http://schemas.openxmlformats.org/drawingml/2006/main">
                  <a:graphicData uri="http://schemas.microsoft.com/office/word/2010/wordprocessingShape">
                    <wps:wsp>
                      <wps:cNvSpPr/>
                      <wps:spPr>
                        <a:xfrm>
                          <a:off x="0" y="0"/>
                          <a:ext cx="3718560" cy="1968500"/>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EE6262" w14:textId="77777777" w:rsidR="00AC1E9E" w:rsidRPr="009B144E" w:rsidRDefault="00AC1E9E" w:rsidP="00AC1E9E">
                            <w:pPr>
                              <w:jc w:val="center"/>
                              <w:rPr>
                                <w:b/>
                                <w:bCs/>
                                <w:i/>
                                <w:iCs/>
                                <w:sz w:val="16"/>
                                <w:szCs w:val="16"/>
                                <w:u w:val="single"/>
                              </w:rPr>
                            </w:pPr>
                            <w:r w:rsidRPr="009B144E">
                              <w:rPr>
                                <w:b/>
                                <w:bCs/>
                                <w:i/>
                                <w:iCs/>
                                <w:sz w:val="16"/>
                                <w:szCs w:val="16"/>
                                <w:u w:val="single"/>
                              </w:rPr>
                              <w:t>Explanation of the Service</w:t>
                            </w:r>
                          </w:p>
                          <w:p w14:paraId="7574DCD1" w14:textId="4540FEF3" w:rsidR="00FE4327" w:rsidRPr="004633C6" w:rsidRDefault="00AC1E9E" w:rsidP="00FE4327">
                            <w:pPr>
                              <w:jc w:val="center"/>
                              <w:rPr>
                                <w:sz w:val="18"/>
                                <w:szCs w:val="18"/>
                              </w:rPr>
                            </w:pPr>
                            <w:r w:rsidRPr="00E17DA8">
                              <w:rPr>
                                <w:rFonts w:ascii="Arial" w:hAnsi="Arial" w:cs="Arial"/>
                                <w:sz w:val="16"/>
                                <w:szCs w:val="16"/>
                              </w:rPr>
                              <w:t>​</w:t>
                            </w:r>
                            <w:r w:rsidRPr="00E17DA8">
                              <w:rPr>
                                <w:sz w:val="16"/>
                                <w:szCs w:val="16"/>
                              </w:rPr>
                              <w:t>Community Mental Health Services (CMHS) are designed to support individuals with moderate-to-severe mental health conditions outside of a hospital setting. The primary goal is to provide "wraparound" care that allows service users to live independently. These services are multidisciplinary, meaning they bring together psychiatrists, mental health nurses, social workers, and occupational therapists to provide holistic support, including medication management, psychological therapies, and social crisis intervention</w:t>
                            </w:r>
                            <w:r w:rsidRPr="004633C6">
                              <w:rPr>
                                <w:sz w:val="18"/>
                                <w:szCs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7E73AF" id="Rectangle: Rounded Corners 6" o:spid="_x0000_s1029" style="position:absolute;margin-left:-61.45pt;margin-top:17.45pt;width:292.8pt;height:1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" fillcolor="#156082 [3204]" strokecolor="#030e13 [484]" strokeweight="1.5pt">
                <v:stroke joinstyle="miter"/>
                <v:textbox>
                  <w:txbxContent>
                    <w:p w14:paraId="25EE6262" w14:textId="77777777" w:rsidR="00AC1E9E" w:rsidRPr="009B144E" w:rsidRDefault="00AC1E9E" w:rsidP="00AC1E9E">
                      <w:pPr>
                        <w:jc w:val="center"/>
                        <w:rPr>
                          <w:b/>
                          <w:bCs/>
                          <w:i/>
                          <w:iCs/>
                          <w:sz w:val="16"/>
                          <w:szCs w:val="16"/>
                          <w:u w:val="single"/>
                        </w:rPr>
                      </w:pPr>
                      <w:r w:rsidRPr="009B144E">
                        <w:rPr>
                          <w:b/>
                          <w:bCs/>
                          <w:i/>
                          <w:iCs/>
                          <w:sz w:val="16"/>
                          <w:szCs w:val="16"/>
                          <w:u w:val="single"/>
                        </w:rPr>
                        <w:t>Explanation of the Service</w:t>
                      </w:r>
                    </w:p>
                    <w:p w14:paraId="7574DCD1" w14:textId="4540FEF3" w:rsidR="00FE4327" w:rsidRPr="004633C6" w:rsidRDefault="00AC1E9E" w:rsidP="00FE4327">
                      <w:pPr>
                        <w:jc w:val="center"/>
                        <w:rPr>
                          <w:sz w:val="18"/>
                          <w:szCs w:val="18"/>
                        </w:rPr>
                      </w:pPr>
                      <w:r w:rsidRPr="00E17DA8">
                        <w:rPr>
                          <w:rFonts w:ascii="Arial" w:hAnsi="Arial" w:cs="Arial"/>
                          <w:sz w:val="16"/>
                          <w:szCs w:val="16"/>
                        </w:rPr>
                        <w:t>​</w:t>
                      </w:r>
                      <w:r w:rsidRPr="00E17DA8">
                        <w:rPr>
                          <w:sz w:val="16"/>
                          <w:szCs w:val="16"/>
                        </w:rPr>
                        <w:t>Community Mental Health Services (CMHS) are designed to support individuals with moderate-to-severe mental health conditions outside of a hospital setting. The primary goal is to provide "wraparound" care that allows service users to live independently. These services are multidisciplinary, meaning they bring together psychiatrists, mental health nurses, social workers, and occupational therapists to provide holistic support, including medication management, psychological therapies, and social crisis intervention</w:t>
                      </w:r>
                      <w:r w:rsidRPr="004633C6">
                        <w:rPr>
                          <w:sz w:val="18"/>
                          <w:szCs w:val="18"/>
                        </w:rPr>
                        <w:t>.</w:t>
                      </w:r>
                    </w:p>
                  </w:txbxContent>
                </v:textbox>
              </v:roundrect>
            </w:pict>
          </mc:Fallback>
        </mc:AlternateContent>
      </w:r>
      <w:r>
        <w:rPr>
          <w:noProof/>
        </w:rPr>
        <mc:AlternateContent>
          <mc:Choice Requires="wps">
            <w:drawing>
              <wp:anchor distT="0" distB="0" distL="114300" distR="114300" simplePos="0" relativeHeight="251663360" behindDoc="0" locked="0" layoutInCell="1" allowOverlap="1" wp14:anchorId="6D9FFB52" wp14:editId="3C2AFFE0">
                <wp:simplePos x="0" y="0"/>
                <wp:positionH relativeFrom="column">
                  <wp:posOffset>3047365</wp:posOffset>
                </wp:positionH>
                <wp:positionV relativeFrom="paragraph">
                  <wp:posOffset>222250</wp:posOffset>
                </wp:positionV>
                <wp:extent cx="3757930" cy="2017395"/>
                <wp:effectExtent l="0" t="0" r="13970" b="20955"/>
                <wp:wrapNone/>
                <wp:docPr id="1462397044" name="Rectangle: Rounded Corners 10"/>
                <wp:cNvGraphicFramePr/>
                <a:graphic xmlns:a="http://schemas.openxmlformats.org/drawingml/2006/main">
                  <a:graphicData uri="http://schemas.microsoft.com/office/word/2010/wordprocessingShape">
                    <wps:wsp>
                      <wps:cNvSpPr/>
                      <wps:spPr>
                        <a:xfrm>
                          <a:off x="0" y="0"/>
                          <a:ext cx="3757930" cy="201739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47D35419" w14:textId="77777777" w:rsidR="00531D1D" w:rsidRPr="009B144E" w:rsidRDefault="00531D1D" w:rsidP="00531D1D">
                            <w:pPr>
                              <w:jc w:val="center"/>
                              <w:rPr>
                                <w:b/>
                                <w:bCs/>
                                <w:i/>
                                <w:iCs/>
                                <w:sz w:val="16"/>
                                <w:szCs w:val="16"/>
                                <w:u w:val="single"/>
                              </w:rPr>
                            </w:pPr>
                            <w:r w:rsidRPr="009B144E">
                              <w:rPr>
                                <w:b/>
                                <w:bCs/>
                                <w:i/>
                                <w:iCs/>
                                <w:sz w:val="16"/>
                                <w:szCs w:val="16"/>
                                <w:u w:val="single"/>
                              </w:rPr>
                              <w:t>Challenge 2: The Integration Gap (Fragmentation)</w:t>
                            </w:r>
                          </w:p>
                          <w:p w14:paraId="114E107C" w14:textId="77777777" w:rsidR="00531D1D" w:rsidRPr="003C7BA5" w:rsidRDefault="00531D1D" w:rsidP="00531D1D">
                            <w:pPr>
                              <w:jc w:val="center"/>
                              <w:rPr>
                                <w:sz w:val="16"/>
                                <w:szCs w:val="16"/>
                              </w:rPr>
                            </w:pPr>
                            <w:r w:rsidRPr="003C7BA5">
                              <w:rPr>
                                <w:rFonts w:ascii="Arial" w:hAnsi="Arial" w:cs="Arial"/>
                                <w:sz w:val="16"/>
                                <w:szCs w:val="16"/>
                              </w:rPr>
                              <w:t>​</w:t>
                            </w:r>
                            <w:r w:rsidRPr="003C7BA5">
                              <w:rPr>
                                <w:sz w:val="16"/>
                                <w:szCs w:val="16"/>
                              </w:rPr>
                              <w:t>Despite being called "integrated," there is a massive divide between Clinical Care (NHS) and Social Care (Local Authorities).</w:t>
                            </w:r>
                          </w:p>
                          <w:p w14:paraId="7ADB30DF" w14:textId="77777777" w:rsidR="00531D1D" w:rsidRPr="003C7BA5" w:rsidRDefault="00531D1D" w:rsidP="00531D1D">
                            <w:pPr>
                              <w:jc w:val="center"/>
                              <w:rPr>
                                <w:sz w:val="16"/>
                                <w:szCs w:val="16"/>
                              </w:rPr>
                            </w:pPr>
                            <w:r w:rsidRPr="003C7BA5">
                              <w:rPr>
                                <w:rFonts w:ascii="Arial" w:hAnsi="Arial" w:cs="Arial"/>
                                <w:sz w:val="16"/>
                                <w:szCs w:val="16"/>
                              </w:rPr>
                              <w:t>​</w:t>
                            </w:r>
                            <w:r w:rsidRPr="003C7BA5">
                              <w:rPr>
                                <w:sz w:val="16"/>
                                <w:szCs w:val="16"/>
                              </w:rPr>
                              <w:t>The Problem: The NHS handles the medical diagnosis, but the Council handles housing and disability benefits. These two systems often use different computer systems and have separate budgets.</w:t>
                            </w:r>
                          </w:p>
                          <w:p w14:paraId="6CE1BC77" w14:textId="45EED452" w:rsidR="00D974D2" w:rsidRPr="003C7BA5" w:rsidRDefault="00531D1D" w:rsidP="00D974D2">
                            <w:pPr>
                              <w:jc w:val="center"/>
                              <w:rPr>
                                <w:sz w:val="16"/>
                                <w:szCs w:val="16"/>
                              </w:rPr>
                            </w:pPr>
                            <w:r w:rsidRPr="003C7BA5">
                              <w:rPr>
                                <w:rFonts w:ascii="Arial" w:hAnsi="Arial" w:cs="Arial"/>
                                <w:sz w:val="16"/>
                                <w:szCs w:val="16"/>
                              </w:rPr>
                              <w:t>​</w:t>
                            </w:r>
                            <w:r w:rsidRPr="003C7BA5">
                              <w:rPr>
                                <w:sz w:val="16"/>
                                <w:szCs w:val="16"/>
                              </w:rPr>
                              <w:t>The Impact: The Centre for Mental Health (2020) describes a "revolving door" effect. A patient is treated clinically but discharged into unstable housing. Without social support, they relapse and end up back in the hospital, wasting resources and hurting the patient’s recovery.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9FFB52" id="Rectangle: Rounded Corners 10" o:spid="_x0000_s1030" style="position:absolute;margin-left:239.95pt;margin-top:17.5pt;width:295.9pt;height:158.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" fillcolor="#156082 [3204]" strokecolor="#030e13 [484]" strokeweight="1.5pt">
                <v:stroke joinstyle="miter"/>
                <v:textbox>
                  <w:txbxContent>
                    <w:p w14:paraId="47D35419" w14:textId="77777777" w:rsidR="00531D1D" w:rsidRPr="009B144E" w:rsidRDefault="00531D1D" w:rsidP="00531D1D">
                      <w:pPr>
                        <w:jc w:val="center"/>
                        <w:rPr>
                          <w:b/>
                          <w:bCs/>
                          <w:i/>
                          <w:iCs/>
                          <w:sz w:val="16"/>
                          <w:szCs w:val="16"/>
                          <w:u w:val="single"/>
                        </w:rPr>
                      </w:pPr>
                      <w:r w:rsidRPr="009B144E">
                        <w:rPr>
                          <w:b/>
                          <w:bCs/>
                          <w:i/>
                          <w:iCs/>
                          <w:sz w:val="16"/>
                          <w:szCs w:val="16"/>
                          <w:u w:val="single"/>
                        </w:rPr>
                        <w:t>Challenge 2: The Integration Gap (Fragmentation)</w:t>
                      </w:r>
                    </w:p>
                    <w:p w14:paraId="114E107C" w14:textId="77777777" w:rsidR="00531D1D" w:rsidRPr="003C7BA5" w:rsidRDefault="00531D1D" w:rsidP="00531D1D">
                      <w:pPr>
                        <w:jc w:val="center"/>
                        <w:rPr>
                          <w:sz w:val="16"/>
                          <w:szCs w:val="16"/>
                        </w:rPr>
                      </w:pPr>
                      <w:r w:rsidRPr="003C7BA5">
                        <w:rPr>
                          <w:rFonts w:ascii="Arial" w:hAnsi="Arial" w:cs="Arial"/>
                          <w:sz w:val="16"/>
                          <w:szCs w:val="16"/>
                        </w:rPr>
                        <w:t>​</w:t>
                      </w:r>
                      <w:r w:rsidRPr="003C7BA5">
                        <w:rPr>
                          <w:sz w:val="16"/>
                          <w:szCs w:val="16"/>
                        </w:rPr>
                        <w:t>Despite being called "integrated," there is a massive divide between Clinical Care (NHS) and Social Care (Local Authorities).</w:t>
                      </w:r>
                    </w:p>
                    <w:p w14:paraId="7ADB30DF" w14:textId="77777777" w:rsidR="00531D1D" w:rsidRPr="003C7BA5" w:rsidRDefault="00531D1D" w:rsidP="00531D1D">
                      <w:pPr>
                        <w:jc w:val="center"/>
                        <w:rPr>
                          <w:sz w:val="16"/>
                          <w:szCs w:val="16"/>
                        </w:rPr>
                      </w:pPr>
                      <w:r w:rsidRPr="003C7BA5">
                        <w:rPr>
                          <w:rFonts w:ascii="Arial" w:hAnsi="Arial" w:cs="Arial"/>
                          <w:sz w:val="16"/>
                          <w:szCs w:val="16"/>
                        </w:rPr>
                        <w:t>​</w:t>
                      </w:r>
                      <w:r w:rsidRPr="003C7BA5">
                        <w:rPr>
                          <w:sz w:val="16"/>
                          <w:szCs w:val="16"/>
                        </w:rPr>
                        <w:t>The Problem: The NHS handles the medical diagnosis, but the Council handles housing and disability benefits. These two systems often use different computer systems and have separate budgets.</w:t>
                      </w:r>
                    </w:p>
                    <w:p w14:paraId="6CE1BC77" w14:textId="45EED452" w:rsidR="00D974D2" w:rsidRPr="003C7BA5" w:rsidRDefault="00531D1D" w:rsidP="00D974D2">
                      <w:pPr>
                        <w:jc w:val="center"/>
                        <w:rPr>
                          <w:sz w:val="16"/>
                          <w:szCs w:val="16"/>
                        </w:rPr>
                      </w:pPr>
                      <w:r w:rsidRPr="003C7BA5">
                        <w:rPr>
                          <w:rFonts w:ascii="Arial" w:hAnsi="Arial" w:cs="Arial"/>
                          <w:sz w:val="16"/>
                          <w:szCs w:val="16"/>
                        </w:rPr>
                        <w:t>​</w:t>
                      </w:r>
                      <w:r w:rsidRPr="003C7BA5">
                        <w:rPr>
                          <w:sz w:val="16"/>
                          <w:szCs w:val="16"/>
                        </w:rPr>
                        <w:t>The Impact: The Centre for Mental Health (2020) describes a "revolving door" effect. A patient is treated clinically but discharged into unstable housing. Without social support, they relapse and end up back in the hospital, wasting resources and hurting the patient’s recovery.</w:t>
                      </w:r>
                    </w:p>
                  </w:txbxContent>
                </v:textbox>
              </v:roundrect>
            </w:pict>
          </mc:Fallback>
        </mc:AlternateContent>
      </w:r>
    </w:p>
    <w:p w14:paraId="2F34116C" w14:textId="77777777" w:rsidR="00C06716" w:rsidRDefault="00C06716"/>
    <w:p w14:paraId="7394063E" w14:textId="20334254" w:rsidR="00C06716" w:rsidRDefault="00C06716"/>
    <w:p w14:paraId="4334C5B2" w14:textId="77777777" w:rsidR="00C06716" w:rsidRDefault="00C06716"/>
    <w:p w14:paraId="0C2E16CE" w14:textId="77777777" w:rsidR="00C06716" w:rsidRDefault="00C06716"/>
    <w:p w14:paraId="727079F2" w14:textId="77777777" w:rsidR="00C06716" w:rsidRDefault="00C06716"/>
    <w:p w14:paraId="76C724A9" w14:textId="77777777" w:rsidR="00C06716" w:rsidRDefault="00C06716"/>
    <w:p w14:paraId="4DACFA9B" w14:textId="35C916B7" w:rsidR="00C06716" w:rsidRDefault="00A61824">
      <w:r>
        <w:rPr>
          <w:noProof/>
        </w:rPr>
        <mc:AlternateContent>
          <mc:Choice Requires="wps">
            <w:drawing>
              <wp:anchor distT="0" distB="0" distL="114300" distR="114300" simplePos="0" relativeHeight="251662336" behindDoc="0" locked="0" layoutInCell="1" allowOverlap="1" wp14:anchorId="38C7E561" wp14:editId="0D5E6E0B">
                <wp:simplePos x="0" y="0"/>
                <wp:positionH relativeFrom="column">
                  <wp:posOffset>-741045</wp:posOffset>
                </wp:positionH>
                <wp:positionV relativeFrom="paragraph">
                  <wp:posOffset>110490</wp:posOffset>
                </wp:positionV>
                <wp:extent cx="3721100" cy="2018665"/>
                <wp:effectExtent l="0" t="0" r="12700" b="19685"/>
                <wp:wrapNone/>
                <wp:docPr id="1512320767" name="Rectangle: Rounded Corners 9"/>
                <wp:cNvGraphicFramePr/>
                <a:graphic xmlns:a="http://schemas.openxmlformats.org/drawingml/2006/main">
                  <a:graphicData uri="http://schemas.microsoft.com/office/word/2010/wordprocessingShape">
                    <wps:wsp>
                      <wps:cNvSpPr/>
                      <wps:spPr>
                        <a:xfrm>
                          <a:off x="0" y="0"/>
                          <a:ext cx="3721100" cy="201866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559F70DA" w14:textId="77777777" w:rsidR="0048287F" w:rsidRPr="009B144E" w:rsidRDefault="0048287F" w:rsidP="0048287F">
                            <w:pPr>
                              <w:jc w:val="center"/>
                              <w:rPr>
                                <w:b/>
                                <w:bCs/>
                                <w:i/>
                                <w:iCs/>
                                <w:sz w:val="16"/>
                                <w:szCs w:val="16"/>
                                <w:u w:val="single"/>
                              </w:rPr>
                            </w:pPr>
                            <w:r w:rsidRPr="009B144E">
                              <w:rPr>
                                <w:b/>
                                <w:bCs/>
                                <w:i/>
                                <w:iCs/>
                                <w:sz w:val="16"/>
                                <w:szCs w:val="16"/>
                                <w:u w:val="single"/>
                              </w:rPr>
                              <w:t>Challenge 1: The Workforce &amp; Funding Crisis</w:t>
                            </w:r>
                          </w:p>
                          <w:p w14:paraId="60B93D6D" w14:textId="77777777" w:rsidR="0048287F" w:rsidRPr="001000F2" w:rsidRDefault="0048287F" w:rsidP="0048287F">
                            <w:pPr>
                              <w:jc w:val="center"/>
                              <w:rPr>
                                <w:sz w:val="16"/>
                                <w:szCs w:val="16"/>
                              </w:rPr>
                            </w:pPr>
                            <w:r w:rsidRPr="001000F2">
                              <w:rPr>
                                <w:rFonts w:ascii="Arial" w:hAnsi="Arial" w:cs="Arial"/>
                                <w:sz w:val="16"/>
                                <w:szCs w:val="16"/>
                              </w:rPr>
                              <w:t>​</w:t>
                            </w:r>
                            <w:r w:rsidRPr="001000F2">
                              <w:rPr>
                                <w:sz w:val="16"/>
                                <w:szCs w:val="16"/>
                              </w:rPr>
                              <w:t>The most significant hurdle today is the real-term reduction in funding combined with a staffing shortage.</w:t>
                            </w:r>
                          </w:p>
                          <w:p w14:paraId="3D765D75" w14:textId="77777777" w:rsidR="0048287F" w:rsidRPr="001000F2" w:rsidRDefault="0048287F" w:rsidP="0048287F">
                            <w:pPr>
                              <w:jc w:val="center"/>
                              <w:rPr>
                                <w:sz w:val="16"/>
                                <w:szCs w:val="16"/>
                              </w:rPr>
                            </w:pPr>
                            <w:r w:rsidRPr="001000F2">
                              <w:rPr>
                                <w:rFonts w:ascii="Arial" w:hAnsi="Arial" w:cs="Arial"/>
                                <w:sz w:val="16"/>
                                <w:szCs w:val="16"/>
                              </w:rPr>
                              <w:t>​</w:t>
                            </w:r>
                            <w:r w:rsidRPr="001000F2">
                              <w:rPr>
                                <w:sz w:val="16"/>
                                <w:szCs w:val="16"/>
                              </w:rPr>
                              <w:t>The Problem: While the government has pledged "parity of esteem" (treating mental health the same as physical health), the Health Foundation (2022) notes that inflation has swallowed most budget increases.</w:t>
                            </w:r>
                          </w:p>
                          <w:p w14:paraId="43615D0D" w14:textId="00EC29B3" w:rsidR="00774D64" w:rsidRPr="001000F2" w:rsidRDefault="0048287F" w:rsidP="00774D64">
                            <w:pPr>
                              <w:jc w:val="center"/>
                              <w:rPr>
                                <w:sz w:val="16"/>
                                <w:szCs w:val="16"/>
                              </w:rPr>
                            </w:pPr>
                            <w:r w:rsidRPr="001000F2">
                              <w:rPr>
                                <w:rFonts w:ascii="Arial" w:hAnsi="Arial" w:cs="Arial"/>
                                <w:sz w:val="16"/>
                                <w:szCs w:val="16"/>
                              </w:rPr>
                              <w:t>​</w:t>
                            </w:r>
                            <w:r w:rsidRPr="001000F2">
                              <w:rPr>
                                <w:sz w:val="16"/>
                                <w:szCs w:val="16"/>
                              </w:rPr>
                              <w:t>The Impact: There is a high vacancy rate for psychiatric nurses. This leads to unsustainable caseloads, where one staff member might manage 40+ high-risk patients. This results in "reactive" care—only helping those in immediate crisis—while others on the waiting list deteriorate.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8C7E561" id="Rectangle: Rounded Corners 9" o:spid="_x0000_s1031" style="position:absolute;margin-left:-58.35pt;margin-top:8.7pt;width:293pt;height:158.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" fillcolor="#156082 [3204]" strokecolor="#030e13 [484]" strokeweight="1.5pt">
                <v:stroke joinstyle="miter"/>
                <v:textbox>
                  <w:txbxContent>
                    <w:p w14:paraId="559F70DA" w14:textId="77777777" w:rsidR="0048287F" w:rsidRPr="009B144E" w:rsidRDefault="0048287F" w:rsidP="0048287F">
                      <w:pPr>
                        <w:jc w:val="center"/>
                        <w:rPr>
                          <w:b/>
                          <w:bCs/>
                          <w:i/>
                          <w:iCs/>
                          <w:sz w:val="16"/>
                          <w:szCs w:val="16"/>
                          <w:u w:val="single"/>
                        </w:rPr>
                      </w:pPr>
                      <w:r w:rsidRPr="009B144E">
                        <w:rPr>
                          <w:b/>
                          <w:bCs/>
                          <w:i/>
                          <w:iCs/>
                          <w:sz w:val="16"/>
                          <w:szCs w:val="16"/>
                          <w:u w:val="single"/>
                        </w:rPr>
                        <w:t>Challenge 1: The Workforce &amp; Funding Crisis</w:t>
                      </w:r>
                    </w:p>
                    <w:p w14:paraId="60B93D6D" w14:textId="77777777" w:rsidR="0048287F" w:rsidRPr="001000F2" w:rsidRDefault="0048287F" w:rsidP="0048287F">
                      <w:pPr>
                        <w:jc w:val="center"/>
                        <w:rPr>
                          <w:sz w:val="16"/>
                          <w:szCs w:val="16"/>
                        </w:rPr>
                      </w:pPr>
                      <w:r w:rsidRPr="001000F2">
                        <w:rPr>
                          <w:rFonts w:ascii="Arial" w:hAnsi="Arial" w:cs="Arial"/>
                          <w:sz w:val="16"/>
                          <w:szCs w:val="16"/>
                        </w:rPr>
                        <w:t>​</w:t>
                      </w:r>
                      <w:r w:rsidRPr="001000F2">
                        <w:rPr>
                          <w:sz w:val="16"/>
                          <w:szCs w:val="16"/>
                        </w:rPr>
                        <w:t>The most significant hurdle today is the real-term reduction in funding combined with a staffing shortage.</w:t>
                      </w:r>
                    </w:p>
                    <w:p w14:paraId="3D765D75" w14:textId="77777777" w:rsidR="0048287F" w:rsidRPr="001000F2" w:rsidRDefault="0048287F" w:rsidP="0048287F">
                      <w:pPr>
                        <w:jc w:val="center"/>
                        <w:rPr>
                          <w:sz w:val="16"/>
                          <w:szCs w:val="16"/>
                        </w:rPr>
                      </w:pPr>
                      <w:r w:rsidRPr="001000F2">
                        <w:rPr>
                          <w:rFonts w:ascii="Arial" w:hAnsi="Arial" w:cs="Arial"/>
                          <w:sz w:val="16"/>
                          <w:szCs w:val="16"/>
                        </w:rPr>
                        <w:t>​</w:t>
                      </w:r>
                      <w:r w:rsidRPr="001000F2">
                        <w:rPr>
                          <w:sz w:val="16"/>
                          <w:szCs w:val="16"/>
                        </w:rPr>
                        <w:t>The Problem: While the government has pledged "parity of esteem" (treating mental health the same as physical health), the Health Foundation (2022) notes that inflation has swallowed most budget increases.</w:t>
                      </w:r>
                    </w:p>
                    <w:p w14:paraId="43615D0D" w14:textId="00EC29B3" w:rsidR="00774D64" w:rsidRPr="001000F2" w:rsidRDefault="0048287F" w:rsidP="00774D64">
                      <w:pPr>
                        <w:jc w:val="center"/>
                        <w:rPr>
                          <w:sz w:val="16"/>
                          <w:szCs w:val="16"/>
                        </w:rPr>
                      </w:pPr>
                      <w:r w:rsidRPr="001000F2">
                        <w:rPr>
                          <w:rFonts w:ascii="Arial" w:hAnsi="Arial" w:cs="Arial"/>
                          <w:sz w:val="16"/>
                          <w:szCs w:val="16"/>
                        </w:rPr>
                        <w:t>​</w:t>
                      </w:r>
                      <w:r w:rsidRPr="001000F2">
                        <w:rPr>
                          <w:sz w:val="16"/>
                          <w:szCs w:val="16"/>
                        </w:rPr>
                        <w:t>The Impact: There is a high vacancy rate for psychiatric nurses. This leads to unsustainable caseloads, where one staff member might manage 40+ high-risk patients. This results in "reactive" care—only helping those in immediate crisis—while others on the waiting list deteriorate.</w:t>
                      </w:r>
                    </w:p>
                  </w:txbxContent>
                </v:textbox>
              </v:roundrect>
            </w:pict>
          </mc:Fallback>
        </mc:AlternateContent>
      </w:r>
      <w:r>
        <w:rPr>
          <w:noProof/>
        </w:rPr>
        <mc:AlternateContent>
          <mc:Choice Requires="wps">
            <w:drawing>
              <wp:anchor distT="0" distB="0" distL="114300" distR="114300" simplePos="0" relativeHeight="251661312" behindDoc="0" locked="0" layoutInCell="1" allowOverlap="1" wp14:anchorId="12050FBF" wp14:editId="71F0B150">
                <wp:simplePos x="0" y="0"/>
                <wp:positionH relativeFrom="column">
                  <wp:posOffset>3078480</wp:posOffset>
                </wp:positionH>
                <wp:positionV relativeFrom="paragraph">
                  <wp:posOffset>135255</wp:posOffset>
                </wp:positionV>
                <wp:extent cx="3690620" cy="1880235"/>
                <wp:effectExtent l="0" t="0" r="24130" b="43815"/>
                <wp:wrapNone/>
                <wp:docPr id="1574792419" name="Rectangle: Rounded Corners 8"/>
                <wp:cNvGraphicFramePr/>
                <a:graphic xmlns:a="http://schemas.openxmlformats.org/drawingml/2006/main">
                  <a:graphicData uri="http://schemas.microsoft.com/office/word/2010/wordprocessingShape">
                    <wps:wsp>
                      <wps:cNvSpPr/>
                      <wps:spPr>
                        <a:xfrm>
                          <a:off x="0" y="0"/>
                          <a:ext cx="3690620" cy="1880235"/>
                        </a:xfrm>
                        <a:prstGeom prst="round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A544FA0" w14:textId="77777777" w:rsidR="00411343" w:rsidRPr="00411343" w:rsidRDefault="00411343" w:rsidP="00411343">
                            <w:pPr>
                              <w:jc w:val="center"/>
                              <w:rPr>
                                <w:sz w:val="18"/>
                                <w:szCs w:val="18"/>
                              </w:rPr>
                            </w:pPr>
                            <w:r w:rsidRPr="00411343">
                              <w:rPr>
                                <w:sz w:val="18"/>
                                <w:szCs w:val="18"/>
                              </w:rPr>
                              <w:t>Current Functioning</w:t>
                            </w:r>
                          </w:p>
                          <w:p w14:paraId="390B4A00" w14:textId="7F7F6C49" w:rsidR="00774D64" w:rsidRPr="00C97908" w:rsidRDefault="00411343" w:rsidP="00774D64">
                            <w:pPr>
                              <w:jc w:val="center"/>
                              <w:rPr>
                                <w:sz w:val="18"/>
                                <w:szCs w:val="18"/>
                              </w:rPr>
                            </w:pPr>
                            <w:r w:rsidRPr="00411343">
                              <w:rPr>
                                <w:rFonts w:ascii="Arial" w:hAnsi="Arial" w:cs="Arial"/>
                                <w:sz w:val="18"/>
                                <w:szCs w:val="18"/>
                              </w:rPr>
                              <w:t>​</w:t>
                            </w:r>
                            <w:r w:rsidRPr="00411343">
                              <w:rPr>
                                <w:sz w:val="18"/>
                                <w:szCs w:val="18"/>
                              </w:rPr>
                              <w:t>Today, CMHS operate through Integrated Care Systems (ICSs). They act as the bridge between General Practitioners (GPs) and intensive inpatient wards. A person is usually referred to a Community Mental Health Team (CMHT) if their needs are too complex for a GP but they do not require immediate hospitalization. The service uses a Care Programme Approach (CPA), where a dedicated care coordinator oversees the patient’s journey, ensuring they have access to therapy, housing support, and medical reviews.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050FBF" id="Rectangle: Rounded Corners 8" o:spid="_x0000_s1032" style="position:absolute;margin-left:242.4pt;margin-top:10.65pt;width:290.6pt;height:14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" fillcolor="#156082 [3204]" strokecolor="#030e13 [484]" strokeweight="1.5pt">
                <v:stroke joinstyle="miter"/>
                <v:textbox>
                  <w:txbxContent>
                    <w:p w14:paraId="2A544FA0" w14:textId="77777777" w:rsidR="00411343" w:rsidRPr="00411343" w:rsidRDefault="00411343" w:rsidP="00411343">
                      <w:pPr>
                        <w:jc w:val="center"/>
                        <w:rPr>
                          <w:sz w:val="18"/>
                          <w:szCs w:val="18"/>
                        </w:rPr>
                      </w:pPr>
                      <w:r w:rsidRPr="00411343">
                        <w:rPr>
                          <w:sz w:val="18"/>
                          <w:szCs w:val="18"/>
                        </w:rPr>
                        <w:t>Current Functioning</w:t>
                      </w:r>
                    </w:p>
                    <w:p w14:paraId="390B4A00" w14:textId="7F7F6C49" w:rsidR="00774D64" w:rsidRPr="00C97908" w:rsidRDefault="00411343" w:rsidP="00774D64">
                      <w:pPr>
                        <w:jc w:val="center"/>
                        <w:rPr>
                          <w:sz w:val="18"/>
                          <w:szCs w:val="18"/>
                        </w:rPr>
                      </w:pPr>
                      <w:r w:rsidRPr="00411343">
                        <w:rPr>
                          <w:rFonts w:ascii="Arial" w:hAnsi="Arial" w:cs="Arial"/>
                          <w:sz w:val="18"/>
                          <w:szCs w:val="18"/>
                        </w:rPr>
                        <w:t>​</w:t>
                      </w:r>
                      <w:r w:rsidRPr="00411343">
                        <w:rPr>
                          <w:sz w:val="18"/>
                          <w:szCs w:val="18"/>
                        </w:rPr>
                        <w:t>Today, CMHS operate through Integrated Care Systems (ICSs). They act as the bridge between General Practitioners (GPs) and intensive inpatient wards. A person is usually referred to a Community Mental Health Team (CMHT) if their needs are too complex for a GP but they do not require immediate hospitalization. The service uses a Care Programme Approach (CPA), where a dedicated care coordinator oversees the patient’s journey, ensuring they have access to therapy, housing support, and medical reviews.</w:t>
                      </w:r>
                    </w:p>
                  </w:txbxContent>
                </v:textbox>
              </v:roundrect>
            </w:pict>
          </mc:Fallback>
        </mc:AlternateContent>
      </w:r>
    </w:p>
    <w:p w14:paraId="0979B220" w14:textId="333C9266" w:rsidR="00C06716" w:rsidRDefault="00C06716"/>
    <w:p w14:paraId="2341E6FC" w14:textId="77777777" w:rsidR="00C06716" w:rsidRDefault="00C06716"/>
    <w:p w14:paraId="6F093A31" w14:textId="71050995" w:rsidR="00C06716" w:rsidRDefault="00C06716"/>
    <w:p w14:paraId="375CCEFF" w14:textId="4066720C" w:rsidR="00C06716" w:rsidRDefault="00C06716"/>
    <w:p w14:paraId="3D8CD8AD" w14:textId="3DE2B73C" w:rsidR="00C06716" w:rsidRDefault="00C06716"/>
    <w:p w14:paraId="2FCE81B3" w14:textId="7629DEBA" w:rsidR="00C06716" w:rsidRDefault="00C06716"/>
    <w:p w14:paraId="15DC853A" w14:textId="353214D8" w:rsidR="00C06716" w:rsidRDefault="00554CAE">
      <w:r>
        <w:rPr>
          <w:noProof/>
        </w:rPr>
        <mc:AlternateContent>
          <mc:Choice Requires="wps">
            <w:drawing>
              <wp:anchor distT="0" distB="0" distL="114300" distR="114300" simplePos="0" relativeHeight="251665408" behindDoc="0" locked="0" layoutInCell="1" allowOverlap="1" wp14:anchorId="0441115A" wp14:editId="5A339123">
                <wp:simplePos x="0" y="0"/>
                <wp:positionH relativeFrom="column">
                  <wp:posOffset>114935</wp:posOffset>
                </wp:positionH>
                <wp:positionV relativeFrom="paragraph">
                  <wp:posOffset>1270</wp:posOffset>
                </wp:positionV>
                <wp:extent cx="5848985" cy="2044700"/>
                <wp:effectExtent l="0" t="0" r="18415" b="12700"/>
                <wp:wrapNone/>
                <wp:docPr id="1662503674" name="Rectangle 2"/>
                <wp:cNvGraphicFramePr/>
                <a:graphic xmlns:a="http://schemas.openxmlformats.org/drawingml/2006/main">
                  <a:graphicData uri="http://schemas.microsoft.com/office/word/2010/wordprocessingShape">
                    <wps:wsp>
                      <wps:cNvSpPr/>
                      <wps:spPr>
                        <a:xfrm>
                          <a:off x="0" y="0"/>
                          <a:ext cx="5848985" cy="20447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F9471DE" w14:textId="496E38F1" w:rsidR="00B71AC3" w:rsidRPr="00D71427" w:rsidRDefault="00B71AC3" w:rsidP="009B144E">
                            <w:pPr>
                              <w:pStyle w:val="Title"/>
                              <w:rPr>
                                <w:b/>
                                <w:bCs/>
                                <w:i/>
                                <w:iCs/>
                                <w:color w:val="000000" w:themeColor="text1"/>
                                <w:sz w:val="16"/>
                                <w:szCs w:val="16"/>
                                <w:u w:val="single"/>
                              </w:rPr>
                            </w:pPr>
                            <w:r w:rsidRPr="00D71427">
                              <w:rPr>
                                <w:b/>
                                <w:bCs/>
                                <w:i/>
                                <w:iCs/>
                                <w:color w:val="000000" w:themeColor="text1"/>
                                <w:sz w:val="16"/>
                                <w:szCs w:val="16"/>
                                <w:u w:val="single"/>
                              </w:rPr>
                              <w:t>References</w:t>
                            </w:r>
                          </w:p>
                          <w:p w14:paraId="1090F412" w14:textId="77777777" w:rsidR="003C12AC" w:rsidRPr="00D71427" w:rsidRDefault="003C12AC" w:rsidP="003C12AC">
                            <w:pPr>
                              <w:pStyle w:val="NormalWeb"/>
                              <w:spacing w:before="0" w:beforeAutospacing="0" w:after="0" w:afterAutospacing="0"/>
                              <w:rPr>
                                <w:sz w:val="16"/>
                                <w:szCs w:val="16"/>
                              </w:rPr>
                            </w:pPr>
                          </w:p>
                          <w:p w14:paraId="02FE06BA" w14:textId="15AF39CE"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Bee, P., Brooks, H., Fraser, C. and Lovell, K. (2015) ‘Professional perspectives on service user and carer involvement in mental health care planning: A qualitative study’, International Journal of Nursing Studies, 52(12), pp. 1834–1845.</w:t>
                            </w:r>
                          </w:p>
                          <w:p w14:paraId="5D1C0FE7" w14:textId="77777777" w:rsidR="003C12AC" w:rsidRPr="00D71427" w:rsidRDefault="003C12AC" w:rsidP="003C12AC">
                            <w:pPr>
                              <w:pStyle w:val="NormalWeb"/>
                              <w:spacing w:before="0" w:beforeAutospacing="0" w:after="0" w:afterAutospacing="0"/>
                              <w:rPr>
                                <w:color w:val="FFFFFF" w:themeColor="background1"/>
                                <w:sz w:val="16"/>
                                <w:szCs w:val="16"/>
                              </w:rPr>
                            </w:pPr>
                          </w:p>
                          <w:p w14:paraId="5D2B3346" w14:textId="189B0A61"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Centre for Mental Health (2020) The COVID-19 pandemic and mental health. London: Centre for Mental Health.</w:t>
                            </w:r>
                          </w:p>
                          <w:p w14:paraId="3F98A70E" w14:textId="77777777" w:rsidR="003C12AC" w:rsidRPr="00D71427" w:rsidRDefault="003C12AC" w:rsidP="003C12AC">
                            <w:pPr>
                              <w:pStyle w:val="NormalWeb"/>
                              <w:spacing w:before="0" w:beforeAutospacing="0" w:after="0" w:afterAutospacing="0"/>
                              <w:rPr>
                                <w:color w:val="FFFFFF" w:themeColor="background1"/>
                                <w:sz w:val="16"/>
                                <w:szCs w:val="16"/>
                              </w:rPr>
                            </w:pPr>
                          </w:p>
                          <w:p w14:paraId="02DFA54D" w14:textId="5E4D96F5"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Goffman, E. (1961) Asylums: Essays on the Social Situation of Mental Patients and Other Inmates. New York: Anchor Books.</w:t>
                            </w:r>
                          </w:p>
                          <w:p w14:paraId="139C0D21" w14:textId="77777777" w:rsidR="003C12AC" w:rsidRPr="00D71427" w:rsidRDefault="003C12AC" w:rsidP="003C12AC">
                            <w:pPr>
                              <w:pStyle w:val="NormalWeb"/>
                              <w:spacing w:before="0" w:beforeAutospacing="0" w:after="0" w:afterAutospacing="0"/>
                              <w:rPr>
                                <w:color w:val="FFFFFF" w:themeColor="background1"/>
                                <w:sz w:val="16"/>
                                <w:szCs w:val="16"/>
                              </w:rPr>
                            </w:pPr>
                          </w:p>
                          <w:p w14:paraId="063B59C2" w14:textId="64B0565F"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Health Foundation (2022) Public health grant allocations represent a real-terms cut. Available at: https://www.health.org.uk/news-and-comment/news/public-health-grant-allocations-represent-a-real-terms-cut (Accessed: 23 October 2023).</w:t>
                            </w:r>
                          </w:p>
                          <w:p w14:paraId="6220E71D" w14:textId="77777777" w:rsidR="003C12AC" w:rsidRPr="00D71427" w:rsidRDefault="003C12AC" w:rsidP="003C12AC">
                            <w:pPr>
                              <w:pStyle w:val="NormalWeb"/>
                              <w:spacing w:before="0" w:beforeAutospacing="0" w:after="0" w:afterAutospacing="0"/>
                              <w:rPr>
                                <w:color w:val="FFFFFF" w:themeColor="background1"/>
                                <w:sz w:val="16"/>
                                <w:szCs w:val="16"/>
                              </w:rPr>
                            </w:pPr>
                          </w:p>
                          <w:p w14:paraId="4637F35A" w14:textId="234F3607"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NHS England (2021) The Community Mental Health Framework for Adults and Older Adults. London: NHS England.</w:t>
                            </w:r>
                          </w:p>
                          <w:p w14:paraId="7AC09346" w14:textId="77777777" w:rsidR="003C12AC" w:rsidRPr="00D71427" w:rsidRDefault="003C12AC" w:rsidP="003C12AC">
                            <w:pPr>
                              <w:pStyle w:val="NormalWeb"/>
                              <w:spacing w:before="0" w:beforeAutospacing="0" w:after="0" w:afterAutospacing="0"/>
                              <w:rPr>
                                <w:color w:val="FFFFFF" w:themeColor="background1"/>
                                <w:sz w:val="16"/>
                                <w:szCs w:val="16"/>
                              </w:rPr>
                            </w:pPr>
                          </w:p>
                          <w:p w14:paraId="6B7F94B1" w14:textId="77777777" w:rsidR="00B71AC3" w:rsidRPr="00D71427" w:rsidRDefault="00B71AC3">
                            <w:pPr>
                              <w:pStyle w:val="NormalWeb"/>
                              <w:spacing w:before="0" w:beforeAutospacing="0" w:after="0" w:afterAutospacing="0"/>
                              <w:rPr>
                                <w:color w:val="FFFFFF" w:themeColor="background1"/>
                                <w:sz w:val="16"/>
                                <w:szCs w:val="16"/>
                              </w:rPr>
                            </w:pPr>
                            <w:r w:rsidRPr="00D71427">
                              <w:rPr>
                                <w:rFonts w:ascii="Arial" w:hAnsi="Arial" w:cs="Arial"/>
                                <w:color w:val="FFFFFF" w:themeColor="background1"/>
                                <w:sz w:val="16"/>
                                <w:szCs w:val="16"/>
                              </w:rPr>
                              <w:t xml:space="preserve">Rogers, A. and Pilgrim, D. (2023) A Sociology of Mental Health and Illness. 7th </w:t>
                            </w:r>
                            <w:proofErr w:type="spellStart"/>
                            <w:r w:rsidRPr="00D71427">
                              <w:rPr>
                                <w:rFonts w:ascii="Arial" w:hAnsi="Arial" w:cs="Arial"/>
                                <w:color w:val="FFFFFF" w:themeColor="background1"/>
                                <w:sz w:val="16"/>
                                <w:szCs w:val="16"/>
                              </w:rPr>
                              <w:t>edn</w:t>
                            </w:r>
                            <w:proofErr w:type="spellEnd"/>
                            <w:r w:rsidRPr="00D71427">
                              <w:rPr>
                                <w:rFonts w:ascii="Arial" w:hAnsi="Arial" w:cs="Arial"/>
                                <w:color w:val="FFFFFF" w:themeColor="background1"/>
                                <w:sz w:val="16"/>
                                <w:szCs w:val="16"/>
                              </w:rPr>
                              <w:t>. London: Open University Press</w:t>
                            </w:r>
                          </w:p>
                          <w:p w14:paraId="78185E8C" w14:textId="77777777" w:rsidR="003607A2" w:rsidRPr="00D71427" w:rsidRDefault="003607A2" w:rsidP="003607A2">
                            <w:pPr>
                              <w:jc w:val="center"/>
                              <w:rPr>
                                <w:color w:val="FFFFFF" w:themeColor="background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41115A" id="Rectangle 2" o:spid="_x0000_s1033" style="position:absolute;margin-left:9.05pt;margin-top:.1pt;width:460.55pt;height:16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" fillcolor="#156082 [3204]" strokecolor="#030e13 [484]" strokeweight="1.5pt">
                <v:textbox>
                  <w:txbxContent>
                    <w:p w14:paraId="1F9471DE" w14:textId="496E38F1" w:rsidR="00B71AC3" w:rsidRPr="00D71427" w:rsidRDefault="00B71AC3" w:rsidP="009B144E">
                      <w:pPr>
                        <w:pStyle w:val="Title"/>
                        <w:rPr>
                          <w:b/>
                          <w:bCs/>
                          <w:i/>
                          <w:iCs/>
                          <w:color w:val="000000" w:themeColor="text1"/>
                          <w:sz w:val="16"/>
                          <w:szCs w:val="16"/>
                          <w:u w:val="single"/>
                        </w:rPr>
                      </w:pPr>
                      <w:r w:rsidRPr="00D71427">
                        <w:rPr>
                          <w:b/>
                          <w:bCs/>
                          <w:i/>
                          <w:iCs/>
                          <w:color w:val="000000" w:themeColor="text1"/>
                          <w:sz w:val="16"/>
                          <w:szCs w:val="16"/>
                          <w:u w:val="single"/>
                        </w:rPr>
                        <w:t>References</w:t>
                      </w:r>
                    </w:p>
                    <w:p w14:paraId="1090F412" w14:textId="77777777" w:rsidR="003C12AC" w:rsidRPr="00D71427" w:rsidRDefault="003C12AC" w:rsidP="003C12AC">
                      <w:pPr>
                        <w:pStyle w:val="NormalWeb"/>
                        <w:spacing w:before="0" w:beforeAutospacing="0" w:after="0" w:afterAutospacing="0"/>
                        <w:rPr>
                          <w:sz w:val="16"/>
                          <w:szCs w:val="16"/>
                        </w:rPr>
                      </w:pPr>
                    </w:p>
                    <w:p w14:paraId="02FE06BA" w14:textId="15AF39CE"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Bee, P., Brooks, H., Fraser, C. and Lovell, K. (2015) ‘Professional perspectives on service user and carer involvement in mental health care planning: A qualitative study’, International Journal of Nursing Studies, 52(12), pp. 1834–1845.</w:t>
                      </w:r>
                    </w:p>
                    <w:p w14:paraId="5D1C0FE7" w14:textId="77777777" w:rsidR="003C12AC" w:rsidRPr="00D71427" w:rsidRDefault="003C12AC" w:rsidP="003C12AC">
                      <w:pPr>
                        <w:pStyle w:val="NormalWeb"/>
                        <w:spacing w:before="0" w:beforeAutospacing="0" w:after="0" w:afterAutospacing="0"/>
                        <w:rPr>
                          <w:color w:val="FFFFFF" w:themeColor="background1"/>
                          <w:sz w:val="16"/>
                          <w:szCs w:val="16"/>
                        </w:rPr>
                      </w:pPr>
                    </w:p>
                    <w:p w14:paraId="5D2B3346" w14:textId="189B0A61"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Centre for Mental Health (2020) The COVID-19 pandemic and mental health. London: Centre for Mental Health.</w:t>
                      </w:r>
                    </w:p>
                    <w:p w14:paraId="3F98A70E" w14:textId="77777777" w:rsidR="003C12AC" w:rsidRPr="00D71427" w:rsidRDefault="003C12AC" w:rsidP="003C12AC">
                      <w:pPr>
                        <w:pStyle w:val="NormalWeb"/>
                        <w:spacing w:before="0" w:beforeAutospacing="0" w:after="0" w:afterAutospacing="0"/>
                        <w:rPr>
                          <w:color w:val="FFFFFF" w:themeColor="background1"/>
                          <w:sz w:val="16"/>
                          <w:szCs w:val="16"/>
                        </w:rPr>
                      </w:pPr>
                    </w:p>
                    <w:p w14:paraId="02DFA54D" w14:textId="5E4D96F5"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Goffman, E. (1961) Asylums: Essays on the Social Situation of Mental Patients and Other Inmates. New York: Anchor Books.</w:t>
                      </w:r>
                    </w:p>
                    <w:p w14:paraId="139C0D21" w14:textId="77777777" w:rsidR="003C12AC" w:rsidRPr="00D71427" w:rsidRDefault="003C12AC" w:rsidP="003C12AC">
                      <w:pPr>
                        <w:pStyle w:val="NormalWeb"/>
                        <w:spacing w:before="0" w:beforeAutospacing="0" w:after="0" w:afterAutospacing="0"/>
                        <w:rPr>
                          <w:color w:val="FFFFFF" w:themeColor="background1"/>
                          <w:sz w:val="16"/>
                          <w:szCs w:val="16"/>
                        </w:rPr>
                      </w:pPr>
                    </w:p>
                    <w:p w14:paraId="063B59C2" w14:textId="64B0565F"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Health Foundation (2022) Public health grant allocations represent a real-terms cut. Available at: https://www.health.org.uk/news-and-comment/news/public-health-grant-allocations-represent-a-real-terms-cut (Accessed: 23 October 2023).</w:t>
                      </w:r>
                    </w:p>
                    <w:p w14:paraId="6220E71D" w14:textId="77777777" w:rsidR="003C12AC" w:rsidRPr="00D71427" w:rsidRDefault="003C12AC" w:rsidP="003C12AC">
                      <w:pPr>
                        <w:pStyle w:val="NormalWeb"/>
                        <w:spacing w:before="0" w:beforeAutospacing="0" w:after="0" w:afterAutospacing="0"/>
                        <w:rPr>
                          <w:color w:val="FFFFFF" w:themeColor="background1"/>
                          <w:sz w:val="16"/>
                          <w:szCs w:val="16"/>
                        </w:rPr>
                      </w:pPr>
                    </w:p>
                    <w:p w14:paraId="4637F35A" w14:textId="234F3607" w:rsidR="00B71AC3" w:rsidRPr="00D71427" w:rsidRDefault="00B71AC3" w:rsidP="003C12AC">
                      <w:pPr>
                        <w:pStyle w:val="NormalWeb"/>
                        <w:spacing w:before="0" w:beforeAutospacing="0" w:after="0" w:afterAutospacing="0"/>
                        <w:rPr>
                          <w:rFonts w:ascii="Arial" w:hAnsi="Arial" w:cs="Arial"/>
                          <w:color w:val="FFFFFF" w:themeColor="background1"/>
                          <w:sz w:val="16"/>
                          <w:szCs w:val="16"/>
                        </w:rPr>
                      </w:pPr>
                      <w:r w:rsidRPr="00D71427">
                        <w:rPr>
                          <w:rFonts w:ascii="Arial" w:hAnsi="Arial" w:cs="Arial"/>
                          <w:color w:val="FFFFFF" w:themeColor="background1"/>
                          <w:sz w:val="16"/>
                          <w:szCs w:val="16"/>
                        </w:rPr>
                        <w:t>NHS England (2021) The Community Mental Health Framework for Adults and Older Adults. London: NHS England.</w:t>
                      </w:r>
                    </w:p>
                    <w:p w14:paraId="7AC09346" w14:textId="77777777" w:rsidR="003C12AC" w:rsidRPr="00D71427" w:rsidRDefault="003C12AC" w:rsidP="003C12AC">
                      <w:pPr>
                        <w:pStyle w:val="NormalWeb"/>
                        <w:spacing w:before="0" w:beforeAutospacing="0" w:after="0" w:afterAutospacing="0"/>
                        <w:rPr>
                          <w:color w:val="FFFFFF" w:themeColor="background1"/>
                          <w:sz w:val="16"/>
                          <w:szCs w:val="16"/>
                        </w:rPr>
                      </w:pPr>
                    </w:p>
                    <w:p w14:paraId="6B7F94B1" w14:textId="77777777" w:rsidR="00B71AC3" w:rsidRPr="00D71427" w:rsidRDefault="00B71AC3">
                      <w:pPr>
                        <w:pStyle w:val="NormalWeb"/>
                        <w:spacing w:before="0" w:beforeAutospacing="0" w:after="0" w:afterAutospacing="0"/>
                        <w:rPr>
                          <w:color w:val="FFFFFF" w:themeColor="background1"/>
                          <w:sz w:val="16"/>
                          <w:szCs w:val="16"/>
                        </w:rPr>
                      </w:pPr>
                      <w:r w:rsidRPr="00D71427">
                        <w:rPr>
                          <w:rFonts w:ascii="Arial" w:hAnsi="Arial" w:cs="Arial"/>
                          <w:color w:val="FFFFFF" w:themeColor="background1"/>
                          <w:sz w:val="16"/>
                          <w:szCs w:val="16"/>
                        </w:rPr>
                        <w:t xml:space="preserve">Rogers, A. and Pilgrim, D. (2023) A Sociology of Mental Health and Illness. 7th </w:t>
                      </w:r>
                      <w:proofErr w:type="spellStart"/>
                      <w:r w:rsidRPr="00D71427">
                        <w:rPr>
                          <w:rFonts w:ascii="Arial" w:hAnsi="Arial" w:cs="Arial"/>
                          <w:color w:val="FFFFFF" w:themeColor="background1"/>
                          <w:sz w:val="16"/>
                          <w:szCs w:val="16"/>
                        </w:rPr>
                        <w:t>edn</w:t>
                      </w:r>
                      <w:proofErr w:type="spellEnd"/>
                      <w:r w:rsidRPr="00D71427">
                        <w:rPr>
                          <w:rFonts w:ascii="Arial" w:hAnsi="Arial" w:cs="Arial"/>
                          <w:color w:val="FFFFFF" w:themeColor="background1"/>
                          <w:sz w:val="16"/>
                          <w:szCs w:val="16"/>
                        </w:rPr>
                        <w:t>. London: Open University Press</w:t>
                      </w:r>
                    </w:p>
                    <w:p w14:paraId="78185E8C" w14:textId="77777777" w:rsidR="003607A2" w:rsidRPr="00D71427" w:rsidRDefault="003607A2" w:rsidP="003607A2">
                      <w:pPr>
                        <w:jc w:val="center"/>
                        <w:rPr>
                          <w:color w:val="FFFFFF" w:themeColor="background1"/>
                          <w:sz w:val="16"/>
                          <w:szCs w:val="16"/>
                        </w:rPr>
                      </w:pPr>
                    </w:p>
                  </w:txbxContent>
                </v:textbox>
              </v:rect>
            </w:pict>
          </mc:Fallback>
        </mc:AlternateContent>
      </w:r>
    </w:p>
    <w:p w14:paraId="50E3DB3D" w14:textId="2CE48099" w:rsidR="00C06716" w:rsidRDefault="00C06716"/>
    <w:p w14:paraId="587BF1D7" w14:textId="0C62CAD8" w:rsidR="00C06716" w:rsidRDefault="00C06716"/>
    <w:p w14:paraId="766A2387" w14:textId="5BD52609" w:rsidR="00C06716" w:rsidRDefault="00C06716"/>
    <w:p w14:paraId="5722AC1D" w14:textId="77777777" w:rsidR="00C06716" w:rsidRDefault="00C06716"/>
    <w:p w14:paraId="157816D4" w14:textId="1855FEC5" w:rsidR="00310A1B" w:rsidRDefault="00310A1B">
      <w:pPr>
        <w:pStyle w:val="Heading3"/>
        <w:rPr>
          <w:rFonts w:eastAsia="Times New Roman"/>
          <w:kern w:val="0"/>
          <w:sz w:val="27"/>
          <w:szCs w:val="27"/>
          <w14:ligatures w14:val="none"/>
        </w:rPr>
      </w:pPr>
      <w:r>
        <w:rPr>
          <w:rFonts w:eastAsia="Times New Roman"/>
        </w:rPr>
        <w:lastRenderedPageBreak/>
        <w:t>Task 2: Pharmacy Services and Their Evolution in the UK</w:t>
      </w:r>
    </w:p>
    <w:p w14:paraId="1883D72B" w14:textId="77777777" w:rsidR="00AA6B3E" w:rsidRDefault="00AA6B3E" w:rsidP="00C7232D"/>
    <w:p w14:paraId="3D9A0CA0" w14:textId="628EBA09" w:rsidR="00C7232D" w:rsidRDefault="00C7232D" w:rsidP="00BE77B2">
      <w:pPr>
        <w:pStyle w:val="Heading4"/>
      </w:pPr>
      <w:r>
        <w:t>Origins and Historical Context</w:t>
      </w:r>
    </w:p>
    <w:p w14:paraId="59E32F5D" w14:textId="77777777" w:rsidR="00C7232D" w:rsidRDefault="00C7232D" w:rsidP="00C7232D">
      <w:r>
        <w:t>The modern pharmacy service has changed from being just a trade to becoming a closely controlled clinical profession. The service began with the medieval "apothecary," but it became a proper profession thanks to the Pharmacy Act of 1868. This important law limited the sale of certain "poisons" to people who were trained, making sure that selling medicines was different from just running a regular store. The biggest change came when the National Health Service (NHS) was created in 1948. Before the NHS, pharmacists were mostly like private business owners; after the NHS was created, they became part of a state-supported healthcare system as clinical partners. This change happened slowly; for many years, the word "chemist" was mostly understood as someone who filled out prescriptions. It wasn't until the late 20th century that policies started to focus more on "clinical pharmacy," which highlights the pharmacist's role as an expert in medicines, not just someone who sells products.</w:t>
      </w:r>
    </w:p>
    <w:p w14:paraId="7B9CE96F" w14:textId="77777777" w:rsidR="00C7232D" w:rsidRPr="00BE77B2" w:rsidRDefault="00C7232D" w:rsidP="00C7232D">
      <w:pPr>
        <w:rPr>
          <w:rStyle w:val="Heading4Char"/>
        </w:rPr>
      </w:pPr>
      <w:r>
        <w:rPr>
          <w:rFonts w:ascii="Arial" w:hAnsi="Arial" w:cs="Arial"/>
        </w:rPr>
        <w:t>​</w:t>
      </w:r>
      <w:r w:rsidRPr="00BE77B2">
        <w:rPr>
          <w:rStyle w:val="Heading4Char"/>
        </w:rPr>
        <w:t>Current Functioning and Clinical Expansion</w:t>
      </w:r>
    </w:p>
    <w:p w14:paraId="6C80CE7F" w14:textId="1748A1E1" w:rsidR="00C06716" w:rsidRDefault="00C7232D">
      <w:r>
        <w:t xml:space="preserve">Today, pharmacy services act as the main entrance for the NHS. This role was greatly expanded thanks to the Pharmacy First service that started in 2024. Under this model, community pharmacists use set guidelines to diagnose and treat seven common illnesses, such as shingles, sore throats, and simple urinary tract infections, without needing a visit to a general practitioner. This lets pharmacists give out prescription medicines on their own, which is a big change from how they used to work. Besides taking care of immediate medical needs, pharmacies also serve as important places for public health. They offer vaccination programs, check blood pressure, and provide contraception services. By serving as the main place where people are first assessed, the service helps reduce the stress on already busy General Practices and Emergency Departments. </w:t>
      </w:r>
    </w:p>
    <w:p w14:paraId="31B1B4E3" w14:textId="77777777" w:rsidR="00D53CF3" w:rsidRDefault="00D53CF3" w:rsidP="00BE77B2">
      <w:pPr>
        <w:pStyle w:val="Heading4"/>
      </w:pPr>
      <w:r>
        <w:t>Critical Evaluation of the Service</w:t>
      </w:r>
    </w:p>
    <w:p w14:paraId="09754588" w14:textId="77777777" w:rsidR="00D53CF3" w:rsidRDefault="00D53CF3" w:rsidP="00D53CF3">
      <w:r>
        <w:t xml:space="preserve">Even though there have been successes in clinical areas, the sector is dealing with a serious funding problem that puts its future at risk. Community Pharmacy England (2025) states that the sector is facing a real-terms deficit because government funding has not risen enough to cover increasing costs such as the National Living Wage and high energy bills. This has caused "pharmacy deserts," where pharmacies in poorer areas shut down, leaving people in need without nearby access to help. There is a conflict between the usual tasks of dispensing medication and the newer demands of clinical care. By 2026, all newly qualified pharmacists will have the status of Independent Prescribers (IPs), but the </w:t>
      </w:r>
      <w:r>
        <w:lastRenderedPageBreak/>
        <w:t>workforce is usually too busy to make use of these abilities. Without enough ongoing financial support and more helpful staff, the "clinical revolution" could face major delays caused by slow and inefficient administrative processes.</w:t>
      </w:r>
    </w:p>
    <w:p w14:paraId="72F91672" w14:textId="77777777" w:rsidR="00D53CF3" w:rsidRDefault="00D53CF3" w:rsidP="00BE77B2">
      <w:pPr>
        <w:pStyle w:val="Heading4"/>
      </w:pPr>
      <w:r>
        <w:t>Significance for Quality of Life and Health Equity.</w:t>
      </w:r>
    </w:p>
    <w:p w14:paraId="0885A8CE" w14:textId="201DB08C" w:rsidR="006E35E1" w:rsidRDefault="00D53CF3" w:rsidP="00FC7B0C">
      <w:r>
        <w:t>The importance of pharmacy services in enhancing the quality of life comes from their exceptional availability. For older adults or people with low incomes, the pharmacist is usually the only healthcare provider they can see without making an appointment. This open-door policy is important for catching problems early; pharmacists frequently see signs of health decline during regular medication checks and take action before situations get serious. Moreover, pharmacies help reduce health inequalities. They are usually found in areas where people face difficult living conditions and have the longest waits to see a general practitioner. These services offer important help with quitting smoking, managing weight, and getting health support. Pharmacy services help stop long-term health issues such as heart disease, which supports patients in living independently and avoids unnecessary hospital visits, helping to keep the community healthy and thriving.</w:t>
      </w:r>
    </w:p>
    <w:p w14:paraId="52F9DC6F" w14:textId="2A6BDFE3" w:rsidR="00FC7B0C" w:rsidRDefault="00FC7B0C" w:rsidP="00FB2BDC">
      <w:pPr>
        <w:pStyle w:val="Heading4"/>
      </w:pPr>
      <w:r>
        <w:t xml:space="preserve"> Reference List</w:t>
      </w:r>
    </w:p>
    <w:p w14:paraId="568A7473" w14:textId="77777777" w:rsidR="00FC7B0C" w:rsidRDefault="00FC7B0C" w:rsidP="00FC7B0C">
      <w:r>
        <w:rPr>
          <w:rFonts w:ascii="Arial" w:hAnsi="Arial" w:cs="Arial"/>
        </w:rPr>
        <w:t>​</w:t>
      </w:r>
      <w:r>
        <w:t>Anderson, S. (2005) Making Medicines: A Brief History of Pharmacy and Pharmaceuticals. London: Pharmaceutical Press.</w:t>
      </w:r>
    </w:p>
    <w:p w14:paraId="18A24FB9" w14:textId="77777777" w:rsidR="00FC7B0C" w:rsidRDefault="00FC7B0C" w:rsidP="00FC7B0C">
      <w:r>
        <w:rPr>
          <w:rFonts w:ascii="Arial" w:hAnsi="Arial" w:cs="Arial"/>
        </w:rPr>
        <w:t>​</w:t>
      </w:r>
      <w:r>
        <w:t>Community Pharmacy England (2025) The roadmap to recovery: funding and sustainability. London: CPE.</w:t>
      </w:r>
    </w:p>
    <w:p w14:paraId="25D92DEC" w14:textId="77777777" w:rsidR="00FC7B0C" w:rsidRDefault="00FC7B0C" w:rsidP="00FC7B0C">
      <w:r>
        <w:rPr>
          <w:rFonts w:ascii="Arial" w:hAnsi="Arial" w:cs="Arial"/>
        </w:rPr>
        <w:t>​</w:t>
      </w:r>
      <w:r>
        <w:t>Department of Health and Social Care (2023) Delivery plan for recovering access to primary care. London: HMSO.</w:t>
      </w:r>
    </w:p>
    <w:p w14:paraId="17C375AD" w14:textId="77777777" w:rsidR="00FC7B0C" w:rsidRDefault="00FC7B0C" w:rsidP="00FC7B0C">
      <w:r>
        <w:rPr>
          <w:rFonts w:ascii="Arial" w:hAnsi="Arial" w:cs="Arial"/>
        </w:rPr>
        <w:t>​</w:t>
      </w:r>
      <w:r>
        <w:t xml:space="preserve">General Pharmaceutical Council (2023) Standards for pharmacy professionals. London: </w:t>
      </w:r>
      <w:proofErr w:type="spellStart"/>
      <w:r>
        <w:t>GPhC</w:t>
      </w:r>
      <w:proofErr w:type="spellEnd"/>
      <w:r>
        <w:t>.</w:t>
      </w:r>
    </w:p>
    <w:p w14:paraId="40863781" w14:textId="77777777" w:rsidR="00FC7B0C" w:rsidRDefault="00FC7B0C" w:rsidP="00FC7B0C">
      <w:r>
        <w:rPr>
          <w:rFonts w:ascii="Arial" w:hAnsi="Arial" w:cs="Arial"/>
        </w:rPr>
        <w:t>​</w:t>
      </w:r>
      <w:r>
        <w:t>NHS England (2024) Pharmacy First: clinical pathways and service specifications. London: NHS England.</w:t>
      </w:r>
    </w:p>
    <w:p w14:paraId="25282882" w14:textId="780C188A" w:rsidR="00D53CF3" w:rsidRDefault="00FC7B0C">
      <w:r>
        <w:rPr>
          <w:rFonts w:ascii="Arial" w:hAnsi="Arial" w:cs="Arial"/>
        </w:rPr>
        <w:t>​</w:t>
      </w:r>
      <w:r>
        <w:t>Royal Pharmaceutical Society (2021) The future of pharmacy: independent prescribing and clinical care. London: RPS.</w:t>
      </w:r>
    </w:p>
    <w:sectPr w:rsidR="00D53CF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CED32" w14:textId="77777777" w:rsidR="003506DE" w:rsidRDefault="003506DE" w:rsidP="00170C29">
      <w:pPr>
        <w:spacing w:after="0" w:line="240" w:lineRule="auto"/>
      </w:pPr>
      <w:r>
        <w:separator/>
      </w:r>
    </w:p>
  </w:endnote>
  <w:endnote w:type="continuationSeparator" w:id="0">
    <w:p w14:paraId="3C90B754" w14:textId="77777777" w:rsidR="003506DE" w:rsidRDefault="003506DE" w:rsidP="00170C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DLaM Display">
    <w:panose1 w:val="02010000000000000000"/>
    <w:charset w:val="00"/>
    <w:family w:val="auto"/>
    <w:pitch w:val="variable"/>
    <w:sig w:usb0="8000206F" w:usb1="4200004A"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95A7E" w14:textId="77777777" w:rsidR="003506DE" w:rsidRDefault="003506DE" w:rsidP="00170C29">
      <w:pPr>
        <w:spacing w:after="0" w:line="240" w:lineRule="auto"/>
      </w:pPr>
      <w:r>
        <w:separator/>
      </w:r>
    </w:p>
  </w:footnote>
  <w:footnote w:type="continuationSeparator" w:id="0">
    <w:p w14:paraId="5204584D" w14:textId="77777777" w:rsidR="003506DE" w:rsidRDefault="003506DE" w:rsidP="00170C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112D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6777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D227D2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FC937E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AF72E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41589865">
    <w:abstractNumId w:val="4"/>
  </w:num>
  <w:num w:numId="2" w16cid:durableId="524708742">
    <w:abstractNumId w:val="1"/>
  </w:num>
  <w:num w:numId="3" w16cid:durableId="1676305923">
    <w:abstractNumId w:val="2"/>
  </w:num>
  <w:num w:numId="4" w16cid:durableId="597368588">
    <w:abstractNumId w:val="3"/>
  </w:num>
  <w:num w:numId="5" w16cid:durableId="705169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15A"/>
    <w:rsid w:val="00004C43"/>
    <w:rsid w:val="0001604D"/>
    <w:rsid w:val="00032743"/>
    <w:rsid w:val="000643A6"/>
    <w:rsid w:val="00082F09"/>
    <w:rsid w:val="000831B7"/>
    <w:rsid w:val="0009428C"/>
    <w:rsid w:val="000C2835"/>
    <w:rsid w:val="001000F2"/>
    <w:rsid w:val="00170C29"/>
    <w:rsid w:val="001B4912"/>
    <w:rsid w:val="001D3DA1"/>
    <w:rsid w:val="00244717"/>
    <w:rsid w:val="002F2E1C"/>
    <w:rsid w:val="002F54F1"/>
    <w:rsid w:val="00310A1B"/>
    <w:rsid w:val="0032015F"/>
    <w:rsid w:val="003506DE"/>
    <w:rsid w:val="003607A2"/>
    <w:rsid w:val="00393EA3"/>
    <w:rsid w:val="003C12AC"/>
    <w:rsid w:val="003C520F"/>
    <w:rsid w:val="003C7BA5"/>
    <w:rsid w:val="003E7FF2"/>
    <w:rsid w:val="00411343"/>
    <w:rsid w:val="00411D4B"/>
    <w:rsid w:val="00412C0A"/>
    <w:rsid w:val="004144CA"/>
    <w:rsid w:val="0042031C"/>
    <w:rsid w:val="00445546"/>
    <w:rsid w:val="00462FD2"/>
    <w:rsid w:val="004633C6"/>
    <w:rsid w:val="0048287F"/>
    <w:rsid w:val="004B0BF2"/>
    <w:rsid w:val="004C18B6"/>
    <w:rsid w:val="004C289F"/>
    <w:rsid w:val="00531D1D"/>
    <w:rsid w:val="005321F7"/>
    <w:rsid w:val="00554CAE"/>
    <w:rsid w:val="00554FE5"/>
    <w:rsid w:val="005F6693"/>
    <w:rsid w:val="006350A1"/>
    <w:rsid w:val="006827C7"/>
    <w:rsid w:val="006E35E1"/>
    <w:rsid w:val="006F5FB2"/>
    <w:rsid w:val="007013A7"/>
    <w:rsid w:val="00774D64"/>
    <w:rsid w:val="007C2244"/>
    <w:rsid w:val="007E1626"/>
    <w:rsid w:val="008511C5"/>
    <w:rsid w:val="0089285C"/>
    <w:rsid w:val="008953ED"/>
    <w:rsid w:val="008D07A6"/>
    <w:rsid w:val="009B144E"/>
    <w:rsid w:val="009D2F04"/>
    <w:rsid w:val="00A02F54"/>
    <w:rsid w:val="00A4400B"/>
    <w:rsid w:val="00A4580B"/>
    <w:rsid w:val="00A477C0"/>
    <w:rsid w:val="00A54F81"/>
    <w:rsid w:val="00A61824"/>
    <w:rsid w:val="00A664C6"/>
    <w:rsid w:val="00A825C6"/>
    <w:rsid w:val="00AA6B3E"/>
    <w:rsid w:val="00AC1E9E"/>
    <w:rsid w:val="00AD1CB6"/>
    <w:rsid w:val="00AE06AF"/>
    <w:rsid w:val="00B105BB"/>
    <w:rsid w:val="00B71AC3"/>
    <w:rsid w:val="00BB178D"/>
    <w:rsid w:val="00BB4F7D"/>
    <w:rsid w:val="00BC547C"/>
    <w:rsid w:val="00BD3AE5"/>
    <w:rsid w:val="00BD5D74"/>
    <w:rsid w:val="00BE77B2"/>
    <w:rsid w:val="00C033FF"/>
    <w:rsid w:val="00C06716"/>
    <w:rsid w:val="00C4130A"/>
    <w:rsid w:val="00C7232D"/>
    <w:rsid w:val="00C83AF0"/>
    <w:rsid w:val="00C97908"/>
    <w:rsid w:val="00CE590F"/>
    <w:rsid w:val="00CF2192"/>
    <w:rsid w:val="00D03CE9"/>
    <w:rsid w:val="00D30BF3"/>
    <w:rsid w:val="00D53CF3"/>
    <w:rsid w:val="00D71427"/>
    <w:rsid w:val="00D7434E"/>
    <w:rsid w:val="00D8159E"/>
    <w:rsid w:val="00D974D2"/>
    <w:rsid w:val="00DC27F0"/>
    <w:rsid w:val="00DC515A"/>
    <w:rsid w:val="00DC7348"/>
    <w:rsid w:val="00DF6093"/>
    <w:rsid w:val="00E17DA8"/>
    <w:rsid w:val="00E248EA"/>
    <w:rsid w:val="00E31C72"/>
    <w:rsid w:val="00E84AA3"/>
    <w:rsid w:val="00E9154A"/>
    <w:rsid w:val="00EB50E8"/>
    <w:rsid w:val="00EB5943"/>
    <w:rsid w:val="00F230CC"/>
    <w:rsid w:val="00F34165"/>
    <w:rsid w:val="00F81DD0"/>
    <w:rsid w:val="00F976BB"/>
    <w:rsid w:val="00FB2BDC"/>
    <w:rsid w:val="00FC086B"/>
    <w:rsid w:val="00FC7B0C"/>
    <w:rsid w:val="00FE4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0091319"/>
  <w15:chartTrackingRefBased/>
  <w15:docId w15:val="{B6E26B89-001F-094C-9173-8CD327177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51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C51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C51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C51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DC51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1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1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1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1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51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1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1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C51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DC51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1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1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1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15A"/>
    <w:rPr>
      <w:rFonts w:eastAsiaTheme="majorEastAsia" w:cstheme="majorBidi"/>
      <w:color w:val="272727" w:themeColor="text1" w:themeTint="D8"/>
    </w:rPr>
  </w:style>
  <w:style w:type="paragraph" w:styleId="Title">
    <w:name w:val="Title"/>
    <w:basedOn w:val="Normal"/>
    <w:next w:val="Normal"/>
    <w:link w:val="TitleChar"/>
    <w:uiPriority w:val="10"/>
    <w:qFormat/>
    <w:rsid w:val="00DC51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1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1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1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15A"/>
    <w:pPr>
      <w:spacing w:before="160"/>
      <w:jc w:val="center"/>
    </w:pPr>
    <w:rPr>
      <w:i/>
      <w:iCs/>
      <w:color w:val="404040" w:themeColor="text1" w:themeTint="BF"/>
    </w:rPr>
  </w:style>
  <w:style w:type="character" w:customStyle="1" w:styleId="QuoteChar">
    <w:name w:val="Quote Char"/>
    <w:basedOn w:val="DefaultParagraphFont"/>
    <w:link w:val="Quote"/>
    <w:uiPriority w:val="29"/>
    <w:rsid w:val="00DC515A"/>
    <w:rPr>
      <w:i/>
      <w:iCs/>
      <w:color w:val="404040" w:themeColor="text1" w:themeTint="BF"/>
    </w:rPr>
  </w:style>
  <w:style w:type="paragraph" w:styleId="ListParagraph">
    <w:name w:val="List Paragraph"/>
    <w:basedOn w:val="Normal"/>
    <w:uiPriority w:val="34"/>
    <w:qFormat/>
    <w:rsid w:val="00DC515A"/>
    <w:pPr>
      <w:ind w:left="720"/>
      <w:contextualSpacing/>
    </w:pPr>
  </w:style>
  <w:style w:type="character" w:styleId="IntenseEmphasis">
    <w:name w:val="Intense Emphasis"/>
    <w:basedOn w:val="DefaultParagraphFont"/>
    <w:uiPriority w:val="21"/>
    <w:qFormat/>
    <w:rsid w:val="00DC515A"/>
    <w:rPr>
      <w:i/>
      <w:iCs/>
      <w:color w:val="0F4761" w:themeColor="accent1" w:themeShade="BF"/>
    </w:rPr>
  </w:style>
  <w:style w:type="paragraph" w:styleId="IntenseQuote">
    <w:name w:val="Intense Quote"/>
    <w:basedOn w:val="Normal"/>
    <w:next w:val="Normal"/>
    <w:link w:val="IntenseQuoteChar"/>
    <w:uiPriority w:val="30"/>
    <w:qFormat/>
    <w:rsid w:val="00DC51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15A"/>
    <w:rPr>
      <w:i/>
      <w:iCs/>
      <w:color w:val="0F4761" w:themeColor="accent1" w:themeShade="BF"/>
    </w:rPr>
  </w:style>
  <w:style w:type="character" w:styleId="IntenseReference">
    <w:name w:val="Intense Reference"/>
    <w:basedOn w:val="DefaultParagraphFont"/>
    <w:uiPriority w:val="32"/>
    <w:qFormat/>
    <w:rsid w:val="00DC515A"/>
    <w:rPr>
      <w:b/>
      <w:bCs/>
      <w:smallCaps/>
      <w:color w:val="0F4761" w:themeColor="accent1" w:themeShade="BF"/>
      <w:spacing w:val="5"/>
    </w:rPr>
  </w:style>
  <w:style w:type="paragraph" w:styleId="NormalWeb">
    <w:name w:val="Normal (Web)"/>
    <w:basedOn w:val="Normal"/>
    <w:uiPriority w:val="99"/>
    <w:unhideWhenUsed/>
    <w:rsid w:val="005F6693"/>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170C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70C29"/>
  </w:style>
  <w:style w:type="paragraph" w:styleId="Footer">
    <w:name w:val="footer"/>
    <w:basedOn w:val="Normal"/>
    <w:link w:val="FooterChar"/>
    <w:uiPriority w:val="99"/>
    <w:unhideWhenUsed/>
    <w:rsid w:val="00170C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70C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695</Words>
  <Characters>3965</Characters>
  <Application>Microsoft Office Word</Application>
  <DocSecurity>0</DocSecurity>
  <Lines>33</Lines>
  <Paragraphs>9</Paragraphs>
  <ScaleCrop>false</ScaleCrop>
  <Company/>
  <LinksUpToDate>false</LinksUpToDate>
  <CharactersWithSpaces>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Audrey Golding (2515364)</dc:creator>
  <cp:keywords/>
  <dc:description/>
  <cp:lastModifiedBy>Audrey Golding (2515364)</cp:lastModifiedBy>
  <cp:revision>2</cp:revision>
  <dcterms:created xsi:type="dcterms:W3CDTF">2026-02-23T10:03:00Z</dcterms:created>
  <dcterms:modified xsi:type="dcterms:W3CDTF">2026-02-23T10:03:00Z</dcterms:modified>
</cp:coreProperties>
</file>