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412E" w:rsidRDefault="00FF412E">
      <w:pPr>
        <w:rPr>
          <w:sz w:val="24"/>
          <w:szCs w:val="24"/>
          <w:u w:val="single"/>
        </w:rPr>
      </w:pPr>
    </w:p>
    <w:p w:rsidR="00FF412E" w:rsidRDefault="00FF412E" w:rsidP="00FF412E">
      <w:pPr>
        <w:jc w:val="center"/>
        <w:rPr>
          <w:b/>
          <w:sz w:val="24"/>
          <w:szCs w:val="24"/>
        </w:rPr>
      </w:pPr>
      <w:r w:rsidRPr="002415C0">
        <w:rPr>
          <w:b/>
          <w:sz w:val="24"/>
          <w:szCs w:val="24"/>
        </w:rPr>
        <w:t xml:space="preserve">Chris Hine </w:t>
      </w:r>
    </w:p>
    <w:p w:rsidR="00360CE2" w:rsidRPr="002415C0" w:rsidRDefault="00360CE2" w:rsidP="00FF412E">
      <w:pPr>
        <w:jc w:val="center"/>
        <w:rPr>
          <w:b/>
          <w:sz w:val="24"/>
          <w:szCs w:val="24"/>
        </w:rPr>
      </w:pPr>
      <w:r>
        <w:rPr>
          <w:b/>
          <w:sz w:val="24"/>
          <w:szCs w:val="24"/>
        </w:rPr>
        <w:t>P139976</w:t>
      </w:r>
    </w:p>
    <w:p w:rsidR="00FF412E" w:rsidRDefault="002A17B3" w:rsidP="00C73C57">
      <w:pPr>
        <w:jc w:val="center"/>
        <w:rPr>
          <w:b/>
          <w:sz w:val="24"/>
          <w:szCs w:val="24"/>
        </w:rPr>
      </w:pPr>
      <w:r>
        <w:rPr>
          <w:b/>
          <w:sz w:val="24"/>
          <w:szCs w:val="24"/>
        </w:rPr>
        <w:t xml:space="preserve">Powertrain and sustainability </w:t>
      </w:r>
    </w:p>
    <w:p w:rsidR="00F37ADA" w:rsidRDefault="00037244" w:rsidP="00C73C57">
      <w:pPr>
        <w:jc w:val="center"/>
        <w:rPr>
          <w:b/>
          <w:sz w:val="24"/>
          <w:szCs w:val="24"/>
        </w:rPr>
      </w:pPr>
      <w:r>
        <w:rPr>
          <w:b/>
          <w:sz w:val="24"/>
          <w:szCs w:val="24"/>
        </w:rPr>
        <w:t>NOx model</w:t>
      </w:r>
    </w:p>
    <w:p w:rsidR="00C73C57" w:rsidRPr="00C73C57" w:rsidRDefault="00C73C57" w:rsidP="00C73C57">
      <w:pPr>
        <w:jc w:val="center"/>
        <w:rPr>
          <w:b/>
          <w:sz w:val="24"/>
          <w:szCs w:val="24"/>
        </w:rPr>
      </w:pPr>
      <w:r>
        <w:rPr>
          <w:b/>
          <w:sz w:val="24"/>
          <w:szCs w:val="24"/>
        </w:rPr>
        <w:t xml:space="preserve">Malcolm McDonald </w:t>
      </w:r>
    </w:p>
    <w:p w:rsidR="00FF412E" w:rsidRPr="002415C0" w:rsidRDefault="008B7DDB" w:rsidP="00FF412E">
      <w:pPr>
        <w:jc w:val="center"/>
        <w:rPr>
          <w:b/>
          <w:sz w:val="24"/>
          <w:szCs w:val="24"/>
        </w:rPr>
      </w:pPr>
      <w:r>
        <w:rPr>
          <w:b/>
          <w:sz w:val="24"/>
          <w:szCs w:val="24"/>
        </w:rPr>
        <w:t>11</w:t>
      </w:r>
      <w:r w:rsidR="002A17B3">
        <w:rPr>
          <w:b/>
          <w:sz w:val="24"/>
          <w:szCs w:val="24"/>
        </w:rPr>
        <w:t>/</w:t>
      </w:r>
      <w:r>
        <w:rPr>
          <w:b/>
          <w:sz w:val="24"/>
          <w:szCs w:val="24"/>
        </w:rPr>
        <w:t>01</w:t>
      </w:r>
      <w:r w:rsidR="00700326">
        <w:rPr>
          <w:b/>
          <w:sz w:val="24"/>
          <w:szCs w:val="24"/>
        </w:rPr>
        <w:t>/201</w:t>
      </w:r>
      <w:r>
        <w:rPr>
          <w:b/>
          <w:sz w:val="24"/>
          <w:szCs w:val="24"/>
        </w:rPr>
        <w:t>8</w:t>
      </w:r>
    </w:p>
    <w:p w:rsidR="002415C0" w:rsidRDefault="002415C0" w:rsidP="002E5953">
      <w:pPr>
        <w:rPr>
          <w:sz w:val="24"/>
          <w:szCs w:val="24"/>
        </w:rPr>
      </w:pPr>
    </w:p>
    <w:p w:rsidR="002415C0" w:rsidRDefault="002E5953" w:rsidP="00FF412E">
      <w:pPr>
        <w:jc w:val="center"/>
        <w:rPr>
          <w:sz w:val="24"/>
          <w:szCs w:val="24"/>
        </w:rPr>
      </w:pPr>
      <w:r>
        <w:rPr>
          <w:noProof/>
          <w:sz w:val="24"/>
          <w:szCs w:val="24"/>
          <w:lang w:eastAsia="en-GB"/>
        </w:rPr>
        <w:drawing>
          <wp:inline distT="0" distB="0" distL="0" distR="0">
            <wp:extent cx="4286250" cy="1685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jpg"/>
                    <pic:cNvPicPr/>
                  </pic:nvPicPr>
                  <pic:blipFill>
                    <a:blip r:embed="rId8">
                      <a:extLst>
                        <a:ext uri="{28A0092B-C50C-407E-A947-70E740481C1C}">
                          <a14:useLocalDpi xmlns:a14="http://schemas.microsoft.com/office/drawing/2010/main" val="0"/>
                        </a:ext>
                      </a:extLst>
                    </a:blip>
                    <a:stretch>
                      <a:fillRect/>
                    </a:stretch>
                  </pic:blipFill>
                  <pic:spPr>
                    <a:xfrm>
                      <a:off x="0" y="0"/>
                      <a:ext cx="4286250" cy="1685925"/>
                    </a:xfrm>
                    <a:prstGeom prst="rect">
                      <a:avLst/>
                    </a:prstGeom>
                  </pic:spPr>
                </pic:pic>
              </a:graphicData>
            </a:graphic>
          </wp:inline>
        </w:drawing>
      </w:r>
    </w:p>
    <w:p w:rsidR="002E5953" w:rsidRDefault="002E5953" w:rsidP="00FF412E">
      <w:pPr>
        <w:jc w:val="center"/>
        <w:rPr>
          <w:sz w:val="24"/>
          <w:szCs w:val="24"/>
        </w:rPr>
      </w:pPr>
    </w:p>
    <w:p w:rsidR="006C29C1" w:rsidRPr="00001B89" w:rsidRDefault="00FF412E" w:rsidP="00001B89">
      <w:pPr>
        <w:jc w:val="center"/>
        <w:rPr>
          <w:sz w:val="24"/>
          <w:szCs w:val="24"/>
        </w:rPr>
      </w:pPr>
      <w:r>
        <w:rPr>
          <w:sz w:val="24"/>
          <w:szCs w:val="24"/>
          <w:u w:val="single"/>
        </w:rPr>
        <w:br w:type="page"/>
      </w:r>
      <w:bookmarkStart w:id="0" w:name="_Toc409811267"/>
      <w:bookmarkStart w:id="1" w:name="_Toc409811331"/>
    </w:p>
    <w:bookmarkEnd w:id="0"/>
    <w:bookmarkEnd w:id="1"/>
    <w:p w:rsidR="00F04FAF" w:rsidRDefault="00F04FAF" w:rsidP="007127E5">
      <w:pPr>
        <w:rPr>
          <w:rFonts w:ascii="Verdana" w:hAnsi="Verdana"/>
          <w:sz w:val="20"/>
          <w:szCs w:val="20"/>
        </w:rPr>
      </w:pPr>
    </w:p>
    <w:sdt>
      <w:sdtPr>
        <w:rPr>
          <w:rFonts w:asciiTheme="minorHAnsi" w:eastAsiaTheme="minorHAnsi" w:hAnsiTheme="minorHAnsi" w:cstheme="minorBidi"/>
          <w:color w:val="auto"/>
          <w:sz w:val="22"/>
          <w:szCs w:val="22"/>
          <w:lang w:val="en-GB"/>
        </w:rPr>
        <w:id w:val="998001441"/>
        <w:docPartObj>
          <w:docPartGallery w:val="Table of Contents"/>
          <w:docPartUnique/>
        </w:docPartObj>
      </w:sdtPr>
      <w:sdtEndPr>
        <w:rPr>
          <w:b/>
          <w:bCs/>
          <w:noProof/>
        </w:rPr>
      </w:sdtEndPr>
      <w:sdtContent>
        <w:p w:rsidR="00206A2E" w:rsidRDefault="00206A2E">
          <w:pPr>
            <w:pStyle w:val="TOCHeading"/>
          </w:pPr>
          <w:r>
            <w:t>Contents</w:t>
          </w:r>
        </w:p>
        <w:p w:rsidR="00D42F5C" w:rsidRDefault="001A45BE">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03446547" w:history="1">
            <w:r w:rsidR="00D42F5C" w:rsidRPr="00036063">
              <w:rPr>
                <w:rStyle w:val="Hyperlink"/>
                <w:noProof/>
                <w:lang w:eastAsia="en-GB"/>
              </w:rPr>
              <w:t>1.</w:t>
            </w:r>
            <w:r w:rsidR="00D42F5C">
              <w:rPr>
                <w:rFonts w:eastAsiaTheme="minorEastAsia"/>
                <w:noProof/>
                <w:lang w:eastAsia="en-GB"/>
              </w:rPr>
              <w:tab/>
            </w:r>
            <w:r w:rsidR="00D42F5C" w:rsidRPr="00036063">
              <w:rPr>
                <w:rStyle w:val="Hyperlink"/>
                <w:noProof/>
                <w:lang w:eastAsia="en-GB"/>
              </w:rPr>
              <w:t>Introduction</w:t>
            </w:r>
            <w:r w:rsidR="00D42F5C">
              <w:rPr>
                <w:noProof/>
                <w:webHidden/>
              </w:rPr>
              <w:tab/>
            </w:r>
            <w:r w:rsidR="00D42F5C">
              <w:rPr>
                <w:noProof/>
                <w:webHidden/>
              </w:rPr>
              <w:fldChar w:fldCharType="begin"/>
            </w:r>
            <w:r w:rsidR="00D42F5C">
              <w:rPr>
                <w:noProof/>
                <w:webHidden/>
              </w:rPr>
              <w:instrText xml:space="preserve"> PAGEREF _Toc503446547 \h </w:instrText>
            </w:r>
            <w:r w:rsidR="00D42F5C">
              <w:rPr>
                <w:noProof/>
                <w:webHidden/>
              </w:rPr>
            </w:r>
            <w:r w:rsidR="00D42F5C">
              <w:rPr>
                <w:noProof/>
                <w:webHidden/>
              </w:rPr>
              <w:fldChar w:fldCharType="separate"/>
            </w:r>
            <w:r w:rsidR="00D42F5C">
              <w:rPr>
                <w:noProof/>
                <w:webHidden/>
              </w:rPr>
              <w:t>3</w:t>
            </w:r>
            <w:r w:rsidR="00D42F5C">
              <w:rPr>
                <w:noProof/>
                <w:webHidden/>
              </w:rPr>
              <w:fldChar w:fldCharType="end"/>
            </w:r>
          </w:hyperlink>
        </w:p>
        <w:p w:rsidR="00D42F5C" w:rsidRDefault="00D42F5C">
          <w:pPr>
            <w:pStyle w:val="TOC1"/>
            <w:tabs>
              <w:tab w:val="left" w:pos="440"/>
              <w:tab w:val="right" w:leader="dot" w:pos="9016"/>
            </w:tabs>
            <w:rPr>
              <w:rFonts w:eastAsiaTheme="minorEastAsia"/>
              <w:noProof/>
              <w:lang w:eastAsia="en-GB"/>
            </w:rPr>
          </w:pPr>
          <w:hyperlink w:anchor="_Toc503446548" w:history="1">
            <w:r w:rsidRPr="00036063">
              <w:rPr>
                <w:rStyle w:val="Hyperlink"/>
                <w:noProof/>
                <w:lang w:eastAsia="en-GB"/>
              </w:rPr>
              <w:t>2.</w:t>
            </w:r>
            <w:r>
              <w:rPr>
                <w:rFonts w:eastAsiaTheme="minorEastAsia"/>
                <w:noProof/>
                <w:lang w:eastAsia="en-GB"/>
              </w:rPr>
              <w:tab/>
            </w:r>
            <w:r w:rsidRPr="00036063">
              <w:rPr>
                <w:rStyle w:val="Hyperlink"/>
                <w:noProof/>
                <w:lang w:eastAsia="en-GB"/>
              </w:rPr>
              <w:t>NOx Formation</w:t>
            </w:r>
            <w:r>
              <w:rPr>
                <w:noProof/>
                <w:webHidden/>
              </w:rPr>
              <w:tab/>
            </w:r>
            <w:r>
              <w:rPr>
                <w:noProof/>
                <w:webHidden/>
              </w:rPr>
              <w:fldChar w:fldCharType="begin"/>
            </w:r>
            <w:r>
              <w:rPr>
                <w:noProof/>
                <w:webHidden/>
              </w:rPr>
              <w:instrText xml:space="preserve"> PAGEREF _Toc503446548 \h </w:instrText>
            </w:r>
            <w:r>
              <w:rPr>
                <w:noProof/>
                <w:webHidden/>
              </w:rPr>
            </w:r>
            <w:r>
              <w:rPr>
                <w:noProof/>
                <w:webHidden/>
              </w:rPr>
              <w:fldChar w:fldCharType="separate"/>
            </w:r>
            <w:r>
              <w:rPr>
                <w:noProof/>
                <w:webHidden/>
              </w:rPr>
              <w:t>4</w:t>
            </w:r>
            <w:r>
              <w:rPr>
                <w:noProof/>
                <w:webHidden/>
              </w:rPr>
              <w:fldChar w:fldCharType="end"/>
            </w:r>
          </w:hyperlink>
        </w:p>
        <w:p w:rsidR="00D42F5C" w:rsidRDefault="00D42F5C">
          <w:pPr>
            <w:pStyle w:val="TOC1"/>
            <w:tabs>
              <w:tab w:val="left" w:pos="440"/>
              <w:tab w:val="right" w:leader="dot" w:pos="9016"/>
            </w:tabs>
            <w:rPr>
              <w:rFonts w:eastAsiaTheme="minorEastAsia"/>
              <w:noProof/>
              <w:lang w:eastAsia="en-GB"/>
            </w:rPr>
          </w:pPr>
          <w:hyperlink w:anchor="_Toc503446549" w:history="1">
            <w:r w:rsidRPr="00036063">
              <w:rPr>
                <w:rStyle w:val="Hyperlink"/>
                <w:noProof/>
                <w:lang w:eastAsia="en-GB"/>
              </w:rPr>
              <w:t>3.</w:t>
            </w:r>
            <w:r>
              <w:rPr>
                <w:rFonts w:eastAsiaTheme="minorEastAsia"/>
                <w:noProof/>
                <w:lang w:eastAsia="en-GB"/>
              </w:rPr>
              <w:tab/>
            </w:r>
            <w:r w:rsidRPr="00036063">
              <w:rPr>
                <w:rStyle w:val="Hyperlink"/>
                <w:noProof/>
                <w:lang w:eastAsia="en-GB"/>
              </w:rPr>
              <w:t>Boundaries for the NOx Model</w:t>
            </w:r>
            <w:r>
              <w:rPr>
                <w:noProof/>
                <w:webHidden/>
              </w:rPr>
              <w:tab/>
            </w:r>
            <w:r>
              <w:rPr>
                <w:noProof/>
                <w:webHidden/>
              </w:rPr>
              <w:fldChar w:fldCharType="begin"/>
            </w:r>
            <w:r>
              <w:rPr>
                <w:noProof/>
                <w:webHidden/>
              </w:rPr>
              <w:instrText xml:space="preserve"> PAGEREF _Toc503446549 \h </w:instrText>
            </w:r>
            <w:r>
              <w:rPr>
                <w:noProof/>
                <w:webHidden/>
              </w:rPr>
            </w:r>
            <w:r>
              <w:rPr>
                <w:noProof/>
                <w:webHidden/>
              </w:rPr>
              <w:fldChar w:fldCharType="separate"/>
            </w:r>
            <w:r>
              <w:rPr>
                <w:noProof/>
                <w:webHidden/>
              </w:rPr>
              <w:t>5</w:t>
            </w:r>
            <w:r>
              <w:rPr>
                <w:noProof/>
                <w:webHidden/>
              </w:rPr>
              <w:fldChar w:fldCharType="end"/>
            </w:r>
          </w:hyperlink>
        </w:p>
        <w:p w:rsidR="00D42F5C" w:rsidRDefault="00D42F5C">
          <w:pPr>
            <w:pStyle w:val="TOC1"/>
            <w:tabs>
              <w:tab w:val="left" w:pos="440"/>
              <w:tab w:val="right" w:leader="dot" w:pos="9016"/>
            </w:tabs>
            <w:rPr>
              <w:rFonts w:eastAsiaTheme="minorEastAsia"/>
              <w:noProof/>
              <w:lang w:eastAsia="en-GB"/>
            </w:rPr>
          </w:pPr>
          <w:hyperlink w:anchor="_Toc503446550" w:history="1">
            <w:r w:rsidRPr="00036063">
              <w:rPr>
                <w:rStyle w:val="Hyperlink"/>
                <w:noProof/>
                <w:lang w:eastAsia="en-GB"/>
              </w:rPr>
              <w:t>4.</w:t>
            </w:r>
            <w:r>
              <w:rPr>
                <w:rFonts w:eastAsiaTheme="minorEastAsia"/>
                <w:noProof/>
                <w:lang w:eastAsia="en-GB"/>
              </w:rPr>
              <w:tab/>
            </w:r>
            <w:r w:rsidRPr="00036063">
              <w:rPr>
                <w:rStyle w:val="Hyperlink"/>
                <w:noProof/>
                <w:lang w:eastAsia="en-GB"/>
              </w:rPr>
              <w:t>Building the NOx Model</w:t>
            </w:r>
            <w:r>
              <w:rPr>
                <w:noProof/>
                <w:webHidden/>
              </w:rPr>
              <w:tab/>
            </w:r>
            <w:r>
              <w:rPr>
                <w:noProof/>
                <w:webHidden/>
              </w:rPr>
              <w:fldChar w:fldCharType="begin"/>
            </w:r>
            <w:r>
              <w:rPr>
                <w:noProof/>
                <w:webHidden/>
              </w:rPr>
              <w:instrText xml:space="preserve"> PAGEREF _Toc503446550 \h </w:instrText>
            </w:r>
            <w:r>
              <w:rPr>
                <w:noProof/>
                <w:webHidden/>
              </w:rPr>
            </w:r>
            <w:r>
              <w:rPr>
                <w:noProof/>
                <w:webHidden/>
              </w:rPr>
              <w:fldChar w:fldCharType="separate"/>
            </w:r>
            <w:r>
              <w:rPr>
                <w:noProof/>
                <w:webHidden/>
              </w:rPr>
              <w:t>6</w:t>
            </w:r>
            <w:r>
              <w:rPr>
                <w:noProof/>
                <w:webHidden/>
              </w:rPr>
              <w:fldChar w:fldCharType="end"/>
            </w:r>
          </w:hyperlink>
        </w:p>
        <w:p w:rsidR="00D42F5C" w:rsidRDefault="00D42F5C">
          <w:pPr>
            <w:pStyle w:val="TOC2"/>
            <w:tabs>
              <w:tab w:val="right" w:leader="dot" w:pos="9016"/>
            </w:tabs>
            <w:rPr>
              <w:rFonts w:eastAsiaTheme="minorEastAsia"/>
              <w:noProof/>
              <w:lang w:eastAsia="en-GB"/>
            </w:rPr>
          </w:pPr>
          <w:hyperlink w:anchor="_Toc503446551" w:history="1">
            <w:r w:rsidRPr="00036063">
              <w:rPr>
                <w:rStyle w:val="Hyperlink"/>
                <w:noProof/>
                <w:lang w:eastAsia="en-GB"/>
              </w:rPr>
              <w:t>4.1 Enthalpy tables</w:t>
            </w:r>
            <w:r>
              <w:rPr>
                <w:noProof/>
                <w:webHidden/>
              </w:rPr>
              <w:tab/>
            </w:r>
            <w:r>
              <w:rPr>
                <w:noProof/>
                <w:webHidden/>
              </w:rPr>
              <w:fldChar w:fldCharType="begin"/>
            </w:r>
            <w:r>
              <w:rPr>
                <w:noProof/>
                <w:webHidden/>
              </w:rPr>
              <w:instrText xml:space="preserve"> PAGEREF _Toc503446551 \h </w:instrText>
            </w:r>
            <w:r>
              <w:rPr>
                <w:noProof/>
                <w:webHidden/>
              </w:rPr>
            </w:r>
            <w:r>
              <w:rPr>
                <w:noProof/>
                <w:webHidden/>
              </w:rPr>
              <w:fldChar w:fldCharType="separate"/>
            </w:r>
            <w:r>
              <w:rPr>
                <w:noProof/>
                <w:webHidden/>
              </w:rPr>
              <w:t>6</w:t>
            </w:r>
            <w:r>
              <w:rPr>
                <w:noProof/>
                <w:webHidden/>
              </w:rPr>
              <w:fldChar w:fldCharType="end"/>
            </w:r>
          </w:hyperlink>
        </w:p>
        <w:p w:rsidR="00D42F5C" w:rsidRDefault="00D42F5C">
          <w:pPr>
            <w:pStyle w:val="TOC2"/>
            <w:tabs>
              <w:tab w:val="right" w:leader="dot" w:pos="9016"/>
            </w:tabs>
            <w:rPr>
              <w:rFonts w:eastAsiaTheme="minorEastAsia"/>
              <w:noProof/>
              <w:lang w:eastAsia="en-GB"/>
            </w:rPr>
          </w:pPr>
          <w:hyperlink w:anchor="_Toc503446552" w:history="1">
            <w:r w:rsidRPr="00036063">
              <w:rPr>
                <w:rStyle w:val="Hyperlink"/>
                <w:noProof/>
                <w:lang w:eastAsia="en-GB"/>
              </w:rPr>
              <w:t>4.2 Flame Temperatures</w:t>
            </w:r>
            <w:r>
              <w:rPr>
                <w:noProof/>
                <w:webHidden/>
              </w:rPr>
              <w:tab/>
            </w:r>
            <w:r>
              <w:rPr>
                <w:noProof/>
                <w:webHidden/>
              </w:rPr>
              <w:fldChar w:fldCharType="begin"/>
            </w:r>
            <w:r>
              <w:rPr>
                <w:noProof/>
                <w:webHidden/>
              </w:rPr>
              <w:instrText xml:space="preserve"> PAGEREF _Toc503446552 \h </w:instrText>
            </w:r>
            <w:r>
              <w:rPr>
                <w:noProof/>
                <w:webHidden/>
              </w:rPr>
            </w:r>
            <w:r>
              <w:rPr>
                <w:noProof/>
                <w:webHidden/>
              </w:rPr>
              <w:fldChar w:fldCharType="separate"/>
            </w:r>
            <w:r>
              <w:rPr>
                <w:noProof/>
                <w:webHidden/>
              </w:rPr>
              <w:t>9</w:t>
            </w:r>
            <w:r>
              <w:rPr>
                <w:noProof/>
                <w:webHidden/>
              </w:rPr>
              <w:fldChar w:fldCharType="end"/>
            </w:r>
          </w:hyperlink>
        </w:p>
        <w:p w:rsidR="00D42F5C" w:rsidRDefault="00D42F5C">
          <w:pPr>
            <w:pStyle w:val="TOC2"/>
            <w:tabs>
              <w:tab w:val="right" w:leader="dot" w:pos="9016"/>
            </w:tabs>
            <w:rPr>
              <w:rFonts w:eastAsiaTheme="minorEastAsia"/>
              <w:noProof/>
              <w:lang w:eastAsia="en-GB"/>
            </w:rPr>
          </w:pPr>
          <w:hyperlink w:anchor="_Toc503446553" w:history="1">
            <w:r w:rsidRPr="00036063">
              <w:rPr>
                <w:rStyle w:val="Hyperlink"/>
                <w:noProof/>
              </w:rPr>
              <w:t>4.3 Zeldovich Model</w:t>
            </w:r>
            <w:r>
              <w:rPr>
                <w:noProof/>
                <w:webHidden/>
              </w:rPr>
              <w:tab/>
            </w:r>
            <w:r>
              <w:rPr>
                <w:noProof/>
                <w:webHidden/>
              </w:rPr>
              <w:fldChar w:fldCharType="begin"/>
            </w:r>
            <w:r>
              <w:rPr>
                <w:noProof/>
                <w:webHidden/>
              </w:rPr>
              <w:instrText xml:space="preserve"> PAGEREF _Toc503446553 \h </w:instrText>
            </w:r>
            <w:r>
              <w:rPr>
                <w:noProof/>
                <w:webHidden/>
              </w:rPr>
            </w:r>
            <w:r>
              <w:rPr>
                <w:noProof/>
                <w:webHidden/>
              </w:rPr>
              <w:fldChar w:fldCharType="separate"/>
            </w:r>
            <w:r>
              <w:rPr>
                <w:noProof/>
                <w:webHidden/>
              </w:rPr>
              <w:t>11</w:t>
            </w:r>
            <w:r>
              <w:rPr>
                <w:noProof/>
                <w:webHidden/>
              </w:rPr>
              <w:fldChar w:fldCharType="end"/>
            </w:r>
          </w:hyperlink>
        </w:p>
        <w:p w:rsidR="00D42F5C" w:rsidRDefault="00D42F5C">
          <w:pPr>
            <w:pStyle w:val="TOC2"/>
            <w:tabs>
              <w:tab w:val="right" w:leader="dot" w:pos="9016"/>
            </w:tabs>
            <w:rPr>
              <w:rFonts w:eastAsiaTheme="minorEastAsia"/>
              <w:noProof/>
              <w:lang w:eastAsia="en-GB"/>
            </w:rPr>
          </w:pPr>
          <w:hyperlink w:anchor="_Toc503446554" w:history="1">
            <w:r w:rsidRPr="00036063">
              <w:rPr>
                <w:rStyle w:val="Hyperlink"/>
                <w:noProof/>
              </w:rPr>
              <w:t>4.4 Results</w:t>
            </w:r>
            <w:r>
              <w:rPr>
                <w:noProof/>
                <w:webHidden/>
              </w:rPr>
              <w:tab/>
            </w:r>
            <w:r>
              <w:rPr>
                <w:noProof/>
                <w:webHidden/>
              </w:rPr>
              <w:fldChar w:fldCharType="begin"/>
            </w:r>
            <w:r>
              <w:rPr>
                <w:noProof/>
                <w:webHidden/>
              </w:rPr>
              <w:instrText xml:space="preserve"> PAGEREF _Toc503446554 \h </w:instrText>
            </w:r>
            <w:r>
              <w:rPr>
                <w:noProof/>
                <w:webHidden/>
              </w:rPr>
            </w:r>
            <w:r>
              <w:rPr>
                <w:noProof/>
                <w:webHidden/>
              </w:rPr>
              <w:fldChar w:fldCharType="separate"/>
            </w:r>
            <w:r>
              <w:rPr>
                <w:noProof/>
                <w:webHidden/>
              </w:rPr>
              <w:t>17</w:t>
            </w:r>
            <w:r>
              <w:rPr>
                <w:noProof/>
                <w:webHidden/>
              </w:rPr>
              <w:fldChar w:fldCharType="end"/>
            </w:r>
          </w:hyperlink>
        </w:p>
        <w:p w:rsidR="00D42F5C" w:rsidRDefault="00D42F5C">
          <w:pPr>
            <w:pStyle w:val="TOC1"/>
            <w:tabs>
              <w:tab w:val="left" w:pos="440"/>
              <w:tab w:val="right" w:leader="dot" w:pos="9016"/>
            </w:tabs>
            <w:rPr>
              <w:rFonts w:eastAsiaTheme="minorEastAsia"/>
              <w:noProof/>
              <w:lang w:eastAsia="en-GB"/>
            </w:rPr>
          </w:pPr>
          <w:hyperlink w:anchor="_Toc503446555" w:history="1">
            <w:r w:rsidRPr="00036063">
              <w:rPr>
                <w:rStyle w:val="Hyperlink"/>
                <w:noProof/>
                <w:lang w:eastAsia="en-GB"/>
              </w:rPr>
              <w:t>5.</w:t>
            </w:r>
            <w:r>
              <w:rPr>
                <w:rFonts w:eastAsiaTheme="minorEastAsia"/>
                <w:noProof/>
                <w:lang w:eastAsia="en-GB"/>
              </w:rPr>
              <w:tab/>
            </w:r>
            <w:r w:rsidRPr="00036063">
              <w:rPr>
                <w:rStyle w:val="Hyperlink"/>
                <w:noProof/>
                <w:lang w:eastAsia="en-GB"/>
              </w:rPr>
              <w:t>EGR</w:t>
            </w:r>
            <w:r>
              <w:rPr>
                <w:noProof/>
                <w:webHidden/>
              </w:rPr>
              <w:tab/>
            </w:r>
            <w:r>
              <w:rPr>
                <w:noProof/>
                <w:webHidden/>
              </w:rPr>
              <w:fldChar w:fldCharType="begin"/>
            </w:r>
            <w:r>
              <w:rPr>
                <w:noProof/>
                <w:webHidden/>
              </w:rPr>
              <w:instrText xml:space="preserve"> PAGEREF _Toc503446555 \h </w:instrText>
            </w:r>
            <w:r>
              <w:rPr>
                <w:noProof/>
                <w:webHidden/>
              </w:rPr>
            </w:r>
            <w:r>
              <w:rPr>
                <w:noProof/>
                <w:webHidden/>
              </w:rPr>
              <w:fldChar w:fldCharType="separate"/>
            </w:r>
            <w:r>
              <w:rPr>
                <w:noProof/>
                <w:webHidden/>
              </w:rPr>
              <w:t>19</w:t>
            </w:r>
            <w:r>
              <w:rPr>
                <w:noProof/>
                <w:webHidden/>
              </w:rPr>
              <w:fldChar w:fldCharType="end"/>
            </w:r>
          </w:hyperlink>
        </w:p>
        <w:p w:rsidR="00D42F5C" w:rsidRDefault="00D42F5C">
          <w:pPr>
            <w:pStyle w:val="TOC2"/>
            <w:tabs>
              <w:tab w:val="right" w:leader="dot" w:pos="9016"/>
            </w:tabs>
            <w:rPr>
              <w:rFonts w:eastAsiaTheme="minorEastAsia"/>
              <w:noProof/>
              <w:lang w:eastAsia="en-GB"/>
            </w:rPr>
          </w:pPr>
          <w:hyperlink w:anchor="_Toc503446556" w:history="1">
            <w:r w:rsidRPr="00036063">
              <w:rPr>
                <w:rStyle w:val="Hyperlink"/>
                <w:noProof/>
                <w:lang w:eastAsia="en-GB"/>
              </w:rPr>
              <w:t>5.1 Flame Temperatures</w:t>
            </w:r>
            <w:r>
              <w:rPr>
                <w:noProof/>
                <w:webHidden/>
              </w:rPr>
              <w:tab/>
            </w:r>
            <w:r>
              <w:rPr>
                <w:noProof/>
                <w:webHidden/>
              </w:rPr>
              <w:fldChar w:fldCharType="begin"/>
            </w:r>
            <w:r>
              <w:rPr>
                <w:noProof/>
                <w:webHidden/>
              </w:rPr>
              <w:instrText xml:space="preserve"> PAGEREF _Toc503446556 \h </w:instrText>
            </w:r>
            <w:r>
              <w:rPr>
                <w:noProof/>
                <w:webHidden/>
              </w:rPr>
            </w:r>
            <w:r>
              <w:rPr>
                <w:noProof/>
                <w:webHidden/>
              </w:rPr>
              <w:fldChar w:fldCharType="separate"/>
            </w:r>
            <w:r>
              <w:rPr>
                <w:noProof/>
                <w:webHidden/>
              </w:rPr>
              <w:t>19</w:t>
            </w:r>
            <w:r>
              <w:rPr>
                <w:noProof/>
                <w:webHidden/>
              </w:rPr>
              <w:fldChar w:fldCharType="end"/>
            </w:r>
          </w:hyperlink>
        </w:p>
        <w:p w:rsidR="00D42F5C" w:rsidRDefault="00D42F5C">
          <w:pPr>
            <w:pStyle w:val="TOC2"/>
            <w:tabs>
              <w:tab w:val="right" w:leader="dot" w:pos="9016"/>
            </w:tabs>
            <w:rPr>
              <w:rFonts w:eastAsiaTheme="minorEastAsia"/>
              <w:noProof/>
              <w:lang w:eastAsia="en-GB"/>
            </w:rPr>
          </w:pPr>
          <w:hyperlink w:anchor="_Toc503446557" w:history="1">
            <w:r w:rsidRPr="00036063">
              <w:rPr>
                <w:rStyle w:val="Hyperlink"/>
                <w:noProof/>
                <w:lang w:eastAsia="en-GB"/>
              </w:rPr>
              <w:t>5.2 Results</w:t>
            </w:r>
            <w:r>
              <w:rPr>
                <w:noProof/>
                <w:webHidden/>
              </w:rPr>
              <w:tab/>
            </w:r>
            <w:r>
              <w:rPr>
                <w:noProof/>
                <w:webHidden/>
              </w:rPr>
              <w:fldChar w:fldCharType="begin"/>
            </w:r>
            <w:r>
              <w:rPr>
                <w:noProof/>
                <w:webHidden/>
              </w:rPr>
              <w:instrText xml:space="preserve"> PAGEREF _Toc503446557 \h </w:instrText>
            </w:r>
            <w:r>
              <w:rPr>
                <w:noProof/>
                <w:webHidden/>
              </w:rPr>
            </w:r>
            <w:r>
              <w:rPr>
                <w:noProof/>
                <w:webHidden/>
              </w:rPr>
              <w:fldChar w:fldCharType="separate"/>
            </w:r>
            <w:r>
              <w:rPr>
                <w:noProof/>
                <w:webHidden/>
              </w:rPr>
              <w:t>20</w:t>
            </w:r>
            <w:r>
              <w:rPr>
                <w:noProof/>
                <w:webHidden/>
              </w:rPr>
              <w:fldChar w:fldCharType="end"/>
            </w:r>
          </w:hyperlink>
        </w:p>
        <w:p w:rsidR="00D42F5C" w:rsidRDefault="00D42F5C">
          <w:pPr>
            <w:pStyle w:val="TOC1"/>
            <w:tabs>
              <w:tab w:val="left" w:pos="440"/>
              <w:tab w:val="right" w:leader="dot" w:pos="9016"/>
            </w:tabs>
            <w:rPr>
              <w:rFonts w:eastAsiaTheme="minorEastAsia"/>
              <w:noProof/>
              <w:lang w:eastAsia="en-GB"/>
            </w:rPr>
          </w:pPr>
          <w:hyperlink w:anchor="_Toc503446558" w:history="1">
            <w:r w:rsidRPr="00036063">
              <w:rPr>
                <w:rStyle w:val="Hyperlink"/>
                <w:noProof/>
                <w:lang w:eastAsia="en-GB"/>
              </w:rPr>
              <w:t>6.</w:t>
            </w:r>
            <w:r>
              <w:rPr>
                <w:rFonts w:eastAsiaTheme="minorEastAsia"/>
                <w:noProof/>
                <w:lang w:eastAsia="en-GB"/>
              </w:rPr>
              <w:tab/>
            </w:r>
            <w:r w:rsidRPr="00036063">
              <w:rPr>
                <w:rStyle w:val="Hyperlink"/>
                <w:noProof/>
                <w:lang w:eastAsia="en-GB"/>
              </w:rPr>
              <w:t>Analysis</w:t>
            </w:r>
            <w:r>
              <w:rPr>
                <w:noProof/>
                <w:webHidden/>
              </w:rPr>
              <w:tab/>
            </w:r>
            <w:r>
              <w:rPr>
                <w:noProof/>
                <w:webHidden/>
              </w:rPr>
              <w:fldChar w:fldCharType="begin"/>
            </w:r>
            <w:r>
              <w:rPr>
                <w:noProof/>
                <w:webHidden/>
              </w:rPr>
              <w:instrText xml:space="preserve"> PAGEREF _Toc503446558 \h </w:instrText>
            </w:r>
            <w:r>
              <w:rPr>
                <w:noProof/>
                <w:webHidden/>
              </w:rPr>
            </w:r>
            <w:r>
              <w:rPr>
                <w:noProof/>
                <w:webHidden/>
              </w:rPr>
              <w:fldChar w:fldCharType="separate"/>
            </w:r>
            <w:r>
              <w:rPr>
                <w:noProof/>
                <w:webHidden/>
              </w:rPr>
              <w:t>21</w:t>
            </w:r>
            <w:r>
              <w:rPr>
                <w:noProof/>
                <w:webHidden/>
              </w:rPr>
              <w:fldChar w:fldCharType="end"/>
            </w:r>
          </w:hyperlink>
        </w:p>
        <w:p w:rsidR="00D42F5C" w:rsidRDefault="00D42F5C">
          <w:pPr>
            <w:pStyle w:val="TOC2"/>
            <w:tabs>
              <w:tab w:val="right" w:leader="dot" w:pos="9016"/>
            </w:tabs>
            <w:rPr>
              <w:rFonts w:eastAsiaTheme="minorEastAsia"/>
              <w:noProof/>
              <w:lang w:eastAsia="en-GB"/>
            </w:rPr>
          </w:pPr>
          <w:hyperlink w:anchor="_Toc503446559" w:history="1">
            <w:r w:rsidRPr="00036063">
              <w:rPr>
                <w:rStyle w:val="Hyperlink"/>
                <w:noProof/>
                <w:lang w:eastAsia="en-GB"/>
              </w:rPr>
              <w:t>6.1 Assumptions</w:t>
            </w:r>
            <w:r>
              <w:rPr>
                <w:noProof/>
                <w:webHidden/>
              </w:rPr>
              <w:tab/>
            </w:r>
            <w:r>
              <w:rPr>
                <w:noProof/>
                <w:webHidden/>
              </w:rPr>
              <w:fldChar w:fldCharType="begin"/>
            </w:r>
            <w:r>
              <w:rPr>
                <w:noProof/>
                <w:webHidden/>
              </w:rPr>
              <w:instrText xml:space="preserve"> PAGEREF _Toc503446559 \h </w:instrText>
            </w:r>
            <w:r>
              <w:rPr>
                <w:noProof/>
                <w:webHidden/>
              </w:rPr>
            </w:r>
            <w:r>
              <w:rPr>
                <w:noProof/>
                <w:webHidden/>
              </w:rPr>
              <w:fldChar w:fldCharType="separate"/>
            </w:r>
            <w:r>
              <w:rPr>
                <w:noProof/>
                <w:webHidden/>
              </w:rPr>
              <w:t>21</w:t>
            </w:r>
            <w:r>
              <w:rPr>
                <w:noProof/>
                <w:webHidden/>
              </w:rPr>
              <w:fldChar w:fldCharType="end"/>
            </w:r>
          </w:hyperlink>
        </w:p>
        <w:p w:rsidR="00D42F5C" w:rsidRDefault="00D42F5C">
          <w:pPr>
            <w:pStyle w:val="TOC1"/>
            <w:tabs>
              <w:tab w:val="left" w:pos="440"/>
              <w:tab w:val="right" w:leader="dot" w:pos="9016"/>
            </w:tabs>
            <w:rPr>
              <w:rFonts w:eastAsiaTheme="minorEastAsia"/>
              <w:noProof/>
              <w:lang w:eastAsia="en-GB"/>
            </w:rPr>
          </w:pPr>
          <w:hyperlink w:anchor="_Toc503446560" w:history="1">
            <w:r w:rsidRPr="00036063">
              <w:rPr>
                <w:rStyle w:val="Hyperlink"/>
                <w:noProof/>
                <w:lang w:eastAsia="en-GB"/>
              </w:rPr>
              <w:t>7.</w:t>
            </w:r>
            <w:r>
              <w:rPr>
                <w:rFonts w:eastAsiaTheme="minorEastAsia"/>
                <w:noProof/>
                <w:lang w:eastAsia="en-GB"/>
              </w:rPr>
              <w:tab/>
            </w:r>
            <w:r w:rsidRPr="00036063">
              <w:rPr>
                <w:rStyle w:val="Hyperlink"/>
                <w:noProof/>
                <w:lang w:eastAsia="en-GB"/>
              </w:rPr>
              <w:t>Conclusion</w:t>
            </w:r>
            <w:r>
              <w:rPr>
                <w:noProof/>
                <w:webHidden/>
              </w:rPr>
              <w:tab/>
            </w:r>
            <w:r>
              <w:rPr>
                <w:noProof/>
                <w:webHidden/>
              </w:rPr>
              <w:fldChar w:fldCharType="begin"/>
            </w:r>
            <w:r>
              <w:rPr>
                <w:noProof/>
                <w:webHidden/>
              </w:rPr>
              <w:instrText xml:space="preserve"> PAGEREF _Toc503446560 \h </w:instrText>
            </w:r>
            <w:r>
              <w:rPr>
                <w:noProof/>
                <w:webHidden/>
              </w:rPr>
            </w:r>
            <w:r>
              <w:rPr>
                <w:noProof/>
                <w:webHidden/>
              </w:rPr>
              <w:fldChar w:fldCharType="separate"/>
            </w:r>
            <w:r>
              <w:rPr>
                <w:noProof/>
                <w:webHidden/>
              </w:rPr>
              <w:t>22</w:t>
            </w:r>
            <w:r>
              <w:rPr>
                <w:noProof/>
                <w:webHidden/>
              </w:rPr>
              <w:fldChar w:fldCharType="end"/>
            </w:r>
          </w:hyperlink>
        </w:p>
        <w:p w:rsidR="00D42F5C" w:rsidRDefault="00D42F5C">
          <w:pPr>
            <w:pStyle w:val="TOC1"/>
            <w:tabs>
              <w:tab w:val="left" w:pos="440"/>
              <w:tab w:val="right" w:leader="dot" w:pos="9016"/>
            </w:tabs>
            <w:rPr>
              <w:rFonts w:eastAsiaTheme="minorEastAsia"/>
              <w:noProof/>
              <w:lang w:eastAsia="en-GB"/>
            </w:rPr>
          </w:pPr>
          <w:hyperlink w:anchor="_Toc503446561" w:history="1">
            <w:r w:rsidRPr="00036063">
              <w:rPr>
                <w:rStyle w:val="Hyperlink"/>
                <w:noProof/>
              </w:rPr>
              <w:t>8.</w:t>
            </w:r>
            <w:r>
              <w:rPr>
                <w:rFonts w:eastAsiaTheme="minorEastAsia"/>
                <w:noProof/>
                <w:lang w:eastAsia="en-GB"/>
              </w:rPr>
              <w:tab/>
            </w:r>
            <w:r w:rsidRPr="00036063">
              <w:rPr>
                <w:rStyle w:val="Hyperlink"/>
                <w:noProof/>
              </w:rPr>
              <w:t>References</w:t>
            </w:r>
            <w:r>
              <w:rPr>
                <w:noProof/>
                <w:webHidden/>
              </w:rPr>
              <w:tab/>
            </w:r>
            <w:r>
              <w:rPr>
                <w:noProof/>
                <w:webHidden/>
              </w:rPr>
              <w:fldChar w:fldCharType="begin"/>
            </w:r>
            <w:r>
              <w:rPr>
                <w:noProof/>
                <w:webHidden/>
              </w:rPr>
              <w:instrText xml:space="preserve"> PAGEREF _Toc503446561 \h </w:instrText>
            </w:r>
            <w:r>
              <w:rPr>
                <w:noProof/>
                <w:webHidden/>
              </w:rPr>
            </w:r>
            <w:r>
              <w:rPr>
                <w:noProof/>
                <w:webHidden/>
              </w:rPr>
              <w:fldChar w:fldCharType="separate"/>
            </w:r>
            <w:r>
              <w:rPr>
                <w:noProof/>
                <w:webHidden/>
              </w:rPr>
              <w:t>23</w:t>
            </w:r>
            <w:r>
              <w:rPr>
                <w:noProof/>
                <w:webHidden/>
              </w:rPr>
              <w:fldChar w:fldCharType="end"/>
            </w:r>
          </w:hyperlink>
        </w:p>
        <w:p w:rsidR="00D42F5C" w:rsidRDefault="00D42F5C">
          <w:pPr>
            <w:pStyle w:val="TOC1"/>
            <w:tabs>
              <w:tab w:val="left" w:pos="440"/>
              <w:tab w:val="right" w:leader="dot" w:pos="9016"/>
            </w:tabs>
            <w:rPr>
              <w:rFonts w:eastAsiaTheme="minorEastAsia"/>
              <w:noProof/>
              <w:lang w:eastAsia="en-GB"/>
            </w:rPr>
          </w:pPr>
          <w:hyperlink w:anchor="_Toc503446562" w:history="1">
            <w:r w:rsidRPr="00036063">
              <w:rPr>
                <w:rStyle w:val="Hyperlink"/>
                <w:noProof/>
              </w:rPr>
              <w:t>9.</w:t>
            </w:r>
            <w:r>
              <w:rPr>
                <w:rFonts w:eastAsiaTheme="minorEastAsia"/>
                <w:noProof/>
                <w:lang w:eastAsia="en-GB"/>
              </w:rPr>
              <w:tab/>
            </w:r>
            <w:r w:rsidRPr="00036063">
              <w:rPr>
                <w:rStyle w:val="Hyperlink"/>
                <w:noProof/>
              </w:rPr>
              <w:t>Bibliography</w:t>
            </w:r>
            <w:r>
              <w:rPr>
                <w:noProof/>
                <w:webHidden/>
              </w:rPr>
              <w:tab/>
            </w:r>
            <w:r>
              <w:rPr>
                <w:noProof/>
                <w:webHidden/>
              </w:rPr>
              <w:fldChar w:fldCharType="begin"/>
            </w:r>
            <w:r>
              <w:rPr>
                <w:noProof/>
                <w:webHidden/>
              </w:rPr>
              <w:instrText xml:space="preserve"> PAGEREF _Toc503446562 \h </w:instrText>
            </w:r>
            <w:r>
              <w:rPr>
                <w:noProof/>
                <w:webHidden/>
              </w:rPr>
            </w:r>
            <w:r>
              <w:rPr>
                <w:noProof/>
                <w:webHidden/>
              </w:rPr>
              <w:fldChar w:fldCharType="separate"/>
            </w:r>
            <w:r>
              <w:rPr>
                <w:noProof/>
                <w:webHidden/>
              </w:rPr>
              <w:t>24</w:t>
            </w:r>
            <w:r>
              <w:rPr>
                <w:noProof/>
                <w:webHidden/>
              </w:rPr>
              <w:fldChar w:fldCharType="end"/>
            </w:r>
          </w:hyperlink>
        </w:p>
        <w:p w:rsidR="00D42F5C" w:rsidRDefault="00D42F5C">
          <w:pPr>
            <w:pStyle w:val="TOC1"/>
            <w:tabs>
              <w:tab w:val="right" w:leader="dot" w:pos="9016"/>
            </w:tabs>
            <w:rPr>
              <w:rFonts w:eastAsiaTheme="minorEastAsia"/>
              <w:noProof/>
              <w:lang w:eastAsia="en-GB"/>
            </w:rPr>
          </w:pPr>
          <w:hyperlink w:anchor="_Toc503446563" w:history="1">
            <w:r w:rsidRPr="00036063">
              <w:rPr>
                <w:rStyle w:val="Hyperlink"/>
                <w:noProof/>
                <w:lang w:eastAsia="en-GB"/>
              </w:rPr>
              <w:t>Appendix A NASA Enthalpy Tables</w:t>
            </w:r>
            <w:r>
              <w:rPr>
                <w:noProof/>
                <w:webHidden/>
              </w:rPr>
              <w:tab/>
            </w:r>
            <w:r>
              <w:rPr>
                <w:noProof/>
                <w:webHidden/>
              </w:rPr>
              <w:fldChar w:fldCharType="begin"/>
            </w:r>
            <w:r>
              <w:rPr>
                <w:noProof/>
                <w:webHidden/>
              </w:rPr>
              <w:instrText xml:space="preserve"> PAGEREF _Toc503446563 \h </w:instrText>
            </w:r>
            <w:r>
              <w:rPr>
                <w:noProof/>
                <w:webHidden/>
              </w:rPr>
            </w:r>
            <w:r>
              <w:rPr>
                <w:noProof/>
                <w:webHidden/>
              </w:rPr>
              <w:fldChar w:fldCharType="separate"/>
            </w:r>
            <w:r>
              <w:rPr>
                <w:noProof/>
                <w:webHidden/>
              </w:rPr>
              <w:t>25</w:t>
            </w:r>
            <w:r>
              <w:rPr>
                <w:noProof/>
                <w:webHidden/>
              </w:rPr>
              <w:fldChar w:fldCharType="end"/>
            </w:r>
          </w:hyperlink>
        </w:p>
        <w:p w:rsidR="00D42F5C" w:rsidRDefault="00D42F5C">
          <w:pPr>
            <w:pStyle w:val="TOC1"/>
            <w:tabs>
              <w:tab w:val="right" w:leader="dot" w:pos="9016"/>
            </w:tabs>
            <w:rPr>
              <w:rFonts w:eastAsiaTheme="minorEastAsia"/>
              <w:noProof/>
              <w:lang w:eastAsia="en-GB"/>
            </w:rPr>
          </w:pPr>
          <w:hyperlink w:anchor="_Toc503446564" w:history="1">
            <w:r w:rsidRPr="00036063">
              <w:rPr>
                <w:rStyle w:val="Hyperlink"/>
                <w:noProof/>
                <w:lang w:eastAsia="en-GB"/>
              </w:rPr>
              <w:t>Appendix B Standard Enthalpies of Formation</w:t>
            </w:r>
            <w:r>
              <w:rPr>
                <w:noProof/>
                <w:webHidden/>
              </w:rPr>
              <w:tab/>
            </w:r>
            <w:r>
              <w:rPr>
                <w:noProof/>
                <w:webHidden/>
              </w:rPr>
              <w:fldChar w:fldCharType="begin"/>
            </w:r>
            <w:r>
              <w:rPr>
                <w:noProof/>
                <w:webHidden/>
              </w:rPr>
              <w:instrText xml:space="preserve"> PAGEREF _Toc503446564 \h </w:instrText>
            </w:r>
            <w:r>
              <w:rPr>
                <w:noProof/>
                <w:webHidden/>
              </w:rPr>
            </w:r>
            <w:r>
              <w:rPr>
                <w:noProof/>
                <w:webHidden/>
              </w:rPr>
              <w:fldChar w:fldCharType="separate"/>
            </w:r>
            <w:r>
              <w:rPr>
                <w:noProof/>
                <w:webHidden/>
              </w:rPr>
              <w:t>26</w:t>
            </w:r>
            <w:r>
              <w:rPr>
                <w:noProof/>
                <w:webHidden/>
              </w:rPr>
              <w:fldChar w:fldCharType="end"/>
            </w:r>
          </w:hyperlink>
        </w:p>
        <w:p w:rsidR="00D42F5C" w:rsidRDefault="00D42F5C">
          <w:pPr>
            <w:pStyle w:val="TOC1"/>
            <w:tabs>
              <w:tab w:val="right" w:leader="dot" w:pos="9016"/>
            </w:tabs>
            <w:rPr>
              <w:rFonts w:eastAsiaTheme="minorEastAsia"/>
              <w:noProof/>
              <w:lang w:eastAsia="en-GB"/>
            </w:rPr>
          </w:pPr>
          <w:hyperlink w:anchor="_Toc503446565" w:history="1">
            <w:r w:rsidRPr="00036063">
              <w:rPr>
                <w:rStyle w:val="Hyperlink"/>
                <w:noProof/>
                <w:lang w:eastAsia="en-GB"/>
              </w:rPr>
              <w:t>Appendix C EGR Results Tables</w:t>
            </w:r>
            <w:r>
              <w:rPr>
                <w:noProof/>
                <w:webHidden/>
              </w:rPr>
              <w:tab/>
            </w:r>
            <w:r>
              <w:rPr>
                <w:noProof/>
                <w:webHidden/>
              </w:rPr>
              <w:fldChar w:fldCharType="begin"/>
            </w:r>
            <w:r>
              <w:rPr>
                <w:noProof/>
                <w:webHidden/>
              </w:rPr>
              <w:instrText xml:space="preserve"> PAGEREF _Toc503446565 \h </w:instrText>
            </w:r>
            <w:r>
              <w:rPr>
                <w:noProof/>
                <w:webHidden/>
              </w:rPr>
            </w:r>
            <w:r>
              <w:rPr>
                <w:noProof/>
                <w:webHidden/>
              </w:rPr>
              <w:fldChar w:fldCharType="separate"/>
            </w:r>
            <w:r>
              <w:rPr>
                <w:noProof/>
                <w:webHidden/>
              </w:rPr>
              <w:t>27</w:t>
            </w:r>
            <w:r>
              <w:rPr>
                <w:noProof/>
                <w:webHidden/>
              </w:rPr>
              <w:fldChar w:fldCharType="end"/>
            </w:r>
          </w:hyperlink>
        </w:p>
        <w:p w:rsidR="0056199F" w:rsidRDefault="001A45BE" w:rsidP="0056199F">
          <w:pPr>
            <w:rPr>
              <w:b/>
              <w:bCs/>
              <w:noProof/>
            </w:rPr>
          </w:pPr>
          <w:r>
            <w:rPr>
              <w:b/>
              <w:bCs/>
              <w:noProof/>
              <w:lang w:val="en-US"/>
            </w:rPr>
            <w:fldChar w:fldCharType="end"/>
          </w:r>
        </w:p>
      </w:sdtContent>
    </w:sdt>
    <w:p w:rsidR="002A17B3" w:rsidRDefault="002A17B3">
      <w:pPr>
        <w:rPr>
          <w:lang w:eastAsia="en-GB"/>
        </w:rPr>
      </w:pPr>
      <w:r>
        <w:rPr>
          <w:lang w:eastAsia="en-GB"/>
        </w:rPr>
        <w:br w:type="page"/>
      </w:r>
    </w:p>
    <w:p w:rsidR="00C61DBA" w:rsidRDefault="002A17B3" w:rsidP="00F12CF7">
      <w:pPr>
        <w:pStyle w:val="Heading1"/>
        <w:numPr>
          <w:ilvl w:val="0"/>
          <w:numId w:val="14"/>
        </w:numPr>
        <w:rPr>
          <w:lang w:eastAsia="en-GB"/>
        </w:rPr>
      </w:pPr>
      <w:bookmarkStart w:id="2" w:name="_Toc503446547"/>
      <w:r>
        <w:rPr>
          <w:lang w:eastAsia="en-GB"/>
        </w:rPr>
        <w:lastRenderedPageBreak/>
        <w:t>Introduction</w:t>
      </w:r>
      <w:bookmarkEnd w:id="2"/>
    </w:p>
    <w:p w:rsidR="00634E57" w:rsidRDefault="00F13FB7">
      <w:pPr>
        <w:rPr>
          <w:rFonts w:asciiTheme="majorHAnsi" w:eastAsiaTheme="majorEastAsia" w:hAnsiTheme="majorHAnsi" w:cstheme="majorBidi"/>
          <w:color w:val="2E74B5" w:themeColor="accent1" w:themeShade="BF"/>
          <w:sz w:val="32"/>
          <w:szCs w:val="32"/>
          <w:lang w:eastAsia="en-GB"/>
        </w:rPr>
      </w:pPr>
      <w:r>
        <w:rPr>
          <w:lang w:eastAsia="en-GB"/>
        </w:rPr>
        <w:t xml:space="preserve">The report will </w:t>
      </w:r>
      <w:r w:rsidR="00331A75">
        <w:rPr>
          <w:lang w:eastAsia="en-GB"/>
        </w:rPr>
        <w:t xml:space="preserve">explain the construction and </w:t>
      </w:r>
      <w:r>
        <w:rPr>
          <w:lang w:eastAsia="en-GB"/>
        </w:rPr>
        <w:t xml:space="preserve">analyse a NOx model to ascertain the effects of burning lean on NOx production during a typical load experienced during the NEDC test. </w:t>
      </w:r>
      <w:r w:rsidR="00DB392C">
        <w:rPr>
          <w:lang w:eastAsia="en-GB"/>
        </w:rPr>
        <w:t>Then the effects of adding EGR at a fixed level of fuel e</w:t>
      </w:r>
      <w:bookmarkStart w:id="3" w:name="_GoBack"/>
      <w:bookmarkEnd w:id="3"/>
      <w:r w:rsidR="00DB392C">
        <w:rPr>
          <w:lang w:eastAsia="en-GB"/>
        </w:rPr>
        <w:t xml:space="preserve">quivalence ratio, to analyse NOx production. </w:t>
      </w:r>
      <w:r w:rsidR="00634E57">
        <w:rPr>
          <w:lang w:eastAsia="en-GB"/>
        </w:rPr>
        <w:br w:type="page"/>
      </w:r>
    </w:p>
    <w:p w:rsidR="00005DD3" w:rsidRDefault="00037244" w:rsidP="00037244">
      <w:pPr>
        <w:pStyle w:val="Heading1"/>
        <w:numPr>
          <w:ilvl w:val="0"/>
          <w:numId w:val="14"/>
        </w:numPr>
        <w:rPr>
          <w:lang w:eastAsia="en-GB"/>
        </w:rPr>
      </w:pPr>
      <w:bookmarkStart w:id="4" w:name="_Toc503446548"/>
      <w:r>
        <w:rPr>
          <w:lang w:eastAsia="en-GB"/>
        </w:rPr>
        <w:lastRenderedPageBreak/>
        <w:t>NOx Formation</w:t>
      </w:r>
      <w:bookmarkEnd w:id="4"/>
    </w:p>
    <w:p w:rsidR="00672AB2" w:rsidRDefault="00F31918" w:rsidP="00672AB2">
      <w:pPr>
        <w:rPr>
          <w:lang w:eastAsia="en-GB"/>
        </w:rPr>
      </w:pPr>
      <w:r>
        <w:rPr>
          <w:lang w:eastAsia="en-GB"/>
        </w:rPr>
        <w:t>NOx is the grouped term for nitric oxide (NO) and nitrogen dioxide (NO</w:t>
      </w:r>
      <w:r>
        <w:rPr>
          <w:vertAlign w:val="subscript"/>
          <w:lang w:eastAsia="en-GB"/>
        </w:rPr>
        <w:t>2</w:t>
      </w:r>
      <w:r>
        <w:rPr>
          <w:lang w:eastAsia="en-GB"/>
        </w:rPr>
        <w:t>)</w:t>
      </w:r>
      <w:r>
        <w:rPr>
          <w:vertAlign w:val="subscript"/>
          <w:lang w:eastAsia="en-GB"/>
        </w:rPr>
        <w:t xml:space="preserve"> </w:t>
      </w:r>
      <w:r>
        <w:rPr>
          <w:lang w:eastAsia="en-GB"/>
        </w:rPr>
        <w:t>emissions, the principle source of NO is the oxidation of atmospheric nitrogen (N</w:t>
      </w:r>
      <w:r>
        <w:rPr>
          <w:vertAlign w:val="subscript"/>
          <w:lang w:eastAsia="en-GB"/>
        </w:rPr>
        <w:t>2</w:t>
      </w:r>
      <w:r>
        <w:rPr>
          <w:lang w:eastAsia="en-GB"/>
        </w:rPr>
        <w:t xml:space="preserve">). During combustion, at high temperatures, </w:t>
      </w:r>
      <w:r w:rsidRPr="00361AA5">
        <w:rPr>
          <w:lang w:eastAsia="en-GB"/>
        </w:rPr>
        <w:t>CO</w:t>
      </w:r>
      <w:r w:rsidRPr="00361AA5">
        <w:rPr>
          <w:vertAlign w:val="subscript"/>
          <w:lang w:eastAsia="en-GB"/>
        </w:rPr>
        <w:t>2</w:t>
      </w:r>
      <w:r>
        <w:rPr>
          <w:lang w:eastAsia="en-GB"/>
        </w:rPr>
        <w:t xml:space="preserve"> and H</w:t>
      </w:r>
      <w:r>
        <w:rPr>
          <w:vertAlign w:val="subscript"/>
          <w:lang w:eastAsia="en-GB"/>
        </w:rPr>
        <w:t>2</w:t>
      </w:r>
      <w:r>
        <w:rPr>
          <w:lang w:eastAsia="en-GB"/>
        </w:rPr>
        <w:t>O dissociate to produce free radicals of single O atoms that are unstable and attack N</w:t>
      </w:r>
      <w:r>
        <w:rPr>
          <w:vertAlign w:val="subscript"/>
          <w:lang w:eastAsia="en-GB"/>
        </w:rPr>
        <w:t>2</w:t>
      </w:r>
      <w:r>
        <w:rPr>
          <w:lang w:eastAsia="en-GB"/>
        </w:rPr>
        <w:t xml:space="preserve"> to </w:t>
      </w:r>
      <w:r w:rsidR="001306AC">
        <w:rPr>
          <w:lang w:eastAsia="en-GB"/>
        </w:rPr>
        <w:t>create NO or NO</w:t>
      </w:r>
      <w:r w:rsidR="001306AC">
        <w:rPr>
          <w:vertAlign w:val="subscript"/>
          <w:lang w:eastAsia="en-GB"/>
        </w:rPr>
        <w:t>2</w:t>
      </w:r>
      <w:r w:rsidR="001306AC">
        <w:rPr>
          <w:lang w:eastAsia="en-GB"/>
        </w:rPr>
        <w:t>. It is accepted that in combustion of near stoichiometric fuel-air mixtures, the principle reactions governing the formation of NO are:</w:t>
      </w:r>
    </w:p>
    <w:p w:rsidR="001306AC" w:rsidRPr="00957F77" w:rsidRDefault="001306AC" w:rsidP="00957F77">
      <w:pPr>
        <w:jc w:val="center"/>
        <w:rPr>
          <w:rFonts w:eastAsiaTheme="minorEastAsia"/>
          <w:vertAlign w:val="subscript"/>
          <w:lang w:eastAsia="en-GB"/>
        </w:rPr>
      </w:pPr>
      <m:oMathPara>
        <m:oMathParaPr>
          <m:jc m:val="center"/>
        </m:oMathParaPr>
        <m:oMath>
          <m:r>
            <w:rPr>
              <w:rFonts w:ascii="Cambria Math" w:hAnsi="Cambria Math"/>
              <w:lang w:eastAsia="en-GB"/>
            </w:rPr>
            <m:t>O+</m:t>
          </m:r>
          <m:r>
            <m:rPr>
              <m:sty m:val="p"/>
            </m:rPr>
            <w:rPr>
              <w:rFonts w:ascii="Cambria Math" w:hAnsi="Cambria Math"/>
              <w:lang w:eastAsia="en-GB"/>
            </w:rPr>
            <m:t>N</m:t>
          </m:r>
          <m:r>
            <m:rPr>
              <m:sty m:val="p"/>
            </m:rPr>
            <w:rPr>
              <w:rFonts w:ascii="Cambria Math" w:hAnsi="Cambria Math"/>
              <w:vertAlign w:val="subscript"/>
              <w:lang w:eastAsia="en-GB"/>
            </w:rPr>
            <m:t>2</m:t>
          </m:r>
          <m:r>
            <m:rPr>
              <m:sty m:val="p"/>
            </m:rPr>
            <w:rPr>
              <w:rFonts w:ascii="Cambria Math"/>
              <w:vertAlign w:val="subscript"/>
              <w:lang w:eastAsia="en-GB"/>
            </w:rPr>
            <m:t>=NO+N</m:t>
          </m:r>
        </m:oMath>
      </m:oMathPara>
    </w:p>
    <w:p w:rsidR="001306AC" w:rsidRPr="001306AC" w:rsidRDefault="001306AC" w:rsidP="00672AB2">
      <w:pPr>
        <w:rPr>
          <w:rFonts w:eastAsiaTheme="minorEastAsia"/>
          <w:lang w:eastAsia="en-GB"/>
        </w:rPr>
      </w:pPr>
      <m:oMathPara>
        <m:oMath>
          <m:r>
            <w:rPr>
              <w:rFonts w:ascii="Cambria Math" w:eastAsiaTheme="minorEastAsia" w:hAnsi="Cambria Math"/>
              <w:lang w:eastAsia="en-GB"/>
            </w:rPr>
            <m:t>N+</m:t>
          </m:r>
          <m:r>
            <m:rPr>
              <m:sty m:val="p"/>
            </m:rPr>
            <w:rPr>
              <w:rFonts w:ascii="Cambria Math" w:eastAsiaTheme="minorEastAsia" w:hAnsi="Cambria Math"/>
              <w:lang w:eastAsia="en-GB"/>
            </w:rPr>
            <m:t>O</m:t>
          </m:r>
          <m:r>
            <m:rPr>
              <m:sty m:val="p"/>
            </m:rPr>
            <w:rPr>
              <w:rFonts w:ascii="Cambria Math" w:eastAsiaTheme="minorEastAsia" w:hAnsi="Cambria Math"/>
              <w:vertAlign w:val="subscript"/>
              <w:lang w:eastAsia="en-GB"/>
            </w:rPr>
            <m:t>2</m:t>
          </m:r>
          <m:r>
            <m:rPr>
              <m:sty m:val="p"/>
            </m:rPr>
            <w:rPr>
              <w:rFonts w:ascii="Cambria Math" w:eastAsiaTheme="minorEastAsia"/>
              <w:lang w:eastAsia="en-GB"/>
            </w:rPr>
            <m:t>=NO+O</m:t>
          </m:r>
        </m:oMath>
      </m:oMathPara>
    </w:p>
    <w:p w:rsidR="00013402" w:rsidRPr="00977EAE" w:rsidRDefault="001306AC" w:rsidP="00672AB2">
      <w:pPr>
        <w:rPr>
          <w:rFonts w:eastAsiaTheme="minorEastAsia"/>
          <w:lang w:eastAsia="en-GB"/>
        </w:rPr>
      </w:pPr>
      <m:oMathPara>
        <m:oMath>
          <m:r>
            <w:rPr>
              <w:rFonts w:ascii="Cambria Math" w:eastAsiaTheme="minorEastAsia" w:hAnsi="Cambria Math"/>
              <w:lang w:eastAsia="en-GB"/>
            </w:rPr>
            <m:t>N+OH=NO+H</m:t>
          </m:r>
        </m:oMath>
      </m:oMathPara>
    </w:p>
    <w:p w:rsidR="00977EAE" w:rsidRDefault="00977EAE" w:rsidP="00672AB2">
      <w:pPr>
        <w:rPr>
          <w:rFonts w:eastAsiaTheme="minorEastAsia"/>
          <w:lang w:eastAsia="en-GB"/>
        </w:rPr>
      </w:pPr>
      <w:r>
        <w:rPr>
          <w:rFonts w:eastAsiaTheme="minorEastAsia"/>
          <w:lang w:eastAsia="en-GB"/>
        </w:rPr>
        <w:t>Th</w:t>
      </w:r>
      <w:r w:rsidR="00E67B14">
        <w:rPr>
          <w:rFonts w:eastAsiaTheme="minorEastAsia"/>
          <w:lang w:eastAsia="en-GB"/>
        </w:rPr>
        <w:t xml:space="preserve">ese reactions are the basis for the Zeldovich model that will be used </w:t>
      </w:r>
      <w:r w:rsidR="00825D4E">
        <w:rPr>
          <w:rFonts w:eastAsiaTheme="minorEastAsia"/>
          <w:lang w:eastAsia="en-GB"/>
        </w:rPr>
        <w:t>for</w:t>
      </w:r>
      <w:r w:rsidR="00E67B14">
        <w:rPr>
          <w:rFonts w:eastAsiaTheme="minorEastAsia"/>
          <w:lang w:eastAsia="en-GB"/>
        </w:rPr>
        <w:t xml:space="preserve"> building this model. </w:t>
      </w:r>
      <w:r w:rsidR="003E5008">
        <w:rPr>
          <w:rFonts w:eastAsiaTheme="minorEastAsia"/>
          <w:lang w:eastAsia="en-GB"/>
        </w:rPr>
        <w:t>The Zeldovich model is given as:</w:t>
      </w:r>
    </w:p>
    <w:p w:rsidR="003E5008" w:rsidRPr="00C875C3" w:rsidRDefault="00BE5AA0" w:rsidP="003E5008">
      <w:pPr>
        <w:rPr>
          <w:rFonts w:eastAsiaTheme="minorEastAsia"/>
        </w:rPr>
      </w:pPr>
      <m:oMathPara>
        <m:oMath>
          <m:f>
            <m:fPr>
              <m:ctrlPr>
                <w:rPr>
                  <w:rFonts w:ascii="Cambria Math" w:hAnsi="Cambria Math"/>
                  <w:i/>
                </w:rPr>
              </m:ctrlPr>
            </m:fPr>
            <m:num>
              <m:r>
                <w:rPr>
                  <w:rFonts w:ascii="Cambria Math" w:hAnsi="Cambria Math"/>
                </w:rPr>
                <m:t>d</m:t>
              </m:r>
              <m:d>
                <m:dPr>
                  <m:begChr m:val="["/>
                  <m:endChr m:val="]"/>
                  <m:ctrlPr>
                    <w:rPr>
                      <w:rFonts w:ascii="Cambria Math" w:hAnsi="Cambria Math"/>
                      <w:i/>
                    </w:rPr>
                  </m:ctrlPr>
                </m:dPr>
                <m:e>
                  <m:r>
                    <w:rPr>
                      <w:rFonts w:ascii="Cambria Math" w:hAnsi="Cambria Math"/>
                    </w:rPr>
                    <m:t>NO</m:t>
                  </m:r>
                </m:e>
              </m:d>
            </m:num>
            <m:den>
              <m:r>
                <w:rPr>
                  <w:rFonts w:ascii="Cambria Math" w:hAnsi="Cambria Math"/>
                </w:rPr>
                <m:t>dt</m:t>
              </m:r>
            </m:den>
          </m:f>
          <m:r>
            <w:rPr>
              <w:rFonts w:ascii="Cambria Math" w:hAnsi="Cambria Math"/>
            </w:rPr>
            <m:t>=4.17*</m:t>
          </m:r>
          <m:sSup>
            <m:sSupPr>
              <m:ctrlPr>
                <w:rPr>
                  <w:rFonts w:ascii="Cambria Math" w:hAnsi="Cambria Math"/>
                  <w:i/>
                </w:rPr>
              </m:ctrlPr>
            </m:sSupPr>
            <m:e>
              <m:r>
                <w:rPr>
                  <w:rFonts w:ascii="Cambria Math" w:hAnsi="Cambria Math"/>
                </w:rPr>
                <m:t>10</m:t>
              </m:r>
            </m:e>
            <m:sup>
              <m:r>
                <w:rPr>
                  <w:rFonts w:ascii="Cambria Math" w:hAnsi="Cambria Math"/>
                </w:rPr>
                <m:t>13</m:t>
              </m:r>
            </m:sup>
          </m:sSup>
          <m:r>
            <w:rPr>
              <w:rFonts w:ascii="Cambria Math" w:hAnsi="Cambria Math"/>
            </w:rPr>
            <m:t>*</m:t>
          </m:r>
          <m:d>
            <m:dPr>
              <m:begChr m:val="["/>
              <m:endChr m:val="]"/>
              <m:ctrlPr>
                <w:rPr>
                  <w:rFonts w:ascii="Cambria Math" w:hAnsi="Cambria Math"/>
                  <w:i/>
                </w:rPr>
              </m:ctrlPr>
            </m:dPr>
            <m:e>
              <m:r>
                <m:rPr>
                  <m:sty m:val="p"/>
                </m:rPr>
                <w:rPr>
                  <w:rFonts w:ascii="Cambria Math" w:eastAsiaTheme="minorEastAsia" w:hAnsi="Cambria Math"/>
                </w:rPr>
                <m:t>N</m:t>
              </m:r>
              <m:r>
                <m:rPr>
                  <m:sty m:val="p"/>
                </m:rPr>
                <w:rPr>
                  <w:rFonts w:ascii="Cambria Math" w:eastAsiaTheme="minorEastAsia" w:hAnsi="Cambria Math"/>
                  <w:vertAlign w:val="subscript"/>
                </w:rPr>
                <m:t>2</m:t>
              </m:r>
            </m:e>
          </m:d>
          <m:r>
            <w:rPr>
              <w:rFonts w:ascii="Cambria Math" w:hAnsi="Cambria Math"/>
            </w:rPr>
            <m:t>*</m:t>
          </m:r>
          <m:sSup>
            <m:sSupPr>
              <m:ctrlPr>
                <w:rPr>
                  <w:rFonts w:ascii="Cambria Math" w:hAnsi="Cambria Math"/>
                  <w:i/>
                </w:rPr>
              </m:ctrlPr>
            </m:sSupPr>
            <m:e>
              <m:d>
                <m:dPr>
                  <m:begChr m:val="["/>
                  <m:endChr m:val="]"/>
                  <m:ctrlPr>
                    <w:rPr>
                      <w:rFonts w:ascii="Cambria Math" w:hAnsi="Cambria Math"/>
                      <w:i/>
                    </w:rPr>
                  </m:ctrlPr>
                </m:dPr>
                <m:e>
                  <m:r>
                    <w:rPr>
                      <w:rFonts w:ascii="Cambria Math" w:hAnsi="Cambria Math"/>
                    </w:rPr>
                    <m:t>O2</m:t>
                  </m:r>
                </m:e>
              </m:d>
            </m:e>
            <m:sup>
              <m:r>
                <w:rPr>
                  <w:rFonts w:ascii="Cambria Math" w:hAnsi="Cambria Math"/>
                </w:rPr>
                <m:t>0.5</m:t>
              </m:r>
            </m:sup>
          </m:sSup>
          <m:r>
            <w:rPr>
              <w:rFonts w:ascii="Cambria Math" w:hAnsi="Cambria Math"/>
            </w:rPr>
            <m:t>*exp*(-</m:t>
          </m:r>
          <m:f>
            <m:fPr>
              <m:ctrlPr>
                <w:rPr>
                  <w:rFonts w:ascii="Cambria Math" w:hAnsi="Cambria Math"/>
                  <w:i/>
                </w:rPr>
              </m:ctrlPr>
            </m:fPr>
            <m:num>
              <m:r>
                <w:rPr>
                  <w:rFonts w:ascii="Cambria Math" w:hAnsi="Cambria Math"/>
                </w:rPr>
                <m:t>67837</m:t>
              </m:r>
            </m:num>
            <m:den>
              <m:r>
                <w:rPr>
                  <w:rFonts w:ascii="Cambria Math" w:hAnsi="Cambria Math"/>
                </w:rPr>
                <m:t>T</m:t>
              </m:r>
            </m:den>
          </m:f>
          <m:r>
            <w:rPr>
              <w:rFonts w:ascii="Cambria Math" w:hAnsi="Cambria Math"/>
            </w:rPr>
            <m:t>)</m:t>
          </m:r>
        </m:oMath>
      </m:oMathPara>
    </w:p>
    <w:p w:rsidR="003E5008" w:rsidRPr="00FF5AA2" w:rsidRDefault="003E5008" w:rsidP="00672AB2">
      <w:pPr>
        <w:rPr>
          <w:rFonts w:eastAsiaTheme="minorEastAsia"/>
          <w:lang w:eastAsia="en-GB"/>
        </w:rPr>
      </w:pPr>
      <w:r>
        <w:rPr>
          <w:rFonts w:eastAsiaTheme="minorEastAsia"/>
          <w:lang w:eastAsia="en-GB"/>
        </w:rPr>
        <w:t xml:space="preserve">The dependence of  </w:t>
      </w:r>
      <m:oMath>
        <m:f>
          <m:fPr>
            <m:ctrlPr>
              <w:rPr>
                <w:rFonts w:ascii="Cambria Math" w:hAnsi="Cambria Math"/>
                <w:i/>
              </w:rPr>
            </m:ctrlPr>
          </m:fPr>
          <m:num>
            <m:r>
              <w:rPr>
                <w:rFonts w:ascii="Cambria Math" w:hAnsi="Cambria Math"/>
              </w:rPr>
              <m:t>d</m:t>
            </m:r>
            <m:d>
              <m:dPr>
                <m:begChr m:val="["/>
                <m:endChr m:val="]"/>
                <m:ctrlPr>
                  <w:rPr>
                    <w:rFonts w:ascii="Cambria Math" w:hAnsi="Cambria Math"/>
                    <w:i/>
                  </w:rPr>
                </m:ctrlPr>
              </m:dPr>
              <m:e>
                <m:r>
                  <w:rPr>
                    <w:rFonts w:ascii="Cambria Math" w:hAnsi="Cambria Math"/>
                  </w:rPr>
                  <m:t>NO</m:t>
                </m:r>
              </m:e>
            </m:d>
          </m:num>
          <m:den>
            <m:r>
              <w:rPr>
                <w:rFonts w:ascii="Cambria Math" w:hAnsi="Cambria Math"/>
              </w:rPr>
              <m:t>dt</m:t>
            </m:r>
          </m:den>
        </m:f>
      </m:oMath>
      <w:r>
        <w:rPr>
          <w:rFonts w:eastAsiaTheme="minorEastAsia"/>
        </w:rPr>
        <w:t xml:space="preserve">  on temperature in the exponential term is evident. High concentrations of oxygen and high flame temperatures result in high NO formation rates. </w:t>
      </w:r>
      <w:sdt>
        <w:sdtPr>
          <w:rPr>
            <w:lang w:eastAsia="en-GB"/>
          </w:rPr>
          <w:id w:val="-397825620"/>
          <w:citation/>
        </w:sdtPr>
        <w:sdtContent>
          <w:r w:rsidR="00022C1D">
            <w:rPr>
              <w:lang w:eastAsia="en-GB"/>
            </w:rPr>
            <w:fldChar w:fldCharType="begin"/>
          </w:r>
          <w:r w:rsidR="00022C1D">
            <w:rPr>
              <w:lang w:eastAsia="en-GB"/>
            </w:rPr>
            <w:instrText xml:space="preserve"> CITATION Joh88 \l 2057 </w:instrText>
          </w:r>
          <w:r w:rsidR="00022C1D">
            <w:rPr>
              <w:lang w:eastAsia="en-GB"/>
            </w:rPr>
            <w:fldChar w:fldCharType="separate"/>
          </w:r>
          <w:r w:rsidR="00022C1D">
            <w:rPr>
              <w:noProof/>
              <w:lang w:eastAsia="en-GB"/>
            </w:rPr>
            <w:t>(Heywood, 1988)</w:t>
          </w:r>
          <w:r w:rsidR="00022C1D">
            <w:rPr>
              <w:lang w:eastAsia="en-GB"/>
            </w:rPr>
            <w:fldChar w:fldCharType="end"/>
          </w:r>
        </w:sdtContent>
      </w:sdt>
    </w:p>
    <w:p w:rsidR="001306AC" w:rsidRPr="001306AC" w:rsidRDefault="001306AC" w:rsidP="00672AB2">
      <w:pPr>
        <w:rPr>
          <w:rFonts w:eastAsiaTheme="minorEastAsia"/>
          <w:lang w:eastAsia="en-GB"/>
        </w:rPr>
      </w:pPr>
      <m:oMathPara>
        <m:oMath>
          <m:r>
            <w:rPr>
              <w:rFonts w:ascii="Cambria Math" w:eastAsiaTheme="minorEastAsia" w:hAnsi="Cambria Math"/>
              <w:lang w:eastAsia="en-GB"/>
            </w:rPr>
            <m:t xml:space="preserve"> </m:t>
          </m:r>
          <m:r>
            <m:rPr>
              <m:sty m:val="p"/>
            </m:rPr>
            <w:rPr>
              <w:rFonts w:eastAsiaTheme="minorEastAsia"/>
              <w:lang w:eastAsia="en-GB"/>
            </w:rPr>
            <w:br/>
          </m:r>
        </m:oMath>
      </m:oMathPara>
    </w:p>
    <w:p w:rsidR="00037244" w:rsidRDefault="00037244" w:rsidP="00005DD3">
      <w:pPr>
        <w:pStyle w:val="Heading1"/>
        <w:jc w:val="both"/>
        <w:rPr>
          <w:lang w:eastAsia="en-GB"/>
        </w:rPr>
      </w:pPr>
      <w:r>
        <w:rPr>
          <w:lang w:eastAsia="en-GB"/>
        </w:rPr>
        <w:br w:type="page"/>
      </w:r>
    </w:p>
    <w:p w:rsidR="002A17B3" w:rsidRDefault="00037244" w:rsidP="00F12CF7">
      <w:pPr>
        <w:pStyle w:val="Heading1"/>
        <w:numPr>
          <w:ilvl w:val="0"/>
          <w:numId w:val="14"/>
        </w:numPr>
        <w:rPr>
          <w:lang w:eastAsia="en-GB"/>
        </w:rPr>
      </w:pPr>
      <w:bookmarkStart w:id="5" w:name="_Toc503446549"/>
      <w:r>
        <w:rPr>
          <w:lang w:eastAsia="en-GB"/>
        </w:rPr>
        <w:lastRenderedPageBreak/>
        <w:t>Boundaries for the NOx Model</w:t>
      </w:r>
      <w:bookmarkEnd w:id="5"/>
      <w:r>
        <w:rPr>
          <w:lang w:eastAsia="en-GB"/>
        </w:rPr>
        <w:t xml:space="preserve"> </w:t>
      </w:r>
    </w:p>
    <w:p w:rsidR="00037244" w:rsidRDefault="00037244" w:rsidP="00037244">
      <w:pPr>
        <w:rPr>
          <w:lang w:eastAsia="en-GB"/>
        </w:rPr>
      </w:pPr>
      <w:r>
        <w:rPr>
          <w:lang w:eastAsia="en-GB"/>
        </w:rPr>
        <w:t xml:space="preserve"> The engine studied:</w:t>
      </w:r>
    </w:p>
    <w:p w:rsidR="00037244" w:rsidRDefault="00037244" w:rsidP="00037244">
      <w:pPr>
        <w:pStyle w:val="ListParagraph"/>
        <w:numPr>
          <w:ilvl w:val="0"/>
          <w:numId w:val="16"/>
        </w:numPr>
        <w:rPr>
          <w:lang w:eastAsia="en-GB"/>
        </w:rPr>
      </w:pPr>
      <w:r>
        <w:rPr>
          <w:lang w:eastAsia="en-GB"/>
        </w:rPr>
        <w:t>1600 cc, naturally aspirated.</w:t>
      </w:r>
    </w:p>
    <w:p w:rsidR="00037244" w:rsidRDefault="00037244" w:rsidP="00037244">
      <w:pPr>
        <w:pStyle w:val="ListParagraph"/>
        <w:numPr>
          <w:ilvl w:val="0"/>
          <w:numId w:val="16"/>
        </w:numPr>
        <w:rPr>
          <w:lang w:eastAsia="en-GB"/>
        </w:rPr>
      </w:pPr>
      <w:r>
        <w:rPr>
          <w:lang w:eastAsia="en-GB"/>
        </w:rPr>
        <w:t>Fixed engine speed of 1800 RPM to simulate a typical load during the NEDC test.</w:t>
      </w:r>
    </w:p>
    <w:p w:rsidR="00B75B86" w:rsidRDefault="00B75B86" w:rsidP="00037244">
      <w:pPr>
        <w:pStyle w:val="ListParagraph"/>
        <w:numPr>
          <w:ilvl w:val="0"/>
          <w:numId w:val="16"/>
        </w:numPr>
        <w:rPr>
          <w:lang w:eastAsia="en-GB"/>
        </w:rPr>
      </w:pPr>
      <w:r>
        <w:rPr>
          <w:lang w:eastAsia="en-GB"/>
        </w:rPr>
        <w:t xml:space="preserve">Volumetric efficiency of 40% </w:t>
      </w:r>
    </w:p>
    <w:p w:rsidR="00037244" w:rsidRDefault="00037244" w:rsidP="00037244">
      <w:pPr>
        <w:rPr>
          <w:lang w:eastAsia="en-GB"/>
        </w:rPr>
      </w:pPr>
      <w:r>
        <w:rPr>
          <w:lang w:eastAsia="en-GB"/>
        </w:rPr>
        <w:t>Model boundaries:</w:t>
      </w:r>
    </w:p>
    <w:p w:rsidR="00037244" w:rsidRDefault="00FC2697" w:rsidP="00037244">
      <w:pPr>
        <w:pStyle w:val="ListParagraph"/>
        <w:numPr>
          <w:ilvl w:val="0"/>
          <w:numId w:val="17"/>
        </w:numPr>
        <w:rPr>
          <w:lang w:eastAsia="en-GB"/>
        </w:rPr>
      </w:pPr>
      <w:r>
        <w:rPr>
          <w:lang w:eastAsia="en-GB"/>
        </w:rPr>
        <w:t>Region analysed will be the s</w:t>
      </w:r>
      <w:r w:rsidR="005946E3">
        <w:rPr>
          <w:lang w:eastAsia="en-GB"/>
        </w:rPr>
        <w:t>tart of combustion from a cylinder pressure of 10 bar, assuming linear pressure increase of 2 bar per degree of crank rotation, from 10 – 50 bar. Covering 20</w:t>
      </w:r>
      <w:r w:rsidR="005946E3">
        <w:rPr>
          <w:rFonts w:cstheme="minorHAnsi"/>
          <w:lang w:eastAsia="en-GB"/>
        </w:rPr>
        <w:t>°</w:t>
      </w:r>
      <w:r w:rsidR="005946E3">
        <w:rPr>
          <w:lang w:eastAsia="en-GB"/>
        </w:rPr>
        <w:t xml:space="preserve"> of crank rotation</w:t>
      </w:r>
      <w:r>
        <w:rPr>
          <w:lang w:eastAsia="en-GB"/>
        </w:rPr>
        <w:t>, in increments of 1</w:t>
      </w:r>
      <w:r>
        <w:rPr>
          <w:rFonts w:cstheme="minorHAnsi"/>
          <w:lang w:eastAsia="en-GB"/>
        </w:rPr>
        <w:t>°</w:t>
      </w:r>
      <w:r>
        <w:rPr>
          <w:lang w:eastAsia="en-GB"/>
        </w:rPr>
        <w:t>.</w:t>
      </w:r>
    </w:p>
    <w:p w:rsidR="005946E3" w:rsidRDefault="005946E3" w:rsidP="00037244">
      <w:pPr>
        <w:pStyle w:val="ListParagraph"/>
        <w:numPr>
          <w:ilvl w:val="0"/>
          <w:numId w:val="17"/>
        </w:numPr>
        <w:rPr>
          <w:lang w:eastAsia="en-GB"/>
        </w:rPr>
      </w:pPr>
      <w:r>
        <w:rPr>
          <w:lang w:eastAsia="en-GB"/>
        </w:rPr>
        <w:t>NOx concentration ([NOx] – KMOLS/m</w:t>
      </w:r>
      <w:r>
        <w:rPr>
          <w:rFonts w:cstheme="minorHAnsi"/>
          <w:lang w:eastAsia="en-GB"/>
        </w:rPr>
        <w:t>³</w:t>
      </w:r>
      <w:r>
        <w:rPr>
          <w:lang w:eastAsia="en-GB"/>
        </w:rPr>
        <w:t>) will be calculated from a fuel equivalence ratio (</w:t>
      </w:r>
      <w:r>
        <w:rPr>
          <w:rFonts w:cstheme="minorHAnsi"/>
          <w:lang w:eastAsia="en-GB"/>
        </w:rPr>
        <w:t>ф</w:t>
      </w:r>
      <w:r>
        <w:rPr>
          <w:lang w:eastAsia="en-GB"/>
        </w:rPr>
        <w:t>) from 0.6 to 0.99,</w:t>
      </w:r>
      <w:r w:rsidR="00FC2697">
        <w:rPr>
          <w:lang w:eastAsia="en-GB"/>
        </w:rPr>
        <w:t xml:space="preserve"> on the lean side of stochiometric. This will be in 0.5 increments f</w:t>
      </w:r>
      <w:r w:rsidR="00AE32B6">
        <w:rPr>
          <w:lang w:eastAsia="en-GB"/>
        </w:rPr>
        <w:t>ro</w:t>
      </w:r>
      <w:r w:rsidR="00FC2697">
        <w:rPr>
          <w:lang w:eastAsia="en-GB"/>
        </w:rPr>
        <w:t xml:space="preserve">m </w:t>
      </w:r>
      <w:r w:rsidR="00FC2697">
        <w:rPr>
          <w:rFonts w:cstheme="minorHAnsi"/>
          <w:lang w:eastAsia="en-GB"/>
        </w:rPr>
        <w:t>ф</w:t>
      </w:r>
      <w:r w:rsidR="00FC2697">
        <w:rPr>
          <w:lang w:eastAsia="en-GB"/>
        </w:rPr>
        <w:t xml:space="preserve"> = 0.6 to 0.95, the 0.01 increments </w:t>
      </w:r>
      <w:r w:rsidR="0031056F">
        <w:rPr>
          <w:lang w:eastAsia="en-GB"/>
        </w:rPr>
        <w:t>from</w:t>
      </w:r>
      <w:r w:rsidR="00FC2697">
        <w:rPr>
          <w:lang w:eastAsia="en-GB"/>
        </w:rPr>
        <w:t xml:space="preserve"> 0.95 to 0.99,</w:t>
      </w:r>
      <w:r>
        <w:rPr>
          <w:lang w:eastAsia="en-GB"/>
        </w:rPr>
        <w:t xml:space="preserve"> assuming the same pressure increase for each ratio. </w:t>
      </w:r>
    </w:p>
    <w:p w:rsidR="00B75B86" w:rsidRDefault="00B75B86" w:rsidP="00037244">
      <w:pPr>
        <w:pStyle w:val="ListParagraph"/>
        <w:numPr>
          <w:ilvl w:val="0"/>
          <w:numId w:val="17"/>
        </w:numPr>
        <w:rPr>
          <w:lang w:eastAsia="en-GB"/>
        </w:rPr>
      </w:pPr>
      <w:r>
        <w:rPr>
          <w:lang w:eastAsia="en-GB"/>
        </w:rPr>
        <w:t xml:space="preserve">Analysis of adding EGR will be taken at </w:t>
      </w:r>
      <w:r>
        <w:rPr>
          <w:rFonts w:cstheme="minorHAnsi"/>
          <w:lang w:eastAsia="en-GB"/>
        </w:rPr>
        <w:t>ф</w:t>
      </w:r>
      <w:r>
        <w:rPr>
          <w:lang w:eastAsia="en-GB"/>
        </w:rPr>
        <w:t xml:space="preserve"> = 0.95 in 1% increments from 0 to 30% by molar proportion.</w:t>
      </w:r>
    </w:p>
    <w:p w:rsidR="00FC2697" w:rsidRPr="00037244" w:rsidRDefault="00FC2697" w:rsidP="00B75B86">
      <w:pPr>
        <w:pStyle w:val="ListParagraph"/>
        <w:rPr>
          <w:lang w:eastAsia="en-GB"/>
        </w:rPr>
      </w:pPr>
    </w:p>
    <w:p w:rsidR="00634E57" w:rsidRDefault="00F12CF7" w:rsidP="00634E57">
      <w:pPr>
        <w:pStyle w:val="Heading1"/>
        <w:rPr>
          <w:lang w:eastAsia="en-GB"/>
        </w:rPr>
      </w:pPr>
      <w:r>
        <w:rPr>
          <w:lang w:eastAsia="en-GB"/>
        </w:rPr>
        <w:t xml:space="preserve">    </w:t>
      </w:r>
    </w:p>
    <w:p w:rsidR="00634E57" w:rsidRDefault="00634E57">
      <w:pPr>
        <w:rPr>
          <w:rFonts w:asciiTheme="majorHAnsi" w:eastAsiaTheme="majorEastAsia" w:hAnsiTheme="majorHAnsi" w:cstheme="majorBidi"/>
          <w:color w:val="2E74B5" w:themeColor="accent1" w:themeShade="BF"/>
          <w:sz w:val="32"/>
          <w:szCs w:val="32"/>
          <w:lang w:eastAsia="en-GB"/>
        </w:rPr>
      </w:pPr>
      <w:r>
        <w:rPr>
          <w:lang w:eastAsia="en-GB"/>
        </w:rPr>
        <w:br w:type="page"/>
      </w:r>
    </w:p>
    <w:p w:rsidR="00D97B35" w:rsidRDefault="009B2DE7" w:rsidP="00CB7E41">
      <w:pPr>
        <w:pStyle w:val="Heading1"/>
        <w:numPr>
          <w:ilvl w:val="0"/>
          <w:numId w:val="14"/>
        </w:numPr>
        <w:rPr>
          <w:lang w:eastAsia="en-GB"/>
        </w:rPr>
      </w:pPr>
      <w:bookmarkStart w:id="6" w:name="_Toc503446550"/>
      <w:r>
        <w:rPr>
          <w:lang w:eastAsia="en-GB"/>
        </w:rPr>
        <w:lastRenderedPageBreak/>
        <w:t>Building the NOx Model</w:t>
      </w:r>
      <w:bookmarkEnd w:id="6"/>
    </w:p>
    <w:p w:rsidR="00732215" w:rsidRDefault="00732215" w:rsidP="00732215">
      <w:pPr>
        <w:pStyle w:val="Heading2"/>
        <w:rPr>
          <w:lang w:eastAsia="en-GB"/>
        </w:rPr>
      </w:pPr>
    </w:p>
    <w:p w:rsidR="00732215" w:rsidRPr="00732215" w:rsidRDefault="009B2DE7" w:rsidP="00732215">
      <w:pPr>
        <w:pStyle w:val="Heading2"/>
        <w:rPr>
          <w:lang w:eastAsia="en-GB"/>
        </w:rPr>
      </w:pPr>
      <w:bookmarkStart w:id="7" w:name="_Toc503446551"/>
      <w:r>
        <w:rPr>
          <w:lang w:eastAsia="en-GB"/>
        </w:rPr>
        <w:t xml:space="preserve">4.1 </w:t>
      </w:r>
      <w:r w:rsidR="00732215">
        <w:rPr>
          <w:lang w:eastAsia="en-GB"/>
        </w:rPr>
        <w:t>Enthalpy tables</w:t>
      </w:r>
      <w:bookmarkEnd w:id="7"/>
      <w:r w:rsidR="00732215">
        <w:rPr>
          <w:lang w:eastAsia="en-GB"/>
        </w:rPr>
        <w:t xml:space="preserve"> </w:t>
      </w:r>
    </w:p>
    <w:p w:rsidR="005B228B" w:rsidRDefault="00035FA1" w:rsidP="00CB7E41">
      <w:pPr>
        <w:rPr>
          <w:lang w:eastAsia="en-GB"/>
        </w:rPr>
      </w:pPr>
      <w:r>
        <w:rPr>
          <w:lang w:eastAsia="en-GB"/>
        </w:rPr>
        <w:t xml:space="preserve">From the NASA tables, the amount of enthalpy required to heat 1 Kmol of a </w:t>
      </w:r>
      <w:r w:rsidR="005B228B">
        <w:rPr>
          <w:lang w:eastAsia="en-GB"/>
        </w:rPr>
        <w:t>molecule</w:t>
      </w:r>
      <w:r>
        <w:rPr>
          <w:lang w:eastAsia="en-GB"/>
        </w:rPr>
        <w:t xml:space="preserve"> by 1 Kelvin</w:t>
      </w:r>
      <w:r w:rsidR="005B228B">
        <w:rPr>
          <w:lang w:eastAsia="en-GB"/>
        </w:rPr>
        <w:t xml:space="preserve"> at constant pressure</w:t>
      </w:r>
      <w:r>
        <w:rPr>
          <w:lang w:eastAsia="en-GB"/>
        </w:rPr>
        <w:t xml:space="preserve"> can be determined.</w:t>
      </w:r>
      <w:r w:rsidR="00F5369E">
        <w:rPr>
          <w:lang w:eastAsia="en-GB"/>
        </w:rPr>
        <w:t xml:space="preserve"> Appendix A.</w:t>
      </w:r>
      <w:r>
        <w:rPr>
          <w:lang w:eastAsia="en-GB"/>
        </w:rPr>
        <w:t xml:space="preserve"> These figures are converted to MJ/Kmol for consistency of units. </w:t>
      </w:r>
      <w:r w:rsidR="005B228B">
        <w:rPr>
          <w:lang w:eastAsia="en-GB"/>
        </w:rPr>
        <w:t>To accurately interpolate between the quoted figures a polynomial trendline is created from the data available. Figure 4.1.</w:t>
      </w:r>
      <w:r w:rsidR="005C6A14">
        <w:rPr>
          <w:lang w:eastAsia="en-GB"/>
        </w:rPr>
        <w:t>1</w:t>
      </w:r>
    </w:p>
    <w:p w:rsidR="00732215" w:rsidRPr="00732215" w:rsidRDefault="00732215" w:rsidP="00732215">
      <w:pPr>
        <w:rPr>
          <w:lang w:eastAsia="en-GB"/>
        </w:rPr>
      </w:pPr>
    </w:p>
    <w:p w:rsidR="005B228B" w:rsidRDefault="001117A8" w:rsidP="005B228B">
      <w:pPr>
        <w:keepNext/>
      </w:pPr>
      <w:r>
        <w:rPr>
          <w:noProof/>
        </w:rPr>
        <w:drawing>
          <wp:inline distT="0" distB="0" distL="0" distR="0" wp14:anchorId="17A9344F" wp14:editId="6C34792B">
            <wp:extent cx="5731510" cy="3224530"/>
            <wp:effectExtent l="0" t="0" r="2540" b="13970"/>
            <wp:docPr id="1" name="Chart 1">
              <a:extLst xmlns:a="http://schemas.openxmlformats.org/drawingml/2006/main">
                <a:ext uri="{FF2B5EF4-FFF2-40B4-BE49-F238E27FC236}">
                  <a16:creationId xmlns:a16="http://schemas.microsoft.com/office/drawing/2014/main" id="{F2D2CFCC-8439-42D6-90AB-3421FE5659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B228B" w:rsidRDefault="005B228B" w:rsidP="005B228B">
      <w:pPr>
        <w:pStyle w:val="Caption"/>
      </w:pPr>
      <w:r>
        <w:t>Figure 4.</w:t>
      </w:r>
      <w:r w:rsidR="00643BAC">
        <w:t>1.1</w:t>
      </w:r>
      <w:r w:rsidR="003060FF">
        <w:t xml:space="preserve"> </w:t>
      </w:r>
      <w:r>
        <w:t xml:space="preserve">Polynomial </w:t>
      </w:r>
      <w:r w:rsidR="005E2FB5">
        <w:t>t</w:t>
      </w:r>
      <w:r>
        <w:t xml:space="preserve">rendline </w:t>
      </w:r>
      <w:r w:rsidR="004265BF">
        <w:t>of the 6</w:t>
      </w:r>
      <w:r w:rsidR="004265BF" w:rsidRPr="004265BF">
        <w:rPr>
          <w:vertAlign w:val="superscript"/>
        </w:rPr>
        <w:t>th</w:t>
      </w:r>
      <w:r w:rsidR="004265BF">
        <w:t xml:space="preserve"> order at 30 decimal places.  </w:t>
      </w:r>
    </w:p>
    <w:p w:rsidR="005B228B" w:rsidRDefault="005B228B" w:rsidP="00775827">
      <w:pPr>
        <w:rPr>
          <w:lang w:eastAsia="en-GB"/>
        </w:rPr>
      </w:pPr>
      <w:r>
        <w:t xml:space="preserve">From here a table of temperatures ranging from 200 K to </w:t>
      </w:r>
      <w:r w:rsidR="00A063E3">
        <w:t>5000</w:t>
      </w:r>
      <w:r>
        <w:t xml:space="preserve"> K can be made in increments of 1 K, for each </w:t>
      </w:r>
      <w:r w:rsidR="000C2177">
        <w:t xml:space="preserve">molecule, by using the polynomial equation to multiply by each temperature figure. </w:t>
      </w:r>
      <w:r w:rsidR="00D45B93">
        <w:t>Figure 4.</w:t>
      </w:r>
      <w:r w:rsidR="005C6A14">
        <w:t>1.2</w:t>
      </w:r>
      <w:r w:rsidR="00D45B93">
        <w:t xml:space="preserve"> for example</w:t>
      </w:r>
      <w:r w:rsidR="00732215">
        <w:t xml:space="preserve"> of </w:t>
      </w:r>
      <m:oMath>
        <m:sSub>
          <m:sSubPr>
            <m:ctrlPr>
              <w:rPr>
                <w:rFonts w:ascii="Cambria Math" w:hAnsi="Cambria Math"/>
                <w:i/>
                <w:lang w:eastAsia="en-GB"/>
              </w:rPr>
            </m:ctrlPr>
          </m:sSubPr>
          <m:e>
            <m:r>
              <w:rPr>
                <w:rFonts w:ascii="Cambria Math" w:hAnsi="Cambria Math"/>
                <w:lang w:eastAsia="en-GB"/>
              </w:rPr>
              <m:t>N</m:t>
            </m:r>
          </m:e>
          <m:sub>
            <m:r>
              <w:rPr>
                <w:rFonts w:ascii="Cambria Math" w:hAnsi="Cambria Math"/>
                <w:lang w:eastAsia="en-GB"/>
              </w:rPr>
              <m:t>2</m:t>
            </m:r>
          </m:sub>
        </m:sSub>
      </m:oMath>
      <w:r w:rsidR="00732215" w:rsidRPr="00775827">
        <w:rPr>
          <w:rFonts w:eastAsiaTheme="minorEastAsia"/>
          <w:lang w:eastAsia="en-GB"/>
        </w:rPr>
        <w:t xml:space="preserve"> at 20</w:t>
      </w:r>
      <w:r w:rsidR="00C863A2">
        <w:rPr>
          <w:rFonts w:eastAsiaTheme="minorEastAsia"/>
          <w:lang w:eastAsia="en-GB"/>
        </w:rPr>
        <w:t>4</w:t>
      </w:r>
      <w:r w:rsidR="00732215" w:rsidRPr="00775827">
        <w:rPr>
          <w:rFonts w:eastAsiaTheme="minorEastAsia"/>
          <w:lang w:eastAsia="en-GB"/>
        </w:rPr>
        <w:t xml:space="preserve"> K.</w:t>
      </w:r>
    </w:p>
    <w:p w:rsidR="00D45B93" w:rsidRDefault="00202979" w:rsidP="00D45B93">
      <w:pPr>
        <w:keepNext/>
      </w:pPr>
      <w:r>
        <w:rPr>
          <w:noProof/>
        </w:rPr>
        <w:lastRenderedPageBreak/>
        <w:drawing>
          <wp:inline distT="0" distB="0" distL="0" distR="0" wp14:anchorId="505D670C" wp14:editId="4B48B03C">
            <wp:extent cx="3848100" cy="32099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48100" cy="3209925"/>
                    </a:xfrm>
                    <a:prstGeom prst="rect">
                      <a:avLst/>
                    </a:prstGeom>
                  </pic:spPr>
                </pic:pic>
              </a:graphicData>
            </a:graphic>
          </wp:inline>
        </w:drawing>
      </w:r>
    </w:p>
    <w:p w:rsidR="000C2177" w:rsidRDefault="00D45B93" w:rsidP="00D45B93">
      <w:pPr>
        <w:pStyle w:val="Caption"/>
      </w:pPr>
      <w:r>
        <w:t>Figure 4.</w:t>
      </w:r>
      <w:r w:rsidR="00643BAC">
        <w:t>1.2</w:t>
      </w:r>
      <w:r>
        <w:t xml:space="preserve"> Polynomial </w:t>
      </w:r>
      <w:r w:rsidR="005E2FB5">
        <w:t>e</w:t>
      </w:r>
      <w:r>
        <w:t xml:space="preserve">quation </w:t>
      </w:r>
      <w:r w:rsidR="00732215">
        <w:t>to</w:t>
      </w:r>
      <w:r>
        <w:t xml:space="preserve"> </w:t>
      </w:r>
      <w:r w:rsidR="005E2FB5">
        <w:t>i</w:t>
      </w:r>
      <w:r w:rsidR="00732215">
        <w:t>nterpolate</w:t>
      </w:r>
      <w:r>
        <w:t xml:space="preserve"> </w:t>
      </w:r>
      <w:r w:rsidR="005E2FB5">
        <w:t>t</w:t>
      </w:r>
      <w:r>
        <w:t xml:space="preserve">emperature </w:t>
      </w:r>
      <w:r w:rsidR="005E2FB5">
        <w:t>v</w:t>
      </w:r>
      <w:r>
        <w:t>alues.</w:t>
      </w:r>
    </w:p>
    <w:p w:rsidR="00431850" w:rsidRPr="00431850" w:rsidRDefault="00431850" w:rsidP="00431850"/>
    <w:p w:rsidR="00604FEE" w:rsidRDefault="001D21EB" w:rsidP="00443B07">
      <w:pPr>
        <w:rPr>
          <w:rFonts w:eastAsiaTheme="minorEastAsia" w:cstheme="minorHAnsi"/>
          <w:lang w:eastAsia="en-GB"/>
        </w:rPr>
      </w:pPr>
      <w:r>
        <w:rPr>
          <w:rFonts w:eastAsiaTheme="minorEastAsia" w:cstheme="minorHAnsi"/>
          <w:lang w:eastAsia="en-GB"/>
        </w:rPr>
        <w:t xml:space="preserve">The net amount of enthalpy realised from </w:t>
      </w:r>
      <w:r w:rsidR="00FA0268">
        <w:rPr>
          <w:rFonts w:eastAsiaTheme="minorEastAsia" w:cstheme="minorHAnsi"/>
          <w:lang w:eastAsia="en-GB"/>
        </w:rPr>
        <w:t>I</w:t>
      </w:r>
      <w:r w:rsidR="00775827">
        <w:rPr>
          <w:rFonts w:eastAsiaTheme="minorEastAsia" w:cstheme="minorHAnsi"/>
          <w:lang w:eastAsia="en-GB"/>
        </w:rPr>
        <w:t>so-octane is calculated in Excel using a</w:t>
      </w:r>
      <w:r w:rsidR="00026985">
        <w:rPr>
          <w:rFonts w:eastAsiaTheme="minorEastAsia" w:cstheme="minorHAnsi"/>
          <w:lang w:eastAsia="en-GB"/>
        </w:rPr>
        <w:t>n</w:t>
      </w:r>
      <w:r w:rsidR="00775827">
        <w:rPr>
          <w:rFonts w:eastAsiaTheme="minorEastAsia" w:cstheme="minorHAnsi"/>
          <w:lang w:eastAsia="en-GB"/>
        </w:rPr>
        <w:t xml:space="preserve"> enthalpy calculator</w:t>
      </w:r>
      <w:r w:rsidR="00026985">
        <w:rPr>
          <w:rFonts w:eastAsiaTheme="minorEastAsia" w:cstheme="minorHAnsi"/>
          <w:lang w:eastAsia="en-GB"/>
        </w:rPr>
        <w:t>, Figure 4.</w:t>
      </w:r>
      <w:r w:rsidR="005C6A14">
        <w:rPr>
          <w:rFonts w:eastAsiaTheme="minorEastAsia" w:cstheme="minorHAnsi"/>
          <w:lang w:eastAsia="en-GB"/>
        </w:rPr>
        <w:t>1.3</w:t>
      </w:r>
      <w:r w:rsidR="00026985">
        <w:rPr>
          <w:rFonts w:eastAsiaTheme="minorEastAsia" w:cstheme="minorHAnsi"/>
          <w:lang w:eastAsia="en-GB"/>
        </w:rPr>
        <w:t xml:space="preserve"> This is assuming the enthalpy released using the HHV and </w:t>
      </w:r>
      <w:r w:rsidR="00FA0268">
        <w:rPr>
          <w:rFonts w:eastAsiaTheme="minorEastAsia" w:cstheme="minorHAnsi"/>
          <w:lang w:eastAsia="en-GB"/>
        </w:rPr>
        <w:t>an</w:t>
      </w:r>
      <w:r w:rsidR="00026985">
        <w:rPr>
          <w:rFonts w:eastAsiaTheme="minorEastAsia" w:cstheme="minorHAnsi"/>
          <w:lang w:eastAsia="en-GB"/>
        </w:rPr>
        <w:t xml:space="preserve"> enthalpy of formation figure of 208.45 MJ/Kmol, see Appendix </w:t>
      </w:r>
      <w:r w:rsidR="007E5176">
        <w:rPr>
          <w:rFonts w:eastAsiaTheme="minorEastAsia" w:cstheme="minorHAnsi"/>
          <w:lang w:eastAsia="en-GB"/>
        </w:rPr>
        <w:t>B</w:t>
      </w:r>
      <w:r w:rsidR="00026985">
        <w:rPr>
          <w:rFonts w:eastAsiaTheme="minorEastAsia" w:cstheme="minorHAnsi"/>
          <w:lang w:eastAsia="en-GB"/>
        </w:rPr>
        <w:t>.</w:t>
      </w:r>
      <w:r w:rsidR="00775827">
        <w:rPr>
          <w:rFonts w:eastAsiaTheme="minorEastAsia" w:cstheme="minorHAnsi"/>
          <w:lang w:eastAsia="en-GB"/>
        </w:rPr>
        <w:t xml:space="preserve"> </w:t>
      </w:r>
    </w:p>
    <w:p w:rsidR="00431850" w:rsidRDefault="00431850" w:rsidP="00443B07">
      <w:pPr>
        <w:rPr>
          <w:rFonts w:eastAsiaTheme="minorEastAsia" w:cstheme="minorHAnsi"/>
          <w:lang w:eastAsia="en-GB"/>
        </w:rPr>
      </w:pPr>
    </w:p>
    <w:p w:rsidR="00775827" w:rsidRDefault="00775827" w:rsidP="00775827">
      <w:pPr>
        <w:keepNext/>
      </w:pPr>
      <w:r>
        <w:rPr>
          <w:noProof/>
        </w:rPr>
        <w:drawing>
          <wp:inline distT="0" distB="0" distL="0" distR="0" wp14:anchorId="25E063A3" wp14:editId="26A998E1">
            <wp:extent cx="5731510" cy="35699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569970"/>
                    </a:xfrm>
                    <a:prstGeom prst="rect">
                      <a:avLst/>
                    </a:prstGeom>
                  </pic:spPr>
                </pic:pic>
              </a:graphicData>
            </a:graphic>
          </wp:inline>
        </w:drawing>
      </w:r>
    </w:p>
    <w:p w:rsidR="00775827" w:rsidRPr="00775827" w:rsidRDefault="00775827" w:rsidP="00775827">
      <w:pPr>
        <w:pStyle w:val="Caption"/>
      </w:pPr>
      <w:r>
        <w:t>Figure 4.</w:t>
      </w:r>
      <w:r w:rsidR="00643BAC">
        <w:t>1.</w:t>
      </w:r>
      <w:r>
        <w:t xml:space="preserve">3 Enthalpy </w:t>
      </w:r>
      <w:r w:rsidR="005E2FB5">
        <w:t>c</w:t>
      </w:r>
      <w:r>
        <w:t>alculator</w:t>
      </w:r>
    </w:p>
    <w:p w:rsidR="00BA102F" w:rsidRPr="00604FEE" w:rsidRDefault="00BA102F" w:rsidP="00443B07">
      <w:pPr>
        <w:rPr>
          <w:rFonts w:eastAsiaTheme="minorEastAsia" w:cstheme="minorHAnsi"/>
          <w:lang w:eastAsia="en-GB"/>
        </w:rPr>
      </w:pPr>
    </w:p>
    <w:p w:rsidR="00DC0C24" w:rsidRDefault="00DC0C24" w:rsidP="00443B07">
      <w:pPr>
        <w:rPr>
          <w:rFonts w:cstheme="minorHAnsi"/>
          <w:lang w:eastAsia="en-GB"/>
        </w:rPr>
      </w:pPr>
    </w:p>
    <w:p w:rsidR="00C00D84" w:rsidRDefault="00C00D84" w:rsidP="00443B07">
      <w:pPr>
        <w:rPr>
          <w:lang w:eastAsia="en-GB"/>
        </w:rPr>
      </w:pPr>
    </w:p>
    <w:p w:rsidR="00431850" w:rsidRDefault="00DD675C" w:rsidP="00443B07">
      <w:pPr>
        <w:rPr>
          <w:lang w:eastAsia="en-GB"/>
        </w:rPr>
      </w:pPr>
      <w:r>
        <w:rPr>
          <w:lang w:eastAsia="en-GB"/>
        </w:rPr>
        <w:t>A table can now be made to calculate the temperature of the products using the enthalpy available for each ф from stoichiometric to ф = 0.6. assuming that all heat released goes to warming the products</w:t>
      </w:r>
      <w:r w:rsidR="005D16F7">
        <w:rPr>
          <w:lang w:eastAsia="en-GB"/>
        </w:rPr>
        <w:t xml:space="preserve">, or where the error </w:t>
      </w:r>
      <w:r w:rsidR="0016340B">
        <w:rPr>
          <w:lang w:eastAsia="en-GB"/>
        </w:rPr>
        <w:t>column reaches zero.</w:t>
      </w:r>
      <w:r>
        <w:rPr>
          <w:lang w:eastAsia="en-GB"/>
        </w:rPr>
        <w:t xml:space="preserve"> Figure 4.</w:t>
      </w:r>
      <w:r w:rsidR="005C6A14">
        <w:rPr>
          <w:lang w:eastAsia="en-GB"/>
        </w:rPr>
        <w:t>1.4</w:t>
      </w:r>
    </w:p>
    <w:p w:rsidR="00DD675C" w:rsidRDefault="00901CB1" w:rsidP="00DD675C">
      <w:pPr>
        <w:keepNext/>
      </w:pPr>
      <w:r>
        <w:rPr>
          <w:noProof/>
        </w:rPr>
        <w:drawing>
          <wp:inline distT="0" distB="0" distL="0" distR="0" wp14:anchorId="7EF03596" wp14:editId="054F2562">
            <wp:extent cx="5731510" cy="259905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599055"/>
                    </a:xfrm>
                    <a:prstGeom prst="rect">
                      <a:avLst/>
                    </a:prstGeom>
                  </pic:spPr>
                </pic:pic>
              </a:graphicData>
            </a:graphic>
          </wp:inline>
        </w:drawing>
      </w:r>
    </w:p>
    <w:p w:rsidR="00DD675C" w:rsidRDefault="00DD675C" w:rsidP="00DD675C">
      <w:pPr>
        <w:pStyle w:val="Caption"/>
        <w:rPr>
          <w:lang w:eastAsia="en-GB"/>
        </w:rPr>
      </w:pPr>
      <w:r>
        <w:t>Figure 4.</w:t>
      </w:r>
      <w:r w:rsidR="00643BAC">
        <w:t>1.</w:t>
      </w:r>
      <w:r>
        <w:t>4</w:t>
      </w:r>
      <w:r w:rsidR="00901CB1">
        <w:t xml:space="preserve"> Enthalpy tables to determine TB1 flame temperatures. </w:t>
      </w:r>
    </w:p>
    <w:p w:rsidR="00C30E30" w:rsidRDefault="00C30E30">
      <w:pPr>
        <w:rPr>
          <w:lang w:eastAsia="en-GB"/>
        </w:rPr>
      </w:pPr>
      <w:r>
        <w:rPr>
          <w:lang w:eastAsia="en-GB"/>
        </w:rPr>
        <w:t xml:space="preserve">For ф = 0.99 </w:t>
      </w:r>
    </w:p>
    <w:tbl>
      <w:tblPr>
        <w:tblStyle w:val="TableGrid"/>
        <w:tblW w:w="0" w:type="auto"/>
        <w:tblLook w:val="04A0" w:firstRow="1" w:lastRow="0" w:firstColumn="1" w:lastColumn="0" w:noHBand="0" w:noVBand="1"/>
      </w:tblPr>
      <w:tblGrid>
        <w:gridCol w:w="2254"/>
        <w:gridCol w:w="2254"/>
        <w:gridCol w:w="2254"/>
        <w:gridCol w:w="2254"/>
      </w:tblGrid>
      <w:tr w:rsidR="00C30E30" w:rsidTr="00C30E30">
        <w:tc>
          <w:tcPr>
            <w:tcW w:w="2254" w:type="dxa"/>
          </w:tcPr>
          <w:p w:rsidR="00C30E30" w:rsidRDefault="00C30E30">
            <w:pPr>
              <w:rPr>
                <w:lang w:eastAsia="en-GB"/>
              </w:rPr>
            </w:pPr>
            <w:r>
              <w:rPr>
                <w:lang w:eastAsia="en-GB"/>
              </w:rPr>
              <w:t>T</w:t>
            </w:r>
          </w:p>
        </w:tc>
        <w:tc>
          <w:tcPr>
            <w:tcW w:w="2254" w:type="dxa"/>
          </w:tcPr>
          <w:p w:rsidR="00C30E30" w:rsidRDefault="00C30E30">
            <w:pPr>
              <w:rPr>
                <w:lang w:eastAsia="en-GB"/>
              </w:rPr>
            </w:pPr>
            <w:r>
              <w:rPr>
                <w:lang w:eastAsia="en-GB"/>
              </w:rPr>
              <w:t>Enthalpy Needed</w:t>
            </w:r>
          </w:p>
        </w:tc>
        <w:tc>
          <w:tcPr>
            <w:tcW w:w="2254" w:type="dxa"/>
          </w:tcPr>
          <w:p w:rsidR="00C30E30" w:rsidRDefault="00C30E30">
            <w:pPr>
              <w:rPr>
                <w:lang w:eastAsia="en-GB"/>
              </w:rPr>
            </w:pPr>
            <w:r>
              <w:rPr>
                <w:lang w:eastAsia="en-GB"/>
              </w:rPr>
              <w:t>Enthalpy Available</w:t>
            </w:r>
          </w:p>
        </w:tc>
        <w:tc>
          <w:tcPr>
            <w:tcW w:w="2254" w:type="dxa"/>
          </w:tcPr>
          <w:p w:rsidR="00C30E30" w:rsidRDefault="00C30E30">
            <w:pPr>
              <w:rPr>
                <w:lang w:eastAsia="en-GB"/>
              </w:rPr>
            </w:pPr>
            <w:r>
              <w:rPr>
                <w:lang w:eastAsia="en-GB"/>
              </w:rPr>
              <w:t>Error</w:t>
            </w:r>
          </w:p>
        </w:tc>
      </w:tr>
      <w:tr w:rsidR="00C30E30" w:rsidTr="00C30E30">
        <w:tc>
          <w:tcPr>
            <w:tcW w:w="2254" w:type="dxa"/>
          </w:tcPr>
          <w:p w:rsidR="00C30E30" w:rsidRDefault="00C30E30">
            <w:pPr>
              <w:rPr>
                <w:lang w:eastAsia="en-GB"/>
              </w:rPr>
            </w:pPr>
            <w:r>
              <w:rPr>
                <w:lang w:eastAsia="en-GB"/>
              </w:rPr>
              <w:t>2393</w:t>
            </w:r>
          </w:p>
        </w:tc>
        <w:tc>
          <w:tcPr>
            <w:tcW w:w="2254" w:type="dxa"/>
          </w:tcPr>
          <w:p w:rsidR="00C30E30" w:rsidRDefault="00C30E30">
            <w:pPr>
              <w:rPr>
                <w:lang w:eastAsia="en-GB"/>
              </w:rPr>
            </w:pPr>
            <w:r>
              <w:rPr>
                <w:lang w:eastAsia="en-GB"/>
              </w:rPr>
              <w:t>5063.</w:t>
            </w:r>
            <w:r w:rsidR="008957C6">
              <w:rPr>
                <w:lang w:eastAsia="en-GB"/>
              </w:rPr>
              <w:t>323</w:t>
            </w:r>
          </w:p>
        </w:tc>
        <w:tc>
          <w:tcPr>
            <w:tcW w:w="2254" w:type="dxa"/>
          </w:tcPr>
          <w:p w:rsidR="00C30E30" w:rsidRDefault="00C30E30">
            <w:pPr>
              <w:rPr>
                <w:lang w:eastAsia="en-GB"/>
              </w:rPr>
            </w:pPr>
            <w:r>
              <w:rPr>
                <w:lang w:eastAsia="en-GB"/>
              </w:rPr>
              <w:t>506</w:t>
            </w:r>
            <w:r w:rsidR="008957C6">
              <w:rPr>
                <w:lang w:eastAsia="en-GB"/>
              </w:rPr>
              <w:t>5</w:t>
            </w:r>
            <w:r>
              <w:rPr>
                <w:lang w:eastAsia="en-GB"/>
              </w:rPr>
              <w:t>.</w:t>
            </w:r>
            <w:r w:rsidR="008957C6">
              <w:rPr>
                <w:lang w:eastAsia="en-GB"/>
              </w:rPr>
              <w:t>018</w:t>
            </w:r>
          </w:p>
        </w:tc>
        <w:tc>
          <w:tcPr>
            <w:tcW w:w="2254" w:type="dxa"/>
          </w:tcPr>
          <w:p w:rsidR="00C30E30" w:rsidRDefault="00C30E30">
            <w:pPr>
              <w:rPr>
                <w:lang w:eastAsia="en-GB"/>
              </w:rPr>
            </w:pPr>
            <w:r>
              <w:rPr>
                <w:lang w:eastAsia="en-GB"/>
              </w:rPr>
              <w:t>1.</w:t>
            </w:r>
            <w:r w:rsidR="008957C6">
              <w:rPr>
                <w:lang w:eastAsia="en-GB"/>
              </w:rPr>
              <w:t>695</w:t>
            </w:r>
          </w:p>
        </w:tc>
      </w:tr>
      <w:tr w:rsidR="00C30E30" w:rsidTr="00C30E30">
        <w:tc>
          <w:tcPr>
            <w:tcW w:w="2254" w:type="dxa"/>
          </w:tcPr>
          <w:p w:rsidR="00C30E30" w:rsidRDefault="00C30E30">
            <w:pPr>
              <w:rPr>
                <w:lang w:eastAsia="en-GB"/>
              </w:rPr>
            </w:pPr>
            <w:r>
              <w:rPr>
                <w:lang w:eastAsia="en-GB"/>
              </w:rPr>
              <w:t>2394</w:t>
            </w:r>
          </w:p>
        </w:tc>
        <w:tc>
          <w:tcPr>
            <w:tcW w:w="2254" w:type="dxa"/>
          </w:tcPr>
          <w:p w:rsidR="00C30E30" w:rsidRDefault="00C30E30">
            <w:pPr>
              <w:rPr>
                <w:lang w:eastAsia="en-GB"/>
              </w:rPr>
            </w:pPr>
            <w:r>
              <w:rPr>
                <w:lang w:eastAsia="en-GB"/>
              </w:rPr>
              <w:t>5066.0</w:t>
            </w:r>
            <w:r w:rsidR="008957C6">
              <w:rPr>
                <w:lang w:eastAsia="en-GB"/>
              </w:rPr>
              <w:t>09</w:t>
            </w:r>
          </w:p>
        </w:tc>
        <w:tc>
          <w:tcPr>
            <w:tcW w:w="2254" w:type="dxa"/>
          </w:tcPr>
          <w:p w:rsidR="00C30E30" w:rsidRDefault="00C30E30">
            <w:pPr>
              <w:rPr>
                <w:lang w:eastAsia="en-GB"/>
              </w:rPr>
            </w:pPr>
            <w:r>
              <w:rPr>
                <w:lang w:eastAsia="en-GB"/>
              </w:rPr>
              <w:t>506</w:t>
            </w:r>
            <w:r w:rsidR="008957C6">
              <w:rPr>
                <w:lang w:eastAsia="en-GB"/>
              </w:rPr>
              <w:t>5</w:t>
            </w:r>
            <w:r>
              <w:rPr>
                <w:lang w:eastAsia="en-GB"/>
              </w:rPr>
              <w:t>.</w:t>
            </w:r>
            <w:r w:rsidR="008957C6">
              <w:rPr>
                <w:lang w:eastAsia="en-GB"/>
              </w:rPr>
              <w:t>018</w:t>
            </w:r>
          </w:p>
        </w:tc>
        <w:tc>
          <w:tcPr>
            <w:tcW w:w="2254" w:type="dxa"/>
          </w:tcPr>
          <w:p w:rsidR="00C30E30" w:rsidRDefault="00C30E30">
            <w:pPr>
              <w:rPr>
                <w:lang w:eastAsia="en-GB"/>
              </w:rPr>
            </w:pPr>
            <w:r>
              <w:rPr>
                <w:lang w:eastAsia="en-GB"/>
              </w:rPr>
              <w:t>-</w:t>
            </w:r>
            <w:r w:rsidR="008957C6">
              <w:rPr>
                <w:lang w:eastAsia="en-GB"/>
              </w:rPr>
              <w:t>0.99</w:t>
            </w:r>
          </w:p>
        </w:tc>
      </w:tr>
    </w:tbl>
    <w:p w:rsidR="00C30E30" w:rsidRDefault="00C30E30">
      <w:pPr>
        <w:rPr>
          <w:lang w:eastAsia="en-GB"/>
        </w:rPr>
      </w:pPr>
    </w:p>
    <w:p w:rsidR="00005DD3" w:rsidRDefault="00005DD3">
      <w:pPr>
        <w:rPr>
          <w:lang w:eastAsia="en-GB"/>
        </w:rPr>
      </w:pPr>
      <w:r>
        <w:rPr>
          <w:lang w:eastAsia="en-GB"/>
        </w:rPr>
        <w:br w:type="page"/>
      </w:r>
    </w:p>
    <w:p w:rsidR="00005DD3" w:rsidRDefault="009B2DE7" w:rsidP="00005DD3">
      <w:pPr>
        <w:pStyle w:val="Heading2"/>
        <w:rPr>
          <w:lang w:eastAsia="en-GB"/>
        </w:rPr>
      </w:pPr>
      <w:bookmarkStart w:id="8" w:name="_Toc503446552"/>
      <w:r>
        <w:rPr>
          <w:lang w:eastAsia="en-GB"/>
        </w:rPr>
        <w:lastRenderedPageBreak/>
        <w:t xml:space="preserve">4.2 </w:t>
      </w:r>
      <w:r w:rsidR="00005DD3">
        <w:rPr>
          <w:lang w:eastAsia="en-GB"/>
        </w:rPr>
        <w:t>Flame Temperatures</w:t>
      </w:r>
      <w:bookmarkEnd w:id="8"/>
      <w:r w:rsidR="00005DD3">
        <w:rPr>
          <w:lang w:eastAsia="en-GB"/>
        </w:rPr>
        <w:br/>
      </w:r>
    </w:p>
    <w:p w:rsidR="004D198B" w:rsidRDefault="004D198B">
      <w:pPr>
        <w:rPr>
          <w:lang w:eastAsia="en-GB"/>
        </w:rPr>
      </w:pPr>
      <w:r>
        <w:rPr>
          <w:lang w:eastAsia="en-GB"/>
        </w:rPr>
        <w:t>Exact flame temperature is calculated from these figures using:</w:t>
      </w:r>
    </w:p>
    <w:p w:rsidR="00C30E30" w:rsidRDefault="004D198B">
      <w:pPr>
        <w:rPr>
          <w:rFonts w:eastAsiaTheme="minorEastAsia"/>
          <w:lang w:eastAsia="en-GB"/>
        </w:rPr>
      </w:pPr>
      <m:oMathPara>
        <m:oMath>
          <m:r>
            <w:rPr>
              <w:rFonts w:ascii="Cambria Math" w:hAnsi="Cambria Math"/>
              <w:lang w:eastAsia="en-GB"/>
            </w:rPr>
            <m:t>T=2393+</m:t>
          </m:r>
          <m:f>
            <m:fPr>
              <m:ctrlPr>
                <w:rPr>
                  <w:rFonts w:ascii="Cambria Math" w:hAnsi="Cambria Math"/>
                  <w:i/>
                  <w:lang w:eastAsia="en-GB"/>
                </w:rPr>
              </m:ctrlPr>
            </m:fPr>
            <m:num>
              <m:r>
                <w:rPr>
                  <w:rFonts w:ascii="Cambria Math" w:hAnsi="Cambria Math"/>
                  <w:lang w:eastAsia="en-GB"/>
                </w:rPr>
                <m:t>5065.018-5063.323</m:t>
              </m:r>
            </m:num>
            <m:den>
              <m:r>
                <w:rPr>
                  <w:rFonts w:ascii="Cambria Math" w:hAnsi="Cambria Math"/>
                  <w:lang w:eastAsia="en-GB"/>
                </w:rPr>
                <m:t>5066.009-5063.323</m:t>
              </m:r>
            </m:den>
          </m:f>
          <m:r>
            <w:rPr>
              <w:rFonts w:ascii="Cambria Math" w:hAnsi="Cambria Math"/>
              <w:lang w:eastAsia="en-GB"/>
            </w:rPr>
            <m:t xml:space="preserve">*(2394-2393) </m:t>
          </m:r>
        </m:oMath>
      </m:oMathPara>
    </w:p>
    <w:p w:rsidR="004F4A46" w:rsidRDefault="004F4A46">
      <w:pPr>
        <w:rPr>
          <w:lang w:eastAsia="en-GB"/>
        </w:rPr>
      </w:pPr>
      <w:r>
        <w:rPr>
          <w:lang w:eastAsia="en-GB"/>
        </w:rPr>
        <w:t>This gives adiabatic flame temperatures for all functions of ф.</w:t>
      </w:r>
    </w:p>
    <w:tbl>
      <w:tblPr>
        <w:tblW w:w="2500" w:type="dxa"/>
        <w:tblLook w:val="04A0" w:firstRow="1" w:lastRow="0" w:firstColumn="1" w:lastColumn="0" w:noHBand="0" w:noVBand="1"/>
      </w:tblPr>
      <w:tblGrid>
        <w:gridCol w:w="960"/>
        <w:gridCol w:w="1540"/>
      </w:tblGrid>
      <w:tr w:rsidR="00A914E0" w:rsidRPr="00A914E0" w:rsidTr="00A914E0">
        <w:trPr>
          <w:trHeight w:val="360"/>
        </w:trPr>
        <w:tc>
          <w:tcPr>
            <w:tcW w:w="960" w:type="dxa"/>
            <w:tcBorders>
              <w:top w:val="nil"/>
              <w:left w:val="nil"/>
              <w:bottom w:val="nil"/>
              <w:right w:val="nil"/>
            </w:tcBorders>
            <w:shd w:val="clear" w:color="auto" w:fill="auto"/>
            <w:noWrap/>
            <w:vAlign w:val="bottom"/>
            <w:hideMark/>
          </w:tcPr>
          <w:p w:rsidR="00A914E0" w:rsidRPr="00A914E0" w:rsidRDefault="00A914E0" w:rsidP="00A914E0">
            <w:pPr>
              <w:spacing w:after="0" w:line="240" w:lineRule="auto"/>
              <w:rPr>
                <w:rFonts w:ascii="Calibri" w:eastAsia="Times New Roman" w:hAnsi="Calibri" w:cs="Calibri"/>
                <w:b/>
                <w:bCs/>
                <w:color w:val="44546A"/>
                <w:sz w:val="26"/>
                <w:szCs w:val="26"/>
                <w:lang w:eastAsia="en-GB"/>
              </w:rPr>
            </w:pPr>
            <w:r w:rsidRPr="00A914E0">
              <w:rPr>
                <w:rFonts w:ascii="Calibri" w:eastAsia="Times New Roman" w:hAnsi="Calibri" w:cs="Calibri"/>
                <w:b/>
                <w:bCs/>
                <w:color w:val="44546A"/>
                <w:sz w:val="26"/>
                <w:szCs w:val="26"/>
                <w:lang w:eastAsia="en-GB"/>
              </w:rPr>
              <w:t>Φ</w:t>
            </w:r>
          </w:p>
        </w:tc>
        <w:tc>
          <w:tcPr>
            <w:tcW w:w="1540" w:type="dxa"/>
            <w:tcBorders>
              <w:top w:val="nil"/>
              <w:left w:val="nil"/>
              <w:bottom w:val="nil"/>
              <w:right w:val="nil"/>
            </w:tcBorders>
            <w:shd w:val="clear" w:color="auto" w:fill="auto"/>
            <w:noWrap/>
            <w:vAlign w:val="bottom"/>
            <w:hideMark/>
          </w:tcPr>
          <w:p w:rsidR="00A914E0" w:rsidRPr="00A914E0" w:rsidRDefault="00A914E0" w:rsidP="00A914E0">
            <w:pPr>
              <w:spacing w:after="0" w:line="240" w:lineRule="auto"/>
              <w:rPr>
                <w:rFonts w:ascii="Calibri" w:eastAsia="Times New Roman" w:hAnsi="Calibri" w:cs="Calibri"/>
                <w:b/>
                <w:bCs/>
                <w:color w:val="44546A"/>
                <w:sz w:val="26"/>
                <w:szCs w:val="26"/>
                <w:lang w:eastAsia="en-GB"/>
              </w:rPr>
            </w:pPr>
            <w:r w:rsidRPr="00A914E0">
              <w:rPr>
                <w:rFonts w:ascii="Calibri" w:eastAsia="Times New Roman" w:hAnsi="Calibri" w:cs="Calibri"/>
                <w:b/>
                <w:bCs/>
                <w:color w:val="44546A"/>
                <w:sz w:val="26"/>
                <w:szCs w:val="26"/>
                <w:lang w:eastAsia="en-GB"/>
              </w:rPr>
              <w:t>Flame Temp</w:t>
            </w:r>
          </w:p>
        </w:tc>
      </w:tr>
      <w:tr w:rsidR="00A914E0" w:rsidRPr="00A914E0" w:rsidTr="00A914E0">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1</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2409.5336</w:t>
            </w:r>
          </w:p>
        </w:tc>
      </w:tr>
      <w:tr w:rsidR="00A914E0" w:rsidRPr="00A914E0" w:rsidTr="00A914E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0.99</w:t>
            </w:r>
          </w:p>
        </w:tc>
        <w:tc>
          <w:tcPr>
            <w:tcW w:w="1540" w:type="dxa"/>
            <w:tcBorders>
              <w:top w:val="nil"/>
              <w:left w:val="nil"/>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2393.631271</w:t>
            </w:r>
          </w:p>
        </w:tc>
      </w:tr>
      <w:tr w:rsidR="00A914E0" w:rsidRPr="00A914E0" w:rsidTr="00A914E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0.98</w:t>
            </w:r>
          </w:p>
        </w:tc>
        <w:tc>
          <w:tcPr>
            <w:tcW w:w="1540" w:type="dxa"/>
            <w:tcBorders>
              <w:top w:val="nil"/>
              <w:left w:val="nil"/>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2377.66079</w:t>
            </w:r>
          </w:p>
        </w:tc>
      </w:tr>
      <w:tr w:rsidR="00A914E0" w:rsidRPr="00A914E0" w:rsidTr="00A914E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0.97</w:t>
            </w:r>
          </w:p>
        </w:tc>
        <w:tc>
          <w:tcPr>
            <w:tcW w:w="1540" w:type="dxa"/>
            <w:tcBorders>
              <w:top w:val="nil"/>
              <w:left w:val="nil"/>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2361.621536</w:t>
            </w:r>
          </w:p>
        </w:tc>
      </w:tr>
      <w:tr w:rsidR="00A914E0" w:rsidRPr="00A914E0" w:rsidTr="00A914E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0.96</w:t>
            </w:r>
          </w:p>
        </w:tc>
        <w:tc>
          <w:tcPr>
            <w:tcW w:w="1540" w:type="dxa"/>
            <w:tcBorders>
              <w:top w:val="nil"/>
              <w:left w:val="nil"/>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2345.512894</w:t>
            </w:r>
          </w:p>
        </w:tc>
      </w:tr>
      <w:tr w:rsidR="00A914E0" w:rsidRPr="00A914E0" w:rsidTr="00A914E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0.95</w:t>
            </w:r>
          </w:p>
        </w:tc>
        <w:tc>
          <w:tcPr>
            <w:tcW w:w="1540" w:type="dxa"/>
            <w:tcBorders>
              <w:top w:val="nil"/>
              <w:left w:val="nil"/>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2329.334243</w:t>
            </w:r>
          </w:p>
        </w:tc>
      </w:tr>
      <w:tr w:rsidR="00A914E0" w:rsidRPr="00A914E0" w:rsidTr="00A914E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0.9</w:t>
            </w:r>
          </w:p>
        </w:tc>
        <w:tc>
          <w:tcPr>
            <w:tcW w:w="1540" w:type="dxa"/>
            <w:tcBorders>
              <w:top w:val="nil"/>
              <w:left w:val="nil"/>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2247.368152</w:t>
            </w:r>
          </w:p>
        </w:tc>
      </w:tr>
      <w:tr w:rsidR="00A914E0" w:rsidRPr="00A914E0" w:rsidTr="00A914E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0.85</w:t>
            </w:r>
          </w:p>
        </w:tc>
        <w:tc>
          <w:tcPr>
            <w:tcW w:w="1540" w:type="dxa"/>
            <w:tcBorders>
              <w:top w:val="nil"/>
              <w:left w:val="nil"/>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2163.55114</w:t>
            </w:r>
          </w:p>
        </w:tc>
      </w:tr>
      <w:tr w:rsidR="00A914E0" w:rsidRPr="00A914E0" w:rsidTr="00A914E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0.8</w:t>
            </w:r>
          </w:p>
        </w:tc>
        <w:tc>
          <w:tcPr>
            <w:tcW w:w="1540" w:type="dxa"/>
            <w:tcBorders>
              <w:top w:val="nil"/>
              <w:left w:val="nil"/>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2077.790543</w:t>
            </w:r>
          </w:p>
        </w:tc>
      </w:tr>
      <w:tr w:rsidR="00A914E0" w:rsidRPr="00A914E0" w:rsidTr="00A914E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0.75</w:t>
            </w:r>
          </w:p>
        </w:tc>
        <w:tc>
          <w:tcPr>
            <w:tcW w:w="1540" w:type="dxa"/>
            <w:tcBorders>
              <w:top w:val="nil"/>
              <w:left w:val="nil"/>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1989.983987</w:t>
            </w:r>
          </w:p>
        </w:tc>
      </w:tr>
      <w:tr w:rsidR="00A914E0" w:rsidRPr="00A914E0" w:rsidTr="00A914E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0.7</w:t>
            </w:r>
          </w:p>
        </w:tc>
        <w:tc>
          <w:tcPr>
            <w:tcW w:w="1540" w:type="dxa"/>
            <w:tcBorders>
              <w:top w:val="nil"/>
              <w:left w:val="nil"/>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1900.017952</w:t>
            </w:r>
          </w:p>
        </w:tc>
      </w:tr>
      <w:tr w:rsidR="00A914E0" w:rsidRPr="00A914E0" w:rsidTr="00A914E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0.65</w:t>
            </w:r>
          </w:p>
        </w:tc>
        <w:tc>
          <w:tcPr>
            <w:tcW w:w="1540" w:type="dxa"/>
            <w:tcBorders>
              <w:top w:val="nil"/>
              <w:left w:val="nil"/>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1807.7661</w:t>
            </w:r>
          </w:p>
        </w:tc>
      </w:tr>
      <w:tr w:rsidR="00A914E0" w:rsidRPr="00A914E0" w:rsidTr="00A914E0">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0.6</w:t>
            </w:r>
          </w:p>
        </w:tc>
        <w:tc>
          <w:tcPr>
            <w:tcW w:w="1540" w:type="dxa"/>
            <w:tcBorders>
              <w:top w:val="nil"/>
              <w:left w:val="nil"/>
              <w:bottom w:val="single" w:sz="4" w:space="0" w:color="auto"/>
              <w:right w:val="single" w:sz="4" w:space="0" w:color="auto"/>
            </w:tcBorders>
            <w:shd w:val="clear" w:color="auto" w:fill="auto"/>
            <w:noWrap/>
            <w:vAlign w:val="bottom"/>
            <w:hideMark/>
          </w:tcPr>
          <w:p w:rsidR="00A914E0" w:rsidRPr="00A914E0" w:rsidRDefault="00A914E0" w:rsidP="00A914E0">
            <w:pPr>
              <w:spacing w:after="0" w:line="240" w:lineRule="auto"/>
              <w:jc w:val="right"/>
              <w:rPr>
                <w:rFonts w:ascii="Calibri" w:eastAsia="Times New Roman" w:hAnsi="Calibri" w:cs="Calibri"/>
                <w:color w:val="000000"/>
                <w:lang w:eastAsia="en-GB"/>
              </w:rPr>
            </w:pPr>
            <w:r w:rsidRPr="00A914E0">
              <w:rPr>
                <w:rFonts w:ascii="Calibri" w:eastAsia="Times New Roman" w:hAnsi="Calibri" w:cs="Calibri"/>
                <w:color w:val="000000"/>
                <w:lang w:eastAsia="en-GB"/>
              </w:rPr>
              <w:t>1713.087272</w:t>
            </w:r>
          </w:p>
        </w:tc>
      </w:tr>
    </w:tbl>
    <w:p w:rsidR="004F4A46" w:rsidRDefault="00066389" w:rsidP="00066389">
      <w:pPr>
        <w:pStyle w:val="Caption"/>
        <w:rPr>
          <w:lang w:eastAsia="en-GB"/>
        </w:rPr>
      </w:pPr>
      <w:r>
        <w:t>Figure 4.</w:t>
      </w:r>
      <w:r w:rsidR="00643BAC">
        <w:t>2.1</w:t>
      </w:r>
      <w:r w:rsidR="00A914E0">
        <w:t xml:space="preserve"> TB1 flame temperatures. </w:t>
      </w:r>
    </w:p>
    <w:p w:rsidR="00066389" w:rsidRDefault="006D1D43">
      <w:pPr>
        <w:rPr>
          <w:lang w:eastAsia="en-GB"/>
        </w:rPr>
      </w:pPr>
      <w:r>
        <w:rPr>
          <w:lang w:eastAsia="en-GB"/>
        </w:rPr>
        <w:br w:type="page"/>
      </w:r>
      <w:r w:rsidR="00EE6940">
        <w:rPr>
          <w:lang w:eastAsia="en-GB"/>
        </w:rPr>
        <w:lastRenderedPageBreak/>
        <w:t>For</w:t>
      </w:r>
      <w:r w:rsidR="00066389">
        <w:rPr>
          <w:lang w:eastAsia="en-GB"/>
        </w:rPr>
        <w:t xml:space="preserve"> T</w:t>
      </w:r>
      <w:r w:rsidR="00066389" w:rsidRPr="00066389">
        <w:rPr>
          <w:vertAlign w:val="subscript"/>
          <w:lang w:eastAsia="en-GB"/>
        </w:rPr>
        <w:t>2</w:t>
      </w:r>
      <w:r w:rsidR="00066389">
        <w:rPr>
          <w:lang w:eastAsia="en-GB"/>
        </w:rPr>
        <w:t xml:space="preserve"> onwards use:</w:t>
      </w:r>
    </w:p>
    <w:p w:rsidR="00066389" w:rsidRPr="00066389" w:rsidRDefault="00066389">
      <w:pPr>
        <w:rPr>
          <w:rFonts w:eastAsiaTheme="minorEastAsia"/>
          <w:lang w:eastAsia="en-GB"/>
        </w:rPr>
      </w:pPr>
      <m:oMathPara>
        <m:oMath>
          <m:r>
            <m:rPr>
              <m:sty m:val="p"/>
            </m:rPr>
            <w:rPr>
              <w:rFonts w:ascii="Cambria Math" w:hAnsi="Cambria Math"/>
              <w:lang w:eastAsia="en-GB"/>
            </w:rPr>
            <m:t>T</m:t>
          </m:r>
          <m:r>
            <m:rPr>
              <m:sty m:val="p"/>
            </m:rPr>
            <w:rPr>
              <w:rFonts w:ascii="Cambria Math" w:hAnsi="Cambria Math"/>
              <w:vertAlign w:val="subscript"/>
              <w:lang w:eastAsia="en-GB"/>
            </w:rPr>
            <m:t>2</m:t>
          </m:r>
          <m:r>
            <w:rPr>
              <w:rFonts w:ascii="Cambria Math" w:hAnsi="Cambria Math"/>
              <w:lang w:eastAsia="en-GB"/>
            </w:rPr>
            <m:t>=T1*</m:t>
          </m:r>
          <m:sSup>
            <m:sSupPr>
              <m:ctrlPr>
                <w:rPr>
                  <w:rFonts w:ascii="Cambria Math" w:hAnsi="Cambria Math"/>
                  <w:i/>
                  <w:lang w:eastAsia="en-GB"/>
                </w:rPr>
              </m:ctrlPr>
            </m:sSupPr>
            <m:e>
              <m:d>
                <m:dPr>
                  <m:ctrlPr>
                    <w:rPr>
                      <w:rFonts w:ascii="Cambria Math" w:hAnsi="Cambria Math"/>
                      <w:i/>
                      <w:lang w:eastAsia="en-GB"/>
                    </w:rPr>
                  </m:ctrlPr>
                </m:dPr>
                <m:e>
                  <m:f>
                    <m:fPr>
                      <m:ctrlPr>
                        <w:rPr>
                          <w:rFonts w:ascii="Cambria Math" w:hAnsi="Cambria Math"/>
                          <w:i/>
                          <w:lang w:eastAsia="en-GB"/>
                        </w:rPr>
                      </m:ctrlPr>
                    </m:fPr>
                    <m:num>
                      <m:r>
                        <w:rPr>
                          <w:rFonts w:ascii="Cambria Math" w:hAnsi="Cambria Math"/>
                          <w:lang w:eastAsia="en-GB"/>
                        </w:rPr>
                        <m:t>P2</m:t>
                      </m:r>
                    </m:num>
                    <m:den>
                      <m:r>
                        <w:rPr>
                          <w:rFonts w:ascii="Cambria Math" w:hAnsi="Cambria Math"/>
                          <w:lang w:eastAsia="en-GB"/>
                        </w:rPr>
                        <m:t>P1</m:t>
                      </m:r>
                    </m:den>
                  </m:f>
                </m:e>
              </m:d>
            </m:e>
            <m:sup>
              <m:r>
                <w:rPr>
                  <w:rFonts w:ascii="Cambria Math" w:hAnsi="Cambria Math"/>
                  <w:lang w:eastAsia="en-GB"/>
                </w:rPr>
                <m:t>n-</m:t>
              </m:r>
              <m:f>
                <m:fPr>
                  <m:ctrlPr>
                    <w:rPr>
                      <w:rFonts w:ascii="Cambria Math" w:hAnsi="Cambria Math"/>
                      <w:i/>
                      <w:lang w:eastAsia="en-GB"/>
                    </w:rPr>
                  </m:ctrlPr>
                </m:fPr>
                <m:num>
                  <m:r>
                    <w:rPr>
                      <w:rFonts w:ascii="Cambria Math" w:hAnsi="Cambria Math"/>
                      <w:lang w:eastAsia="en-GB"/>
                    </w:rPr>
                    <m:t>1</m:t>
                  </m:r>
                </m:num>
                <m:den>
                  <m:r>
                    <w:rPr>
                      <w:rFonts w:ascii="Cambria Math" w:hAnsi="Cambria Math"/>
                      <w:lang w:eastAsia="en-GB"/>
                    </w:rPr>
                    <m:t>1</m:t>
                  </m:r>
                </m:den>
              </m:f>
            </m:sup>
          </m:sSup>
        </m:oMath>
      </m:oMathPara>
    </w:p>
    <w:p w:rsidR="00066389" w:rsidRDefault="00066389">
      <w:pPr>
        <w:rPr>
          <w:lang w:eastAsia="en-GB"/>
        </w:rPr>
      </w:pPr>
      <w:r>
        <w:rPr>
          <w:lang w:eastAsia="en-GB"/>
        </w:rPr>
        <w:t>Where</w:t>
      </w:r>
      <w:r w:rsidR="00CC3168">
        <w:rPr>
          <w:lang w:eastAsia="en-GB"/>
        </w:rPr>
        <w:t xml:space="preserve"> n is the polytropic index at</w:t>
      </w:r>
      <w:r w:rsidR="007F54F4">
        <w:rPr>
          <w:lang w:eastAsia="en-GB"/>
        </w:rPr>
        <w:t xml:space="preserve"> n =</w:t>
      </w:r>
      <w:r w:rsidR="00CC3168">
        <w:rPr>
          <w:lang w:eastAsia="en-GB"/>
        </w:rPr>
        <w:t xml:space="preserve"> 1.2</w:t>
      </w:r>
      <w:r w:rsidR="00E74CB1">
        <w:rPr>
          <w:lang w:eastAsia="en-GB"/>
        </w:rPr>
        <w:t xml:space="preserve"> </w:t>
      </w:r>
    </w:p>
    <w:p w:rsidR="00CC3168" w:rsidRDefault="00CC3168">
      <w:pPr>
        <w:rPr>
          <w:lang w:eastAsia="en-GB"/>
        </w:rPr>
      </w:pPr>
    </w:p>
    <w:tbl>
      <w:tblPr>
        <w:tblW w:w="7020" w:type="dxa"/>
        <w:tblLook w:val="04A0" w:firstRow="1" w:lastRow="0" w:firstColumn="1" w:lastColumn="0" w:noHBand="0" w:noVBand="1"/>
      </w:tblPr>
      <w:tblGrid>
        <w:gridCol w:w="960"/>
        <w:gridCol w:w="1540"/>
        <w:gridCol w:w="1460"/>
        <w:gridCol w:w="1500"/>
        <w:gridCol w:w="1560"/>
      </w:tblGrid>
      <w:tr w:rsidR="001D443F" w:rsidRPr="001D443F" w:rsidTr="001D443F">
        <w:trPr>
          <w:trHeight w:val="300"/>
        </w:trPr>
        <w:tc>
          <w:tcPr>
            <w:tcW w:w="960" w:type="dxa"/>
            <w:tcBorders>
              <w:top w:val="single" w:sz="4" w:space="0" w:color="auto"/>
              <w:left w:val="single" w:sz="4" w:space="0" w:color="auto"/>
              <w:bottom w:val="single" w:sz="4" w:space="0" w:color="auto"/>
              <w:right w:val="single" w:sz="4" w:space="0" w:color="auto"/>
            </w:tcBorders>
            <w:shd w:val="clear" w:color="000000" w:fill="9BC2E6"/>
            <w:noWrap/>
            <w:vAlign w:val="bottom"/>
            <w:hideMark/>
          </w:tcPr>
          <w:p w:rsidR="001D443F" w:rsidRPr="001D443F" w:rsidRDefault="001D443F" w:rsidP="001D443F">
            <w:pPr>
              <w:spacing w:after="0" w:line="240" w:lineRule="auto"/>
              <w:rPr>
                <w:rFonts w:ascii="Calibri" w:eastAsia="Times New Roman" w:hAnsi="Calibri" w:cs="Calibri"/>
                <w:color w:val="000000"/>
                <w:lang w:eastAsia="en-GB"/>
              </w:rPr>
            </w:pPr>
            <w:r w:rsidRPr="001D443F">
              <w:rPr>
                <w:rFonts w:ascii="Calibri" w:eastAsia="Times New Roman" w:hAnsi="Calibri" w:cs="Calibri"/>
                <w:color w:val="000000"/>
                <w:lang w:eastAsia="en-GB"/>
              </w:rPr>
              <w:t>Ѳ</w:t>
            </w:r>
          </w:p>
        </w:tc>
        <w:tc>
          <w:tcPr>
            <w:tcW w:w="1540" w:type="dxa"/>
            <w:tcBorders>
              <w:top w:val="single" w:sz="4" w:space="0" w:color="auto"/>
              <w:left w:val="nil"/>
              <w:bottom w:val="single" w:sz="4" w:space="0" w:color="auto"/>
              <w:right w:val="single" w:sz="4" w:space="0" w:color="auto"/>
            </w:tcBorders>
            <w:shd w:val="clear" w:color="000000" w:fill="9BC2E6"/>
            <w:noWrap/>
            <w:vAlign w:val="bottom"/>
            <w:hideMark/>
          </w:tcPr>
          <w:p w:rsidR="001D443F" w:rsidRPr="001D443F" w:rsidRDefault="001D443F" w:rsidP="001D443F">
            <w:pPr>
              <w:spacing w:after="0" w:line="240" w:lineRule="auto"/>
              <w:rPr>
                <w:rFonts w:ascii="Calibri" w:eastAsia="Times New Roman" w:hAnsi="Calibri" w:cs="Calibri"/>
                <w:color w:val="000000"/>
                <w:lang w:eastAsia="en-GB"/>
              </w:rPr>
            </w:pPr>
            <w:r w:rsidRPr="001D443F">
              <w:rPr>
                <w:rFonts w:ascii="Calibri" w:eastAsia="Times New Roman" w:hAnsi="Calibri" w:cs="Calibri"/>
                <w:color w:val="000000"/>
                <w:lang w:eastAsia="en-GB"/>
              </w:rPr>
              <w:t>P</w:t>
            </w:r>
          </w:p>
        </w:tc>
        <w:tc>
          <w:tcPr>
            <w:tcW w:w="1460" w:type="dxa"/>
            <w:tcBorders>
              <w:top w:val="single" w:sz="4" w:space="0" w:color="auto"/>
              <w:left w:val="nil"/>
              <w:bottom w:val="single" w:sz="4" w:space="0" w:color="auto"/>
              <w:right w:val="single" w:sz="4" w:space="0" w:color="auto"/>
            </w:tcBorders>
            <w:shd w:val="clear" w:color="000000" w:fill="9BC2E6"/>
            <w:noWrap/>
            <w:vAlign w:val="bottom"/>
            <w:hideMark/>
          </w:tcPr>
          <w:p w:rsidR="001D443F" w:rsidRPr="001D443F" w:rsidRDefault="001D443F" w:rsidP="001D443F">
            <w:pPr>
              <w:spacing w:after="0" w:line="240" w:lineRule="auto"/>
              <w:rPr>
                <w:rFonts w:ascii="Calibri" w:eastAsia="Times New Roman" w:hAnsi="Calibri" w:cs="Calibri"/>
                <w:color w:val="000000"/>
                <w:lang w:eastAsia="en-GB"/>
              </w:rPr>
            </w:pPr>
            <w:r w:rsidRPr="001D443F">
              <w:rPr>
                <w:rFonts w:ascii="Calibri" w:eastAsia="Times New Roman" w:hAnsi="Calibri" w:cs="Calibri"/>
                <w:color w:val="000000"/>
                <w:lang w:eastAsia="en-GB"/>
              </w:rPr>
              <w:t>TB 1 (K)</w:t>
            </w:r>
          </w:p>
        </w:tc>
        <w:tc>
          <w:tcPr>
            <w:tcW w:w="1500" w:type="dxa"/>
            <w:tcBorders>
              <w:top w:val="single" w:sz="4" w:space="0" w:color="auto"/>
              <w:left w:val="nil"/>
              <w:bottom w:val="single" w:sz="4" w:space="0" w:color="auto"/>
              <w:right w:val="single" w:sz="4" w:space="0" w:color="auto"/>
            </w:tcBorders>
            <w:shd w:val="clear" w:color="000000" w:fill="9BC2E6"/>
            <w:noWrap/>
            <w:vAlign w:val="bottom"/>
            <w:hideMark/>
          </w:tcPr>
          <w:p w:rsidR="001D443F" w:rsidRPr="001D443F" w:rsidRDefault="001D443F" w:rsidP="001D443F">
            <w:pPr>
              <w:spacing w:after="0" w:line="240" w:lineRule="auto"/>
              <w:rPr>
                <w:rFonts w:ascii="Calibri" w:eastAsia="Times New Roman" w:hAnsi="Calibri" w:cs="Calibri"/>
                <w:color w:val="000000"/>
                <w:lang w:eastAsia="en-GB"/>
              </w:rPr>
            </w:pPr>
            <w:r w:rsidRPr="001D443F">
              <w:rPr>
                <w:rFonts w:ascii="Calibri" w:eastAsia="Times New Roman" w:hAnsi="Calibri" w:cs="Calibri"/>
                <w:color w:val="000000"/>
                <w:lang w:eastAsia="en-GB"/>
              </w:rPr>
              <w:t>TB 0.99</w:t>
            </w:r>
          </w:p>
        </w:tc>
        <w:tc>
          <w:tcPr>
            <w:tcW w:w="1560" w:type="dxa"/>
            <w:tcBorders>
              <w:top w:val="single" w:sz="4" w:space="0" w:color="auto"/>
              <w:left w:val="nil"/>
              <w:bottom w:val="single" w:sz="4" w:space="0" w:color="auto"/>
              <w:right w:val="single" w:sz="4" w:space="0" w:color="auto"/>
            </w:tcBorders>
            <w:shd w:val="clear" w:color="000000" w:fill="9BC2E6"/>
            <w:noWrap/>
            <w:vAlign w:val="bottom"/>
            <w:hideMark/>
          </w:tcPr>
          <w:p w:rsidR="001D443F" w:rsidRPr="001D443F" w:rsidRDefault="001D443F" w:rsidP="001D443F">
            <w:pPr>
              <w:spacing w:after="0" w:line="240" w:lineRule="auto"/>
              <w:rPr>
                <w:rFonts w:ascii="Calibri" w:eastAsia="Times New Roman" w:hAnsi="Calibri" w:cs="Calibri"/>
                <w:color w:val="000000"/>
                <w:lang w:eastAsia="en-GB"/>
              </w:rPr>
            </w:pPr>
            <w:r w:rsidRPr="001D443F">
              <w:rPr>
                <w:rFonts w:ascii="Calibri" w:eastAsia="Times New Roman" w:hAnsi="Calibri" w:cs="Calibri"/>
                <w:color w:val="000000"/>
                <w:lang w:eastAsia="en-GB"/>
              </w:rPr>
              <w:t>TB 0.98</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0</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10</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2409.5336</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2393.631271</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2377.66079</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1</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12</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2483.875692</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2467.482744</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2451.019522</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14</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2548.517708</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2531.69814</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2514.806467</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16</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2605.871404</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2588.673316</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2571.401501</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4</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18</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2657.531374</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2639.992344</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2622.378125</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5</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20</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2704.609996</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2686.760259</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2668.834001</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6</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22</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2747.915854</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2729.780309</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2711.567018</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7</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24</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2788.056196</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2769.655735</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2751.176393</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8</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26</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2825.499323</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2806.851747</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2788.12423</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9</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28</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2860.614407</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2841.73508</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2822.774818</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10</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30</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2893.69792</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2874.60025</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2855.42071</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11</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32</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2924.991753</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2905.687552</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2886.300596</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12</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34</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2954.695988</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2935.195747</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2915.611909</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13</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36</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2982.97811</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2963.291214</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2943.519921</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14</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38</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3009.979809</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2990.114709</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2970.164448</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15</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40</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3035.822076</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3015.786424</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2995.664879</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16</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42</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3060.609096</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3040.409855</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3020.124022</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17</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44</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3084.431258</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3064.074797</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3043.631069</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18</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46</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3107.367517</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3086.859683</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3066.263932</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19</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48</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3129.487269</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3108.83345</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3088.091089</w:t>
            </w:r>
          </w:p>
        </w:tc>
      </w:tr>
      <w:tr w:rsidR="001D443F" w:rsidRPr="001D443F" w:rsidTr="001D443F">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20</w:t>
            </w:r>
          </w:p>
        </w:tc>
        <w:tc>
          <w:tcPr>
            <w:tcW w:w="154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50</w:t>
            </w:r>
          </w:p>
        </w:tc>
        <w:tc>
          <w:tcPr>
            <w:tcW w:w="14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3150.851851</w:t>
            </w:r>
          </w:p>
        </w:tc>
        <w:tc>
          <w:tcPr>
            <w:tcW w:w="150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3130.057031</w:t>
            </w:r>
          </w:p>
        </w:tc>
        <w:tc>
          <w:tcPr>
            <w:tcW w:w="1560" w:type="dxa"/>
            <w:tcBorders>
              <w:top w:val="nil"/>
              <w:left w:val="nil"/>
              <w:bottom w:val="single" w:sz="4" w:space="0" w:color="auto"/>
              <w:right w:val="single" w:sz="4" w:space="0" w:color="auto"/>
            </w:tcBorders>
            <w:shd w:val="clear" w:color="auto" w:fill="auto"/>
            <w:noWrap/>
            <w:vAlign w:val="bottom"/>
            <w:hideMark/>
          </w:tcPr>
          <w:p w:rsidR="001D443F" w:rsidRPr="001D443F" w:rsidRDefault="001D443F" w:rsidP="001D443F">
            <w:pPr>
              <w:spacing w:after="0" w:line="240" w:lineRule="auto"/>
              <w:jc w:val="right"/>
              <w:rPr>
                <w:rFonts w:ascii="Calibri" w:eastAsia="Times New Roman" w:hAnsi="Calibri" w:cs="Calibri"/>
                <w:color w:val="000000"/>
                <w:lang w:eastAsia="en-GB"/>
              </w:rPr>
            </w:pPr>
            <w:r w:rsidRPr="001D443F">
              <w:rPr>
                <w:rFonts w:ascii="Calibri" w:eastAsia="Times New Roman" w:hAnsi="Calibri" w:cs="Calibri"/>
                <w:color w:val="000000"/>
                <w:lang w:eastAsia="en-GB"/>
              </w:rPr>
              <w:t>3109.173065</w:t>
            </w:r>
          </w:p>
        </w:tc>
      </w:tr>
    </w:tbl>
    <w:p w:rsidR="00066389" w:rsidRDefault="00066389" w:rsidP="00066389">
      <w:pPr>
        <w:pStyle w:val="Caption"/>
      </w:pPr>
      <w:r>
        <w:t>Figure 4.</w:t>
      </w:r>
      <w:r w:rsidR="00643BAC">
        <w:t>2.2</w:t>
      </w:r>
      <w:r>
        <w:t xml:space="preserve"> Flame </w:t>
      </w:r>
      <w:r w:rsidR="005E2FB5">
        <w:t>t</w:t>
      </w:r>
      <w:r>
        <w:t xml:space="preserve">emperature </w:t>
      </w:r>
      <w:r w:rsidR="005E2FB5">
        <w:t>t</w:t>
      </w:r>
      <w:r>
        <w:t xml:space="preserve">ables with </w:t>
      </w:r>
      <w:r w:rsidR="005E2FB5">
        <w:t>i</w:t>
      </w:r>
      <w:r>
        <w:t xml:space="preserve">ncreasing </w:t>
      </w:r>
      <w:r w:rsidR="005E2FB5">
        <w:t>p</w:t>
      </w:r>
      <w:r>
        <w:t>ressure from FER =1 to FER = 0.6</w:t>
      </w:r>
    </w:p>
    <w:p w:rsidR="00C875C3" w:rsidRDefault="00C875C3">
      <w:r>
        <w:br w:type="page"/>
      </w:r>
    </w:p>
    <w:p w:rsidR="00005DD3" w:rsidRDefault="009B2DE7" w:rsidP="00005DD3">
      <w:pPr>
        <w:pStyle w:val="Heading2"/>
      </w:pPr>
      <w:bookmarkStart w:id="9" w:name="_Toc503446553"/>
      <w:r>
        <w:lastRenderedPageBreak/>
        <w:t xml:space="preserve">4.3 </w:t>
      </w:r>
      <w:r w:rsidR="00005DD3">
        <w:t>Zeldovich Model</w:t>
      </w:r>
      <w:bookmarkEnd w:id="9"/>
      <w:r w:rsidR="00005DD3">
        <w:t xml:space="preserve"> </w:t>
      </w:r>
    </w:p>
    <w:p w:rsidR="00005DD3" w:rsidRPr="00005DD3" w:rsidRDefault="00005DD3" w:rsidP="00005DD3"/>
    <w:p w:rsidR="00B4163C" w:rsidRDefault="004F2530" w:rsidP="00B4163C">
      <w:r>
        <w:t xml:space="preserve">These flame temperatures allow reaction rates to be calculated using chemical kinetics. The reaction rate </w:t>
      </w:r>
      <w:r w:rsidR="00C875C3">
        <w:t>to produce</w:t>
      </w:r>
      <w:r>
        <w:t xml:space="preserve"> [NO] can be found using the Zeldovich model</w:t>
      </w:r>
      <w:r w:rsidR="00977EAE">
        <w:t xml:space="preserve">, [ ] denotes concentrations. </w:t>
      </w:r>
    </w:p>
    <w:p w:rsidR="004F2530" w:rsidRPr="00C875C3" w:rsidRDefault="00BE5AA0" w:rsidP="00B4163C">
      <w:pPr>
        <w:rPr>
          <w:rFonts w:eastAsiaTheme="minorEastAsia"/>
        </w:rPr>
      </w:pPr>
      <m:oMathPara>
        <m:oMath>
          <m:f>
            <m:fPr>
              <m:ctrlPr>
                <w:rPr>
                  <w:rFonts w:ascii="Cambria Math" w:hAnsi="Cambria Math"/>
                  <w:i/>
                </w:rPr>
              </m:ctrlPr>
            </m:fPr>
            <m:num>
              <m:r>
                <w:rPr>
                  <w:rFonts w:ascii="Cambria Math" w:hAnsi="Cambria Math"/>
                </w:rPr>
                <m:t>d</m:t>
              </m:r>
              <m:d>
                <m:dPr>
                  <m:begChr m:val="["/>
                  <m:endChr m:val="]"/>
                  <m:ctrlPr>
                    <w:rPr>
                      <w:rFonts w:ascii="Cambria Math" w:hAnsi="Cambria Math"/>
                      <w:i/>
                    </w:rPr>
                  </m:ctrlPr>
                </m:dPr>
                <m:e>
                  <m:r>
                    <w:rPr>
                      <w:rFonts w:ascii="Cambria Math" w:hAnsi="Cambria Math"/>
                    </w:rPr>
                    <m:t>NO</m:t>
                  </m:r>
                </m:e>
              </m:d>
            </m:num>
            <m:den>
              <m:r>
                <w:rPr>
                  <w:rFonts w:ascii="Cambria Math" w:hAnsi="Cambria Math"/>
                </w:rPr>
                <m:t>dt</m:t>
              </m:r>
            </m:den>
          </m:f>
          <m:r>
            <w:rPr>
              <w:rFonts w:ascii="Cambria Math" w:hAnsi="Cambria Math"/>
            </w:rPr>
            <m:t>=4.17*</m:t>
          </m:r>
          <m:sSup>
            <m:sSupPr>
              <m:ctrlPr>
                <w:rPr>
                  <w:rFonts w:ascii="Cambria Math" w:hAnsi="Cambria Math"/>
                  <w:i/>
                </w:rPr>
              </m:ctrlPr>
            </m:sSupPr>
            <m:e>
              <m:r>
                <w:rPr>
                  <w:rFonts w:ascii="Cambria Math" w:hAnsi="Cambria Math"/>
                </w:rPr>
                <m:t>10</m:t>
              </m:r>
            </m:e>
            <m:sup>
              <m:r>
                <w:rPr>
                  <w:rFonts w:ascii="Cambria Math" w:hAnsi="Cambria Math"/>
                </w:rPr>
                <m:t>13</m:t>
              </m:r>
            </m:sup>
          </m:sSup>
          <m:r>
            <w:rPr>
              <w:rFonts w:ascii="Cambria Math" w:hAnsi="Cambria Math"/>
            </w:rPr>
            <m:t>*</m:t>
          </m:r>
          <m:d>
            <m:dPr>
              <m:begChr m:val="["/>
              <m:endChr m:val="]"/>
              <m:ctrlPr>
                <w:rPr>
                  <w:rFonts w:ascii="Cambria Math" w:hAnsi="Cambria Math"/>
                  <w:i/>
                </w:rPr>
              </m:ctrlPr>
            </m:dPr>
            <m:e>
              <m:r>
                <m:rPr>
                  <m:sty m:val="p"/>
                </m:rPr>
                <w:rPr>
                  <w:rFonts w:ascii="Cambria Math" w:eastAsiaTheme="minorEastAsia" w:hAnsi="Cambria Math"/>
                </w:rPr>
                <m:t>N</m:t>
              </m:r>
              <m:r>
                <m:rPr>
                  <m:sty m:val="p"/>
                </m:rPr>
                <w:rPr>
                  <w:rFonts w:ascii="Cambria Math" w:eastAsiaTheme="minorEastAsia" w:hAnsi="Cambria Math"/>
                  <w:vertAlign w:val="subscript"/>
                </w:rPr>
                <m:t>2</m:t>
              </m:r>
            </m:e>
          </m:d>
          <m:r>
            <w:rPr>
              <w:rFonts w:ascii="Cambria Math" w:hAnsi="Cambria Math"/>
            </w:rPr>
            <m:t>*</m:t>
          </m:r>
          <m:sSup>
            <m:sSupPr>
              <m:ctrlPr>
                <w:rPr>
                  <w:rFonts w:ascii="Cambria Math" w:hAnsi="Cambria Math"/>
                  <w:i/>
                </w:rPr>
              </m:ctrlPr>
            </m:sSupPr>
            <m:e>
              <m:d>
                <m:dPr>
                  <m:begChr m:val="["/>
                  <m:endChr m:val="]"/>
                  <m:ctrlPr>
                    <w:rPr>
                      <w:rFonts w:ascii="Cambria Math" w:hAnsi="Cambria Math"/>
                      <w:i/>
                    </w:rPr>
                  </m:ctrlPr>
                </m:dPr>
                <m:e>
                  <m:r>
                    <w:rPr>
                      <w:rFonts w:ascii="Cambria Math" w:hAnsi="Cambria Math"/>
                    </w:rPr>
                    <m:t>O2</m:t>
                  </m:r>
                </m:e>
              </m:d>
            </m:e>
            <m:sup>
              <m:r>
                <w:rPr>
                  <w:rFonts w:ascii="Cambria Math" w:hAnsi="Cambria Math"/>
                </w:rPr>
                <m:t>0.5</m:t>
              </m:r>
            </m:sup>
          </m:sSup>
          <m:r>
            <w:rPr>
              <w:rFonts w:ascii="Cambria Math" w:hAnsi="Cambria Math"/>
            </w:rPr>
            <m:t>*exp*(-</m:t>
          </m:r>
          <m:f>
            <m:fPr>
              <m:ctrlPr>
                <w:rPr>
                  <w:rFonts w:ascii="Cambria Math" w:hAnsi="Cambria Math"/>
                  <w:i/>
                </w:rPr>
              </m:ctrlPr>
            </m:fPr>
            <m:num>
              <m:r>
                <w:rPr>
                  <w:rFonts w:ascii="Cambria Math" w:hAnsi="Cambria Math"/>
                </w:rPr>
                <m:t>67837</m:t>
              </m:r>
            </m:num>
            <m:den>
              <m:r>
                <w:rPr>
                  <w:rFonts w:ascii="Cambria Math" w:hAnsi="Cambria Math"/>
                </w:rPr>
                <m:t>T</m:t>
              </m:r>
            </m:den>
          </m:f>
          <m:r>
            <w:rPr>
              <w:rFonts w:ascii="Cambria Math" w:hAnsi="Cambria Math"/>
            </w:rPr>
            <m:t>)</m:t>
          </m:r>
        </m:oMath>
      </m:oMathPara>
    </w:p>
    <w:p w:rsidR="00040538" w:rsidRDefault="00040538" w:rsidP="00B4163C">
      <w:pPr>
        <w:rPr>
          <w:rFonts w:eastAsiaTheme="minorEastAsia"/>
        </w:rPr>
      </w:pPr>
      <w:r>
        <w:rPr>
          <w:rFonts w:eastAsiaTheme="minorEastAsia"/>
        </w:rPr>
        <w:t>To compete the Zeldovich model, the Exponent, [N</w:t>
      </w:r>
      <w:r>
        <w:rPr>
          <w:rFonts w:eastAsiaTheme="minorEastAsia"/>
          <w:vertAlign w:val="subscript"/>
        </w:rPr>
        <w:t>2</w:t>
      </w:r>
      <w:r>
        <w:rPr>
          <w:rFonts w:eastAsiaTheme="minorEastAsia"/>
        </w:rPr>
        <w:t>] and [O</w:t>
      </w:r>
      <w:r>
        <w:rPr>
          <w:rFonts w:eastAsiaTheme="minorEastAsia"/>
          <w:vertAlign w:val="subscript"/>
        </w:rPr>
        <w:t>2</w:t>
      </w:r>
      <w:r>
        <w:rPr>
          <w:rFonts w:eastAsiaTheme="minorEastAsia"/>
        </w:rPr>
        <w:t>] to determine the rate at which [NO] is produced.</w:t>
      </w:r>
    </w:p>
    <w:p w:rsidR="00040538" w:rsidRDefault="00040538" w:rsidP="00B4163C">
      <w:pPr>
        <w:rPr>
          <w:rFonts w:eastAsiaTheme="minorEastAsia"/>
        </w:rPr>
      </w:pPr>
      <w:r>
        <w:rPr>
          <w:rFonts w:eastAsiaTheme="minorEastAsia"/>
        </w:rPr>
        <w:t>EXP is derived using the T values from the flame temperature tables, figure 4.</w:t>
      </w:r>
      <w:r w:rsidR="005C6A14">
        <w:rPr>
          <w:rFonts w:eastAsiaTheme="minorEastAsia"/>
        </w:rPr>
        <w:t>3.1</w:t>
      </w:r>
    </w:p>
    <w:tbl>
      <w:tblPr>
        <w:tblW w:w="7020" w:type="dxa"/>
        <w:tblLook w:val="04A0" w:firstRow="1" w:lastRow="0" w:firstColumn="1" w:lastColumn="0" w:noHBand="0" w:noVBand="1"/>
      </w:tblPr>
      <w:tblGrid>
        <w:gridCol w:w="960"/>
        <w:gridCol w:w="1540"/>
        <w:gridCol w:w="1460"/>
        <w:gridCol w:w="1500"/>
        <w:gridCol w:w="1560"/>
      </w:tblGrid>
      <w:tr w:rsidR="00DE6CD8" w:rsidRPr="00DE6CD8" w:rsidTr="00DE6CD8">
        <w:trPr>
          <w:trHeight w:val="300"/>
        </w:trPr>
        <w:tc>
          <w:tcPr>
            <w:tcW w:w="960"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DE6CD8" w:rsidRPr="00DE6CD8" w:rsidRDefault="00DE6CD8" w:rsidP="00DE6CD8">
            <w:pPr>
              <w:spacing w:after="0" w:line="240" w:lineRule="auto"/>
              <w:rPr>
                <w:rFonts w:ascii="Calibri" w:eastAsia="Times New Roman" w:hAnsi="Calibri" w:cs="Calibri"/>
                <w:color w:val="000000"/>
                <w:lang w:eastAsia="en-GB"/>
              </w:rPr>
            </w:pPr>
            <w:r w:rsidRPr="00DE6CD8">
              <w:rPr>
                <w:rFonts w:ascii="Calibri" w:eastAsia="Times New Roman" w:hAnsi="Calibri" w:cs="Calibri"/>
                <w:color w:val="000000"/>
                <w:lang w:eastAsia="en-GB"/>
              </w:rPr>
              <w:t>Ѳ</w:t>
            </w:r>
          </w:p>
        </w:tc>
        <w:tc>
          <w:tcPr>
            <w:tcW w:w="1540" w:type="dxa"/>
            <w:tcBorders>
              <w:top w:val="single" w:sz="4" w:space="0" w:color="auto"/>
              <w:left w:val="nil"/>
              <w:bottom w:val="single" w:sz="4" w:space="0" w:color="auto"/>
              <w:right w:val="single" w:sz="4" w:space="0" w:color="auto"/>
            </w:tcBorders>
            <w:shd w:val="clear" w:color="000000" w:fill="92D050"/>
            <w:noWrap/>
            <w:vAlign w:val="bottom"/>
            <w:hideMark/>
          </w:tcPr>
          <w:p w:rsidR="00DE6CD8" w:rsidRPr="00DE6CD8" w:rsidRDefault="00DE6CD8" w:rsidP="00DE6CD8">
            <w:pPr>
              <w:spacing w:after="0" w:line="240" w:lineRule="auto"/>
              <w:rPr>
                <w:rFonts w:ascii="Calibri" w:eastAsia="Times New Roman" w:hAnsi="Calibri" w:cs="Calibri"/>
                <w:color w:val="000000"/>
                <w:lang w:eastAsia="en-GB"/>
              </w:rPr>
            </w:pPr>
            <w:r w:rsidRPr="00DE6CD8">
              <w:rPr>
                <w:rFonts w:ascii="Calibri" w:eastAsia="Times New Roman" w:hAnsi="Calibri" w:cs="Calibri"/>
                <w:color w:val="000000"/>
                <w:lang w:eastAsia="en-GB"/>
              </w:rPr>
              <w:t>P</w:t>
            </w:r>
          </w:p>
        </w:tc>
        <w:tc>
          <w:tcPr>
            <w:tcW w:w="1460" w:type="dxa"/>
            <w:tcBorders>
              <w:top w:val="single" w:sz="4" w:space="0" w:color="auto"/>
              <w:left w:val="nil"/>
              <w:bottom w:val="single" w:sz="4" w:space="0" w:color="auto"/>
              <w:right w:val="single" w:sz="4" w:space="0" w:color="auto"/>
            </w:tcBorders>
            <w:shd w:val="clear" w:color="000000" w:fill="92D050"/>
            <w:noWrap/>
            <w:vAlign w:val="bottom"/>
            <w:hideMark/>
          </w:tcPr>
          <w:p w:rsidR="00DE6CD8" w:rsidRPr="00DE6CD8" w:rsidRDefault="00DE6CD8" w:rsidP="00DE6CD8">
            <w:pPr>
              <w:spacing w:after="0" w:line="240" w:lineRule="auto"/>
              <w:rPr>
                <w:rFonts w:ascii="Calibri" w:eastAsia="Times New Roman" w:hAnsi="Calibri" w:cs="Calibri"/>
                <w:color w:val="000000"/>
                <w:lang w:eastAsia="en-GB"/>
              </w:rPr>
            </w:pPr>
            <w:r w:rsidRPr="00DE6CD8">
              <w:rPr>
                <w:rFonts w:ascii="Calibri" w:eastAsia="Times New Roman" w:hAnsi="Calibri" w:cs="Calibri"/>
                <w:color w:val="000000"/>
                <w:lang w:eastAsia="en-GB"/>
              </w:rPr>
              <w:t>EXP 1</w:t>
            </w:r>
          </w:p>
        </w:tc>
        <w:tc>
          <w:tcPr>
            <w:tcW w:w="1500" w:type="dxa"/>
            <w:tcBorders>
              <w:top w:val="single" w:sz="4" w:space="0" w:color="auto"/>
              <w:left w:val="nil"/>
              <w:bottom w:val="single" w:sz="4" w:space="0" w:color="auto"/>
              <w:right w:val="single" w:sz="4" w:space="0" w:color="auto"/>
            </w:tcBorders>
            <w:shd w:val="clear" w:color="000000" w:fill="92D050"/>
            <w:noWrap/>
            <w:vAlign w:val="bottom"/>
            <w:hideMark/>
          </w:tcPr>
          <w:p w:rsidR="00DE6CD8" w:rsidRPr="00DE6CD8" w:rsidRDefault="00DE6CD8" w:rsidP="00DE6CD8">
            <w:pPr>
              <w:spacing w:after="0" w:line="240" w:lineRule="auto"/>
              <w:rPr>
                <w:rFonts w:ascii="Calibri" w:eastAsia="Times New Roman" w:hAnsi="Calibri" w:cs="Calibri"/>
                <w:color w:val="000000"/>
                <w:lang w:eastAsia="en-GB"/>
              </w:rPr>
            </w:pPr>
            <w:r w:rsidRPr="00DE6CD8">
              <w:rPr>
                <w:rFonts w:ascii="Calibri" w:eastAsia="Times New Roman" w:hAnsi="Calibri" w:cs="Calibri"/>
                <w:color w:val="000000"/>
                <w:lang w:eastAsia="en-GB"/>
              </w:rPr>
              <w:t>EXP 0.99</w:t>
            </w:r>
          </w:p>
        </w:tc>
        <w:tc>
          <w:tcPr>
            <w:tcW w:w="1560" w:type="dxa"/>
            <w:tcBorders>
              <w:top w:val="single" w:sz="4" w:space="0" w:color="auto"/>
              <w:left w:val="nil"/>
              <w:bottom w:val="single" w:sz="4" w:space="0" w:color="auto"/>
              <w:right w:val="single" w:sz="4" w:space="0" w:color="auto"/>
            </w:tcBorders>
            <w:shd w:val="clear" w:color="000000" w:fill="92D050"/>
            <w:noWrap/>
            <w:vAlign w:val="bottom"/>
            <w:hideMark/>
          </w:tcPr>
          <w:p w:rsidR="00DE6CD8" w:rsidRPr="00DE6CD8" w:rsidRDefault="00DE6CD8" w:rsidP="00DE6CD8">
            <w:pPr>
              <w:spacing w:after="0" w:line="240" w:lineRule="auto"/>
              <w:rPr>
                <w:rFonts w:ascii="Calibri" w:eastAsia="Times New Roman" w:hAnsi="Calibri" w:cs="Calibri"/>
                <w:color w:val="000000"/>
                <w:lang w:eastAsia="en-GB"/>
              </w:rPr>
            </w:pPr>
            <w:r w:rsidRPr="00DE6CD8">
              <w:rPr>
                <w:rFonts w:ascii="Calibri" w:eastAsia="Times New Roman" w:hAnsi="Calibri" w:cs="Calibri"/>
                <w:color w:val="000000"/>
                <w:lang w:eastAsia="en-GB"/>
              </w:rPr>
              <w:t>EXP 0.98</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0</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10</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5.93E-13</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4.918E-13</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4.066E-13</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12</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1.37723E-12</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1.149E-12</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9.550E-13</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14</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2.75331E-12</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2.307E-12</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1.927E-12</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3</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16</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4.94637E-12</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4.161E-12</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3.489E-12</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4</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18</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8.20464E-12</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6.925E-12</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5.827E-12</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5</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20</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1.27947E-11</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1.083E-11</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9.141E-12</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6</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22</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1.89976E-11</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1.612E-11</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1.365E-11</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7</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24</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2.71054E-11</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2.306E-11</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1.956E-11</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8</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26</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3.74186E-11</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3.190E-11</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2.712E-11</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9</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28</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5.02437E-11</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4.292E-11</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3.656E-11</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10</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30</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6.58914E-11</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5.639E-11</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4.812E-11</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11</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32</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8.46749E-11</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7.258E-11</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6.205E-11</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12</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34</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1.06909E-10</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9.178E-11</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7.859E-11</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13</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36</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1.32908E-10</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1.143E-10</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9.798E-11</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14</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38</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1.62985E-10</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1.403E-10</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1.205E-10</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15</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40</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1.97455E-10</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1.702E-10</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1.463E-10</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16</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42</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2.36626E-10</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2.042E-10</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1.758E-10</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17</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44</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2.80806E-10</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2.426E-10</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2.091E-10</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18</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46</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3.303E-10</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2.857E-10</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2.465E-10</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19</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48</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3.8541E-10</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3.337E-10</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2.882E-10</w:t>
            </w:r>
          </w:p>
        </w:tc>
      </w:tr>
      <w:tr w:rsidR="00DE6CD8" w:rsidRPr="00DE6CD8" w:rsidTr="00DE6CD8">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20</w:t>
            </w:r>
          </w:p>
        </w:tc>
        <w:tc>
          <w:tcPr>
            <w:tcW w:w="154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50</w:t>
            </w:r>
          </w:p>
        </w:tc>
        <w:tc>
          <w:tcPr>
            <w:tcW w:w="14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4.46432E-10</w:t>
            </w:r>
          </w:p>
        </w:tc>
        <w:tc>
          <w:tcPr>
            <w:tcW w:w="150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3.869E-10</w:t>
            </w:r>
          </w:p>
        </w:tc>
        <w:tc>
          <w:tcPr>
            <w:tcW w:w="1560" w:type="dxa"/>
            <w:tcBorders>
              <w:top w:val="nil"/>
              <w:left w:val="nil"/>
              <w:bottom w:val="single" w:sz="4" w:space="0" w:color="auto"/>
              <w:right w:val="single" w:sz="4" w:space="0" w:color="auto"/>
            </w:tcBorders>
            <w:shd w:val="clear" w:color="auto" w:fill="auto"/>
            <w:noWrap/>
            <w:vAlign w:val="bottom"/>
            <w:hideMark/>
          </w:tcPr>
          <w:p w:rsidR="00DE6CD8" w:rsidRPr="00DE6CD8" w:rsidRDefault="00DE6CD8" w:rsidP="00DE6CD8">
            <w:pPr>
              <w:spacing w:after="0" w:line="240" w:lineRule="auto"/>
              <w:jc w:val="right"/>
              <w:rPr>
                <w:rFonts w:ascii="Calibri" w:eastAsia="Times New Roman" w:hAnsi="Calibri" w:cs="Calibri"/>
                <w:color w:val="000000"/>
                <w:lang w:eastAsia="en-GB"/>
              </w:rPr>
            </w:pPr>
            <w:r w:rsidRPr="00DE6CD8">
              <w:rPr>
                <w:rFonts w:ascii="Calibri" w:eastAsia="Times New Roman" w:hAnsi="Calibri" w:cs="Calibri"/>
                <w:color w:val="000000"/>
                <w:lang w:eastAsia="en-GB"/>
              </w:rPr>
              <w:t>3.345E-10</w:t>
            </w:r>
          </w:p>
        </w:tc>
      </w:tr>
    </w:tbl>
    <w:p w:rsidR="00040538" w:rsidRDefault="00040538" w:rsidP="00040538">
      <w:pPr>
        <w:pStyle w:val="Caption"/>
      </w:pPr>
      <w:r>
        <w:t>Figure 4.</w:t>
      </w:r>
      <w:r w:rsidR="00643BAC">
        <w:t xml:space="preserve">3.1 </w:t>
      </w:r>
      <w:r>
        <w:t xml:space="preserve"> EXP table.</w:t>
      </w:r>
    </w:p>
    <w:p w:rsidR="00700852" w:rsidRDefault="00700852">
      <w:r>
        <w:br w:type="page"/>
      </w:r>
    </w:p>
    <w:p w:rsidR="00040538" w:rsidRDefault="00040538" w:rsidP="00040538">
      <w:r>
        <w:lastRenderedPageBreak/>
        <w:t>[N</w:t>
      </w:r>
      <w:r>
        <w:rPr>
          <w:vertAlign w:val="subscript"/>
        </w:rPr>
        <w:t>2</w:t>
      </w:r>
      <w:r>
        <w:t>] and [O</w:t>
      </w:r>
      <w:r>
        <w:rPr>
          <w:vertAlign w:val="subscript"/>
        </w:rPr>
        <w:t>2</w:t>
      </w:r>
      <w:r>
        <w:t xml:space="preserve">] being the concentration of </w:t>
      </w:r>
      <w:r w:rsidR="00961F1B">
        <w:t>either</w:t>
      </w:r>
      <w:r w:rsidR="00AC29A6">
        <w:t xml:space="preserve">/m³ </w:t>
      </w:r>
      <w:r w:rsidR="00D245BD">
        <w:t xml:space="preserve">in the burned zone, </w:t>
      </w:r>
      <w:r>
        <w:t>are given by:</w:t>
      </w:r>
    </w:p>
    <w:p w:rsidR="0025332A" w:rsidRPr="0025332A" w:rsidRDefault="00BE5AA0" w:rsidP="00040538">
      <w:pPr>
        <w:rPr>
          <w:rFonts w:eastAsiaTheme="minorEastAsia"/>
        </w:rPr>
      </w:pPr>
      <m:oMathPara>
        <m:oMath>
          <m:d>
            <m:dPr>
              <m:begChr m:val="["/>
              <m:endChr m:val="]"/>
              <m:ctrlPr>
                <w:rPr>
                  <w:rFonts w:ascii="Cambria Math" w:hAnsi="Cambria Math"/>
                  <w:i/>
                </w:rPr>
              </m:ctrlPr>
            </m:dPr>
            <m:e>
              <m:r>
                <w:rPr>
                  <w:rFonts w:ascii="Cambria Math" w:hAnsi="Cambria Math"/>
                </w:rPr>
                <m:t>N</m:t>
              </m:r>
              <m:r>
                <w:rPr>
                  <w:rFonts w:ascii="Cambria Math" w:hAnsi="Cambria Math"/>
                  <w:vertAlign w:val="subscript"/>
                </w:rPr>
                <m:t>2</m:t>
              </m:r>
            </m:e>
          </m:d>
          <m:r>
            <w:rPr>
              <w:rFonts w:ascii="Cambria Math" w:hAnsi="Cambria Math"/>
            </w:rPr>
            <m:t>=</m:t>
          </m:r>
          <m:f>
            <m:fPr>
              <m:ctrlPr>
                <w:rPr>
                  <w:rFonts w:ascii="Cambria Math" w:hAnsi="Cambria Math"/>
                  <w:i/>
                </w:rPr>
              </m:ctrlPr>
            </m:fPr>
            <m:num>
              <m:r>
                <w:rPr>
                  <w:rFonts w:ascii="Cambria Math" w:hAnsi="Cambria Math"/>
                </w:rPr>
                <m:t>α*47</m:t>
              </m:r>
            </m:num>
            <m:den>
              <m:r>
                <w:rPr>
                  <w:rFonts w:ascii="Cambria Math" w:hAnsi="Cambria Math"/>
                </w:rPr>
                <m:t>Vcyl</m:t>
              </m:r>
            </m:den>
          </m:f>
        </m:oMath>
      </m:oMathPara>
    </w:p>
    <w:p w:rsidR="0025332A" w:rsidRPr="00AC29A6" w:rsidRDefault="00BE5AA0" w:rsidP="00040538">
      <w:pPr>
        <w:rPr>
          <w:rFonts w:eastAsiaTheme="minorEastAsia"/>
        </w:rPr>
      </w:pPr>
      <m:oMathPara>
        <m:oMath>
          <m:d>
            <m:dPr>
              <m:begChr m:val="["/>
              <m:endChr m:val="]"/>
              <m:ctrlPr>
                <w:rPr>
                  <w:rFonts w:ascii="Cambria Math" w:eastAsiaTheme="minorEastAsia" w:hAnsi="Cambria Math"/>
                  <w:i/>
                </w:rPr>
              </m:ctrlPr>
            </m:dPr>
            <m:e>
              <m:r>
                <w:rPr>
                  <w:rFonts w:ascii="Cambria Math" w:eastAsiaTheme="minorEastAsia" w:hAnsi="Cambria Math"/>
                </w:rPr>
                <m:t>O2</m:t>
              </m:r>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α*X</m:t>
              </m:r>
            </m:num>
            <m:den>
              <m:r>
                <w:rPr>
                  <w:rFonts w:ascii="Cambria Math" w:eastAsiaTheme="minorEastAsia" w:hAnsi="Cambria Math"/>
                </w:rPr>
                <m:t>Vcyl</m:t>
              </m:r>
            </m:den>
          </m:f>
        </m:oMath>
      </m:oMathPara>
    </w:p>
    <w:p w:rsidR="00AC29A6" w:rsidRPr="00AC29A6" w:rsidRDefault="00AC29A6" w:rsidP="00AC29A6">
      <w:pPr>
        <w:pStyle w:val="ListParagraph"/>
        <w:numPr>
          <w:ilvl w:val="0"/>
          <w:numId w:val="18"/>
        </w:numPr>
        <w:rPr>
          <w:rFonts w:eastAsiaTheme="minorEastAsia"/>
          <w:vertAlign w:val="subscript"/>
        </w:rPr>
      </w:pPr>
      <w:r w:rsidRPr="00AC29A6">
        <w:rPr>
          <w:rFonts w:eastAsiaTheme="minorEastAsia"/>
        </w:rPr>
        <w:t>X = Free O</w:t>
      </w:r>
      <w:r w:rsidRPr="00AC29A6">
        <w:rPr>
          <w:rFonts w:eastAsiaTheme="minorEastAsia"/>
          <w:vertAlign w:val="subscript"/>
        </w:rPr>
        <w:t>2</w:t>
      </w:r>
    </w:p>
    <w:p w:rsidR="00AC29A6" w:rsidRPr="00AC29A6" w:rsidRDefault="00AC29A6" w:rsidP="00AC29A6">
      <w:pPr>
        <w:pStyle w:val="ListParagraph"/>
        <w:numPr>
          <w:ilvl w:val="0"/>
          <w:numId w:val="18"/>
        </w:numPr>
        <w:rPr>
          <w:rFonts w:eastAsiaTheme="minorEastAsia"/>
          <w:vertAlign w:val="subscript"/>
        </w:rPr>
      </w:pPr>
      <w:r>
        <w:rPr>
          <w:rFonts w:eastAsiaTheme="minorEastAsia"/>
        </w:rPr>
        <w:t>Vcyl = 0.00004 m³</w:t>
      </w:r>
      <w:r w:rsidR="009B475B">
        <w:rPr>
          <w:rFonts w:eastAsiaTheme="minorEastAsia"/>
        </w:rPr>
        <w:t xml:space="preserve"> </w:t>
      </w:r>
      <w:r w:rsidR="00BF6151">
        <w:rPr>
          <w:rFonts w:eastAsiaTheme="minorEastAsia"/>
        </w:rPr>
        <w:t xml:space="preserve">assuming burning volume is 40cc </w:t>
      </w:r>
    </w:p>
    <w:p w:rsidR="00AC29A6" w:rsidRDefault="00AC29A6" w:rsidP="00AC29A6">
      <w:pPr>
        <w:pStyle w:val="ListParagraph"/>
        <w:numPr>
          <w:ilvl w:val="0"/>
          <w:numId w:val="18"/>
        </w:numPr>
        <w:rPr>
          <w:rFonts w:eastAsiaTheme="minorEastAsia"/>
        </w:rPr>
      </w:pPr>
      <w:r w:rsidRPr="00AC29A6">
        <w:rPr>
          <w:rFonts w:eastAsiaTheme="minorEastAsia"/>
        </w:rPr>
        <w:t xml:space="preserve">α = </w:t>
      </w:r>
      <w:r w:rsidR="007E0DB1">
        <w:rPr>
          <w:rFonts w:eastAsiaTheme="minorEastAsia"/>
        </w:rPr>
        <w:t>multiplying constant</w:t>
      </w:r>
    </w:p>
    <w:p w:rsidR="00AC29A6" w:rsidRPr="00700852" w:rsidRDefault="00AC29A6" w:rsidP="00AC29A6">
      <w:pPr>
        <w:rPr>
          <w:rFonts w:eastAsiaTheme="minorEastAsia"/>
        </w:rPr>
      </w:pPr>
      <m:oMathPara>
        <m:oMath>
          <m:r>
            <w:rPr>
              <w:rFonts w:ascii="Cambria Math" w:eastAsiaTheme="minorEastAsia" w:hAnsi="Cambria Math"/>
            </w:rPr>
            <m:t>α=n/number of Kmol</m:t>
          </m:r>
        </m:oMath>
      </m:oMathPara>
    </w:p>
    <w:p w:rsidR="002D5D99" w:rsidRPr="002D5D99" w:rsidRDefault="00CC3168" w:rsidP="002D5D99">
      <w:pPr>
        <w:rPr>
          <w:rFonts w:eastAsiaTheme="minorEastAsia"/>
        </w:rPr>
      </w:pPr>
      <w:r>
        <w:rPr>
          <w:rFonts w:eastAsiaTheme="minorEastAsia"/>
        </w:rPr>
        <w:t>n = No. of Kmols in the engine is calculated form the ideal gas law:</w:t>
      </w:r>
    </w:p>
    <w:p w:rsidR="002D5D99" w:rsidRDefault="002D5D99" w:rsidP="002D5D99">
      <w:pPr>
        <w:rPr>
          <w:rFonts w:eastAsiaTheme="minorEastAsia"/>
          <w:sz w:val="24"/>
          <w:vertAlign w:val="superscript"/>
        </w:rPr>
      </w:pPr>
      <w:r>
        <w:rPr>
          <w:rFonts w:eastAsiaTheme="minorEastAsia"/>
          <w:sz w:val="24"/>
        </w:rPr>
        <w:t>Where Ru is the universal gas constant at 8316 J Kmol</w:t>
      </w:r>
      <w:r>
        <w:rPr>
          <w:rFonts w:eastAsiaTheme="minorEastAsia"/>
          <w:sz w:val="24"/>
          <w:vertAlign w:val="superscript"/>
        </w:rPr>
        <w:t xml:space="preserve">-1 </w:t>
      </w:r>
      <w:r>
        <w:rPr>
          <w:rFonts w:eastAsiaTheme="minorEastAsia"/>
          <w:sz w:val="24"/>
        </w:rPr>
        <w:t>K</w:t>
      </w:r>
      <w:r>
        <w:rPr>
          <w:rFonts w:eastAsiaTheme="minorEastAsia"/>
          <w:sz w:val="24"/>
          <w:vertAlign w:val="superscript"/>
        </w:rPr>
        <w:t>-1</w:t>
      </w:r>
    </w:p>
    <w:p w:rsidR="002D5D99" w:rsidRDefault="002D5D99" w:rsidP="00AC29A6">
      <w:pPr>
        <w:rPr>
          <w:rFonts w:eastAsiaTheme="minorEastAsia"/>
        </w:rPr>
      </w:pPr>
    </w:p>
    <w:p w:rsidR="00CC3168" w:rsidRPr="00AC29A6" w:rsidRDefault="00CC3168" w:rsidP="00AC29A6">
      <w:pPr>
        <w:rPr>
          <w:rFonts w:eastAsiaTheme="minorEastAsia"/>
        </w:rPr>
      </w:pPr>
      <m:oMathPara>
        <m:oMath>
          <m:r>
            <w:rPr>
              <w:rFonts w:ascii="Cambria Math" w:eastAsiaTheme="minorEastAsia" w:hAnsi="Cambria Math"/>
            </w:rPr>
            <m:t>PV=n*Ru*T</m:t>
          </m:r>
        </m:oMath>
      </m:oMathPara>
    </w:p>
    <w:p w:rsidR="00AC29A6" w:rsidRDefault="00CC3168" w:rsidP="00040538">
      <w:pPr>
        <w:rPr>
          <w:rFonts w:eastAsiaTheme="minorEastAsia"/>
          <w:sz w:val="24"/>
        </w:rPr>
      </w:pPr>
      <w:r>
        <w:rPr>
          <w:rFonts w:eastAsiaTheme="minorEastAsia"/>
          <w:sz w:val="24"/>
        </w:rPr>
        <w:t>This is transposed to:</w:t>
      </w:r>
    </w:p>
    <w:p w:rsidR="00CC3168" w:rsidRPr="005734BB" w:rsidRDefault="00CC3168" w:rsidP="00040538">
      <w:pPr>
        <w:rPr>
          <w:rFonts w:eastAsiaTheme="minorEastAsia"/>
          <w:sz w:val="24"/>
        </w:rPr>
      </w:pPr>
      <m:oMathPara>
        <m:oMath>
          <m:r>
            <w:rPr>
              <w:rFonts w:ascii="Cambria Math" w:eastAsiaTheme="minorEastAsia" w:hAnsi="Cambria Math"/>
              <w:sz w:val="24"/>
            </w:rPr>
            <m:t>n=</m:t>
          </m:r>
          <m:f>
            <m:fPr>
              <m:ctrlPr>
                <w:rPr>
                  <w:rFonts w:ascii="Cambria Math" w:eastAsiaTheme="minorEastAsia" w:hAnsi="Cambria Math"/>
                  <w:i/>
                  <w:sz w:val="24"/>
                </w:rPr>
              </m:ctrlPr>
            </m:fPr>
            <m:num>
              <m:r>
                <w:rPr>
                  <w:rFonts w:ascii="Cambria Math" w:eastAsiaTheme="minorEastAsia" w:hAnsi="Cambria Math"/>
                  <w:sz w:val="24"/>
                </w:rPr>
                <m:t>PV</m:t>
              </m:r>
            </m:num>
            <m:den>
              <m:r>
                <w:rPr>
                  <w:rFonts w:ascii="Cambria Math" w:eastAsiaTheme="minorEastAsia" w:hAnsi="Cambria Math"/>
                  <w:sz w:val="24"/>
                </w:rPr>
                <m:t>Ru</m:t>
              </m:r>
            </m:den>
          </m:f>
          <m:r>
            <w:rPr>
              <w:rFonts w:ascii="Cambria Math" w:eastAsiaTheme="minorEastAsia" w:hAnsi="Cambria Math"/>
              <w:sz w:val="24"/>
            </w:rPr>
            <m:t>*T</m:t>
          </m:r>
        </m:oMath>
      </m:oMathPara>
    </w:p>
    <w:p w:rsidR="005734BB" w:rsidRPr="007E0DB1" w:rsidRDefault="00D6140F" w:rsidP="00040538">
      <w:pPr>
        <w:rPr>
          <w:rFonts w:eastAsiaTheme="minorEastAsia"/>
          <w:sz w:val="24"/>
        </w:rPr>
      </w:pPr>
      <m:oMathPara>
        <m:oMath>
          <m:r>
            <w:rPr>
              <w:rFonts w:ascii="Cambria Math" w:eastAsiaTheme="minorEastAsia" w:hAnsi="Cambria Math"/>
              <w:sz w:val="24"/>
            </w:rPr>
            <m:t>n=</m:t>
          </m:r>
          <m:f>
            <m:fPr>
              <m:ctrlPr>
                <w:rPr>
                  <w:rFonts w:ascii="Cambria Math" w:eastAsiaTheme="minorEastAsia" w:hAnsi="Cambria Math"/>
                  <w:i/>
                  <w:sz w:val="24"/>
                </w:rPr>
              </m:ctrlPr>
            </m:fPr>
            <m:num>
              <m:r>
                <w:rPr>
                  <w:rFonts w:ascii="Cambria Math" w:eastAsiaTheme="minorEastAsia" w:hAnsi="Cambria Math"/>
                  <w:sz w:val="24"/>
                </w:rPr>
                <m:t>(</m:t>
              </m:r>
              <m:sSup>
                <m:sSupPr>
                  <m:ctrlPr>
                    <w:rPr>
                      <w:rFonts w:ascii="Cambria Math" w:eastAsiaTheme="minorEastAsia" w:hAnsi="Cambria Math"/>
                      <w:i/>
                      <w:sz w:val="24"/>
                    </w:rPr>
                  </m:ctrlPr>
                </m:sSupPr>
                <m:e>
                  <m:r>
                    <w:rPr>
                      <w:rFonts w:ascii="Cambria Math" w:eastAsiaTheme="minorEastAsia" w:hAnsi="Cambria Math"/>
                      <w:sz w:val="24"/>
                    </w:rPr>
                    <m:t>10</m:t>
                  </m:r>
                </m:e>
                <m:sup>
                  <m:r>
                    <w:rPr>
                      <w:rFonts w:ascii="Cambria Math" w:eastAsiaTheme="minorEastAsia" w:hAnsi="Cambria Math"/>
                      <w:sz w:val="24"/>
                    </w:rPr>
                    <m:t>5</m:t>
                  </m:r>
                </m:sup>
              </m:sSup>
              <m:r>
                <w:rPr>
                  <w:rFonts w:ascii="Cambria Math" w:eastAsiaTheme="minorEastAsia" w:hAnsi="Cambria Math"/>
                  <w:sz w:val="24"/>
                </w:rPr>
                <m:t>*160*</m:t>
              </m:r>
              <m:sSup>
                <m:sSupPr>
                  <m:ctrlPr>
                    <w:rPr>
                      <w:rFonts w:ascii="Cambria Math" w:eastAsiaTheme="minorEastAsia" w:hAnsi="Cambria Math"/>
                      <w:i/>
                      <w:sz w:val="24"/>
                    </w:rPr>
                  </m:ctrlPr>
                </m:sSupPr>
                <m:e>
                  <m:r>
                    <w:rPr>
                      <w:rFonts w:ascii="Cambria Math" w:eastAsiaTheme="minorEastAsia" w:hAnsi="Cambria Math"/>
                      <w:sz w:val="24"/>
                    </w:rPr>
                    <m:t>10</m:t>
                  </m:r>
                </m:e>
                <m:sup>
                  <m:r>
                    <w:rPr>
                      <w:rFonts w:ascii="Cambria Math" w:eastAsiaTheme="minorEastAsia" w:hAnsi="Cambria Math"/>
                      <w:sz w:val="24"/>
                    </w:rPr>
                    <m:t>-6</m:t>
                  </m:r>
                </m:sup>
              </m:sSup>
              <m:r>
                <w:rPr>
                  <w:rFonts w:ascii="Cambria Math" w:eastAsiaTheme="minorEastAsia" w:hAnsi="Cambria Math"/>
                  <w:sz w:val="24"/>
                </w:rPr>
                <m:t>)</m:t>
              </m:r>
            </m:num>
            <m:den>
              <m:r>
                <w:rPr>
                  <w:rFonts w:ascii="Cambria Math" w:eastAsiaTheme="minorEastAsia" w:hAnsi="Cambria Math"/>
                  <w:sz w:val="24"/>
                </w:rPr>
                <m:t>(8314*293)</m:t>
              </m:r>
            </m:den>
          </m:f>
          <m:r>
            <w:rPr>
              <w:rFonts w:ascii="Cambria Math" w:eastAsiaTheme="minorEastAsia" w:hAnsi="Cambria Math"/>
              <w:sz w:val="24"/>
            </w:rPr>
            <m:t>=6.57*</m:t>
          </m:r>
          <m:sSup>
            <m:sSupPr>
              <m:ctrlPr>
                <w:rPr>
                  <w:rFonts w:ascii="Cambria Math" w:eastAsiaTheme="minorEastAsia" w:hAnsi="Cambria Math"/>
                  <w:i/>
                  <w:sz w:val="24"/>
                </w:rPr>
              </m:ctrlPr>
            </m:sSupPr>
            <m:e>
              <m:r>
                <w:rPr>
                  <w:rFonts w:ascii="Cambria Math" w:eastAsiaTheme="minorEastAsia" w:hAnsi="Cambria Math"/>
                  <w:sz w:val="24"/>
                </w:rPr>
                <m:t>10</m:t>
              </m:r>
            </m:e>
            <m:sup>
              <m:r>
                <w:rPr>
                  <w:rFonts w:ascii="Cambria Math" w:eastAsiaTheme="minorEastAsia" w:hAnsi="Cambria Math"/>
                  <w:sz w:val="24"/>
                </w:rPr>
                <m:t>-6</m:t>
              </m:r>
            </m:sup>
          </m:sSup>
        </m:oMath>
      </m:oMathPara>
    </w:p>
    <w:p w:rsidR="00FC0011" w:rsidRDefault="00961F1B" w:rsidP="00040538">
      <w:pPr>
        <w:rPr>
          <w:rFonts w:eastAsiaTheme="minorEastAsia"/>
          <w:sz w:val="24"/>
        </w:rPr>
      </w:pPr>
      <w:r>
        <w:rPr>
          <w:rFonts w:eastAsiaTheme="minorEastAsia"/>
          <w:sz w:val="24"/>
        </w:rPr>
        <w:t>No. of Kmol in the reactants</w:t>
      </w:r>
      <w:r w:rsidR="00FC0011">
        <w:rPr>
          <w:rFonts w:eastAsiaTheme="minorEastAsia"/>
          <w:sz w:val="24"/>
        </w:rPr>
        <w:t>:</w:t>
      </w:r>
    </w:p>
    <w:p w:rsidR="00FC0011" w:rsidRPr="00FC0011" w:rsidRDefault="00BE5AA0" w:rsidP="00040538">
      <w:pPr>
        <w:rPr>
          <w:rFonts w:eastAsiaTheme="minorEastAsia"/>
          <w:lang w:eastAsia="en-GB"/>
        </w:rPr>
      </w:pPr>
      <m:oMathPara>
        <m:oMath>
          <m:d>
            <m:dPr>
              <m:ctrlPr>
                <w:rPr>
                  <w:rFonts w:ascii="Cambria Math" w:eastAsiaTheme="minorEastAsia" w:hAnsi="Cambria Math"/>
                  <w:i/>
                  <w:sz w:val="24"/>
                </w:rPr>
              </m:ctrlPr>
            </m:dPr>
            <m:e>
              <m:r>
                <w:rPr>
                  <w:rFonts w:ascii="Cambria Math" w:eastAsiaTheme="minorEastAsia" w:hAnsi="Cambria Math"/>
                  <w:sz w:val="24"/>
                </w:rPr>
                <m:t>x*</m:t>
              </m:r>
              <m:sSub>
                <m:sSubPr>
                  <m:ctrlPr>
                    <w:rPr>
                      <w:rFonts w:ascii="Cambria Math" w:hAnsi="Cambria Math"/>
                      <w:i/>
                      <w:lang w:eastAsia="en-GB"/>
                    </w:rPr>
                  </m:ctrlPr>
                </m:sSubPr>
                <m:e>
                  <m:r>
                    <w:rPr>
                      <w:rFonts w:ascii="Cambria Math" w:hAnsi="Cambria Math"/>
                      <w:lang w:eastAsia="en-GB"/>
                    </w:rPr>
                    <m:t>C</m:t>
                  </m:r>
                </m:e>
                <m:sub>
                  <m:r>
                    <w:rPr>
                      <w:rFonts w:ascii="Cambria Math" w:hAnsi="Cambria Math"/>
                      <w:lang w:eastAsia="en-GB"/>
                    </w:rPr>
                    <m:t>8</m:t>
                  </m:r>
                </m:sub>
              </m:sSub>
              <m:sSub>
                <m:sSubPr>
                  <m:ctrlPr>
                    <w:rPr>
                      <w:rFonts w:ascii="Cambria Math" w:hAnsi="Cambria Math"/>
                      <w:i/>
                      <w:lang w:eastAsia="en-GB"/>
                    </w:rPr>
                  </m:ctrlPr>
                </m:sSubPr>
                <m:e>
                  <m:r>
                    <w:rPr>
                      <w:rFonts w:ascii="Cambria Math" w:hAnsi="Cambria Math"/>
                      <w:lang w:eastAsia="en-GB"/>
                    </w:rPr>
                    <m:t>H</m:t>
                  </m:r>
                </m:e>
                <m:sub>
                  <m:r>
                    <w:rPr>
                      <w:rFonts w:ascii="Cambria Math" w:hAnsi="Cambria Math"/>
                      <w:lang w:eastAsia="en-GB"/>
                    </w:rPr>
                    <m:t>18</m:t>
                  </m:r>
                </m:sub>
              </m:sSub>
              <m:ctrlPr>
                <w:rPr>
                  <w:rFonts w:ascii="Cambria Math" w:hAnsi="Cambria Math"/>
                  <w:i/>
                  <w:lang w:eastAsia="en-GB"/>
                </w:rPr>
              </m:ctrlPr>
            </m:e>
          </m:d>
          <m:r>
            <w:rPr>
              <w:rFonts w:ascii="Cambria Math" w:hAnsi="Cambria Math"/>
              <w:lang w:eastAsia="en-GB"/>
            </w:rPr>
            <m:t>+12.5</m:t>
          </m:r>
          <m:d>
            <m:dPr>
              <m:ctrlPr>
                <w:rPr>
                  <w:rFonts w:ascii="Cambria Math" w:hAnsi="Cambria Math"/>
                  <w:i/>
                  <w:lang w:eastAsia="en-GB"/>
                </w:rPr>
              </m:ctrlPr>
            </m:dPr>
            <m:e>
              <m:r>
                <w:rPr>
                  <w:rFonts w:ascii="Cambria Math" w:hAnsi="Cambria Math"/>
                  <w:lang w:eastAsia="en-GB"/>
                </w:rPr>
                <m:t>O2+3.76N2</m:t>
              </m:r>
            </m:e>
          </m:d>
        </m:oMath>
      </m:oMathPara>
    </w:p>
    <w:p w:rsidR="00FC0011" w:rsidRDefault="00FC0011" w:rsidP="00040538">
      <w:pPr>
        <w:rPr>
          <w:rFonts w:eastAsiaTheme="minorEastAsia"/>
          <w:lang w:eastAsia="en-GB"/>
        </w:rPr>
      </w:pPr>
      <m:oMath>
        <m:r>
          <w:rPr>
            <w:rFonts w:ascii="Cambria Math" w:eastAsiaTheme="minorEastAsia" w:hAnsi="Cambria Math"/>
            <w:lang w:eastAsia="en-GB"/>
          </w:rPr>
          <m:t>x=</m:t>
        </m:r>
      </m:oMath>
      <w:r>
        <w:rPr>
          <w:rFonts w:eastAsiaTheme="minorEastAsia"/>
          <w:lang w:eastAsia="en-GB"/>
        </w:rPr>
        <w:t xml:space="preserve"> ф</w:t>
      </w:r>
    </w:p>
    <w:p w:rsidR="00FC0011" w:rsidRDefault="00FC0011" w:rsidP="00040538">
      <w:pPr>
        <w:rPr>
          <w:rFonts w:eastAsiaTheme="minorEastAsia"/>
          <w:lang w:eastAsia="en-GB"/>
        </w:rPr>
      </w:pPr>
      <w:r>
        <w:rPr>
          <w:rFonts w:eastAsiaTheme="minorEastAsia"/>
          <w:lang w:eastAsia="en-GB"/>
        </w:rPr>
        <w:t xml:space="preserve">This gives: </w:t>
      </w:r>
    </w:p>
    <w:p w:rsidR="00FC0011" w:rsidRPr="007C5FBE" w:rsidRDefault="00FC0011" w:rsidP="00040538">
      <w:pPr>
        <w:rPr>
          <w:rFonts w:eastAsiaTheme="minorEastAsia"/>
          <w:lang w:eastAsia="en-GB"/>
        </w:rPr>
      </w:pPr>
      <m:oMathPara>
        <m:oMathParaPr>
          <m:jc m:val="left"/>
        </m:oMathParaPr>
        <m:oMath>
          <m:r>
            <w:rPr>
              <w:rFonts w:ascii="Cambria Math" w:eastAsiaTheme="minorEastAsia" w:hAnsi="Cambria Math"/>
              <w:lang w:eastAsia="en-GB"/>
            </w:rPr>
            <m:t>No. Kmol=x+(12.5*</m:t>
          </m:r>
          <m:d>
            <m:dPr>
              <m:ctrlPr>
                <w:rPr>
                  <w:rFonts w:ascii="Cambria Math" w:eastAsiaTheme="minorEastAsia" w:hAnsi="Cambria Math"/>
                  <w:i/>
                  <w:lang w:eastAsia="en-GB"/>
                </w:rPr>
              </m:ctrlPr>
            </m:dPr>
            <m:e>
              <m:r>
                <w:rPr>
                  <w:rFonts w:ascii="Cambria Math" w:eastAsiaTheme="minorEastAsia" w:hAnsi="Cambria Math"/>
                  <w:lang w:eastAsia="en-GB"/>
                </w:rPr>
                <m:t>1+3.76</m:t>
              </m:r>
            </m:e>
          </m:d>
          <m:r>
            <w:rPr>
              <w:rFonts w:ascii="Cambria Math" w:eastAsiaTheme="minorEastAsia" w:hAnsi="Cambria Math"/>
              <w:lang w:eastAsia="en-GB"/>
            </w:rPr>
            <m:t>)</m:t>
          </m:r>
        </m:oMath>
      </m:oMathPara>
    </w:p>
    <w:p w:rsidR="007C5FBE" w:rsidRDefault="007C5FBE" w:rsidP="00040538">
      <w:pPr>
        <w:rPr>
          <w:rFonts w:eastAsiaTheme="minorEastAsia"/>
          <w:lang w:eastAsia="en-GB"/>
        </w:rPr>
      </w:pPr>
      <w:r>
        <w:rPr>
          <w:rFonts w:eastAsiaTheme="minorEastAsia"/>
          <w:lang w:eastAsia="en-GB"/>
        </w:rPr>
        <w:t>A table of No. Kmol, α, [N</w:t>
      </w:r>
      <w:r>
        <w:rPr>
          <w:rFonts w:eastAsiaTheme="minorEastAsia"/>
          <w:vertAlign w:val="subscript"/>
          <w:lang w:eastAsia="en-GB"/>
        </w:rPr>
        <w:t>2</w:t>
      </w:r>
      <w:r>
        <w:rPr>
          <w:rFonts w:eastAsiaTheme="minorEastAsia"/>
          <w:lang w:eastAsia="en-GB"/>
        </w:rPr>
        <w:t>], [O</w:t>
      </w:r>
      <w:r>
        <w:rPr>
          <w:rFonts w:eastAsiaTheme="minorEastAsia"/>
          <w:vertAlign w:val="subscript"/>
          <w:lang w:eastAsia="en-GB"/>
        </w:rPr>
        <w:t>2</w:t>
      </w:r>
      <w:r>
        <w:rPr>
          <w:rFonts w:eastAsiaTheme="minorEastAsia"/>
          <w:lang w:eastAsia="en-GB"/>
        </w:rPr>
        <w:t>] and X can now be made as functions of ф. Figure 4.8</w:t>
      </w:r>
    </w:p>
    <w:p w:rsidR="00C875C3" w:rsidRPr="00C875C3" w:rsidRDefault="00C875C3" w:rsidP="00B4163C">
      <w:pPr>
        <w:rPr>
          <w:rFonts w:eastAsiaTheme="minorEastAsia"/>
        </w:rPr>
      </w:pPr>
    </w:p>
    <w:p w:rsidR="00C875C3" w:rsidRPr="00B4163C" w:rsidRDefault="00C875C3" w:rsidP="00B4163C"/>
    <w:p w:rsidR="00B4163C" w:rsidRDefault="00B4163C">
      <w:r>
        <w:br w:type="page"/>
      </w:r>
    </w:p>
    <w:tbl>
      <w:tblPr>
        <w:tblW w:w="10040" w:type="dxa"/>
        <w:tblLook w:val="04A0" w:firstRow="1" w:lastRow="0" w:firstColumn="1" w:lastColumn="0" w:noHBand="0" w:noVBand="1"/>
      </w:tblPr>
      <w:tblGrid>
        <w:gridCol w:w="960"/>
        <w:gridCol w:w="1540"/>
        <w:gridCol w:w="1460"/>
        <w:gridCol w:w="1500"/>
        <w:gridCol w:w="1560"/>
        <w:gridCol w:w="1660"/>
        <w:gridCol w:w="1360"/>
      </w:tblGrid>
      <w:tr w:rsidR="00EF0C6A" w:rsidRPr="00EF0C6A" w:rsidTr="00EF0C6A">
        <w:trPr>
          <w:trHeight w:val="360"/>
        </w:trPr>
        <w:tc>
          <w:tcPr>
            <w:tcW w:w="960" w:type="dxa"/>
            <w:tcBorders>
              <w:top w:val="nil"/>
              <w:left w:val="nil"/>
              <w:bottom w:val="nil"/>
              <w:right w:val="nil"/>
            </w:tcBorders>
            <w:shd w:val="clear" w:color="auto" w:fill="auto"/>
            <w:noWrap/>
            <w:vAlign w:val="bottom"/>
            <w:hideMark/>
          </w:tcPr>
          <w:p w:rsidR="00EF0C6A" w:rsidRPr="00EF0C6A" w:rsidRDefault="00EF0C6A" w:rsidP="00EF0C6A">
            <w:pPr>
              <w:spacing w:after="0" w:line="240" w:lineRule="auto"/>
              <w:rPr>
                <w:rFonts w:ascii="Calibri" w:eastAsia="Times New Roman" w:hAnsi="Calibri" w:cs="Calibri"/>
                <w:b/>
                <w:bCs/>
                <w:color w:val="44546A"/>
                <w:sz w:val="26"/>
                <w:szCs w:val="26"/>
                <w:lang w:eastAsia="en-GB"/>
              </w:rPr>
            </w:pPr>
            <w:r w:rsidRPr="00EF0C6A">
              <w:rPr>
                <w:rFonts w:ascii="Calibri" w:eastAsia="Times New Roman" w:hAnsi="Calibri" w:cs="Calibri"/>
                <w:b/>
                <w:bCs/>
                <w:color w:val="44546A"/>
                <w:sz w:val="26"/>
                <w:szCs w:val="26"/>
                <w:lang w:eastAsia="en-GB"/>
              </w:rPr>
              <w:lastRenderedPageBreak/>
              <w:t>Φ</w:t>
            </w:r>
          </w:p>
        </w:tc>
        <w:tc>
          <w:tcPr>
            <w:tcW w:w="1540" w:type="dxa"/>
            <w:tcBorders>
              <w:top w:val="nil"/>
              <w:left w:val="nil"/>
              <w:bottom w:val="nil"/>
              <w:right w:val="nil"/>
            </w:tcBorders>
            <w:shd w:val="clear" w:color="auto" w:fill="auto"/>
            <w:noWrap/>
            <w:vAlign w:val="bottom"/>
            <w:hideMark/>
          </w:tcPr>
          <w:p w:rsidR="00EF0C6A" w:rsidRPr="00EF0C6A" w:rsidRDefault="00EF0C6A" w:rsidP="00EF0C6A">
            <w:pPr>
              <w:spacing w:after="0" w:line="240" w:lineRule="auto"/>
              <w:rPr>
                <w:rFonts w:ascii="Calibri" w:eastAsia="Times New Roman" w:hAnsi="Calibri" w:cs="Calibri"/>
                <w:b/>
                <w:bCs/>
                <w:color w:val="44546A"/>
                <w:sz w:val="26"/>
                <w:szCs w:val="26"/>
                <w:lang w:eastAsia="en-GB"/>
              </w:rPr>
            </w:pPr>
            <w:r w:rsidRPr="00EF0C6A">
              <w:rPr>
                <w:rFonts w:ascii="Calibri" w:eastAsia="Times New Roman" w:hAnsi="Calibri" w:cs="Calibri"/>
                <w:b/>
                <w:bCs/>
                <w:color w:val="44546A"/>
                <w:sz w:val="26"/>
                <w:szCs w:val="26"/>
                <w:lang w:eastAsia="en-GB"/>
              </w:rPr>
              <w:t>Flame Temp</w:t>
            </w:r>
          </w:p>
        </w:tc>
        <w:tc>
          <w:tcPr>
            <w:tcW w:w="1460" w:type="dxa"/>
            <w:tcBorders>
              <w:top w:val="nil"/>
              <w:left w:val="nil"/>
              <w:bottom w:val="nil"/>
              <w:right w:val="nil"/>
            </w:tcBorders>
            <w:shd w:val="clear" w:color="auto" w:fill="auto"/>
            <w:noWrap/>
            <w:vAlign w:val="bottom"/>
            <w:hideMark/>
          </w:tcPr>
          <w:p w:rsidR="00EF0C6A" w:rsidRPr="00EF0C6A" w:rsidRDefault="00EF0C6A" w:rsidP="00EF0C6A">
            <w:pPr>
              <w:spacing w:after="0" w:line="240" w:lineRule="auto"/>
              <w:rPr>
                <w:rFonts w:ascii="Calibri" w:eastAsia="Times New Roman" w:hAnsi="Calibri" w:cs="Calibri"/>
                <w:b/>
                <w:bCs/>
                <w:color w:val="44546A"/>
                <w:sz w:val="26"/>
                <w:szCs w:val="26"/>
                <w:lang w:eastAsia="en-GB"/>
              </w:rPr>
            </w:pPr>
            <w:r w:rsidRPr="00EF0C6A">
              <w:rPr>
                <w:rFonts w:ascii="Calibri" w:eastAsia="Times New Roman" w:hAnsi="Calibri" w:cs="Calibri"/>
                <w:b/>
                <w:bCs/>
                <w:color w:val="44546A"/>
                <w:sz w:val="26"/>
                <w:szCs w:val="26"/>
                <w:lang w:eastAsia="en-GB"/>
              </w:rPr>
              <w:t>No. Kmol</w:t>
            </w:r>
          </w:p>
        </w:tc>
        <w:tc>
          <w:tcPr>
            <w:tcW w:w="1500" w:type="dxa"/>
            <w:tcBorders>
              <w:top w:val="nil"/>
              <w:left w:val="nil"/>
              <w:bottom w:val="nil"/>
              <w:right w:val="nil"/>
            </w:tcBorders>
            <w:shd w:val="clear" w:color="auto" w:fill="auto"/>
            <w:noWrap/>
            <w:vAlign w:val="bottom"/>
            <w:hideMark/>
          </w:tcPr>
          <w:p w:rsidR="00EF0C6A" w:rsidRPr="00EF0C6A" w:rsidRDefault="00EF0C6A" w:rsidP="00EF0C6A">
            <w:pPr>
              <w:spacing w:after="0" w:line="240" w:lineRule="auto"/>
              <w:rPr>
                <w:rFonts w:ascii="Calibri" w:eastAsia="Times New Roman" w:hAnsi="Calibri" w:cs="Calibri"/>
                <w:b/>
                <w:bCs/>
                <w:color w:val="44546A"/>
                <w:sz w:val="26"/>
                <w:szCs w:val="26"/>
                <w:lang w:eastAsia="en-GB"/>
              </w:rPr>
            </w:pPr>
            <w:r w:rsidRPr="00EF0C6A">
              <w:rPr>
                <w:rFonts w:ascii="Calibri" w:eastAsia="Times New Roman" w:hAnsi="Calibri" w:cs="Calibri"/>
                <w:b/>
                <w:bCs/>
                <w:color w:val="44546A"/>
                <w:sz w:val="26"/>
                <w:szCs w:val="26"/>
                <w:lang w:eastAsia="en-GB"/>
              </w:rPr>
              <w:t>α</w:t>
            </w:r>
          </w:p>
        </w:tc>
        <w:tc>
          <w:tcPr>
            <w:tcW w:w="1560" w:type="dxa"/>
            <w:tcBorders>
              <w:top w:val="nil"/>
              <w:left w:val="nil"/>
              <w:bottom w:val="nil"/>
              <w:right w:val="nil"/>
            </w:tcBorders>
            <w:shd w:val="clear" w:color="auto" w:fill="auto"/>
            <w:noWrap/>
            <w:vAlign w:val="bottom"/>
            <w:hideMark/>
          </w:tcPr>
          <w:p w:rsidR="00EF0C6A" w:rsidRPr="00EF0C6A" w:rsidRDefault="00EF0C6A" w:rsidP="00EF0C6A">
            <w:pPr>
              <w:spacing w:after="0" w:line="240" w:lineRule="auto"/>
              <w:rPr>
                <w:rFonts w:ascii="Calibri" w:eastAsia="Times New Roman" w:hAnsi="Calibri" w:cs="Calibri"/>
                <w:b/>
                <w:bCs/>
                <w:color w:val="44546A"/>
                <w:sz w:val="26"/>
                <w:szCs w:val="26"/>
                <w:lang w:eastAsia="en-GB"/>
              </w:rPr>
            </w:pPr>
            <w:r w:rsidRPr="00EF0C6A">
              <w:rPr>
                <w:rFonts w:ascii="Calibri" w:eastAsia="Times New Roman" w:hAnsi="Calibri" w:cs="Calibri"/>
                <w:b/>
                <w:bCs/>
                <w:color w:val="44546A"/>
                <w:sz w:val="26"/>
                <w:szCs w:val="26"/>
                <w:lang w:eastAsia="en-GB"/>
              </w:rPr>
              <w:t>[N2]</w:t>
            </w:r>
          </w:p>
        </w:tc>
        <w:tc>
          <w:tcPr>
            <w:tcW w:w="1660" w:type="dxa"/>
            <w:tcBorders>
              <w:top w:val="nil"/>
              <w:left w:val="nil"/>
              <w:bottom w:val="nil"/>
              <w:right w:val="nil"/>
            </w:tcBorders>
            <w:shd w:val="clear" w:color="auto" w:fill="auto"/>
            <w:noWrap/>
            <w:vAlign w:val="bottom"/>
            <w:hideMark/>
          </w:tcPr>
          <w:p w:rsidR="00EF0C6A" w:rsidRPr="00EF0C6A" w:rsidRDefault="00EF0C6A" w:rsidP="00EF0C6A">
            <w:pPr>
              <w:spacing w:after="0" w:line="240" w:lineRule="auto"/>
              <w:rPr>
                <w:rFonts w:ascii="Calibri" w:eastAsia="Times New Roman" w:hAnsi="Calibri" w:cs="Calibri"/>
                <w:b/>
                <w:bCs/>
                <w:color w:val="44546A"/>
                <w:sz w:val="26"/>
                <w:szCs w:val="26"/>
                <w:lang w:eastAsia="en-GB"/>
              </w:rPr>
            </w:pPr>
            <w:r w:rsidRPr="00EF0C6A">
              <w:rPr>
                <w:rFonts w:ascii="Calibri" w:eastAsia="Times New Roman" w:hAnsi="Calibri" w:cs="Calibri"/>
                <w:b/>
                <w:bCs/>
                <w:color w:val="44546A"/>
                <w:sz w:val="26"/>
                <w:szCs w:val="26"/>
                <w:lang w:eastAsia="en-GB"/>
              </w:rPr>
              <w:t>[O2]</w:t>
            </w:r>
          </w:p>
        </w:tc>
        <w:tc>
          <w:tcPr>
            <w:tcW w:w="1360" w:type="dxa"/>
            <w:tcBorders>
              <w:top w:val="nil"/>
              <w:left w:val="nil"/>
              <w:bottom w:val="nil"/>
              <w:right w:val="nil"/>
            </w:tcBorders>
            <w:shd w:val="clear" w:color="auto" w:fill="auto"/>
            <w:noWrap/>
            <w:vAlign w:val="bottom"/>
            <w:hideMark/>
          </w:tcPr>
          <w:p w:rsidR="00EF0C6A" w:rsidRPr="00EF0C6A" w:rsidRDefault="00EF0C6A" w:rsidP="00EF0C6A">
            <w:pPr>
              <w:spacing w:after="0" w:line="240" w:lineRule="auto"/>
              <w:rPr>
                <w:rFonts w:ascii="Calibri" w:eastAsia="Times New Roman" w:hAnsi="Calibri" w:cs="Calibri"/>
                <w:b/>
                <w:bCs/>
                <w:color w:val="44546A"/>
                <w:sz w:val="26"/>
                <w:szCs w:val="26"/>
                <w:lang w:eastAsia="en-GB"/>
              </w:rPr>
            </w:pPr>
            <w:r w:rsidRPr="00EF0C6A">
              <w:rPr>
                <w:rFonts w:ascii="Calibri" w:eastAsia="Times New Roman" w:hAnsi="Calibri" w:cs="Calibri"/>
                <w:b/>
                <w:bCs/>
                <w:color w:val="44546A"/>
                <w:sz w:val="26"/>
                <w:szCs w:val="26"/>
                <w:lang w:eastAsia="en-GB"/>
              </w:rPr>
              <w:t>X</w:t>
            </w:r>
          </w:p>
        </w:tc>
      </w:tr>
      <w:tr w:rsidR="00EF0C6A" w:rsidRPr="00EF0C6A" w:rsidTr="00EF0C6A">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2409.5336</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60.5</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1.08538E-07</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0.127532353</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0.000000000</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w:t>
            </w:r>
          </w:p>
        </w:tc>
      </w:tr>
      <w:tr w:rsidR="00EF0C6A" w:rsidRPr="00EF0C6A" w:rsidTr="00EF0C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0.99</w:t>
            </w:r>
          </w:p>
        </w:tc>
        <w:tc>
          <w:tcPr>
            <w:tcW w:w="154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2393.631271</w:t>
            </w:r>
          </w:p>
        </w:tc>
        <w:tc>
          <w:tcPr>
            <w:tcW w:w="14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60.49</w:t>
            </w:r>
          </w:p>
        </w:tc>
        <w:tc>
          <w:tcPr>
            <w:tcW w:w="150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1.08556E-07</w:t>
            </w:r>
          </w:p>
        </w:tc>
        <w:tc>
          <w:tcPr>
            <w:tcW w:w="15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0.127553437</w:t>
            </w:r>
          </w:p>
        </w:tc>
        <w:tc>
          <w:tcPr>
            <w:tcW w:w="16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0.000339238</w:t>
            </w:r>
          </w:p>
        </w:tc>
        <w:tc>
          <w:tcPr>
            <w:tcW w:w="13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0.125</w:t>
            </w:r>
          </w:p>
        </w:tc>
      </w:tr>
      <w:tr w:rsidR="00EF0C6A" w:rsidRPr="00EF0C6A" w:rsidTr="00EF0C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0.98</w:t>
            </w:r>
          </w:p>
        </w:tc>
        <w:tc>
          <w:tcPr>
            <w:tcW w:w="154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2377.66079</w:t>
            </w:r>
          </w:p>
        </w:tc>
        <w:tc>
          <w:tcPr>
            <w:tcW w:w="14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60.48</w:t>
            </w:r>
          </w:p>
        </w:tc>
        <w:tc>
          <w:tcPr>
            <w:tcW w:w="150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1.08574E-07</w:t>
            </w:r>
          </w:p>
        </w:tc>
        <w:tc>
          <w:tcPr>
            <w:tcW w:w="15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0.127574527</w:t>
            </w:r>
          </w:p>
        </w:tc>
        <w:tc>
          <w:tcPr>
            <w:tcW w:w="16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0.000678588</w:t>
            </w:r>
          </w:p>
        </w:tc>
        <w:tc>
          <w:tcPr>
            <w:tcW w:w="13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0.25</w:t>
            </w:r>
          </w:p>
        </w:tc>
      </w:tr>
      <w:tr w:rsidR="00EF0C6A" w:rsidRPr="00EF0C6A" w:rsidTr="00EF0C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0.97</w:t>
            </w:r>
          </w:p>
        </w:tc>
        <w:tc>
          <w:tcPr>
            <w:tcW w:w="154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2361.621536</w:t>
            </w:r>
          </w:p>
        </w:tc>
        <w:tc>
          <w:tcPr>
            <w:tcW w:w="14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60.47</w:t>
            </w:r>
          </w:p>
        </w:tc>
        <w:tc>
          <w:tcPr>
            <w:tcW w:w="150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1.08592E-07</w:t>
            </w:r>
          </w:p>
        </w:tc>
        <w:tc>
          <w:tcPr>
            <w:tcW w:w="15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0.127595624</w:t>
            </w:r>
          </w:p>
        </w:tc>
        <w:tc>
          <w:tcPr>
            <w:tcW w:w="16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0.001018050</w:t>
            </w:r>
          </w:p>
        </w:tc>
        <w:tc>
          <w:tcPr>
            <w:tcW w:w="13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0.375</w:t>
            </w:r>
          </w:p>
        </w:tc>
      </w:tr>
      <w:tr w:rsidR="00EF0C6A" w:rsidRPr="00EF0C6A" w:rsidTr="00EF0C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0.96</w:t>
            </w:r>
          </w:p>
        </w:tc>
        <w:tc>
          <w:tcPr>
            <w:tcW w:w="154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2345.512894</w:t>
            </w:r>
          </w:p>
        </w:tc>
        <w:tc>
          <w:tcPr>
            <w:tcW w:w="14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60.46</w:t>
            </w:r>
          </w:p>
        </w:tc>
        <w:tc>
          <w:tcPr>
            <w:tcW w:w="150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1.08610E-07</w:t>
            </w:r>
          </w:p>
        </w:tc>
        <w:tc>
          <w:tcPr>
            <w:tcW w:w="15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0.127616728</w:t>
            </w:r>
          </w:p>
        </w:tc>
        <w:tc>
          <w:tcPr>
            <w:tcW w:w="16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0.001357625</w:t>
            </w:r>
          </w:p>
        </w:tc>
        <w:tc>
          <w:tcPr>
            <w:tcW w:w="13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0.5</w:t>
            </w:r>
          </w:p>
        </w:tc>
      </w:tr>
      <w:tr w:rsidR="00EF0C6A" w:rsidRPr="00EF0C6A" w:rsidTr="00EF0C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0.95</w:t>
            </w:r>
          </w:p>
        </w:tc>
        <w:tc>
          <w:tcPr>
            <w:tcW w:w="154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2329.334243</w:t>
            </w:r>
          </w:p>
        </w:tc>
        <w:tc>
          <w:tcPr>
            <w:tcW w:w="14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60.45</w:t>
            </w:r>
          </w:p>
        </w:tc>
        <w:tc>
          <w:tcPr>
            <w:tcW w:w="150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1.08628E-07</w:t>
            </w:r>
          </w:p>
        </w:tc>
        <w:tc>
          <w:tcPr>
            <w:tcW w:w="15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0.127637839</w:t>
            </w:r>
          </w:p>
        </w:tc>
        <w:tc>
          <w:tcPr>
            <w:tcW w:w="16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0.001697312</w:t>
            </w:r>
          </w:p>
        </w:tc>
        <w:tc>
          <w:tcPr>
            <w:tcW w:w="13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0.625</w:t>
            </w:r>
          </w:p>
        </w:tc>
      </w:tr>
      <w:tr w:rsidR="00EF0C6A" w:rsidRPr="00EF0C6A" w:rsidTr="00EF0C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0.9</w:t>
            </w:r>
          </w:p>
        </w:tc>
        <w:tc>
          <w:tcPr>
            <w:tcW w:w="154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2247.368152</w:t>
            </w:r>
          </w:p>
        </w:tc>
        <w:tc>
          <w:tcPr>
            <w:tcW w:w="14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60.4</w:t>
            </w:r>
          </w:p>
        </w:tc>
        <w:tc>
          <w:tcPr>
            <w:tcW w:w="150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1.08718E-07</w:t>
            </w:r>
          </w:p>
        </w:tc>
        <w:tc>
          <w:tcPr>
            <w:tcW w:w="15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0.127743500</w:t>
            </w:r>
          </w:p>
        </w:tc>
        <w:tc>
          <w:tcPr>
            <w:tcW w:w="16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0.003397433</w:t>
            </w:r>
          </w:p>
        </w:tc>
        <w:tc>
          <w:tcPr>
            <w:tcW w:w="13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1.25</w:t>
            </w:r>
          </w:p>
        </w:tc>
      </w:tr>
      <w:tr w:rsidR="00EF0C6A" w:rsidRPr="00EF0C6A" w:rsidTr="00EF0C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0.85</w:t>
            </w:r>
          </w:p>
        </w:tc>
        <w:tc>
          <w:tcPr>
            <w:tcW w:w="154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2163.55114</w:t>
            </w:r>
          </w:p>
        </w:tc>
        <w:tc>
          <w:tcPr>
            <w:tcW w:w="14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60.35</w:t>
            </w:r>
          </w:p>
        </w:tc>
        <w:tc>
          <w:tcPr>
            <w:tcW w:w="150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1.08808E-07</w:t>
            </w:r>
          </w:p>
        </w:tc>
        <w:tc>
          <w:tcPr>
            <w:tcW w:w="15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0.127849335</w:t>
            </w:r>
          </w:p>
        </w:tc>
        <w:tc>
          <w:tcPr>
            <w:tcW w:w="16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0.005100372</w:t>
            </w:r>
          </w:p>
        </w:tc>
        <w:tc>
          <w:tcPr>
            <w:tcW w:w="13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1.875</w:t>
            </w:r>
          </w:p>
        </w:tc>
      </w:tr>
      <w:tr w:rsidR="00EF0C6A" w:rsidRPr="00EF0C6A" w:rsidTr="00EF0C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0.8</w:t>
            </w:r>
          </w:p>
        </w:tc>
        <w:tc>
          <w:tcPr>
            <w:tcW w:w="154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2077.790543</w:t>
            </w:r>
          </w:p>
        </w:tc>
        <w:tc>
          <w:tcPr>
            <w:tcW w:w="14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60.3</w:t>
            </w:r>
          </w:p>
        </w:tc>
        <w:tc>
          <w:tcPr>
            <w:tcW w:w="150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1.08898E-07</w:t>
            </w:r>
          </w:p>
        </w:tc>
        <w:tc>
          <w:tcPr>
            <w:tcW w:w="15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0.127955346</w:t>
            </w:r>
          </w:p>
        </w:tc>
        <w:tc>
          <w:tcPr>
            <w:tcW w:w="16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0.006806135</w:t>
            </w:r>
          </w:p>
        </w:tc>
        <w:tc>
          <w:tcPr>
            <w:tcW w:w="13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2.5</w:t>
            </w:r>
          </w:p>
        </w:tc>
      </w:tr>
      <w:tr w:rsidR="00EF0C6A" w:rsidRPr="00EF0C6A" w:rsidTr="00EF0C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0.75</w:t>
            </w:r>
          </w:p>
        </w:tc>
        <w:tc>
          <w:tcPr>
            <w:tcW w:w="154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1989.983987</w:t>
            </w:r>
          </w:p>
        </w:tc>
        <w:tc>
          <w:tcPr>
            <w:tcW w:w="14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60.25</w:t>
            </w:r>
          </w:p>
        </w:tc>
        <w:tc>
          <w:tcPr>
            <w:tcW w:w="150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1.08989E-07</w:t>
            </w:r>
          </w:p>
        </w:tc>
        <w:tc>
          <w:tcPr>
            <w:tcW w:w="15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0.128061533</w:t>
            </w:r>
          </w:p>
        </w:tc>
        <w:tc>
          <w:tcPr>
            <w:tcW w:w="16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0.008514730</w:t>
            </w:r>
          </w:p>
        </w:tc>
        <w:tc>
          <w:tcPr>
            <w:tcW w:w="13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3.125</w:t>
            </w:r>
          </w:p>
        </w:tc>
      </w:tr>
      <w:tr w:rsidR="00EF0C6A" w:rsidRPr="00EF0C6A" w:rsidTr="00EF0C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0.7</w:t>
            </w:r>
          </w:p>
        </w:tc>
        <w:tc>
          <w:tcPr>
            <w:tcW w:w="154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1900.017952</w:t>
            </w:r>
          </w:p>
        </w:tc>
        <w:tc>
          <w:tcPr>
            <w:tcW w:w="14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60.2</w:t>
            </w:r>
          </w:p>
        </w:tc>
        <w:tc>
          <w:tcPr>
            <w:tcW w:w="150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1.09079E-07</w:t>
            </w:r>
          </w:p>
        </w:tc>
        <w:tc>
          <w:tcPr>
            <w:tcW w:w="15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0.128167897</w:t>
            </w:r>
          </w:p>
        </w:tc>
        <w:tc>
          <w:tcPr>
            <w:tcW w:w="16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0.010226162</w:t>
            </w:r>
          </w:p>
        </w:tc>
        <w:tc>
          <w:tcPr>
            <w:tcW w:w="13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3.75</w:t>
            </w:r>
          </w:p>
        </w:tc>
      </w:tr>
      <w:tr w:rsidR="00EF0C6A" w:rsidRPr="00EF0C6A" w:rsidTr="00EF0C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0.65</w:t>
            </w:r>
          </w:p>
        </w:tc>
        <w:tc>
          <w:tcPr>
            <w:tcW w:w="154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1807.7661</w:t>
            </w:r>
          </w:p>
        </w:tc>
        <w:tc>
          <w:tcPr>
            <w:tcW w:w="14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60.15</w:t>
            </w:r>
          </w:p>
        </w:tc>
        <w:tc>
          <w:tcPr>
            <w:tcW w:w="150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1.09170E-07</w:t>
            </w:r>
          </w:p>
        </w:tc>
        <w:tc>
          <w:tcPr>
            <w:tcW w:w="15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0.128274437</w:t>
            </w:r>
          </w:p>
        </w:tc>
        <w:tc>
          <w:tcPr>
            <w:tcW w:w="16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0.011940440</w:t>
            </w:r>
          </w:p>
        </w:tc>
        <w:tc>
          <w:tcPr>
            <w:tcW w:w="13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4.375</w:t>
            </w:r>
          </w:p>
        </w:tc>
      </w:tr>
      <w:tr w:rsidR="00EF0C6A" w:rsidRPr="00EF0C6A" w:rsidTr="00EF0C6A">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0.6</w:t>
            </w:r>
          </w:p>
        </w:tc>
        <w:tc>
          <w:tcPr>
            <w:tcW w:w="154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1713.087272</w:t>
            </w:r>
          </w:p>
        </w:tc>
        <w:tc>
          <w:tcPr>
            <w:tcW w:w="14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60.1</w:t>
            </w:r>
          </w:p>
        </w:tc>
        <w:tc>
          <w:tcPr>
            <w:tcW w:w="150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1.09261E-07</w:t>
            </w:r>
          </w:p>
        </w:tc>
        <w:tc>
          <w:tcPr>
            <w:tcW w:w="15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0.128381154</w:t>
            </w:r>
          </w:p>
        </w:tc>
        <w:tc>
          <w:tcPr>
            <w:tcW w:w="16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0.013657570</w:t>
            </w:r>
          </w:p>
        </w:tc>
        <w:tc>
          <w:tcPr>
            <w:tcW w:w="1360" w:type="dxa"/>
            <w:tcBorders>
              <w:top w:val="nil"/>
              <w:left w:val="nil"/>
              <w:bottom w:val="single" w:sz="4" w:space="0" w:color="auto"/>
              <w:right w:val="single" w:sz="4" w:space="0" w:color="auto"/>
            </w:tcBorders>
            <w:shd w:val="clear" w:color="auto" w:fill="auto"/>
            <w:noWrap/>
            <w:vAlign w:val="bottom"/>
            <w:hideMark/>
          </w:tcPr>
          <w:p w:rsidR="00EF0C6A" w:rsidRPr="00EF0C6A" w:rsidRDefault="00EF0C6A" w:rsidP="00EF0C6A">
            <w:pPr>
              <w:spacing w:after="0" w:line="240" w:lineRule="auto"/>
              <w:jc w:val="right"/>
              <w:rPr>
                <w:rFonts w:ascii="Calibri" w:eastAsia="Times New Roman" w:hAnsi="Calibri" w:cs="Calibri"/>
                <w:color w:val="000000"/>
                <w:lang w:eastAsia="en-GB"/>
              </w:rPr>
            </w:pPr>
            <w:r w:rsidRPr="00EF0C6A">
              <w:rPr>
                <w:rFonts w:ascii="Calibri" w:eastAsia="Times New Roman" w:hAnsi="Calibri" w:cs="Calibri"/>
                <w:color w:val="000000"/>
                <w:lang w:eastAsia="en-GB"/>
              </w:rPr>
              <w:t>5</w:t>
            </w:r>
          </w:p>
        </w:tc>
      </w:tr>
    </w:tbl>
    <w:p w:rsidR="00B4163C" w:rsidRPr="00B4163C" w:rsidRDefault="00BE7B0E" w:rsidP="00BE7B0E">
      <w:pPr>
        <w:pStyle w:val="Caption"/>
      </w:pPr>
      <w:r>
        <w:t>Figure 4.</w:t>
      </w:r>
      <w:r w:rsidR="00643BAC">
        <w:t>3.2</w:t>
      </w:r>
      <w:r>
        <w:t xml:space="preserve"> Calculations </w:t>
      </w:r>
      <w:r w:rsidR="005E2FB5">
        <w:t>t</w:t>
      </w:r>
      <w:r>
        <w:t>able</w:t>
      </w:r>
    </w:p>
    <w:p w:rsidR="00FA3BA3" w:rsidRDefault="00FA3BA3">
      <w:pPr>
        <w:rPr>
          <w:lang w:eastAsia="en-GB"/>
        </w:rPr>
      </w:pPr>
      <w:r>
        <w:rPr>
          <w:lang w:eastAsia="en-GB"/>
        </w:rPr>
        <w:t xml:space="preserve">The rate of NO production can now be calculated for each increment of ф as a function of crank angle through the combustion phase. This is done in 2 stages, first implementing the Zeldovich model as a function of time, then per degree </w:t>
      </w:r>
      <w:r w:rsidR="002A074F">
        <w:rPr>
          <w:lang w:eastAsia="en-GB"/>
        </w:rPr>
        <w:t xml:space="preserve">by multiplying by, </w:t>
      </w:r>
      <m:oMath>
        <m:f>
          <m:fPr>
            <m:ctrlPr>
              <w:rPr>
                <w:rFonts w:ascii="Cambria Math" w:hAnsi="Cambria Math"/>
                <w:i/>
                <w:lang w:eastAsia="en-GB"/>
              </w:rPr>
            </m:ctrlPr>
          </m:fPr>
          <m:num>
            <m:r>
              <w:rPr>
                <w:rFonts w:ascii="Cambria Math" w:hAnsi="Cambria Math"/>
                <w:lang w:eastAsia="en-GB"/>
              </w:rPr>
              <m:t>1</m:t>
            </m:r>
          </m:num>
          <m:den>
            <m:r>
              <w:rPr>
                <w:rFonts w:ascii="Cambria Math" w:hAnsi="Cambria Math"/>
                <w:lang w:eastAsia="en-GB"/>
              </w:rPr>
              <m:t>6*RPM</m:t>
            </m:r>
          </m:den>
        </m:f>
      </m:oMath>
      <w:r w:rsidR="00DD6BCE">
        <w:rPr>
          <w:rFonts w:eastAsiaTheme="minorEastAsia"/>
          <w:lang w:eastAsia="en-GB"/>
        </w:rPr>
        <w:t xml:space="preserve"> to calculate the total Kmols made during combustion.</w:t>
      </w:r>
    </w:p>
    <w:p w:rsidR="007758E7" w:rsidRDefault="00EF0C6A" w:rsidP="007758E7">
      <w:pPr>
        <w:keepNext/>
      </w:pPr>
      <w:r>
        <w:rPr>
          <w:noProof/>
        </w:rPr>
        <w:drawing>
          <wp:inline distT="0" distB="0" distL="0" distR="0" wp14:anchorId="1460603E" wp14:editId="6AFC831C">
            <wp:extent cx="5731510" cy="4531360"/>
            <wp:effectExtent l="0" t="0" r="254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531360"/>
                    </a:xfrm>
                    <a:prstGeom prst="rect">
                      <a:avLst/>
                    </a:prstGeom>
                  </pic:spPr>
                </pic:pic>
              </a:graphicData>
            </a:graphic>
          </wp:inline>
        </w:drawing>
      </w:r>
    </w:p>
    <w:p w:rsidR="007758E7" w:rsidRDefault="007758E7" w:rsidP="00F26ED6">
      <w:pPr>
        <w:pStyle w:val="Caption"/>
        <w:rPr>
          <w:lang w:eastAsia="en-GB"/>
        </w:rPr>
      </w:pPr>
      <w:r>
        <w:t xml:space="preserve">Figure </w:t>
      </w:r>
      <w:r w:rsidR="00D13966">
        <w:t>4.</w:t>
      </w:r>
      <w:r w:rsidR="00643BAC">
        <w:t>3.3</w:t>
      </w:r>
      <w:r w:rsidR="005B4F7C">
        <w:t xml:space="preserve"> Zeldovich </w:t>
      </w:r>
      <w:r w:rsidR="005E2FB5">
        <w:t>m</w:t>
      </w:r>
      <w:r w:rsidR="005B4F7C">
        <w:t xml:space="preserve">odel </w:t>
      </w:r>
      <w:r w:rsidR="005E2FB5">
        <w:t>to calculate [NO] production.</w:t>
      </w:r>
    </w:p>
    <w:p w:rsidR="007758E7" w:rsidRDefault="00EF0C6A" w:rsidP="007758E7">
      <w:pPr>
        <w:keepNext/>
      </w:pPr>
      <w:r>
        <w:rPr>
          <w:noProof/>
        </w:rPr>
        <w:lastRenderedPageBreak/>
        <w:drawing>
          <wp:inline distT="0" distB="0" distL="0" distR="0" wp14:anchorId="783105D0" wp14:editId="661CFD1F">
            <wp:extent cx="5305425" cy="46577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05425" cy="4657725"/>
                    </a:xfrm>
                    <a:prstGeom prst="rect">
                      <a:avLst/>
                    </a:prstGeom>
                  </pic:spPr>
                </pic:pic>
              </a:graphicData>
            </a:graphic>
          </wp:inline>
        </w:drawing>
      </w:r>
    </w:p>
    <w:p w:rsidR="007758E7" w:rsidRDefault="007758E7" w:rsidP="007758E7">
      <w:pPr>
        <w:pStyle w:val="Caption"/>
      </w:pPr>
      <w:r>
        <w:t xml:space="preserve">Figure </w:t>
      </w:r>
      <w:r w:rsidR="00D13966">
        <w:t>4.</w:t>
      </w:r>
      <w:r w:rsidR="00643BAC">
        <w:t>3.4</w:t>
      </w:r>
      <w:r w:rsidR="005E2FB5">
        <w:t xml:space="preserve"> Zeldovich model for [NO] production for every degree of crank rotation. </w:t>
      </w:r>
    </w:p>
    <w:p w:rsidR="00DA52AD" w:rsidRDefault="00DA52AD" w:rsidP="00690590"/>
    <w:p w:rsidR="00DA52AD" w:rsidRDefault="00DA52AD">
      <w:r>
        <w:br w:type="page"/>
      </w:r>
    </w:p>
    <w:p w:rsidR="00690590" w:rsidRPr="00DA52AD" w:rsidRDefault="00690590" w:rsidP="00690590">
      <w:r>
        <w:lastRenderedPageBreak/>
        <w:t xml:space="preserve">The amount of Kmols produced per degree is then determined by multiplying the rate of [NO] production by the effective cylinder volume for combustion of </w:t>
      </w:r>
      <w:r w:rsidRPr="00690590">
        <w:rPr>
          <w:rFonts w:ascii="Calibri" w:eastAsia="Times New Roman" w:hAnsi="Calibri" w:cs="Calibri"/>
          <w:color w:val="000000"/>
          <w:lang w:eastAsia="en-GB"/>
        </w:rPr>
        <w:t>0.00004</w:t>
      </w:r>
      <w:r>
        <w:rPr>
          <w:rFonts w:ascii="Calibri" w:eastAsia="Times New Roman" w:hAnsi="Calibri" w:cs="Calibri"/>
          <w:color w:val="000000"/>
          <w:lang w:eastAsia="en-GB"/>
        </w:rPr>
        <w:t xml:space="preserve"> m³. </w:t>
      </w:r>
      <w:r w:rsidR="00592948">
        <w:rPr>
          <w:rFonts w:ascii="Calibri" w:eastAsia="Times New Roman" w:hAnsi="Calibri" w:cs="Calibri"/>
          <w:color w:val="000000"/>
          <w:lang w:eastAsia="en-GB"/>
        </w:rPr>
        <w:t xml:space="preserve">The total </w:t>
      </w:r>
      <w:r w:rsidR="00DA52AD">
        <w:rPr>
          <w:rFonts w:ascii="Calibri" w:eastAsia="Times New Roman" w:hAnsi="Calibri" w:cs="Calibri"/>
          <w:color w:val="000000"/>
          <w:lang w:eastAsia="en-GB"/>
        </w:rPr>
        <w:t xml:space="preserve">amount of Kmols produced over the 20° of crank rotation is then totalled and this figure used to establish the total NOx PPM produced. </w:t>
      </w:r>
    </w:p>
    <w:p w:rsidR="00690590" w:rsidRDefault="00EF0C6A" w:rsidP="00690590">
      <w:pPr>
        <w:keepNext/>
      </w:pPr>
      <w:r>
        <w:rPr>
          <w:noProof/>
        </w:rPr>
        <w:drawing>
          <wp:inline distT="0" distB="0" distL="0" distR="0" wp14:anchorId="1A2C211B" wp14:editId="228346E4">
            <wp:extent cx="5731510" cy="431101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311015"/>
                    </a:xfrm>
                    <a:prstGeom prst="rect">
                      <a:avLst/>
                    </a:prstGeom>
                  </pic:spPr>
                </pic:pic>
              </a:graphicData>
            </a:graphic>
          </wp:inline>
        </w:drawing>
      </w:r>
    </w:p>
    <w:p w:rsidR="00690590" w:rsidRDefault="00690590" w:rsidP="00690590">
      <w:pPr>
        <w:pStyle w:val="Caption"/>
      </w:pPr>
      <w:r>
        <w:t>Figure 4.</w:t>
      </w:r>
      <w:r w:rsidR="00643BAC">
        <w:t>3.5</w:t>
      </w:r>
      <w:r w:rsidR="00082A7C">
        <w:t xml:space="preserve"> Kmols of [NO] produced through the combustion cycle for each value of </w:t>
      </w:r>
      <w:r w:rsidR="00082A7C">
        <w:rPr>
          <w:rFonts w:cstheme="minorHAnsi"/>
        </w:rPr>
        <w:t>ф</w:t>
      </w:r>
      <w:r w:rsidR="00082A7C">
        <w:t>.</w:t>
      </w:r>
    </w:p>
    <w:p w:rsidR="00A50F85" w:rsidRPr="00A50F85" w:rsidRDefault="00A50F85" w:rsidP="00A50F85"/>
    <w:p w:rsidR="00DB57CB" w:rsidRPr="00DB57CB" w:rsidRDefault="00917D3A" w:rsidP="00690590">
      <w:pPr>
        <w:keepNext/>
        <w:rPr>
          <w:rFonts w:eastAsiaTheme="minorEastAsia"/>
        </w:rPr>
      </w:pPr>
      <m:oMathPara>
        <m:oMath>
          <m:r>
            <w:rPr>
              <w:rFonts w:ascii="Cambria Math" w:hAnsi="Cambria Math"/>
            </w:rPr>
            <m:t>NOx PPM=</m:t>
          </m:r>
          <m:f>
            <m:fPr>
              <m:ctrlPr>
                <w:rPr>
                  <w:rFonts w:ascii="Cambria Math" w:hAnsi="Cambria Math"/>
                  <w:i/>
                </w:rPr>
              </m:ctrlPr>
            </m:fPr>
            <m:num>
              <m:r>
                <w:rPr>
                  <w:rFonts w:ascii="Cambria Math" w:hAnsi="Cambria Math"/>
                </w:rPr>
                <m:t>Kmols NO.</m:t>
              </m:r>
            </m:num>
            <m:den>
              <m:r>
                <w:rPr>
                  <w:rFonts w:ascii="Cambria Math" w:hAnsi="Cambria Math"/>
                </w:rPr>
                <m:t>(Kmols exhaust*α)</m:t>
              </m:r>
            </m:den>
          </m:f>
          <m:r>
            <w:rPr>
              <w:rFonts w:ascii="Cambria Math" w:hAnsi="Cambria Math"/>
            </w:rPr>
            <m:t>*10^6</m:t>
          </m:r>
        </m:oMath>
      </m:oMathPara>
    </w:p>
    <w:p w:rsidR="00917D3A" w:rsidRDefault="00690590" w:rsidP="00690590">
      <w:pPr>
        <w:keepNext/>
        <w:rPr>
          <w:rFonts w:eastAsiaTheme="minorEastAsia"/>
        </w:rPr>
      </w:pPr>
      <w:r>
        <w:br/>
      </w:r>
      <m:oMathPara>
        <m:oMath>
          <m:r>
            <w:rPr>
              <w:rFonts w:ascii="Cambria Math" w:hAnsi="Cambria Math"/>
            </w:rPr>
            <w:lastRenderedPageBreak/>
            <m:t>Kmols exhaust=</m:t>
          </m:r>
          <m:r>
            <w:rPr>
              <w:rFonts w:ascii="Cambria Math" w:hAnsi="Cambria Math" w:cs="Calibri"/>
            </w:rPr>
            <m:t>α</m:t>
          </m:r>
          <m:r>
            <w:rPr>
              <w:rFonts w:ascii="Cambria Math" w:hAnsi="Cambria Math"/>
            </w:rPr>
            <m:t>*Kmols Product</m:t>
          </m:r>
          <m:r>
            <m:rPr>
              <m:sty m:val="p"/>
            </m:rPr>
            <w:rPr>
              <w:rFonts w:eastAsiaTheme="minorEastAsia"/>
            </w:rPr>
            <w:br/>
          </m:r>
        </m:oMath>
      </m:oMathPara>
      <w:r w:rsidR="00917D3A">
        <w:rPr>
          <w:rFonts w:eastAsiaTheme="minorEastAsia"/>
        </w:rPr>
        <w:t xml:space="preserve">Kmols Product is calculated for each </w:t>
      </w:r>
      <w:r w:rsidR="00917D3A">
        <w:rPr>
          <w:rFonts w:eastAsiaTheme="minorEastAsia" w:cstheme="minorHAnsi"/>
        </w:rPr>
        <w:t>ф</w:t>
      </w:r>
      <w:r w:rsidR="00917D3A">
        <w:rPr>
          <w:rFonts w:eastAsiaTheme="minorEastAsia"/>
        </w:rPr>
        <w:t xml:space="preserve"> to give Kmols e</w:t>
      </w:r>
      <w:r w:rsidR="00DB57CB">
        <w:rPr>
          <w:rFonts w:eastAsiaTheme="minorEastAsia"/>
        </w:rPr>
        <w:t>xhaust, this value can then be used to calculate the total NOx produced</w:t>
      </w:r>
      <w:r w:rsidR="00917D3A">
        <w:rPr>
          <w:rFonts w:eastAsiaTheme="minorEastAsia"/>
        </w:rPr>
        <w:t>. Figure 4.</w:t>
      </w:r>
      <w:r w:rsidR="005C6A14">
        <w:rPr>
          <w:rFonts w:eastAsiaTheme="minorEastAsia"/>
        </w:rPr>
        <w:t>3.6</w:t>
      </w:r>
    </w:p>
    <w:p w:rsidR="009429DE" w:rsidRDefault="00917D3A" w:rsidP="009429DE">
      <w:pPr>
        <w:keepNext/>
      </w:pPr>
      <w:r>
        <w:rPr>
          <w:noProof/>
        </w:rPr>
        <w:drawing>
          <wp:inline distT="0" distB="0" distL="0" distR="0" wp14:anchorId="70061DFC" wp14:editId="5FB9CCAB">
            <wp:extent cx="5267325" cy="28765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67325" cy="2876550"/>
                    </a:xfrm>
                    <a:prstGeom prst="rect">
                      <a:avLst/>
                    </a:prstGeom>
                  </pic:spPr>
                </pic:pic>
              </a:graphicData>
            </a:graphic>
          </wp:inline>
        </w:drawing>
      </w:r>
    </w:p>
    <w:p w:rsidR="00917D3A" w:rsidRDefault="009429DE" w:rsidP="00DB57CB">
      <w:pPr>
        <w:pStyle w:val="Caption"/>
        <w:tabs>
          <w:tab w:val="left" w:pos="1725"/>
        </w:tabs>
      </w:pPr>
      <w:r>
        <w:t>Figure 4.</w:t>
      </w:r>
      <w:r w:rsidR="00643BAC">
        <w:t>3.6</w:t>
      </w:r>
      <w:r w:rsidR="00DB57CB">
        <w:t xml:space="preserve"> Kmols of the combustion products.</w:t>
      </w:r>
      <w:r w:rsidR="00DB57CB">
        <w:tab/>
      </w:r>
    </w:p>
    <w:p w:rsidR="00DB57CB" w:rsidRDefault="00EF0C6A" w:rsidP="00DB57CB">
      <w:pPr>
        <w:keepNext/>
      </w:pPr>
      <w:r>
        <w:rPr>
          <w:noProof/>
        </w:rPr>
        <w:drawing>
          <wp:inline distT="0" distB="0" distL="0" distR="0" wp14:anchorId="5D52C46D" wp14:editId="7F06D918">
            <wp:extent cx="4914900" cy="30194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14900" cy="3019425"/>
                    </a:xfrm>
                    <a:prstGeom prst="rect">
                      <a:avLst/>
                    </a:prstGeom>
                  </pic:spPr>
                </pic:pic>
              </a:graphicData>
            </a:graphic>
          </wp:inline>
        </w:drawing>
      </w:r>
    </w:p>
    <w:p w:rsidR="00DB57CB" w:rsidRDefault="00DB57CB" w:rsidP="00DB57CB">
      <w:pPr>
        <w:pStyle w:val="Caption"/>
      </w:pPr>
      <w:r>
        <w:t>Figure 4.</w:t>
      </w:r>
      <w:r w:rsidR="00643BAC">
        <w:t>3.7</w:t>
      </w:r>
      <w:r>
        <w:t xml:space="preserve"> Total NOx produced for the subject combustion cycle. </w:t>
      </w:r>
    </w:p>
    <w:p w:rsidR="00DB57CB" w:rsidRPr="00DB57CB" w:rsidRDefault="00DB57CB" w:rsidP="00DB57CB"/>
    <w:p w:rsidR="00917D3A" w:rsidRPr="00917D3A" w:rsidRDefault="00917D3A" w:rsidP="00690590">
      <w:pPr>
        <w:keepNext/>
        <w:rPr>
          <w:rFonts w:eastAsiaTheme="minorEastAsia"/>
        </w:rPr>
      </w:pPr>
    </w:p>
    <w:p w:rsidR="00917D3A" w:rsidRPr="009429DE" w:rsidRDefault="00917D3A" w:rsidP="00DD6BCE">
      <w:pPr>
        <w:rPr>
          <w:rFonts w:eastAsiaTheme="minorEastAsia"/>
        </w:rPr>
      </w:pPr>
    </w:p>
    <w:p w:rsidR="009429DE" w:rsidRPr="00917D3A" w:rsidRDefault="009429DE" w:rsidP="00DD6BCE">
      <w:pPr>
        <w:rPr>
          <w:rFonts w:eastAsiaTheme="minorEastAsia"/>
        </w:rPr>
      </w:pPr>
    </w:p>
    <w:p w:rsidR="001C5ADA" w:rsidRDefault="00917D3A" w:rsidP="001C5ADA">
      <w:pPr>
        <w:pStyle w:val="Heading2"/>
      </w:pPr>
      <w:r>
        <w:br/>
      </w:r>
      <w:r w:rsidR="00DD6BCE">
        <w:br w:type="page"/>
      </w:r>
      <w:bookmarkStart w:id="10" w:name="_Toc503446554"/>
      <w:r w:rsidR="009B2DE7">
        <w:lastRenderedPageBreak/>
        <w:t xml:space="preserve">4.4 </w:t>
      </w:r>
      <w:r w:rsidR="001C5ADA">
        <w:t>Results</w:t>
      </w:r>
      <w:bookmarkEnd w:id="10"/>
      <w:r w:rsidR="001C5ADA">
        <w:t xml:space="preserve"> </w:t>
      </w:r>
    </w:p>
    <w:p w:rsidR="005D7547" w:rsidRPr="005D7547" w:rsidRDefault="005D7547" w:rsidP="005D7547"/>
    <w:p w:rsidR="00BC5B3A" w:rsidRDefault="00BC5B3A" w:rsidP="00BC5B3A">
      <w:pPr>
        <w:keepNext/>
      </w:pPr>
      <w:r>
        <w:rPr>
          <w:noProof/>
        </w:rPr>
        <w:drawing>
          <wp:inline distT="0" distB="0" distL="0" distR="0" wp14:anchorId="71AE3DC5" wp14:editId="2DBF14F1">
            <wp:extent cx="4569385" cy="2768361"/>
            <wp:effectExtent l="0" t="0" r="3175" b="13335"/>
            <wp:docPr id="20" name="Chart 20">
              <a:extLst xmlns:a="http://schemas.openxmlformats.org/drawingml/2006/main">
                <a:ext uri="{FF2B5EF4-FFF2-40B4-BE49-F238E27FC236}">
                  <a16:creationId xmlns:a16="http://schemas.microsoft.com/office/drawing/2014/main" id="{D6798BC1-5852-4444-8E98-6813A588A3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1C5ADA" w:rsidRDefault="00BC5B3A" w:rsidP="00BC5B3A">
      <w:pPr>
        <w:pStyle w:val="Caption"/>
      </w:pPr>
      <w:r>
        <w:t xml:space="preserve">Figure </w:t>
      </w:r>
      <w:r w:rsidR="00643BAC">
        <w:t>4.4.1</w:t>
      </w:r>
      <w:r>
        <w:t xml:space="preserve"> Flame temperature as a function of </w:t>
      </w:r>
      <w:r w:rsidR="005D7547">
        <w:t>fuel equivalence ratio.</w:t>
      </w:r>
    </w:p>
    <w:p w:rsidR="002651D2" w:rsidRPr="002651D2" w:rsidRDefault="002651D2" w:rsidP="002651D2"/>
    <w:p w:rsidR="005D7547" w:rsidRPr="005D7547" w:rsidRDefault="005D7547" w:rsidP="005D7547"/>
    <w:p w:rsidR="00BC5B3A" w:rsidRDefault="00BC5B3A" w:rsidP="001C5ADA"/>
    <w:p w:rsidR="00BC5B3A" w:rsidRDefault="00BC5B3A" w:rsidP="001C5ADA"/>
    <w:p w:rsidR="00BC5B3A" w:rsidRDefault="00BC5B3A" w:rsidP="001C5ADA"/>
    <w:p w:rsidR="00BC5B3A" w:rsidRPr="001C5ADA" w:rsidRDefault="00BC5B3A" w:rsidP="001C5ADA"/>
    <w:p w:rsidR="00DD6BCE" w:rsidRPr="00DD6BCE" w:rsidRDefault="00917D3A" w:rsidP="001C5ADA">
      <w:pPr>
        <w:pStyle w:val="Heading2"/>
      </w:pPr>
      <m:oMathPara>
        <m:oMathParaPr>
          <m:jc m:val="left"/>
        </m:oMathParaPr>
        <m:oMath>
          <m:r>
            <m:rPr>
              <m:sty m:val="p"/>
            </m:rPr>
            <w:rPr>
              <w:rFonts w:ascii="Cambria Math" w:hAnsi="Cambria Math"/>
            </w:rPr>
            <w:br/>
          </m:r>
        </m:oMath>
      </m:oMathPara>
    </w:p>
    <w:p w:rsidR="00DD6BCE" w:rsidRPr="00891772" w:rsidRDefault="00DD6BCE" w:rsidP="00DD6BCE">
      <w:pPr>
        <w:keepNext/>
        <w:rPr>
          <w:rFonts w:eastAsiaTheme="minorEastAsia"/>
        </w:rPr>
      </w:pPr>
    </w:p>
    <w:p w:rsidR="00891772" w:rsidRPr="00917D3A" w:rsidRDefault="00891772" w:rsidP="00DD6BCE">
      <w:pPr>
        <w:keepNext/>
        <w:rPr>
          <w:rFonts w:eastAsiaTheme="minorEastAsia"/>
        </w:rPr>
      </w:pPr>
    </w:p>
    <w:p w:rsidR="00917D3A" w:rsidRDefault="00917D3A" w:rsidP="00DD6BCE">
      <w:pPr>
        <w:keepNext/>
      </w:pPr>
    </w:p>
    <w:p w:rsidR="008313A8" w:rsidRDefault="005666BE" w:rsidP="008313A8">
      <w:pPr>
        <w:keepNext/>
      </w:pPr>
      <w:r>
        <w:rPr>
          <w:lang w:eastAsia="en-GB"/>
        </w:rPr>
        <w:br w:type="page"/>
      </w:r>
      <w:r w:rsidR="00E37C60">
        <w:rPr>
          <w:noProof/>
        </w:rPr>
        <w:lastRenderedPageBreak/>
        <w:drawing>
          <wp:inline distT="0" distB="0" distL="0" distR="0" wp14:anchorId="41B2CF07" wp14:editId="118E51C3">
            <wp:extent cx="7782520" cy="2444432"/>
            <wp:effectExtent l="1905"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rot="16200000">
                      <a:off x="0" y="0"/>
                      <a:ext cx="7807974" cy="2452427"/>
                    </a:xfrm>
                    <a:prstGeom prst="rect">
                      <a:avLst/>
                    </a:prstGeom>
                  </pic:spPr>
                </pic:pic>
              </a:graphicData>
            </a:graphic>
          </wp:inline>
        </w:drawing>
      </w:r>
    </w:p>
    <w:p w:rsidR="008313A8" w:rsidRDefault="008313A8" w:rsidP="008313A8">
      <w:pPr>
        <w:pStyle w:val="Caption"/>
      </w:pPr>
      <w:r>
        <w:t xml:space="preserve">Figure </w:t>
      </w:r>
      <w:r w:rsidR="00643BAC">
        <w:t>4.4.2</w:t>
      </w:r>
      <w:r>
        <w:t xml:space="preserve"> NOx PPM/</w:t>
      </w:r>
      <w:r>
        <w:rPr>
          <w:rFonts w:cstheme="minorHAnsi"/>
        </w:rPr>
        <w:t>ф</w:t>
      </w:r>
      <w:r>
        <w:t xml:space="preserve"> </w:t>
      </w:r>
    </w:p>
    <w:p w:rsidR="005D7547" w:rsidRDefault="005D7547">
      <w:pPr>
        <w:rPr>
          <w:rFonts w:asciiTheme="majorHAnsi" w:eastAsiaTheme="majorEastAsia" w:hAnsiTheme="majorHAnsi" w:cstheme="majorBidi"/>
          <w:color w:val="2E74B5" w:themeColor="accent1" w:themeShade="BF"/>
          <w:sz w:val="32"/>
          <w:szCs w:val="32"/>
          <w:lang w:eastAsia="en-GB"/>
        </w:rPr>
      </w:pPr>
      <w:r>
        <w:rPr>
          <w:lang w:eastAsia="en-GB"/>
        </w:rPr>
        <w:br w:type="page"/>
      </w:r>
    </w:p>
    <w:p w:rsidR="002E2115" w:rsidRDefault="009B2DE7" w:rsidP="009B2DE7">
      <w:pPr>
        <w:pStyle w:val="Heading1"/>
        <w:numPr>
          <w:ilvl w:val="0"/>
          <w:numId w:val="14"/>
        </w:numPr>
        <w:rPr>
          <w:lang w:eastAsia="en-GB"/>
        </w:rPr>
      </w:pPr>
      <w:bookmarkStart w:id="11" w:name="_Toc503446555"/>
      <w:r>
        <w:rPr>
          <w:lang w:eastAsia="en-GB"/>
        </w:rPr>
        <w:lastRenderedPageBreak/>
        <w:t>EGR</w:t>
      </w:r>
      <w:bookmarkEnd w:id="11"/>
    </w:p>
    <w:p w:rsidR="00E5025F" w:rsidRDefault="006266E6" w:rsidP="00E5025F">
      <w:pPr>
        <w:rPr>
          <w:lang w:eastAsia="en-GB"/>
        </w:rPr>
      </w:pPr>
      <w:r>
        <w:rPr>
          <w:lang w:eastAsia="en-GB"/>
        </w:rPr>
        <w:t>To calculate the effects of adding EGR, a percentage of the products on molar ratio</w:t>
      </w:r>
      <w:r w:rsidR="00F70112">
        <w:rPr>
          <w:lang w:eastAsia="en-GB"/>
        </w:rPr>
        <w:t xml:space="preserve"> to the</w:t>
      </w:r>
      <w:r>
        <w:rPr>
          <w:lang w:eastAsia="en-GB"/>
        </w:rPr>
        <w:t xml:space="preserve"> must be added in increments of 1% from 1 – 30%. The extra products are added at the enthalpy table stage to readjust the TB1 flame table from which all the components of calculating NOx PPM are then derived to give a table of NOx PPM as a function of EGR %. The FER is fixed at 0.95% lean. </w:t>
      </w:r>
    </w:p>
    <w:p w:rsidR="00D1458F" w:rsidRDefault="0018321E" w:rsidP="00D1458F">
      <w:pPr>
        <w:pStyle w:val="Heading2"/>
        <w:rPr>
          <w:lang w:eastAsia="en-GB"/>
        </w:rPr>
      </w:pPr>
      <w:r>
        <w:rPr>
          <w:lang w:eastAsia="en-GB"/>
        </w:rPr>
        <w:t xml:space="preserve"> </w:t>
      </w:r>
      <w:bookmarkStart w:id="12" w:name="_Toc503446556"/>
      <w:r w:rsidR="002A5343">
        <w:rPr>
          <w:lang w:eastAsia="en-GB"/>
        </w:rPr>
        <w:t xml:space="preserve">5.1 </w:t>
      </w:r>
      <w:r w:rsidR="00D1458F">
        <w:rPr>
          <w:lang w:eastAsia="en-GB"/>
        </w:rPr>
        <w:t>Flame Temperatures</w:t>
      </w:r>
      <w:bookmarkEnd w:id="12"/>
      <w:r w:rsidR="002A5343">
        <w:rPr>
          <w:lang w:eastAsia="en-GB"/>
        </w:rPr>
        <w:t xml:space="preserve"> </w:t>
      </w:r>
    </w:p>
    <w:tbl>
      <w:tblPr>
        <w:tblW w:w="4560" w:type="dxa"/>
        <w:tblLook w:val="04A0" w:firstRow="1" w:lastRow="0" w:firstColumn="1" w:lastColumn="0" w:noHBand="0" w:noVBand="1"/>
      </w:tblPr>
      <w:tblGrid>
        <w:gridCol w:w="2720"/>
        <w:gridCol w:w="1840"/>
      </w:tblGrid>
      <w:tr w:rsidR="00595AB8" w:rsidRPr="00595AB8" w:rsidTr="00595AB8">
        <w:trPr>
          <w:trHeight w:val="360"/>
        </w:trPr>
        <w:tc>
          <w:tcPr>
            <w:tcW w:w="2720" w:type="dxa"/>
            <w:tcBorders>
              <w:top w:val="nil"/>
              <w:left w:val="nil"/>
              <w:bottom w:val="single" w:sz="12" w:space="0" w:color="A2B8E1"/>
              <w:right w:val="nil"/>
            </w:tcBorders>
            <w:shd w:val="clear" w:color="auto" w:fill="auto"/>
            <w:noWrap/>
            <w:vAlign w:val="bottom"/>
            <w:hideMark/>
          </w:tcPr>
          <w:p w:rsidR="00595AB8" w:rsidRPr="00595AB8" w:rsidRDefault="00595AB8" w:rsidP="00595AB8">
            <w:pPr>
              <w:spacing w:after="0" w:line="240" w:lineRule="auto"/>
              <w:rPr>
                <w:rFonts w:ascii="Calibri" w:eastAsia="Times New Roman" w:hAnsi="Calibri" w:cs="Calibri"/>
                <w:b/>
                <w:bCs/>
                <w:color w:val="44546A"/>
                <w:sz w:val="26"/>
                <w:szCs w:val="26"/>
                <w:lang w:eastAsia="en-GB"/>
              </w:rPr>
            </w:pPr>
            <w:r w:rsidRPr="00595AB8">
              <w:rPr>
                <w:rFonts w:ascii="Calibri" w:eastAsia="Times New Roman" w:hAnsi="Calibri" w:cs="Calibri"/>
                <w:b/>
                <w:bCs/>
                <w:color w:val="44546A"/>
                <w:sz w:val="26"/>
                <w:szCs w:val="26"/>
                <w:lang w:eastAsia="en-GB"/>
              </w:rPr>
              <w:t>EGR</w:t>
            </w:r>
          </w:p>
        </w:tc>
        <w:tc>
          <w:tcPr>
            <w:tcW w:w="1840" w:type="dxa"/>
            <w:tcBorders>
              <w:top w:val="nil"/>
              <w:left w:val="nil"/>
              <w:bottom w:val="single" w:sz="12" w:space="0" w:color="A2B8E1"/>
              <w:right w:val="nil"/>
            </w:tcBorders>
            <w:shd w:val="clear" w:color="auto" w:fill="auto"/>
            <w:noWrap/>
            <w:vAlign w:val="bottom"/>
            <w:hideMark/>
          </w:tcPr>
          <w:p w:rsidR="00595AB8" w:rsidRPr="00595AB8" w:rsidRDefault="00595AB8" w:rsidP="00595AB8">
            <w:pPr>
              <w:spacing w:after="0" w:line="240" w:lineRule="auto"/>
              <w:rPr>
                <w:rFonts w:ascii="Calibri" w:eastAsia="Times New Roman" w:hAnsi="Calibri" w:cs="Calibri"/>
                <w:b/>
                <w:bCs/>
                <w:color w:val="44546A"/>
                <w:sz w:val="26"/>
                <w:szCs w:val="26"/>
                <w:lang w:eastAsia="en-GB"/>
              </w:rPr>
            </w:pPr>
            <w:r w:rsidRPr="00595AB8">
              <w:rPr>
                <w:rFonts w:ascii="Calibri" w:eastAsia="Times New Roman" w:hAnsi="Calibri" w:cs="Calibri"/>
                <w:b/>
                <w:bCs/>
                <w:color w:val="44546A"/>
                <w:sz w:val="26"/>
                <w:szCs w:val="26"/>
                <w:lang w:eastAsia="en-GB"/>
              </w:rPr>
              <w:t>Flame Temp</w:t>
            </w:r>
          </w:p>
        </w:tc>
      </w:tr>
      <w:tr w:rsidR="00595AB8" w:rsidRPr="00595AB8" w:rsidTr="00595AB8">
        <w:trPr>
          <w:trHeight w:val="315"/>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2329.219921</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0.01</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2311.087919</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0.02</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2293.297895</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0.03</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2275.840079</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0.04</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2258.705051</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0.05</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2241.883754</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0.06</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2225.367452</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0.07</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2209.147745</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0.08</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2193</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0.09</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2177.565967</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0.1</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2162.188555</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0.11</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2147.077015</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0.12</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2132.22432</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0.13</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2117.623715</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0.14</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2103.268665</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0.15</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2089.152855</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0.16</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2075.270184</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0.17</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2061.614764</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0.18</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2048.180905</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0.19</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2034.963098</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0.2</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2021.956015</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0.21</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2009.154507</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0.22</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1996.553593</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0.23</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1984.148458</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0.24</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1971.934426</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0.25</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1959.906975</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0.26</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1948.061733</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0.27</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1936.39445</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0.28</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1924.901033</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0.29</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1913.577481</w:t>
            </w:r>
          </w:p>
        </w:tc>
      </w:tr>
      <w:tr w:rsidR="00595AB8" w:rsidRPr="00595AB8" w:rsidTr="00595AB8">
        <w:trPr>
          <w:trHeight w:val="300"/>
        </w:trPr>
        <w:tc>
          <w:tcPr>
            <w:tcW w:w="272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0.3</w:t>
            </w:r>
          </w:p>
        </w:tc>
        <w:tc>
          <w:tcPr>
            <w:tcW w:w="1840" w:type="dxa"/>
            <w:tcBorders>
              <w:top w:val="nil"/>
              <w:left w:val="nil"/>
              <w:bottom w:val="nil"/>
              <w:right w:val="nil"/>
            </w:tcBorders>
            <w:shd w:val="clear" w:color="auto" w:fill="auto"/>
            <w:noWrap/>
            <w:vAlign w:val="bottom"/>
            <w:hideMark/>
          </w:tcPr>
          <w:p w:rsidR="00595AB8" w:rsidRPr="00595AB8" w:rsidRDefault="00595AB8" w:rsidP="00595AB8">
            <w:pPr>
              <w:spacing w:after="0" w:line="240" w:lineRule="auto"/>
              <w:jc w:val="right"/>
              <w:rPr>
                <w:rFonts w:ascii="Calibri" w:eastAsia="Times New Roman" w:hAnsi="Calibri" w:cs="Calibri"/>
                <w:color w:val="000000"/>
                <w:lang w:eastAsia="en-GB"/>
              </w:rPr>
            </w:pPr>
            <w:r w:rsidRPr="00595AB8">
              <w:rPr>
                <w:rFonts w:ascii="Calibri" w:eastAsia="Times New Roman" w:hAnsi="Calibri" w:cs="Calibri"/>
                <w:color w:val="000000"/>
                <w:lang w:eastAsia="en-GB"/>
              </w:rPr>
              <w:t>1902.419945</w:t>
            </w:r>
          </w:p>
        </w:tc>
      </w:tr>
    </w:tbl>
    <w:p w:rsidR="00D1458F" w:rsidRPr="00D1458F" w:rsidRDefault="00595AB8" w:rsidP="00595AB8">
      <w:pPr>
        <w:pStyle w:val="Caption"/>
        <w:rPr>
          <w:lang w:eastAsia="en-GB"/>
        </w:rPr>
      </w:pPr>
      <w:r>
        <w:t xml:space="preserve">Figure </w:t>
      </w:r>
      <w:r w:rsidR="00353E53">
        <w:t>5.</w:t>
      </w:r>
      <w:r w:rsidR="00643BAC">
        <w:t>0.1</w:t>
      </w:r>
      <w:r w:rsidR="00353E53">
        <w:t xml:space="preserve"> </w:t>
      </w:r>
      <w:r w:rsidR="00F70112">
        <w:t>New TB1 flame temperatures</w:t>
      </w:r>
      <w:r w:rsidR="00A0749C">
        <w:t xml:space="preserve"> in K</w:t>
      </w:r>
      <w:r w:rsidR="00F70112">
        <w:t xml:space="preserve"> after adding EGR. </w:t>
      </w:r>
    </w:p>
    <w:p w:rsidR="00E5025F" w:rsidRDefault="00E5025F">
      <w:pPr>
        <w:rPr>
          <w:rFonts w:asciiTheme="majorHAnsi" w:eastAsiaTheme="majorEastAsia" w:hAnsiTheme="majorHAnsi" w:cstheme="majorBidi"/>
          <w:color w:val="2E74B5" w:themeColor="accent1" w:themeShade="BF"/>
          <w:sz w:val="32"/>
          <w:szCs w:val="32"/>
          <w:lang w:eastAsia="en-GB"/>
        </w:rPr>
      </w:pPr>
      <w:r>
        <w:rPr>
          <w:lang w:eastAsia="en-GB"/>
        </w:rPr>
        <w:br w:type="page"/>
      </w:r>
    </w:p>
    <w:p w:rsidR="00F70112" w:rsidRDefault="0018321E" w:rsidP="0018321E">
      <w:pPr>
        <w:pStyle w:val="Heading2"/>
        <w:ind w:left="360"/>
        <w:rPr>
          <w:lang w:eastAsia="en-GB"/>
        </w:rPr>
      </w:pPr>
      <w:bookmarkStart w:id="13" w:name="_Toc503446557"/>
      <w:r>
        <w:rPr>
          <w:lang w:eastAsia="en-GB"/>
        </w:rPr>
        <w:lastRenderedPageBreak/>
        <w:t xml:space="preserve">5.2 </w:t>
      </w:r>
      <w:r w:rsidR="00F70112">
        <w:rPr>
          <w:lang w:eastAsia="en-GB"/>
        </w:rPr>
        <w:t>Results</w:t>
      </w:r>
      <w:bookmarkEnd w:id="13"/>
    </w:p>
    <w:p w:rsidR="009B2DE7" w:rsidRPr="009B2DE7" w:rsidRDefault="009B2DE7" w:rsidP="009B2DE7">
      <w:pPr>
        <w:ind w:left="360"/>
        <w:rPr>
          <w:lang w:eastAsia="en-GB"/>
        </w:rPr>
      </w:pPr>
    </w:p>
    <w:p w:rsidR="005E720D" w:rsidRDefault="005E720D" w:rsidP="00353E53">
      <w:r>
        <w:rPr>
          <w:noProof/>
        </w:rPr>
        <w:drawing>
          <wp:inline distT="0" distB="0" distL="0" distR="0" wp14:anchorId="1BABE275" wp14:editId="32A3EE7E">
            <wp:extent cx="5546090" cy="3469640"/>
            <wp:effectExtent l="0" t="0" r="16510" b="16510"/>
            <wp:docPr id="27" name="Chart 27">
              <a:extLst xmlns:a="http://schemas.openxmlformats.org/drawingml/2006/main">
                <a:ext uri="{FF2B5EF4-FFF2-40B4-BE49-F238E27FC236}">
                  <a16:creationId xmlns:a16="http://schemas.microsoft.com/office/drawing/2014/main" id="{315A17BE-8996-42AF-96E2-5FF667A28E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5E720D" w:rsidRDefault="005E720D" w:rsidP="005E720D">
      <w:pPr>
        <w:pStyle w:val="Caption"/>
      </w:pPr>
      <w:r>
        <w:t xml:space="preserve">Figure </w:t>
      </w:r>
      <w:r w:rsidR="00353E53">
        <w:t>5.1</w:t>
      </w:r>
      <w:r w:rsidR="00643BAC">
        <w:t>.1</w:t>
      </w:r>
      <w:r w:rsidR="00382652">
        <w:t xml:space="preserve"> The graph shows the effects of adding EGR to TB1 flame temperatures at </w:t>
      </w:r>
      <w:r w:rsidR="00382652">
        <w:rPr>
          <w:rFonts w:cstheme="minorHAnsi"/>
        </w:rPr>
        <w:t>Φ</w:t>
      </w:r>
      <w:r w:rsidR="00382652">
        <w:t xml:space="preserve">=0.95 </w:t>
      </w:r>
    </w:p>
    <w:p w:rsidR="005E720D" w:rsidRDefault="005E720D" w:rsidP="00F70112">
      <w:pPr>
        <w:pStyle w:val="Heading2"/>
        <w:rPr>
          <w:lang w:eastAsia="en-GB"/>
        </w:rPr>
      </w:pPr>
      <w:r>
        <w:rPr>
          <w:lang w:eastAsia="en-GB"/>
        </w:rPr>
        <w:t xml:space="preserve"> </w:t>
      </w:r>
    </w:p>
    <w:p w:rsidR="005E720D" w:rsidRPr="005E720D" w:rsidRDefault="005E720D" w:rsidP="005E720D">
      <w:pPr>
        <w:rPr>
          <w:lang w:eastAsia="en-GB"/>
        </w:rPr>
      </w:pPr>
    </w:p>
    <w:p w:rsidR="005E720D" w:rsidRDefault="005E720D" w:rsidP="005D1BE5">
      <w:r>
        <w:rPr>
          <w:noProof/>
        </w:rPr>
        <w:drawing>
          <wp:inline distT="0" distB="0" distL="0" distR="0" wp14:anchorId="65E4E1C2" wp14:editId="103B0B6A">
            <wp:extent cx="5546328" cy="3235326"/>
            <wp:effectExtent l="0" t="0" r="16510" b="3175"/>
            <wp:docPr id="28" name="Chart 28">
              <a:extLst xmlns:a="http://schemas.openxmlformats.org/drawingml/2006/main">
                <a:ext uri="{FF2B5EF4-FFF2-40B4-BE49-F238E27FC236}">
                  <a16:creationId xmlns:a16="http://schemas.microsoft.com/office/drawing/2014/main" id="{9D42A691-AB61-4958-B68D-0A1D8825F5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475A4" w:rsidRPr="004538EA" w:rsidRDefault="005E720D" w:rsidP="004538EA">
      <w:pPr>
        <w:pStyle w:val="Caption"/>
      </w:pPr>
      <w:r>
        <w:t xml:space="preserve">Figure </w:t>
      </w:r>
      <w:r w:rsidR="00353E53">
        <w:t>5.</w:t>
      </w:r>
      <w:r w:rsidR="00643BAC">
        <w:t>1.2</w:t>
      </w:r>
      <w:r w:rsidR="002B304D">
        <w:t xml:space="preserve"> NOx PPM / percentage of EGR added, the levels of NO production drop significantly even with 1% EGR seeing a drop of over 23,000 PPM</w:t>
      </w:r>
    </w:p>
    <w:p w:rsidR="00F94479" w:rsidRDefault="001E33DF" w:rsidP="001E33DF">
      <w:pPr>
        <w:pStyle w:val="Heading1"/>
        <w:numPr>
          <w:ilvl w:val="0"/>
          <w:numId w:val="14"/>
        </w:numPr>
        <w:rPr>
          <w:lang w:eastAsia="en-GB"/>
        </w:rPr>
      </w:pPr>
      <w:bookmarkStart w:id="14" w:name="_Toc503446558"/>
      <w:r>
        <w:rPr>
          <w:lang w:eastAsia="en-GB"/>
        </w:rPr>
        <w:lastRenderedPageBreak/>
        <w:t>Analysis</w:t>
      </w:r>
      <w:bookmarkEnd w:id="14"/>
      <w:r>
        <w:rPr>
          <w:lang w:eastAsia="en-GB"/>
        </w:rPr>
        <w:t xml:space="preserve">  </w:t>
      </w:r>
    </w:p>
    <w:p w:rsidR="005659C8" w:rsidRDefault="00F94479" w:rsidP="008D08E0">
      <w:r>
        <w:rPr>
          <w:lang w:eastAsia="en-GB"/>
        </w:rPr>
        <w:t xml:space="preserve">The results show that increasing temperatures do increase the rate of NOx production in lean mixtures. </w:t>
      </w:r>
      <w:r w:rsidR="008D08E0">
        <w:t>NO production is higher in lean mixtures close to stoichiometric where the availability of O</w:t>
      </w:r>
      <w:r w:rsidR="008D08E0">
        <w:rPr>
          <w:vertAlign w:val="subscript"/>
        </w:rPr>
        <w:t>2</w:t>
      </w:r>
      <w:r w:rsidR="008D08E0">
        <w:t xml:space="preserve"> is higher combined with slower burn times allowing for higher post flame gas </w:t>
      </w:r>
      <w:r w:rsidR="00260C9D">
        <w:t>temperatures where</w:t>
      </w:r>
      <w:r w:rsidR="005659C8">
        <w:t xml:space="preserve"> the majority of the NO will be formed. The flame reaction zone is very thin, around 0.1mm so the time the molecules reside within this zone is very short. As the cylinder pressure causes the post flame gas temperature to increase as the combustion process continues, most of the NO will be produced in this region. </w:t>
      </w:r>
      <w:sdt>
        <w:sdtPr>
          <w:rPr>
            <w:lang w:eastAsia="en-GB"/>
          </w:rPr>
          <w:id w:val="-1025091872"/>
          <w:citation/>
        </w:sdtPr>
        <w:sdtContent>
          <w:r w:rsidR="00E81AD3">
            <w:rPr>
              <w:lang w:eastAsia="en-GB"/>
            </w:rPr>
            <w:fldChar w:fldCharType="begin"/>
          </w:r>
          <w:r w:rsidR="00E81AD3">
            <w:rPr>
              <w:lang w:eastAsia="en-GB"/>
            </w:rPr>
            <w:instrText xml:space="preserve"> CITATION Joh88 \l 2057 </w:instrText>
          </w:r>
          <w:r w:rsidR="00E81AD3">
            <w:rPr>
              <w:lang w:eastAsia="en-GB"/>
            </w:rPr>
            <w:fldChar w:fldCharType="separate"/>
          </w:r>
          <w:r w:rsidR="00E81AD3">
            <w:rPr>
              <w:noProof/>
              <w:lang w:eastAsia="en-GB"/>
            </w:rPr>
            <w:t>(Heywood, 1988)</w:t>
          </w:r>
          <w:r w:rsidR="00E81AD3">
            <w:rPr>
              <w:lang w:eastAsia="en-GB"/>
            </w:rPr>
            <w:fldChar w:fldCharType="end"/>
          </w:r>
        </w:sdtContent>
      </w:sdt>
    </w:p>
    <w:p w:rsidR="00BE5AA0" w:rsidRDefault="00E159D7" w:rsidP="008D08E0">
      <w:pPr>
        <w:rPr>
          <w:lang w:eastAsia="en-GB"/>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1668780</wp:posOffset>
                </wp:positionH>
                <wp:positionV relativeFrom="paragraph">
                  <wp:posOffset>724535</wp:posOffset>
                </wp:positionV>
                <wp:extent cx="243840" cy="426720"/>
                <wp:effectExtent l="38100" t="0" r="22860" b="49530"/>
                <wp:wrapNone/>
                <wp:docPr id="7" name="Straight Arrow Connector 7"/>
                <wp:cNvGraphicFramePr/>
                <a:graphic xmlns:a="http://schemas.openxmlformats.org/drawingml/2006/main">
                  <a:graphicData uri="http://schemas.microsoft.com/office/word/2010/wordprocessingShape">
                    <wps:wsp>
                      <wps:cNvCnPr/>
                      <wps:spPr>
                        <a:xfrm flipH="1">
                          <a:off x="0" y="0"/>
                          <a:ext cx="243840" cy="426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0725446" id="_x0000_t32" coordsize="21600,21600" o:spt="32" o:oned="t" path="m,l21600,21600e" filled="f">
                <v:path arrowok="t" fillok="f" o:connecttype="none"/>
                <o:lock v:ext="edit" shapetype="t"/>
              </v:shapetype>
              <v:shape id="Straight Arrow Connector 7" o:spid="_x0000_s1026" type="#_x0000_t32" style="position:absolute;margin-left:131.4pt;margin-top:57.05pt;width:19.2pt;height:33.6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" strokecolor="#5b9bd5 [3204]" strokeweight=".5pt">
                <v:stroke endarrow="block" joinstyle="miter"/>
              </v:shape>
            </w:pict>
          </mc:Fallback>
        </mc:AlternateContent>
      </w:r>
      <w:r w:rsidR="000F1FC5">
        <w:rPr>
          <w:noProof/>
          <w:lang w:eastAsia="en-GB"/>
        </w:rPr>
        <mc:AlternateContent>
          <mc:Choice Requires="wps">
            <w:drawing>
              <wp:anchor distT="0" distB="0" distL="114300" distR="114300" simplePos="0" relativeHeight="251659264" behindDoc="0" locked="0" layoutInCell="1" allowOverlap="1">
                <wp:simplePos x="0" y="0"/>
                <wp:positionH relativeFrom="column">
                  <wp:posOffset>822960</wp:posOffset>
                </wp:positionH>
                <wp:positionV relativeFrom="paragraph">
                  <wp:posOffset>580390</wp:posOffset>
                </wp:positionV>
                <wp:extent cx="601980" cy="45719"/>
                <wp:effectExtent l="0" t="19050" r="45720" b="31115"/>
                <wp:wrapNone/>
                <wp:docPr id="4" name="Arrow: Right 4"/>
                <wp:cNvGraphicFramePr/>
                <a:graphic xmlns:a="http://schemas.openxmlformats.org/drawingml/2006/main">
                  <a:graphicData uri="http://schemas.microsoft.com/office/word/2010/wordprocessingShape">
                    <wps:wsp>
                      <wps:cNvSpPr/>
                      <wps:spPr>
                        <a:xfrm>
                          <a:off x="0" y="0"/>
                          <a:ext cx="60198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2DE6D4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 o:spid="_x0000_s1026" type="#_x0000_t13" style="position:absolute;margin-left:64.8pt;margin-top:45.7pt;width:47.4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" adj="20780" fillcolor="#5b9bd5 [3204]" strokecolor="#1f4d78 [1604]" strokeweight="1pt"/>
            </w:pict>
          </mc:Fallback>
        </mc:AlternateContent>
      </w:r>
      <w:r w:rsidR="00730E3E">
        <w:rPr>
          <w:lang w:eastAsia="en-GB"/>
        </w:rPr>
        <w:t>The addition of EGR increases the mass of the combustion reactants, lowering the temperatures significantly</w:t>
      </w:r>
      <w:r w:rsidR="005B7600">
        <w:rPr>
          <w:lang w:eastAsia="en-GB"/>
        </w:rPr>
        <w:t xml:space="preserve">, therefore lowering the production of NO </w:t>
      </w:r>
      <w:r w:rsidR="005C6A14">
        <w:rPr>
          <w:lang w:eastAsia="en-GB"/>
        </w:rPr>
        <w:t>during combustion.</w:t>
      </w:r>
      <w:r w:rsidR="000F1FC5">
        <w:rPr>
          <w:lang w:eastAsia="en-GB"/>
        </w:rPr>
        <w:t xml:space="preserve"> </w:t>
      </w:r>
    </w:p>
    <w:p w:rsidR="000F1FC5" w:rsidRPr="000F1FC5" w:rsidRDefault="000F1FC5" w:rsidP="008D08E0">
      <w:pPr>
        <w:rPr>
          <w:rFonts w:eastAsiaTheme="minorEastAsia"/>
          <w:lang w:eastAsia="en-GB"/>
        </w:rPr>
      </w:pPr>
      <m:oMath>
        <m:r>
          <w:rPr>
            <w:rFonts w:ascii="Cambria Math" w:hAnsi="Cambria Math"/>
            <w:lang w:eastAsia="en-GB"/>
          </w:rPr>
          <m:t>PV=mRT</m:t>
        </m:r>
      </m:oMath>
      <w:r>
        <w:rPr>
          <w:rFonts w:eastAsiaTheme="minorEastAsia"/>
          <w:lang w:eastAsia="en-GB"/>
        </w:rPr>
        <w:t xml:space="preserve">                              </w:t>
      </w:r>
      <m:oMath>
        <m:r>
          <w:rPr>
            <w:rFonts w:ascii="Cambria Math" w:eastAsiaTheme="minorEastAsia" w:hAnsi="Cambria Math"/>
            <w:lang w:eastAsia="en-GB"/>
          </w:rPr>
          <m:t>T=</m:t>
        </m:r>
        <m:f>
          <m:fPr>
            <m:ctrlPr>
              <w:rPr>
                <w:rFonts w:ascii="Cambria Math" w:eastAsiaTheme="minorEastAsia" w:hAnsi="Cambria Math"/>
                <w:i/>
                <w:lang w:eastAsia="en-GB"/>
              </w:rPr>
            </m:ctrlPr>
          </m:fPr>
          <m:num>
            <m:r>
              <w:rPr>
                <w:rFonts w:ascii="Cambria Math" w:eastAsiaTheme="minorEastAsia" w:hAnsi="Cambria Math"/>
                <w:lang w:eastAsia="en-GB"/>
              </w:rPr>
              <m:t>PV</m:t>
            </m:r>
          </m:num>
          <m:den>
            <m:r>
              <w:rPr>
                <w:rFonts w:ascii="Cambria Math" w:eastAsiaTheme="minorEastAsia" w:hAnsi="Cambria Math"/>
                <w:lang w:eastAsia="en-GB"/>
              </w:rPr>
              <m:t>mR</m:t>
            </m:r>
          </m:den>
        </m:f>
      </m:oMath>
    </w:p>
    <w:p w:rsidR="000F1FC5" w:rsidRPr="000F1FC5" w:rsidRDefault="000F1FC5" w:rsidP="008D08E0">
      <w:pPr>
        <w:rPr>
          <w:rFonts w:eastAsiaTheme="minorEastAsia"/>
          <w:lang w:eastAsia="en-GB"/>
        </w:rPr>
      </w:pPr>
    </w:p>
    <w:p w:rsidR="000F1FC5" w:rsidRPr="000F1FC5" w:rsidRDefault="000F1FC5" w:rsidP="008D08E0">
      <w:pPr>
        <w:rPr>
          <w:rFonts w:eastAsiaTheme="minorEastAsia"/>
          <w:lang w:eastAsia="en-GB"/>
        </w:rPr>
      </w:pPr>
      <w:r>
        <w:rPr>
          <w:rFonts w:eastAsiaTheme="minorEastAsia"/>
          <w:lang w:eastAsia="en-GB"/>
        </w:rPr>
        <w:t>Add more mass to lower temperatures.</w:t>
      </w:r>
    </w:p>
    <w:p w:rsidR="000F1FC5" w:rsidRDefault="000F1FC5" w:rsidP="00BE5AA0">
      <w:pPr>
        <w:pStyle w:val="Heading2"/>
        <w:rPr>
          <w:lang w:eastAsia="en-GB"/>
        </w:rPr>
      </w:pPr>
    </w:p>
    <w:p w:rsidR="00BE5AA0" w:rsidRDefault="001E33DF" w:rsidP="00BE5AA0">
      <w:pPr>
        <w:pStyle w:val="Heading2"/>
        <w:rPr>
          <w:lang w:eastAsia="en-GB"/>
        </w:rPr>
      </w:pPr>
      <w:bookmarkStart w:id="15" w:name="_Toc503446559"/>
      <w:r>
        <w:rPr>
          <w:lang w:eastAsia="en-GB"/>
        </w:rPr>
        <w:t xml:space="preserve">6.1 </w:t>
      </w:r>
      <w:r w:rsidR="00BE5AA0">
        <w:rPr>
          <w:lang w:eastAsia="en-GB"/>
        </w:rPr>
        <w:t>Assumptions</w:t>
      </w:r>
      <w:bookmarkEnd w:id="15"/>
      <w:r w:rsidR="00BE5AA0">
        <w:rPr>
          <w:lang w:eastAsia="en-GB"/>
        </w:rPr>
        <w:t xml:space="preserve"> </w:t>
      </w:r>
    </w:p>
    <w:p w:rsidR="000F1FC5" w:rsidRDefault="005C6A14" w:rsidP="00BE5AA0">
      <w:pPr>
        <w:rPr>
          <w:rStyle w:val="tgc"/>
          <w:bCs/>
        </w:rPr>
      </w:pPr>
      <w:r>
        <w:rPr>
          <w:lang w:eastAsia="en-GB"/>
        </w:rPr>
        <w:t xml:space="preserve">The simple model assumes a homogeneous mixture throughout, where in reality there would be a </w:t>
      </w:r>
      <w:r>
        <w:rPr>
          <w:rStyle w:val="tgc"/>
        </w:rPr>
        <w:t xml:space="preserve">heterogeneous </w:t>
      </w:r>
      <w:r>
        <w:rPr>
          <w:rStyle w:val="tgc"/>
          <w:bCs/>
        </w:rPr>
        <w:t xml:space="preserve">mixture, where lean and rich patches of the A/F would be spread. </w:t>
      </w:r>
      <w:r w:rsidR="00D46679">
        <w:rPr>
          <w:rStyle w:val="tgc"/>
          <w:bCs/>
        </w:rPr>
        <w:t>Lean</w:t>
      </w:r>
      <w:r>
        <w:rPr>
          <w:rStyle w:val="tgc"/>
          <w:bCs/>
        </w:rPr>
        <w:t xml:space="preserve"> patches would feed </w:t>
      </w:r>
      <w:r w:rsidR="00D46679">
        <w:rPr>
          <w:rStyle w:val="tgc"/>
          <w:bCs/>
        </w:rPr>
        <w:t>free O</w:t>
      </w:r>
      <w:r w:rsidR="00D46679">
        <w:rPr>
          <w:rStyle w:val="tgc"/>
          <w:bCs/>
          <w:vertAlign w:val="subscript"/>
        </w:rPr>
        <w:t>2</w:t>
      </w:r>
      <w:r w:rsidR="00D46679">
        <w:rPr>
          <w:rStyle w:val="tgc"/>
          <w:bCs/>
        </w:rPr>
        <w:t xml:space="preserve"> to </w:t>
      </w:r>
      <w:r w:rsidR="003629F5">
        <w:rPr>
          <w:rStyle w:val="tgc"/>
          <w:bCs/>
        </w:rPr>
        <w:t xml:space="preserve">hotter </w:t>
      </w:r>
      <w:r w:rsidR="00D46679">
        <w:rPr>
          <w:rStyle w:val="tgc"/>
          <w:bCs/>
        </w:rPr>
        <w:t>neighbouring</w:t>
      </w:r>
      <w:r w:rsidR="00A6263C">
        <w:rPr>
          <w:rStyle w:val="tgc"/>
          <w:bCs/>
        </w:rPr>
        <w:t xml:space="preserve"> stoichiometric, and</w:t>
      </w:r>
      <w:r w:rsidR="00D46679">
        <w:rPr>
          <w:rStyle w:val="tgc"/>
          <w:bCs/>
        </w:rPr>
        <w:t xml:space="preserve"> lean patches. This is something that plagues diesel and GDI engines due to the lower atomisation of fuel before combustion. </w:t>
      </w:r>
      <w:r w:rsidR="000F1FC5">
        <w:rPr>
          <w:rStyle w:val="tgc"/>
          <w:bCs/>
        </w:rPr>
        <w:t>A more complex model that accounts for heterogeneous mixture would expect to see a higher rate of NO production.</w:t>
      </w:r>
    </w:p>
    <w:p w:rsidR="008226ED" w:rsidRDefault="008226ED" w:rsidP="00BE5AA0">
      <w:pPr>
        <w:rPr>
          <w:rStyle w:val="tgc"/>
          <w:bCs/>
        </w:rPr>
      </w:pPr>
      <w:r>
        <w:rPr>
          <w:rStyle w:val="tgc"/>
          <w:bCs/>
        </w:rPr>
        <w:t xml:space="preserve">Adiabatic flame temperatures assume that all heat released will go into heating the products, this will give higher predicted temperatures than normal as it does not account for heat loss through the engine. </w:t>
      </w:r>
      <w:r w:rsidR="00875819">
        <w:rPr>
          <w:rStyle w:val="tgc"/>
          <w:bCs/>
        </w:rPr>
        <w:t xml:space="preserve">This will result in slightly higher NO production for the simple model. </w:t>
      </w:r>
    </w:p>
    <w:p w:rsidR="00A528DB" w:rsidRPr="00A528DB" w:rsidRDefault="00A528DB" w:rsidP="00BE5AA0">
      <w:pPr>
        <w:rPr>
          <w:rStyle w:val="tgc"/>
          <w:bCs/>
        </w:rPr>
      </w:pPr>
      <w:r>
        <w:rPr>
          <w:rStyle w:val="tgc"/>
          <w:bCs/>
        </w:rPr>
        <w:t>Concentrations of NO and O</w:t>
      </w:r>
      <w:r>
        <w:rPr>
          <w:rStyle w:val="tgc"/>
          <w:bCs/>
          <w:vertAlign w:val="subscript"/>
        </w:rPr>
        <w:t>2</w:t>
      </w:r>
      <w:r>
        <w:rPr>
          <w:rStyle w:val="tgc"/>
          <w:bCs/>
        </w:rPr>
        <w:t xml:space="preserve"> are modelled as constant through combustion</w:t>
      </w:r>
      <w:r w:rsidR="00F028CB">
        <w:rPr>
          <w:rStyle w:val="tgc"/>
          <w:bCs/>
        </w:rPr>
        <w:t xml:space="preserve">, where they would actually be varied and changing as the combustion event progressed. </w:t>
      </w:r>
    </w:p>
    <w:p w:rsidR="008226ED" w:rsidRDefault="008226ED" w:rsidP="00BE5AA0">
      <w:pPr>
        <w:rPr>
          <w:rStyle w:val="tgc"/>
          <w:bCs/>
        </w:rPr>
      </w:pPr>
    </w:p>
    <w:p w:rsidR="00A6263C" w:rsidRPr="00D46679" w:rsidRDefault="00A6263C" w:rsidP="00BE5AA0">
      <w:pPr>
        <w:rPr>
          <w:rStyle w:val="tgc"/>
          <w:bCs/>
        </w:rPr>
      </w:pPr>
    </w:p>
    <w:p w:rsidR="00A0749C" w:rsidRPr="00F94479" w:rsidRDefault="00A0749C" w:rsidP="00BE5AA0">
      <w:pPr>
        <w:rPr>
          <w:lang w:eastAsia="en-GB"/>
        </w:rPr>
      </w:pPr>
      <w:r>
        <w:rPr>
          <w:lang w:eastAsia="en-GB"/>
        </w:rPr>
        <w:br w:type="page"/>
      </w:r>
    </w:p>
    <w:p w:rsidR="00F44730" w:rsidRDefault="009B2DE7" w:rsidP="001E33DF">
      <w:pPr>
        <w:pStyle w:val="Heading1"/>
        <w:numPr>
          <w:ilvl w:val="0"/>
          <w:numId w:val="19"/>
        </w:numPr>
        <w:rPr>
          <w:lang w:eastAsia="en-GB"/>
        </w:rPr>
      </w:pPr>
      <w:bookmarkStart w:id="16" w:name="_Toc503446560"/>
      <w:r>
        <w:rPr>
          <w:lang w:eastAsia="en-GB"/>
        </w:rPr>
        <w:lastRenderedPageBreak/>
        <w:t>Conclusion</w:t>
      </w:r>
      <w:bookmarkEnd w:id="16"/>
      <w:r>
        <w:rPr>
          <w:lang w:eastAsia="en-GB"/>
        </w:rPr>
        <w:t xml:space="preserve"> </w:t>
      </w:r>
    </w:p>
    <w:p w:rsidR="005666BE" w:rsidRDefault="00261AE2">
      <w:pPr>
        <w:rPr>
          <w:lang w:eastAsia="en-GB"/>
        </w:rPr>
      </w:pPr>
      <w:r>
        <w:rPr>
          <w:lang w:eastAsia="en-GB"/>
        </w:rPr>
        <w:t xml:space="preserve">The model indicates the mechanisms for NOx formation, and the effects of </w:t>
      </w:r>
      <w:r w:rsidR="00847362">
        <w:rPr>
          <w:lang w:eastAsia="en-GB"/>
        </w:rPr>
        <w:t xml:space="preserve">increasing </w:t>
      </w:r>
      <w:r>
        <w:rPr>
          <w:lang w:eastAsia="en-GB"/>
        </w:rPr>
        <w:t>temperature</w:t>
      </w:r>
      <w:r w:rsidR="00847362">
        <w:rPr>
          <w:lang w:eastAsia="en-GB"/>
        </w:rPr>
        <w:t>s</w:t>
      </w:r>
      <w:r>
        <w:rPr>
          <w:lang w:eastAsia="en-GB"/>
        </w:rPr>
        <w:t xml:space="preserve"> on the rate of NO production during combustion. The introduction of EGR </w:t>
      </w:r>
      <w:r w:rsidR="00847362">
        <w:rPr>
          <w:lang w:eastAsia="en-GB"/>
        </w:rPr>
        <w:t xml:space="preserve">even at small percentages </w:t>
      </w:r>
      <w:r>
        <w:rPr>
          <w:lang w:eastAsia="en-GB"/>
        </w:rPr>
        <w:t xml:space="preserve">has a profound reduction on the total NOx </w:t>
      </w:r>
      <w:r w:rsidR="00BE5AA0">
        <w:rPr>
          <w:lang w:eastAsia="en-GB"/>
        </w:rPr>
        <w:t xml:space="preserve">formed, through the effects of lowering the combustion temperatures. </w:t>
      </w:r>
      <w:r w:rsidR="005666BE">
        <w:rPr>
          <w:lang w:eastAsia="en-GB"/>
        </w:rPr>
        <w:br w:type="page"/>
      </w:r>
    </w:p>
    <w:bookmarkStart w:id="17" w:name="_Toc503446561" w:displacedByCustomXml="next"/>
    <w:sdt>
      <w:sdtPr>
        <w:rPr>
          <w:rFonts w:asciiTheme="minorHAnsi" w:eastAsiaTheme="minorHAnsi" w:hAnsiTheme="minorHAnsi" w:cstheme="minorBidi"/>
          <w:color w:val="auto"/>
          <w:sz w:val="22"/>
          <w:szCs w:val="22"/>
        </w:rPr>
        <w:id w:val="68156954"/>
        <w:docPartObj>
          <w:docPartGallery w:val="Bibliographies"/>
          <w:docPartUnique/>
        </w:docPartObj>
      </w:sdtPr>
      <w:sdtContent>
        <w:p w:rsidR="005666BE" w:rsidRDefault="005666BE" w:rsidP="001E33DF">
          <w:pPr>
            <w:pStyle w:val="Heading1"/>
            <w:numPr>
              <w:ilvl w:val="0"/>
              <w:numId w:val="19"/>
            </w:numPr>
          </w:pPr>
          <w:r>
            <w:t>References</w:t>
          </w:r>
          <w:bookmarkEnd w:id="17"/>
        </w:p>
        <w:p w:rsidR="007668AD" w:rsidRDefault="00BE5AA0" w:rsidP="007668AD">
          <w:pPr>
            <w:pStyle w:val="Bibliography"/>
            <w:ind w:left="720" w:hanging="720"/>
            <w:rPr>
              <w:noProof/>
            </w:rPr>
          </w:pPr>
          <w:sdt>
            <w:sdtPr>
              <w:id w:val="-573587230"/>
              <w:showingPlcHdr/>
              <w:bibliography/>
            </w:sdtPr>
            <w:sdtContent>
              <w:r w:rsidR="002A302D">
                <w:t xml:space="preserve">     </w:t>
              </w:r>
            </w:sdtContent>
          </w:sdt>
          <w:r w:rsidR="007668AD">
            <w:rPr>
              <w:noProof/>
            </w:rPr>
            <w:t xml:space="preserve">Heywood, J. B. (1988). </w:t>
          </w:r>
          <w:r w:rsidR="007668AD">
            <w:rPr>
              <w:i/>
              <w:iCs/>
              <w:noProof/>
            </w:rPr>
            <w:t>Internal Combustion Engine Fundementals .</w:t>
          </w:r>
          <w:r w:rsidR="007668AD">
            <w:rPr>
              <w:noProof/>
            </w:rPr>
            <w:t xml:space="preserve"> McGraw-Hill Education.</w:t>
          </w:r>
        </w:p>
        <w:p w:rsidR="0095202A" w:rsidRDefault="002A302D" w:rsidP="0095202A">
          <w:pPr>
            <w:pStyle w:val="Bibliography"/>
            <w:ind w:left="720" w:hanging="720"/>
            <w:rPr>
              <w:noProof/>
            </w:rPr>
          </w:pPr>
          <w:r>
            <w:rPr>
              <w:noProof/>
            </w:rPr>
            <w:t xml:space="preserve">     </w:t>
          </w:r>
          <w:r w:rsidR="0095202A">
            <w:rPr>
              <w:noProof/>
            </w:rPr>
            <w:t xml:space="preserve">Sorathia, H. R. (2012). EFFECT OF EXHAUST GAS RECIRCULATION (EGR) ON NOx . </w:t>
          </w:r>
          <w:r w:rsidR="0095202A">
            <w:rPr>
              <w:i/>
              <w:iCs/>
              <w:noProof/>
            </w:rPr>
            <w:t>International Journal of Advanced Engineering Research and Studies</w:t>
          </w:r>
          <w:r w:rsidR="0095202A">
            <w:rPr>
              <w:noProof/>
            </w:rPr>
            <w:t>.</w:t>
          </w:r>
        </w:p>
        <w:p w:rsidR="0095202A" w:rsidRPr="0095202A" w:rsidRDefault="0095202A" w:rsidP="0095202A"/>
        <w:p w:rsidR="007668AD" w:rsidRDefault="007668AD" w:rsidP="007668AD">
          <w:pPr>
            <w:pStyle w:val="Bibliography"/>
            <w:ind w:left="720" w:hanging="720"/>
          </w:pPr>
        </w:p>
        <w:sdt>
          <w:sdtPr>
            <w:id w:val="-1806612234"/>
            <w:bibliography/>
          </w:sdtPr>
          <w:sdtContent>
            <w:p w:rsidR="007668AD" w:rsidRDefault="007668AD" w:rsidP="007668AD">
              <w:pPr>
                <w:pStyle w:val="Bibliography"/>
                <w:ind w:left="720" w:hanging="720"/>
              </w:pPr>
            </w:p>
            <w:p w:rsidR="007668AD" w:rsidRDefault="00BE5AA0" w:rsidP="007668AD"/>
          </w:sdtContent>
        </w:sdt>
        <w:p w:rsidR="00DF1072" w:rsidRDefault="00BE5AA0" w:rsidP="00634E57">
          <w:pPr>
            <w:pStyle w:val="Bibliography"/>
            <w:ind w:left="720" w:hanging="720"/>
            <w:rPr>
              <w:lang w:eastAsia="en-GB"/>
            </w:rPr>
          </w:pPr>
        </w:p>
      </w:sdtContent>
    </w:sdt>
    <w:p w:rsidR="00323EED" w:rsidRDefault="00323EED">
      <w:pPr>
        <w:rPr>
          <w:rFonts w:asciiTheme="majorHAnsi" w:eastAsiaTheme="majorEastAsia" w:hAnsiTheme="majorHAnsi" w:cstheme="majorBidi"/>
          <w:color w:val="2E74B5" w:themeColor="accent1" w:themeShade="BF"/>
          <w:sz w:val="32"/>
          <w:szCs w:val="32"/>
          <w:lang w:eastAsia="en-GB"/>
        </w:rPr>
      </w:pPr>
      <w:r>
        <w:rPr>
          <w:lang w:eastAsia="en-GB"/>
        </w:rPr>
        <w:br w:type="page"/>
      </w:r>
    </w:p>
    <w:bookmarkStart w:id="18" w:name="_Toc503446562" w:displacedByCustomXml="next"/>
    <w:sdt>
      <w:sdtPr>
        <w:rPr>
          <w:rFonts w:asciiTheme="minorHAnsi" w:eastAsiaTheme="minorHAnsi" w:hAnsiTheme="minorHAnsi" w:cstheme="minorBidi"/>
          <w:color w:val="auto"/>
          <w:sz w:val="22"/>
          <w:szCs w:val="22"/>
        </w:rPr>
        <w:id w:val="781779370"/>
        <w:docPartObj>
          <w:docPartGallery w:val="Bibliographies"/>
          <w:docPartUnique/>
        </w:docPartObj>
      </w:sdtPr>
      <w:sdtContent>
        <w:p w:rsidR="0095202A" w:rsidRDefault="0095202A" w:rsidP="001E33DF">
          <w:pPr>
            <w:pStyle w:val="Heading1"/>
            <w:numPr>
              <w:ilvl w:val="0"/>
              <w:numId w:val="19"/>
            </w:numPr>
          </w:pPr>
          <w:r>
            <w:t>Bibliography</w:t>
          </w:r>
          <w:bookmarkEnd w:id="18"/>
        </w:p>
        <w:sdt>
          <w:sdtPr>
            <w:id w:val="111145805"/>
            <w:bibliography/>
          </w:sdtPr>
          <w:sdtContent>
            <w:p w:rsidR="0095202A" w:rsidRDefault="0095202A" w:rsidP="0095202A">
              <w:pPr>
                <w:pStyle w:val="Bibliography"/>
                <w:ind w:left="720" w:hanging="720"/>
                <w:rPr>
                  <w:noProof/>
                  <w:sz w:val="24"/>
                  <w:szCs w:val="24"/>
                </w:rPr>
              </w:pPr>
              <w:r>
                <w:fldChar w:fldCharType="begin"/>
              </w:r>
              <w:r>
                <w:instrText xml:space="preserve"> BIBLIOGRAPHY </w:instrText>
              </w:r>
              <w:r>
                <w:fldChar w:fldCharType="separate"/>
              </w:r>
              <w:r>
                <w:rPr>
                  <w:noProof/>
                </w:rPr>
                <w:t xml:space="preserve">Goodger, E. M. (2000). </w:t>
              </w:r>
              <w:r>
                <w:rPr>
                  <w:i/>
                  <w:iCs/>
                  <w:noProof/>
                </w:rPr>
                <w:t>Transport Fuels Technology .</w:t>
              </w:r>
              <w:r>
                <w:rPr>
                  <w:noProof/>
                </w:rPr>
                <w:t xml:space="preserve"> Norwich: Landfall Press.</w:t>
              </w:r>
            </w:p>
            <w:p w:rsidR="0095202A" w:rsidRDefault="0095202A" w:rsidP="0095202A">
              <w:pPr>
                <w:pStyle w:val="Bibliography"/>
                <w:ind w:left="720" w:hanging="720"/>
                <w:rPr>
                  <w:noProof/>
                </w:rPr>
              </w:pPr>
              <w:r>
                <w:rPr>
                  <w:noProof/>
                </w:rPr>
                <w:t xml:space="preserve">Heywood, J. B. (1988). </w:t>
              </w:r>
              <w:r>
                <w:rPr>
                  <w:i/>
                  <w:iCs/>
                  <w:noProof/>
                </w:rPr>
                <w:t>Internal Combustion Engine Fundementals .</w:t>
              </w:r>
              <w:r>
                <w:rPr>
                  <w:noProof/>
                </w:rPr>
                <w:t xml:space="preserve"> McGraw-Hill Educatio.</w:t>
              </w:r>
            </w:p>
            <w:p w:rsidR="0095202A" w:rsidRDefault="0095202A" w:rsidP="0095202A">
              <w:pPr>
                <w:pStyle w:val="Bibliography"/>
                <w:ind w:left="720" w:hanging="720"/>
                <w:rPr>
                  <w:noProof/>
                </w:rPr>
              </w:pPr>
              <w:r>
                <w:rPr>
                  <w:noProof/>
                </w:rPr>
                <w:t xml:space="preserve">Sorathia, H. R. (2012). EFFECT OF EXHAUST GAS RECIRCULATION (EGR) ON NOx . </w:t>
              </w:r>
              <w:r>
                <w:rPr>
                  <w:i/>
                  <w:iCs/>
                  <w:noProof/>
                </w:rPr>
                <w:t>International Journal of Advanced Engineering Research and Studies</w:t>
              </w:r>
              <w:r>
                <w:rPr>
                  <w:noProof/>
                </w:rPr>
                <w:t>.</w:t>
              </w:r>
            </w:p>
            <w:p w:rsidR="0095202A" w:rsidRDefault="0095202A" w:rsidP="0095202A">
              <w:r>
                <w:rPr>
                  <w:b/>
                  <w:bCs/>
                  <w:noProof/>
                </w:rPr>
                <w:fldChar w:fldCharType="end"/>
              </w:r>
            </w:p>
          </w:sdtContent>
        </w:sdt>
      </w:sdtContent>
    </w:sdt>
    <w:p w:rsidR="0095202A" w:rsidRDefault="0095202A">
      <w:pPr>
        <w:rPr>
          <w:rFonts w:asciiTheme="majorHAnsi" w:eastAsiaTheme="majorEastAsia" w:hAnsiTheme="majorHAnsi" w:cstheme="majorBidi"/>
          <w:color w:val="2E74B5" w:themeColor="accent1" w:themeShade="BF"/>
          <w:sz w:val="32"/>
          <w:szCs w:val="32"/>
          <w:lang w:eastAsia="en-GB"/>
        </w:rPr>
      </w:pPr>
      <w:r>
        <w:rPr>
          <w:lang w:eastAsia="en-GB"/>
        </w:rPr>
        <w:br w:type="page"/>
      </w:r>
    </w:p>
    <w:p w:rsidR="007C6C67" w:rsidRPr="007C6C67" w:rsidRDefault="00DF1072" w:rsidP="00DF1072">
      <w:pPr>
        <w:pStyle w:val="Heading1"/>
        <w:rPr>
          <w:lang w:eastAsia="en-GB"/>
        </w:rPr>
      </w:pPr>
      <w:bookmarkStart w:id="19" w:name="_Toc503446563"/>
      <w:r>
        <w:rPr>
          <w:lang w:eastAsia="en-GB"/>
        </w:rPr>
        <w:lastRenderedPageBreak/>
        <w:t>Appendix A</w:t>
      </w:r>
      <w:r w:rsidR="007E5176">
        <w:rPr>
          <w:lang w:eastAsia="en-GB"/>
        </w:rPr>
        <w:t xml:space="preserve"> NASA Enthalpy Tables</w:t>
      </w:r>
      <w:bookmarkEnd w:id="19"/>
    </w:p>
    <w:tbl>
      <w:tblPr>
        <w:tblpPr w:leftFromText="180" w:rightFromText="180" w:vertAnchor="page" w:horzAnchor="margin" w:tblpY="2716"/>
        <w:tblW w:w="9490" w:type="dxa"/>
        <w:tblLook w:val="04A0" w:firstRow="1" w:lastRow="0" w:firstColumn="1" w:lastColumn="0" w:noHBand="0" w:noVBand="1"/>
      </w:tblPr>
      <w:tblGrid>
        <w:gridCol w:w="663"/>
        <w:gridCol w:w="1075"/>
        <w:gridCol w:w="846"/>
        <w:gridCol w:w="663"/>
        <w:gridCol w:w="1075"/>
        <w:gridCol w:w="846"/>
        <w:gridCol w:w="663"/>
        <w:gridCol w:w="1075"/>
        <w:gridCol w:w="846"/>
        <w:gridCol w:w="663"/>
        <w:gridCol w:w="1075"/>
      </w:tblGrid>
      <w:tr w:rsidR="00791F2E" w:rsidRPr="00791F2E" w:rsidTr="007E5176">
        <w:trPr>
          <w:trHeight w:val="263"/>
        </w:trPr>
        <w:tc>
          <w:tcPr>
            <w:tcW w:w="173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center"/>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CO2</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center"/>
              <w:rPr>
                <w:rFonts w:ascii="Calibri" w:eastAsia="Times New Roman" w:hAnsi="Calibri" w:cs="Times New Roman"/>
                <w:color w:val="000000"/>
                <w:lang w:eastAsia="en-GB"/>
              </w:rPr>
            </w:pPr>
          </w:p>
        </w:tc>
        <w:tc>
          <w:tcPr>
            <w:tcW w:w="173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center"/>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N2</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center"/>
              <w:rPr>
                <w:rFonts w:ascii="Calibri" w:eastAsia="Times New Roman" w:hAnsi="Calibri" w:cs="Times New Roman"/>
                <w:color w:val="000000"/>
                <w:lang w:eastAsia="en-GB"/>
              </w:rPr>
            </w:pPr>
          </w:p>
        </w:tc>
        <w:tc>
          <w:tcPr>
            <w:tcW w:w="173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center"/>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H2O</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center"/>
              <w:rPr>
                <w:rFonts w:ascii="Calibri" w:eastAsia="Times New Roman" w:hAnsi="Calibri" w:cs="Times New Roman"/>
                <w:color w:val="000000"/>
                <w:lang w:eastAsia="en-GB"/>
              </w:rPr>
            </w:pPr>
          </w:p>
        </w:tc>
        <w:tc>
          <w:tcPr>
            <w:tcW w:w="173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center"/>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O2</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T(K)</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Enthalpy</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T(K)</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Enthalpy</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T(K)</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Enthalpy</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T(K)</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Enthalpy</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-3.423</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-2.841</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-3.227</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-2.836</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298</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0</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298</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0</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298</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0</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298</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0</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0.069</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0.054</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0.062</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0.054</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400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4.003</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400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2.973</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400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3.458</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400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3.031</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500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8.301</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500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5.92</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500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6.947</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500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6.097</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600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12.899</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600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8.905</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600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10.528</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600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9.254</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700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17.749</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700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11.942</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700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14.209</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700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12.503</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800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22.81</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800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15.046</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800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18.005</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800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15.838</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900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28.047</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900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18.222</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900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21.93</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900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19.25</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1000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33.425</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1000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21.468</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1000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25.993</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1000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22.721</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1100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38.911</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1100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24.77</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1100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30.191</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1100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26.232</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1200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44.488</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1200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28.118</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1200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34.518</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1200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29.775</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1300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50.149</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1300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31.51</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1300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38.963</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1300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33.35</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1400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55.882</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1400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34.939</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1400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43.52</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1400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36.955</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1500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61.681</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1500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38.404</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1500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48.181</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1500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40.59</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1600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67.538</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1600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41.899</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1600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52.939</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1600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44.253</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1700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73.446</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1700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45.423</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1700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57.786</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1700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47.943</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1800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79.399</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1800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48.971</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1800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62.717</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1800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51.66</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1900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85.392</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1900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52.541</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1900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67.725</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1900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55.402</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2000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91.42</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2000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56.13</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2000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72.805</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2000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59.169</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2100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97.477</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2100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59.738</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2100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77.952</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2100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62.959</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2200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103.562</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2200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63.36</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2200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83.16</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2200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66.773</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2300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109.67</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2300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66.997</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2300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88.426</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2300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70.609</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2400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115.798</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2400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70.645</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2400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93.744</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2400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74.467</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2500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121.944</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2500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74.305</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2500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99.112</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2500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78.346</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2600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128.107</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2600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77.974</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2600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104.524</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2600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82.245</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2700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134.284</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2700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81.652</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2700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109.979</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2700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86.164</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2800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140.474</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2800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85.338</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2800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115.472</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2800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90.103</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2900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146.677</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2900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89.031</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2900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121.001</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2900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94.06</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3000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152.891</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3000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92.73</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3000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126.563</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3000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98.036</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3100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159.116</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3100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96.436</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3100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132.156</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3100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102.029</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3200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165.351</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3200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100.148</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3200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137.777</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3200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106.04</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3300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171.597</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3300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103.865</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3300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143.426</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3300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110.068</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3400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177.853</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3400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107.587</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3400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149.099</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3400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114.112</w:t>
            </w:r>
          </w:p>
        </w:tc>
      </w:tr>
      <w:tr w:rsidR="00791F2E" w:rsidRPr="00791F2E" w:rsidTr="007E5176">
        <w:trPr>
          <w:trHeight w:val="263"/>
        </w:trPr>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3500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184.12</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3500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111.315</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3500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154.795</w:t>
            </w:r>
          </w:p>
        </w:tc>
        <w:tc>
          <w:tcPr>
            <w:tcW w:w="846" w:type="dxa"/>
            <w:tcBorders>
              <w:top w:val="nil"/>
              <w:left w:val="nil"/>
              <w:bottom w:val="nil"/>
              <w:right w:val="nil"/>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p>
        </w:tc>
        <w:tc>
          <w:tcPr>
            <w:tcW w:w="663" w:type="dxa"/>
            <w:tcBorders>
              <w:top w:val="nil"/>
              <w:left w:val="single" w:sz="4" w:space="0" w:color="auto"/>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3500</w:t>
            </w:r>
          </w:p>
        </w:tc>
        <w:tc>
          <w:tcPr>
            <w:tcW w:w="1075" w:type="dxa"/>
            <w:tcBorders>
              <w:top w:val="nil"/>
              <w:left w:val="nil"/>
              <w:bottom w:val="single" w:sz="4" w:space="0" w:color="auto"/>
              <w:right w:val="single" w:sz="4" w:space="0" w:color="auto"/>
            </w:tcBorders>
            <w:shd w:val="clear" w:color="auto" w:fill="auto"/>
            <w:noWrap/>
            <w:vAlign w:val="bottom"/>
            <w:hideMark/>
          </w:tcPr>
          <w:p w:rsidR="00791F2E" w:rsidRPr="00791F2E" w:rsidRDefault="00791F2E" w:rsidP="007E5176">
            <w:pPr>
              <w:spacing w:after="0" w:line="240" w:lineRule="auto"/>
              <w:jc w:val="right"/>
              <w:rPr>
                <w:rFonts w:ascii="Calibri" w:eastAsia="Times New Roman" w:hAnsi="Calibri" w:cs="Times New Roman"/>
                <w:color w:val="000000"/>
                <w:lang w:eastAsia="en-GB"/>
              </w:rPr>
            </w:pPr>
            <w:r w:rsidRPr="00791F2E">
              <w:rPr>
                <w:rFonts w:ascii="Calibri" w:eastAsia="Times New Roman" w:hAnsi="Calibri" w:cs="Times New Roman"/>
                <w:color w:val="000000"/>
                <w:lang w:eastAsia="en-GB"/>
              </w:rPr>
              <w:t>118.173</w:t>
            </w:r>
          </w:p>
        </w:tc>
      </w:tr>
    </w:tbl>
    <w:p w:rsidR="000E3B91" w:rsidRDefault="000E3B91" w:rsidP="007C6C67">
      <w:pPr>
        <w:rPr>
          <w:lang w:eastAsia="en-GB"/>
        </w:rPr>
      </w:pPr>
    </w:p>
    <w:p w:rsidR="000E3B91" w:rsidRDefault="000E3B91" w:rsidP="00F158CA">
      <w:pPr>
        <w:rPr>
          <w:lang w:eastAsia="en-GB"/>
        </w:rPr>
      </w:pPr>
    </w:p>
    <w:p w:rsidR="000E3B91" w:rsidRDefault="000E3B91" w:rsidP="00F158CA">
      <w:pPr>
        <w:rPr>
          <w:lang w:eastAsia="en-GB"/>
        </w:rPr>
      </w:pPr>
    </w:p>
    <w:p w:rsidR="000766FF" w:rsidRDefault="000E3B91" w:rsidP="00F158CA">
      <w:pPr>
        <w:rPr>
          <w:lang w:eastAsia="en-GB"/>
        </w:rPr>
      </w:pPr>
      <w:r>
        <w:rPr>
          <w:lang w:eastAsia="en-GB"/>
        </w:rPr>
        <w:t xml:space="preserve"> </w:t>
      </w:r>
    </w:p>
    <w:p w:rsidR="000766FF" w:rsidRDefault="000766FF">
      <w:pPr>
        <w:rPr>
          <w:lang w:eastAsia="en-GB"/>
        </w:rPr>
      </w:pPr>
      <w:r>
        <w:rPr>
          <w:lang w:eastAsia="en-GB"/>
        </w:rPr>
        <w:br w:type="page"/>
      </w:r>
    </w:p>
    <w:p w:rsidR="00F158CA" w:rsidRDefault="000766FF" w:rsidP="000766FF">
      <w:pPr>
        <w:pStyle w:val="Heading1"/>
        <w:rPr>
          <w:lang w:eastAsia="en-GB"/>
        </w:rPr>
      </w:pPr>
      <w:bookmarkStart w:id="20" w:name="_Toc503446564"/>
      <w:r>
        <w:rPr>
          <w:lang w:eastAsia="en-GB"/>
        </w:rPr>
        <w:lastRenderedPageBreak/>
        <w:t>Appendix B</w:t>
      </w:r>
      <w:r w:rsidR="005E5BE2">
        <w:rPr>
          <w:lang w:eastAsia="en-GB"/>
        </w:rPr>
        <w:t xml:space="preserve"> Standard Enthalpies of Formation</w:t>
      </w:r>
      <w:bookmarkEnd w:id="20"/>
    </w:p>
    <w:p w:rsidR="000766FF" w:rsidRPr="000766FF" w:rsidRDefault="000766FF" w:rsidP="000766FF">
      <w:pPr>
        <w:rPr>
          <w:lang w:eastAsia="en-GB"/>
        </w:rPr>
      </w:pPr>
    </w:p>
    <w:tbl>
      <w:tblPr>
        <w:tblStyle w:val="TableGrid"/>
        <w:tblW w:w="0" w:type="auto"/>
        <w:tblLook w:val="04A0" w:firstRow="1" w:lastRow="0" w:firstColumn="1" w:lastColumn="0" w:noHBand="0" w:noVBand="1"/>
      </w:tblPr>
      <w:tblGrid>
        <w:gridCol w:w="3005"/>
        <w:gridCol w:w="3005"/>
        <w:gridCol w:w="3006"/>
      </w:tblGrid>
      <w:tr w:rsidR="00F94BDD" w:rsidTr="00F94BDD">
        <w:tc>
          <w:tcPr>
            <w:tcW w:w="3005" w:type="dxa"/>
          </w:tcPr>
          <w:p w:rsidR="00F94BDD" w:rsidRDefault="00936575" w:rsidP="00C93926">
            <w:pPr>
              <w:rPr>
                <w:lang w:eastAsia="en-GB"/>
              </w:rPr>
            </w:pPr>
            <w:r>
              <w:rPr>
                <w:lang w:eastAsia="en-GB"/>
              </w:rPr>
              <w:t>Species</w:t>
            </w:r>
          </w:p>
        </w:tc>
        <w:tc>
          <w:tcPr>
            <w:tcW w:w="3005" w:type="dxa"/>
          </w:tcPr>
          <w:p w:rsidR="00F94BDD" w:rsidRDefault="00936575" w:rsidP="00C93926">
            <w:pPr>
              <w:rPr>
                <w:lang w:eastAsia="en-GB"/>
              </w:rPr>
            </w:pPr>
            <w:r>
              <w:rPr>
                <w:lang w:eastAsia="en-GB"/>
              </w:rPr>
              <w:t>State</w:t>
            </w:r>
          </w:p>
        </w:tc>
        <w:tc>
          <w:tcPr>
            <w:tcW w:w="3006" w:type="dxa"/>
          </w:tcPr>
          <w:p w:rsidR="00F94BDD" w:rsidRDefault="00936575" w:rsidP="00C93926">
            <w:pPr>
              <w:rPr>
                <w:lang w:eastAsia="en-GB"/>
              </w:rPr>
            </w:pPr>
            <w:r>
              <w:rPr>
                <w:lang w:eastAsia="en-GB"/>
              </w:rPr>
              <w:t>MJ/Kmol</w:t>
            </w:r>
          </w:p>
        </w:tc>
      </w:tr>
      <w:tr w:rsidR="00F94BDD" w:rsidTr="00F94BDD">
        <w:tc>
          <w:tcPr>
            <w:tcW w:w="3005" w:type="dxa"/>
          </w:tcPr>
          <w:p w:rsidR="00F94BDD" w:rsidRPr="00936575" w:rsidRDefault="00936575" w:rsidP="00C93926">
            <w:pPr>
              <w:rPr>
                <w:lang w:eastAsia="en-GB"/>
              </w:rPr>
            </w:pPr>
            <w:r>
              <w:rPr>
                <w:lang w:eastAsia="en-GB"/>
              </w:rPr>
              <w:t>O</w:t>
            </w:r>
            <w:r>
              <w:rPr>
                <w:vertAlign w:val="subscript"/>
                <w:lang w:eastAsia="en-GB"/>
              </w:rPr>
              <w:t>2</w:t>
            </w:r>
          </w:p>
        </w:tc>
        <w:tc>
          <w:tcPr>
            <w:tcW w:w="3005" w:type="dxa"/>
          </w:tcPr>
          <w:p w:rsidR="00F94BDD" w:rsidRDefault="00936575" w:rsidP="00C93926">
            <w:pPr>
              <w:rPr>
                <w:lang w:eastAsia="en-GB"/>
              </w:rPr>
            </w:pPr>
            <w:r>
              <w:rPr>
                <w:lang w:eastAsia="en-GB"/>
              </w:rPr>
              <w:t>Gas</w:t>
            </w:r>
          </w:p>
        </w:tc>
        <w:tc>
          <w:tcPr>
            <w:tcW w:w="3006" w:type="dxa"/>
          </w:tcPr>
          <w:p w:rsidR="00F94BDD" w:rsidRDefault="00936575" w:rsidP="00C93926">
            <w:pPr>
              <w:rPr>
                <w:lang w:eastAsia="en-GB"/>
              </w:rPr>
            </w:pPr>
            <w:r>
              <w:rPr>
                <w:lang w:eastAsia="en-GB"/>
              </w:rPr>
              <w:t>0</w:t>
            </w:r>
          </w:p>
        </w:tc>
      </w:tr>
      <w:tr w:rsidR="00F94BDD" w:rsidTr="00F94BDD">
        <w:tc>
          <w:tcPr>
            <w:tcW w:w="3005" w:type="dxa"/>
          </w:tcPr>
          <w:p w:rsidR="00F94BDD" w:rsidRPr="00936575" w:rsidRDefault="00936575" w:rsidP="00C93926">
            <w:pPr>
              <w:rPr>
                <w:lang w:eastAsia="en-GB"/>
              </w:rPr>
            </w:pPr>
            <w:r>
              <w:rPr>
                <w:lang w:eastAsia="en-GB"/>
              </w:rPr>
              <w:t>N</w:t>
            </w:r>
            <w:r>
              <w:rPr>
                <w:vertAlign w:val="subscript"/>
                <w:lang w:eastAsia="en-GB"/>
              </w:rPr>
              <w:t>2</w:t>
            </w:r>
          </w:p>
        </w:tc>
        <w:tc>
          <w:tcPr>
            <w:tcW w:w="3005" w:type="dxa"/>
          </w:tcPr>
          <w:p w:rsidR="00F94BDD" w:rsidRDefault="00936575" w:rsidP="00C93926">
            <w:pPr>
              <w:rPr>
                <w:lang w:eastAsia="en-GB"/>
              </w:rPr>
            </w:pPr>
            <w:r>
              <w:rPr>
                <w:lang w:eastAsia="en-GB"/>
              </w:rPr>
              <w:t>Gas</w:t>
            </w:r>
          </w:p>
        </w:tc>
        <w:tc>
          <w:tcPr>
            <w:tcW w:w="3006" w:type="dxa"/>
          </w:tcPr>
          <w:p w:rsidR="00F94BDD" w:rsidRDefault="00936575" w:rsidP="00C93926">
            <w:pPr>
              <w:rPr>
                <w:lang w:eastAsia="en-GB"/>
              </w:rPr>
            </w:pPr>
            <w:r>
              <w:rPr>
                <w:lang w:eastAsia="en-GB"/>
              </w:rPr>
              <w:t>0</w:t>
            </w:r>
          </w:p>
        </w:tc>
      </w:tr>
      <w:tr w:rsidR="00F94BDD" w:rsidTr="00F94BDD">
        <w:tc>
          <w:tcPr>
            <w:tcW w:w="3005" w:type="dxa"/>
          </w:tcPr>
          <w:p w:rsidR="00F94BDD" w:rsidRPr="00936575" w:rsidRDefault="00936575" w:rsidP="00C93926">
            <w:pPr>
              <w:rPr>
                <w:lang w:eastAsia="en-GB"/>
              </w:rPr>
            </w:pPr>
            <w:r>
              <w:rPr>
                <w:lang w:eastAsia="en-GB"/>
              </w:rPr>
              <w:t>H</w:t>
            </w:r>
            <w:r>
              <w:rPr>
                <w:vertAlign w:val="subscript"/>
                <w:lang w:eastAsia="en-GB"/>
              </w:rPr>
              <w:t>2</w:t>
            </w:r>
          </w:p>
        </w:tc>
        <w:tc>
          <w:tcPr>
            <w:tcW w:w="3005" w:type="dxa"/>
          </w:tcPr>
          <w:p w:rsidR="00F94BDD" w:rsidRDefault="00936575" w:rsidP="00C93926">
            <w:pPr>
              <w:rPr>
                <w:lang w:eastAsia="en-GB"/>
              </w:rPr>
            </w:pPr>
            <w:r>
              <w:rPr>
                <w:lang w:eastAsia="en-GB"/>
              </w:rPr>
              <w:t>Gas</w:t>
            </w:r>
          </w:p>
        </w:tc>
        <w:tc>
          <w:tcPr>
            <w:tcW w:w="3006" w:type="dxa"/>
          </w:tcPr>
          <w:p w:rsidR="00F94BDD" w:rsidRDefault="00936575" w:rsidP="00C93926">
            <w:pPr>
              <w:rPr>
                <w:lang w:eastAsia="en-GB"/>
              </w:rPr>
            </w:pPr>
            <w:r>
              <w:rPr>
                <w:lang w:eastAsia="en-GB"/>
              </w:rPr>
              <w:t>0</w:t>
            </w:r>
          </w:p>
        </w:tc>
      </w:tr>
      <w:tr w:rsidR="00F94BDD" w:rsidTr="00F94BDD">
        <w:tc>
          <w:tcPr>
            <w:tcW w:w="3005" w:type="dxa"/>
          </w:tcPr>
          <w:p w:rsidR="00F94BDD" w:rsidRDefault="00936575" w:rsidP="00C93926">
            <w:pPr>
              <w:rPr>
                <w:lang w:eastAsia="en-GB"/>
              </w:rPr>
            </w:pPr>
            <w:r>
              <w:rPr>
                <w:lang w:eastAsia="en-GB"/>
              </w:rPr>
              <w:t>C</w:t>
            </w:r>
          </w:p>
        </w:tc>
        <w:tc>
          <w:tcPr>
            <w:tcW w:w="3005" w:type="dxa"/>
          </w:tcPr>
          <w:p w:rsidR="00F94BDD" w:rsidRDefault="00936575" w:rsidP="00C93926">
            <w:pPr>
              <w:rPr>
                <w:lang w:eastAsia="en-GB"/>
              </w:rPr>
            </w:pPr>
            <w:r>
              <w:rPr>
                <w:lang w:eastAsia="en-GB"/>
              </w:rPr>
              <w:t>Gas</w:t>
            </w:r>
          </w:p>
        </w:tc>
        <w:tc>
          <w:tcPr>
            <w:tcW w:w="3006" w:type="dxa"/>
          </w:tcPr>
          <w:p w:rsidR="00F94BDD" w:rsidRDefault="00936575" w:rsidP="00C93926">
            <w:pPr>
              <w:rPr>
                <w:lang w:eastAsia="en-GB"/>
              </w:rPr>
            </w:pPr>
            <w:r>
              <w:rPr>
                <w:lang w:eastAsia="en-GB"/>
              </w:rPr>
              <w:t>0</w:t>
            </w:r>
          </w:p>
        </w:tc>
      </w:tr>
      <w:tr w:rsidR="00F94BDD" w:rsidTr="00F94BDD">
        <w:tc>
          <w:tcPr>
            <w:tcW w:w="3005" w:type="dxa"/>
          </w:tcPr>
          <w:p w:rsidR="00F94BDD" w:rsidRPr="00936575" w:rsidRDefault="00936575" w:rsidP="00C93926">
            <w:pPr>
              <w:rPr>
                <w:lang w:eastAsia="en-GB"/>
              </w:rPr>
            </w:pPr>
            <w:r>
              <w:rPr>
                <w:lang w:eastAsia="en-GB"/>
              </w:rPr>
              <w:t>CO</w:t>
            </w:r>
            <w:r>
              <w:rPr>
                <w:vertAlign w:val="subscript"/>
                <w:lang w:eastAsia="en-GB"/>
              </w:rPr>
              <w:t>2</w:t>
            </w:r>
          </w:p>
        </w:tc>
        <w:tc>
          <w:tcPr>
            <w:tcW w:w="3005" w:type="dxa"/>
          </w:tcPr>
          <w:p w:rsidR="00F94BDD" w:rsidRDefault="00936575" w:rsidP="00C93926">
            <w:pPr>
              <w:rPr>
                <w:lang w:eastAsia="en-GB"/>
              </w:rPr>
            </w:pPr>
            <w:r>
              <w:rPr>
                <w:lang w:eastAsia="en-GB"/>
              </w:rPr>
              <w:t>Gas</w:t>
            </w:r>
          </w:p>
        </w:tc>
        <w:tc>
          <w:tcPr>
            <w:tcW w:w="3006" w:type="dxa"/>
          </w:tcPr>
          <w:p w:rsidR="00F94BDD" w:rsidRDefault="00936575" w:rsidP="00C93926">
            <w:pPr>
              <w:rPr>
                <w:lang w:eastAsia="en-GB"/>
              </w:rPr>
            </w:pPr>
            <w:r>
              <w:rPr>
                <w:lang w:eastAsia="en-GB"/>
              </w:rPr>
              <w:t>-393.52</w:t>
            </w:r>
          </w:p>
        </w:tc>
      </w:tr>
      <w:tr w:rsidR="00F94BDD" w:rsidTr="00F94BDD">
        <w:tc>
          <w:tcPr>
            <w:tcW w:w="3005" w:type="dxa"/>
          </w:tcPr>
          <w:p w:rsidR="00F94BDD" w:rsidRPr="00936575" w:rsidRDefault="00936575" w:rsidP="00C93926">
            <w:pPr>
              <w:rPr>
                <w:lang w:eastAsia="en-GB"/>
              </w:rPr>
            </w:pPr>
            <w:r>
              <w:rPr>
                <w:lang w:eastAsia="en-GB"/>
              </w:rPr>
              <w:t>H</w:t>
            </w:r>
            <w:r>
              <w:rPr>
                <w:vertAlign w:val="subscript"/>
                <w:lang w:eastAsia="en-GB"/>
              </w:rPr>
              <w:t>2</w:t>
            </w:r>
            <w:r>
              <w:rPr>
                <w:lang w:eastAsia="en-GB"/>
              </w:rPr>
              <w:t>O</w:t>
            </w:r>
          </w:p>
        </w:tc>
        <w:tc>
          <w:tcPr>
            <w:tcW w:w="3005" w:type="dxa"/>
          </w:tcPr>
          <w:p w:rsidR="00F94BDD" w:rsidRDefault="00936575" w:rsidP="00C93926">
            <w:pPr>
              <w:rPr>
                <w:lang w:eastAsia="en-GB"/>
              </w:rPr>
            </w:pPr>
            <w:r>
              <w:rPr>
                <w:lang w:eastAsia="en-GB"/>
              </w:rPr>
              <w:t>Gas</w:t>
            </w:r>
          </w:p>
        </w:tc>
        <w:tc>
          <w:tcPr>
            <w:tcW w:w="3006" w:type="dxa"/>
          </w:tcPr>
          <w:p w:rsidR="00F94BDD" w:rsidRDefault="00936575" w:rsidP="00C93926">
            <w:pPr>
              <w:rPr>
                <w:lang w:eastAsia="en-GB"/>
              </w:rPr>
            </w:pPr>
            <w:r>
              <w:rPr>
                <w:lang w:eastAsia="en-GB"/>
              </w:rPr>
              <w:t>-241.83</w:t>
            </w:r>
          </w:p>
        </w:tc>
      </w:tr>
      <w:tr w:rsidR="00F94BDD" w:rsidTr="00F94BDD">
        <w:tc>
          <w:tcPr>
            <w:tcW w:w="3005" w:type="dxa"/>
          </w:tcPr>
          <w:p w:rsidR="00F94BDD" w:rsidRDefault="00936575" w:rsidP="00C93926">
            <w:pPr>
              <w:rPr>
                <w:lang w:eastAsia="en-GB"/>
              </w:rPr>
            </w:pPr>
            <w:r>
              <w:rPr>
                <w:lang w:eastAsia="en-GB"/>
              </w:rPr>
              <w:t>H</w:t>
            </w:r>
            <w:r>
              <w:rPr>
                <w:vertAlign w:val="subscript"/>
                <w:lang w:eastAsia="en-GB"/>
              </w:rPr>
              <w:t>2</w:t>
            </w:r>
            <w:r>
              <w:rPr>
                <w:lang w:eastAsia="en-GB"/>
              </w:rPr>
              <w:t>O</w:t>
            </w:r>
          </w:p>
        </w:tc>
        <w:tc>
          <w:tcPr>
            <w:tcW w:w="3005" w:type="dxa"/>
          </w:tcPr>
          <w:p w:rsidR="00F94BDD" w:rsidRDefault="00936575" w:rsidP="00C93926">
            <w:pPr>
              <w:rPr>
                <w:lang w:eastAsia="en-GB"/>
              </w:rPr>
            </w:pPr>
            <w:r>
              <w:rPr>
                <w:lang w:eastAsia="en-GB"/>
              </w:rPr>
              <w:t>Liquid</w:t>
            </w:r>
          </w:p>
        </w:tc>
        <w:tc>
          <w:tcPr>
            <w:tcW w:w="3006" w:type="dxa"/>
          </w:tcPr>
          <w:p w:rsidR="00F94BDD" w:rsidRDefault="00936575" w:rsidP="00C93926">
            <w:pPr>
              <w:rPr>
                <w:lang w:eastAsia="en-GB"/>
              </w:rPr>
            </w:pPr>
            <w:r>
              <w:rPr>
                <w:lang w:eastAsia="en-GB"/>
              </w:rPr>
              <w:t>-285.84</w:t>
            </w:r>
          </w:p>
        </w:tc>
      </w:tr>
      <w:tr w:rsidR="00F94BDD" w:rsidTr="00F94BDD">
        <w:tc>
          <w:tcPr>
            <w:tcW w:w="3005" w:type="dxa"/>
          </w:tcPr>
          <w:p w:rsidR="00F94BDD" w:rsidRDefault="00936575" w:rsidP="00C93926">
            <w:pPr>
              <w:rPr>
                <w:lang w:eastAsia="en-GB"/>
              </w:rPr>
            </w:pPr>
            <w:r>
              <w:rPr>
                <w:lang w:eastAsia="en-GB"/>
              </w:rPr>
              <w:t>CO</w:t>
            </w:r>
          </w:p>
        </w:tc>
        <w:tc>
          <w:tcPr>
            <w:tcW w:w="3005" w:type="dxa"/>
          </w:tcPr>
          <w:p w:rsidR="00F94BDD" w:rsidRDefault="00936575" w:rsidP="00C93926">
            <w:pPr>
              <w:rPr>
                <w:lang w:eastAsia="en-GB"/>
              </w:rPr>
            </w:pPr>
            <w:r>
              <w:rPr>
                <w:lang w:eastAsia="en-GB"/>
              </w:rPr>
              <w:t>Gas</w:t>
            </w:r>
          </w:p>
        </w:tc>
        <w:tc>
          <w:tcPr>
            <w:tcW w:w="3006" w:type="dxa"/>
          </w:tcPr>
          <w:p w:rsidR="00F94BDD" w:rsidRDefault="00936575" w:rsidP="00C93926">
            <w:pPr>
              <w:rPr>
                <w:lang w:eastAsia="en-GB"/>
              </w:rPr>
            </w:pPr>
            <w:r>
              <w:rPr>
                <w:lang w:eastAsia="en-GB"/>
              </w:rPr>
              <w:t>110.54</w:t>
            </w:r>
          </w:p>
        </w:tc>
      </w:tr>
      <w:tr w:rsidR="00936575" w:rsidTr="00F94BDD">
        <w:tc>
          <w:tcPr>
            <w:tcW w:w="3005" w:type="dxa"/>
          </w:tcPr>
          <w:p w:rsidR="00936575" w:rsidRPr="00936575" w:rsidRDefault="00936575" w:rsidP="00C93926">
            <w:pPr>
              <w:rPr>
                <w:lang w:eastAsia="en-GB"/>
              </w:rPr>
            </w:pPr>
            <w:r>
              <w:rPr>
                <w:lang w:eastAsia="en-GB"/>
              </w:rPr>
              <w:t>CH</w:t>
            </w:r>
            <w:r>
              <w:rPr>
                <w:vertAlign w:val="subscript"/>
                <w:lang w:eastAsia="en-GB"/>
              </w:rPr>
              <w:t>4</w:t>
            </w:r>
          </w:p>
        </w:tc>
        <w:tc>
          <w:tcPr>
            <w:tcW w:w="3005" w:type="dxa"/>
          </w:tcPr>
          <w:p w:rsidR="00936575" w:rsidRDefault="00936575" w:rsidP="00C93926">
            <w:pPr>
              <w:rPr>
                <w:lang w:eastAsia="en-GB"/>
              </w:rPr>
            </w:pPr>
            <w:r>
              <w:rPr>
                <w:lang w:eastAsia="en-GB"/>
              </w:rPr>
              <w:t>Gas</w:t>
            </w:r>
          </w:p>
        </w:tc>
        <w:tc>
          <w:tcPr>
            <w:tcW w:w="3006" w:type="dxa"/>
          </w:tcPr>
          <w:p w:rsidR="00936575" w:rsidRDefault="00936575" w:rsidP="00C93926">
            <w:pPr>
              <w:rPr>
                <w:lang w:eastAsia="en-GB"/>
              </w:rPr>
            </w:pPr>
            <w:r>
              <w:rPr>
                <w:lang w:eastAsia="en-GB"/>
              </w:rPr>
              <w:t>78.87</w:t>
            </w:r>
          </w:p>
        </w:tc>
      </w:tr>
      <w:tr w:rsidR="00F94BDD" w:rsidTr="00F94BDD">
        <w:tc>
          <w:tcPr>
            <w:tcW w:w="3005" w:type="dxa"/>
          </w:tcPr>
          <w:p w:rsidR="00F94BDD" w:rsidRPr="00936575" w:rsidRDefault="00936575" w:rsidP="00C93926">
            <w:pPr>
              <w:rPr>
                <w:vertAlign w:val="subscript"/>
                <w:lang w:eastAsia="en-GB"/>
              </w:rPr>
            </w:pPr>
            <w:r>
              <w:rPr>
                <w:lang w:eastAsia="en-GB"/>
              </w:rPr>
              <w:t>C</w:t>
            </w:r>
            <w:r>
              <w:rPr>
                <w:vertAlign w:val="subscript"/>
                <w:lang w:eastAsia="en-GB"/>
              </w:rPr>
              <w:t>3</w:t>
            </w:r>
            <w:r>
              <w:rPr>
                <w:lang w:eastAsia="en-GB"/>
              </w:rPr>
              <w:t>H</w:t>
            </w:r>
            <w:r>
              <w:rPr>
                <w:vertAlign w:val="subscript"/>
                <w:lang w:eastAsia="en-GB"/>
              </w:rPr>
              <w:t>8</w:t>
            </w:r>
          </w:p>
        </w:tc>
        <w:tc>
          <w:tcPr>
            <w:tcW w:w="3005" w:type="dxa"/>
          </w:tcPr>
          <w:p w:rsidR="00F94BDD" w:rsidRDefault="00936575" w:rsidP="00C93926">
            <w:pPr>
              <w:rPr>
                <w:lang w:eastAsia="en-GB"/>
              </w:rPr>
            </w:pPr>
            <w:r>
              <w:rPr>
                <w:lang w:eastAsia="en-GB"/>
              </w:rPr>
              <w:t>Gas</w:t>
            </w:r>
          </w:p>
        </w:tc>
        <w:tc>
          <w:tcPr>
            <w:tcW w:w="3006" w:type="dxa"/>
          </w:tcPr>
          <w:p w:rsidR="00F94BDD" w:rsidRDefault="00936575" w:rsidP="00C93926">
            <w:pPr>
              <w:rPr>
                <w:lang w:eastAsia="en-GB"/>
              </w:rPr>
            </w:pPr>
            <w:r>
              <w:rPr>
                <w:lang w:eastAsia="en-GB"/>
              </w:rPr>
              <w:t>103.85</w:t>
            </w:r>
          </w:p>
        </w:tc>
      </w:tr>
      <w:tr w:rsidR="00936575" w:rsidTr="00F94BDD">
        <w:tc>
          <w:tcPr>
            <w:tcW w:w="3005" w:type="dxa"/>
          </w:tcPr>
          <w:p w:rsidR="00936575" w:rsidRPr="00936575" w:rsidRDefault="00936575" w:rsidP="00C93926">
            <w:pPr>
              <w:rPr>
                <w:lang w:eastAsia="en-GB"/>
              </w:rPr>
            </w:pPr>
            <w:r>
              <w:rPr>
                <w:lang w:eastAsia="en-GB"/>
              </w:rPr>
              <w:t>CH</w:t>
            </w:r>
            <w:r>
              <w:rPr>
                <w:vertAlign w:val="subscript"/>
                <w:lang w:eastAsia="en-GB"/>
              </w:rPr>
              <w:t>3</w:t>
            </w:r>
            <w:r>
              <w:rPr>
                <w:lang w:eastAsia="en-GB"/>
              </w:rPr>
              <w:t>OH</w:t>
            </w:r>
          </w:p>
        </w:tc>
        <w:tc>
          <w:tcPr>
            <w:tcW w:w="3005" w:type="dxa"/>
          </w:tcPr>
          <w:p w:rsidR="00936575" w:rsidRDefault="00936575" w:rsidP="00C93926">
            <w:pPr>
              <w:rPr>
                <w:lang w:eastAsia="en-GB"/>
              </w:rPr>
            </w:pPr>
            <w:r>
              <w:rPr>
                <w:lang w:eastAsia="en-GB"/>
              </w:rPr>
              <w:t>Gas</w:t>
            </w:r>
          </w:p>
        </w:tc>
        <w:tc>
          <w:tcPr>
            <w:tcW w:w="3006" w:type="dxa"/>
          </w:tcPr>
          <w:p w:rsidR="00936575" w:rsidRDefault="00936575" w:rsidP="00C93926">
            <w:pPr>
              <w:rPr>
                <w:lang w:eastAsia="en-GB"/>
              </w:rPr>
            </w:pPr>
            <w:r>
              <w:rPr>
                <w:lang w:eastAsia="en-GB"/>
              </w:rPr>
              <w:t>201.17</w:t>
            </w:r>
          </w:p>
        </w:tc>
      </w:tr>
      <w:tr w:rsidR="00F94BDD" w:rsidTr="00F94BDD">
        <w:tc>
          <w:tcPr>
            <w:tcW w:w="3005" w:type="dxa"/>
          </w:tcPr>
          <w:p w:rsidR="00F94BDD" w:rsidRDefault="00936575" w:rsidP="00C93926">
            <w:pPr>
              <w:rPr>
                <w:lang w:eastAsia="en-GB"/>
              </w:rPr>
            </w:pPr>
            <w:r>
              <w:rPr>
                <w:lang w:eastAsia="en-GB"/>
              </w:rPr>
              <w:t>CH</w:t>
            </w:r>
            <w:r>
              <w:rPr>
                <w:vertAlign w:val="subscript"/>
                <w:lang w:eastAsia="en-GB"/>
              </w:rPr>
              <w:t>3</w:t>
            </w:r>
            <w:r>
              <w:rPr>
                <w:lang w:eastAsia="en-GB"/>
              </w:rPr>
              <w:t>OH</w:t>
            </w:r>
          </w:p>
        </w:tc>
        <w:tc>
          <w:tcPr>
            <w:tcW w:w="3005" w:type="dxa"/>
          </w:tcPr>
          <w:p w:rsidR="00F94BDD" w:rsidRDefault="00936575" w:rsidP="00C93926">
            <w:pPr>
              <w:rPr>
                <w:lang w:eastAsia="en-GB"/>
              </w:rPr>
            </w:pPr>
            <w:r>
              <w:rPr>
                <w:lang w:eastAsia="en-GB"/>
              </w:rPr>
              <w:t>Liquid</w:t>
            </w:r>
          </w:p>
        </w:tc>
        <w:tc>
          <w:tcPr>
            <w:tcW w:w="3006" w:type="dxa"/>
          </w:tcPr>
          <w:p w:rsidR="00F94BDD" w:rsidRDefault="00936575" w:rsidP="00C93926">
            <w:pPr>
              <w:rPr>
                <w:lang w:eastAsia="en-GB"/>
              </w:rPr>
            </w:pPr>
            <w:r>
              <w:rPr>
                <w:lang w:eastAsia="en-GB"/>
              </w:rPr>
              <w:t>238.58</w:t>
            </w:r>
          </w:p>
        </w:tc>
      </w:tr>
      <w:tr w:rsidR="00936575" w:rsidTr="00F94BDD">
        <w:tc>
          <w:tcPr>
            <w:tcW w:w="3005" w:type="dxa"/>
          </w:tcPr>
          <w:p w:rsidR="00936575" w:rsidRPr="00936575" w:rsidRDefault="00936575" w:rsidP="00C93926">
            <w:pPr>
              <w:rPr>
                <w:vertAlign w:val="subscript"/>
                <w:lang w:eastAsia="en-GB"/>
              </w:rPr>
            </w:pPr>
            <w:r>
              <w:rPr>
                <w:lang w:eastAsia="en-GB"/>
              </w:rPr>
              <w:t>C</w:t>
            </w:r>
            <w:r>
              <w:rPr>
                <w:vertAlign w:val="subscript"/>
                <w:lang w:eastAsia="en-GB"/>
              </w:rPr>
              <w:t>8</w:t>
            </w:r>
            <w:r>
              <w:rPr>
                <w:lang w:eastAsia="en-GB"/>
              </w:rPr>
              <w:t>H</w:t>
            </w:r>
            <w:r>
              <w:rPr>
                <w:vertAlign w:val="subscript"/>
                <w:lang w:eastAsia="en-GB"/>
              </w:rPr>
              <w:t>18</w:t>
            </w:r>
          </w:p>
        </w:tc>
        <w:tc>
          <w:tcPr>
            <w:tcW w:w="3005" w:type="dxa"/>
          </w:tcPr>
          <w:p w:rsidR="00936575" w:rsidRDefault="00936575" w:rsidP="00C93926">
            <w:pPr>
              <w:rPr>
                <w:lang w:eastAsia="en-GB"/>
              </w:rPr>
            </w:pPr>
            <w:r>
              <w:rPr>
                <w:lang w:eastAsia="en-GB"/>
              </w:rPr>
              <w:t>Gas</w:t>
            </w:r>
          </w:p>
        </w:tc>
        <w:tc>
          <w:tcPr>
            <w:tcW w:w="3006" w:type="dxa"/>
          </w:tcPr>
          <w:p w:rsidR="00936575" w:rsidRDefault="00936575" w:rsidP="00C93926">
            <w:pPr>
              <w:rPr>
                <w:lang w:eastAsia="en-GB"/>
              </w:rPr>
            </w:pPr>
            <w:r>
              <w:rPr>
                <w:lang w:eastAsia="en-GB"/>
              </w:rPr>
              <w:t>208.45</w:t>
            </w:r>
          </w:p>
        </w:tc>
      </w:tr>
      <w:tr w:rsidR="00936575" w:rsidTr="00F94BDD">
        <w:tc>
          <w:tcPr>
            <w:tcW w:w="3005" w:type="dxa"/>
          </w:tcPr>
          <w:p w:rsidR="00936575" w:rsidRDefault="00936575" w:rsidP="00C93926">
            <w:pPr>
              <w:rPr>
                <w:lang w:eastAsia="en-GB"/>
              </w:rPr>
            </w:pPr>
            <w:r>
              <w:rPr>
                <w:lang w:eastAsia="en-GB"/>
              </w:rPr>
              <w:t>C</w:t>
            </w:r>
            <w:r>
              <w:rPr>
                <w:vertAlign w:val="subscript"/>
                <w:lang w:eastAsia="en-GB"/>
              </w:rPr>
              <w:t>8</w:t>
            </w:r>
            <w:r>
              <w:rPr>
                <w:lang w:eastAsia="en-GB"/>
              </w:rPr>
              <w:t>H</w:t>
            </w:r>
            <w:r>
              <w:rPr>
                <w:vertAlign w:val="subscript"/>
                <w:lang w:eastAsia="en-GB"/>
              </w:rPr>
              <w:t>18</w:t>
            </w:r>
          </w:p>
        </w:tc>
        <w:tc>
          <w:tcPr>
            <w:tcW w:w="3005" w:type="dxa"/>
          </w:tcPr>
          <w:p w:rsidR="00936575" w:rsidRDefault="00936575" w:rsidP="00C93926">
            <w:pPr>
              <w:rPr>
                <w:lang w:eastAsia="en-GB"/>
              </w:rPr>
            </w:pPr>
            <w:r>
              <w:rPr>
                <w:lang w:eastAsia="en-GB"/>
              </w:rPr>
              <w:t>Liquid</w:t>
            </w:r>
          </w:p>
        </w:tc>
        <w:tc>
          <w:tcPr>
            <w:tcW w:w="3006" w:type="dxa"/>
          </w:tcPr>
          <w:p w:rsidR="00936575" w:rsidRDefault="00936575" w:rsidP="00C93926">
            <w:pPr>
              <w:rPr>
                <w:lang w:eastAsia="en-GB"/>
              </w:rPr>
            </w:pPr>
            <w:r>
              <w:rPr>
                <w:lang w:eastAsia="en-GB"/>
              </w:rPr>
              <w:t>249.35</w:t>
            </w:r>
          </w:p>
        </w:tc>
      </w:tr>
    </w:tbl>
    <w:p w:rsidR="00C93926" w:rsidRPr="00936575" w:rsidRDefault="00BE5AA0" w:rsidP="00C93926">
      <w:pPr>
        <w:rPr>
          <w:i/>
          <w:sz w:val="18"/>
          <w:szCs w:val="18"/>
          <w:lang w:eastAsia="en-GB"/>
        </w:rPr>
      </w:pPr>
      <w:sdt>
        <w:sdtPr>
          <w:rPr>
            <w:lang w:eastAsia="en-GB"/>
          </w:rPr>
          <w:id w:val="1892919590"/>
          <w:citation/>
        </w:sdtPr>
        <w:sdtContent>
          <w:r w:rsidR="00936575">
            <w:rPr>
              <w:lang w:eastAsia="en-GB"/>
            </w:rPr>
            <w:fldChar w:fldCharType="begin"/>
          </w:r>
          <w:r w:rsidR="00936575">
            <w:rPr>
              <w:lang w:eastAsia="en-GB"/>
            </w:rPr>
            <w:instrText xml:space="preserve"> CITATION Joh88 \l 2057 </w:instrText>
          </w:r>
          <w:r w:rsidR="00936575">
            <w:rPr>
              <w:lang w:eastAsia="en-GB"/>
            </w:rPr>
            <w:fldChar w:fldCharType="separate"/>
          </w:r>
          <w:r w:rsidR="00936575">
            <w:rPr>
              <w:noProof/>
              <w:lang w:eastAsia="en-GB"/>
            </w:rPr>
            <w:t>(Heywood, 1988)</w:t>
          </w:r>
          <w:r w:rsidR="00936575">
            <w:rPr>
              <w:lang w:eastAsia="en-GB"/>
            </w:rPr>
            <w:fldChar w:fldCharType="end"/>
          </w:r>
        </w:sdtContent>
      </w:sdt>
    </w:p>
    <w:p w:rsidR="00F81A2A" w:rsidRPr="00F81A2A" w:rsidRDefault="00F81A2A" w:rsidP="00F81A2A">
      <w:pPr>
        <w:rPr>
          <w:lang w:eastAsia="en-GB"/>
        </w:rPr>
      </w:pPr>
    </w:p>
    <w:p w:rsidR="00F81A2A" w:rsidRPr="00DD7BA5" w:rsidRDefault="00F81A2A" w:rsidP="00DD7BA5">
      <w:pPr>
        <w:rPr>
          <w:lang w:eastAsia="en-GB"/>
        </w:rPr>
      </w:pPr>
    </w:p>
    <w:p w:rsidR="000A0B99" w:rsidRDefault="000A0B99">
      <w:pPr>
        <w:rPr>
          <w:lang w:eastAsia="en-GB"/>
        </w:rPr>
      </w:pPr>
      <w:r>
        <w:rPr>
          <w:lang w:eastAsia="en-GB"/>
        </w:rPr>
        <w:br w:type="page"/>
      </w:r>
    </w:p>
    <w:p w:rsidR="00DD7BA5" w:rsidRDefault="000A0B99" w:rsidP="000A0B99">
      <w:pPr>
        <w:pStyle w:val="Heading1"/>
        <w:rPr>
          <w:lang w:eastAsia="en-GB"/>
        </w:rPr>
      </w:pPr>
      <w:bookmarkStart w:id="21" w:name="_Toc503446565"/>
      <w:r>
        <w:rPr>
          <w:lang w:eastAsia="en-GB"/>
        </w:rPr>
        <w:lastRenderedPageBreak/>
        <w:t>Appendix C EGR Results Tables</w:t>
      </w:r>
      <w:bookmarkEnd w:id="21"/>
    </w:p>
    <w:tbl>
      <w:tblPr>
        <w:tblW w:w="4340" w:type="dxa"/>
        <w:tblLook w:val="04A0" w:firstRow="1" w:lastRow="0" w:firstColumn="1" w:lastColumn="0" w:noHBand="0" w:noVBand="1"/>
      </w:tblPr>
      <w:tblGrid>
        <w:gridCol w:w="1000"/>
        <w:gridCol w:w="1880"/>
        <w:gridCol w:w="1460"/>
      </w:tblGrid>
      <w:tr w:rsidR="00E34CF4" w:rsidRPr="000A0B99" w:rsidTr="00E34CF4">
        <w:trPr>
          <w:trHeight w:val="360"/>
        </w:trPr>
        <w:tc>
          <w:tcPr>
            <w:tcW w:w="1000" w:type="dxa"/>
            <w:tcBorders>
              <w:top w:val="nil"/>
              <w:left w:val="nil"/>
              <w:bottom w:val="single" w:sz="12" w:space="0" w:color="A2B8E1"/>
              <w:right w:val="nil"/>
            </w:tcBorders>
            <w:shd w:val="clear" w:color="auto" w:fill="auto"/>
            <w:noWrap/>
            <w:vAlign w:val="bottom"/>
            <w:hideMark/>
          </w:tcPr>
          <w:p w:rsidR="00E34CF4" w:rsidRPr="000A0B99" w:rsidRDefault="00E34CF4" w:rsidP="000A0B99">
            <w:pPr>
              <w:spacing w:after="0" w:line="240" w:lineRule="auto"/>
              <w:rPr>
                <w:rFonts w:ascii="Calibri" w:eastAsia="Times New Roman" w:hAnsi="Calibri" w:cs="Calibri"/>
                <w:b/>
                <w:bCs/>
                <w:color w:val="44546A"/>
                <w:sz w:val="26"/>
                <w:szCs w:val="26"/>
                <w:lang w:eastAsia="en-GB"/>
              </w:rPr>
            </w:pPr>
            <w:r w:rsidRPr="000A0B99">
              <w:rPr>
                <w:rFonts w:ascii="Calibri" w:eastAsia="Times New Roman" w:hAnsi="Calibri" w:cs="Calibri"/>
                <w:b/>
                <w:bCs/>
                <w:color w:val="44546A"/>
                <w:sz w:val="26"/>
                <w:szCs w:val="26"/>
                <w:lang w:eastAsia="en-GB"/>
              </w:rPr>
              <w:t>EGR</w:t>
            </w:r>
          </w:p>
        </w:tc>
        <w:tc>
          <w:tcPr>
            <w:tcW w:w="1880" w:type="dxa"/>
            <w:tcBorders>
              <w:top w:val="nil"/>
              <w:left w:val="nil"/>
              <w:bottom w:val="single" w:sz="12" w:space="0" w:color="A2B8E1"/>
              <w:right w:val="nil"/>
            </w:tcBorders>
            <w:shd w:val="clear" w:color="auto" w:fill="auto"/>
            <w:noWrap/>
            <w:vAlign w:val="bottom"/>
            <w:hideMark/>
          </w:tcPr>
          <w:p w:rsidR="00E34CF4" w:rsidRPr="000A0B99" w:rsidRDefault="00E34CF4" w:rsidP="000A0B99">
            <w:pPr>
              <w:spacing w:after="0" w:line="240" w:lineRule="auto"/>
              <w:rPr>
                <w:rFonts w:ascii="Calibri" w:eastAsia="Times New Roman" w:hAnsi="Calibri" w:cs="Calibri"/>
                <w:b/>
                <w:bCs/>
                <w:color w:val="44546A"/>
                <w:sz w:val="26"/>
                <w:szCs w:val="26"/>
                <w:lang w:eastAsia="en-GB"/>
              </w:rPr>
            </w:pPr>
            <w:r w:rsidRPr="000A0B99">
              <w:rPr>
                <w:rFonts w:ascii="Calibri" w:eastAsia="Times New Roman" w:hAnsi="Calibri" w:cs="Calibri"/>
                <w:b/>
                <w:bCs/>
                <w:color w:val="44546A"/>
                <w:sz w:val="26"/>
                <w:szCs w:val="26"/>
                <w:lang w:eastAsia="en-GB"/>
              </w:rPr>
              <w:t>Flame Temp</w:t>
            </w:r>
          </w:p>
        </w:tc>
        <w:tc>
          <w:tcPr>
            <w:tcW w:w="1460" w:type="dxa"/>
            <w:tcBorders>
              <w:top w:val="nil"/>
              <w:left w:val="nil"/>
              <w:bottom w:val="single" w:sz="12" w:space="0" w:color="A2B8E1"/>
              <w:right w:val="nil"/>
            </w:tcBorders>
            <w:shd w:val="clear" w:color="auto" w:fill="auto"/>
            <w:noWrap/>
            <w:vAlign w:val="bottom"/>
            <w:hideMark/>
          </w:tcPr>
          <w:p w:rsidR="00E34CF4" w:rsidRPr="000A0B99" w:rsidRDefault="00E34CF4" w:rsidP="000A0B99">
            <w:pPr>
              <w:spacing w:after="0" w:line="240" w:lineRule="auto"/>
              <w:rPr>
                <w:rFonts w:ascii="Calibri" w:eastAsia="Times New Roman" w:hAnsi="Calibri" w:cs="Calibri"/>
                <w:b/>
                <w:bCs/>
                <w:color w:val="44546A"/>
                <w:sz w:val="26"/>
                <w:szCs w:val="26"/>
                <w:lang w:eastAsia="en-GB"/>
              </w:rPr>
            </w:pPr>
            <w:r w:rsidRPr="000A0B99">
              <w:rPr>
                <w:rFonts w:ascii="Calibri" w:eastAsia="Times New Roman" w:hAnsi="Calibri" w:cs="Calibri"/>
                <w:b/>
                <w:bCs/>
                <w:color w:val="44546A"/>
                <w:sz w:val="26"/>
                <w:szCs w:val="26"/>
                <w:lang w:eastAsia="en-GB"/>
              </w:rPr>
              <w:t xml:space="preserve">Nox PPM </w:t>
            </w:r>
          </w:p>
        </w:tc>
      </w:tr>
      <w:tr w:rsidR="00E34CF4" w:rsidRPr="000A0B99" w:rsidTr="00E34CF4">
        <w:trPr>
          <w:trHeight w:val="300"/>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2329.219921</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141190.1252</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0.01</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2311.087919</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117905.6106</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0.02</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2293.297895</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98526.64308</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0.03</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2275.840079</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82387.11891</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0.04</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2258.705051</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68936.42153</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0.05</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2241.883754</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57719.07164</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0.06</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2225.367452</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48358.02097</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0.07</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2209.147745</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40540.93248</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0.08</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2193</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33981.2431</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0.09</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2177.565967</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28547.09987</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0.1</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2162.188555</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23977.28992</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0.11</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2147.077015</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20151.35044</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0.12</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2132.22432</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16946.17774</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0.13</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2117.623715</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14259.37403</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0.14</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2103.268665</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12005.71238</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0.15</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2089.152855</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10114.2054</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0.16</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2075.270184</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8525.691258</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0.17</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2061.614764</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7190.832017</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0.18</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2048.180905</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6068.455439</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0.19</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2034.963098</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5124.179357</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0.2</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2021.956015</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4329.277658</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0.21</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2009.154507</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3659.732371</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0.22</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1996.553593</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3095.449591</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0.23</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1984.148458</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2619.610091</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0.24</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1971.934426</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2218.124049</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0.25</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1959.906975</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1879.183797</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0.26</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1948.061733</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1592.886696</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0.27</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1936.39445</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1350.923028</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0.28</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1924.901033</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1146.316368</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0.29</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1913.577481</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973.2054316</w:t>
            </w:r>
          </w:p>
        </w:tc>
      </w:tr>
      <w:tr w:rsidR="00E34CF4" w:rsidRPr="000A0B99" w:rsidTr="00E34CF4">
        <w:trPr>
          <w:trHeight w:val="288"/>
        </w:trPr>
        <w:tc>
          <w:tcPr>
            <w:tcW w:w="100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0.3</w:t>
            </w:r>
          </w:p>
        </w:tc>
        <w:tc>
          <w:tcPr>
            <w:tcW w:w="188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1902.419945</w:t>
            </w:r>
          </w:p>
        </w:tc>
        <w:tc>
          <w:tcPr>
            <w:tcW w:w="1460" w:type="dxa"/>
            <w:tcBorders>
              <w:top w:val="nil"/>
              <w:left w:val="nil"/>
              <w:bottom w:val="nil"/>
              <w:right w:val="nil"/>
            </w:tcBorders>
            <w:shd w:val="clear" w:color="auto" w:fill="auto"/>
            <w:noWrap/>
            <w:vAlign w:val="bottom"/>
            <w:hideMark/>
          </w:tcPr>
          <w:p w:rsidR="00E34CF4" w:rsidRPr="000A0B99" w:rsidRDefault="00E34CF4" w:rsidP="000A0B99">
            <w:pPr>
              <w:spacing w:after="0" w:line="240" w:lineRule="auto"/>
              <w:jc w:val="right"/>
              <w:rPr>
                <w:rFonts w:ascii="Calibri" w:eastAsia="Times New Roman" w:hAnsi="Calibri" w:cs="Calibri"/>
                <w:color w:val="000000"/>
                <w:lang w:eastAsia="en-GB"/>
              </w:rPr>
            </w:pPr>
            <w:r w:rsidRPr="000A0B99">
              <w:rPr>
                <w:rFonts w:ascii="Calibri" w:eastAsia="Times New Roman" w:hAnsi="Calibri" w:cs="Calibri"/>
                <w:color w:val="000000"/>
                <w:lang w:eastAsia="en-GB"/>
              </w:rPr>
              <w:t>826.6635541</w:t>
            </w:r>
          </w:p>
        </w:tc>
      </w:tr>
    </w:tbl>
    <w:p w:rsidR="000A0B99" w:rsidRPr="000A0B99" w:rsidRDefault="000A0B99" w:rsidP="000A0B99">
      <w:pPr>
        <w:rPr>
          <w:lang w:eastAsia="en-GB"/>
        </w:rPr>
      </w:pPr>
    </w:p>
    <w:sectPr w:rsidR="000A0B99" w:rsidRPr="000A0B99">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2F5C" w:rsidRDefault="00D42F5C" w:rsidP="00723686">
      <w:pPr>
        <w:spacing w:after="0" w:line="240" w:lineRule="auto"/>
      </w:pPr>
      <w:r>
        <w:separator/>
      </w:r>
    </w:p>
  </w:endnote>
  <w:endnote w:type="continuationSeparator" w:id="0">
    <w:p w:rsidR="00D42F5C" w:rsidRDefault="00D42F5C" w:rsidP="00723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369609"/>
      <w:docPartObj>
        <w:docPartGallery w:val="Page Numbers (Bottom of Page)"/>
        <w:docPartUnique/>
      </w:docPartObj>
    </w:sdtPr>
    <w:sdtEndPr>
      <w:rPr>
        <w:noProof/>
      </w:rPr>
    </w:sdtEndPr>
    <w:sdtContent>
      <w:p w:rsidR="00D42F5C" w:rsidRDefault="00D42F5C">
        <w:pPr>
          <w:pStyle w:val="Footer"/>
        </w:pPr>
        <w:r>
          <w:fldChar w:fldCharType="begin"/>
        </w:r>
        <w:r>
          <w:instrText xml:space="preserve"> PAGE   \* MERGEFORMAT </w:instrText>
        </w:r>
        <w:r>
          <w:fldChar w:fldCharType="separate"/>
        </w:r>
        <w:r w:rsidR="00E47FE7">
          <w:rPr>
            <w:noProof/>
          </w:rPr>
          <w:t>3</w:t>
        </w:r>
        <w:r>
          <w:rPr>
            <w:noProof/>
          </w:rPr>
          <w:fldChar w:fldCharType="end"/>
        </w:r>
      </w:p>
    </w:sdtContent>
  </w:sdt>
  <w:p w:rsidR="00D42F5C" w:rsidRDefault="00D42F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2F5C" w:rsidRDefault="00D42F5C" w:rsidP="00723686">
      <w:pPr>
        <w:spacing w:after="0" w:line="240" w:lineRule="auto"/>
      </w:pPr>
      <w:r>
        <w:separator/>
      </w:r>
    </w:p>
  </w:footnote>
  <w:footnote w:type="continuationSeparator" w:id="0">
    <w:p w:rsidR="00D42F5C" w:rsidRDefault="00D42F5C" w:rsidP="00723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F6FEE"/>
    <w:multiLevelType w:val="hybridMultilevel"/>
    <w:tmpl w:val="95045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8008C"/>
    <w:multiLevelType w:val="multilevel"/>
    <w:tmpl w:val="59B61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72244"/>
    <w:multiLevelType w:val="hybridMultilevel"/>
    <w:tmpl w:val="926220C8"/>
    <w:lvl w:ilvl="0" w:tplc="577811D6">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3" w15:restartNumberingAfterBreak="0">
    <w:nsid w:val="1BB47BB1"/>
    <w:multiLevelType w:val="multilevel"/>
    <w:tmpl w:val="22F2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006BF"/>
    <w:multiLevelType w:val="hybridMultilevel"/>
    <w:tmpl w:val="CC882C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E50886"/>
    <w:multiLevelType w:val="hybridMultilevel"/>
    <w:tmpl w:val="4B5A0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9D43F2"/>
    <w:multiLevelType w:val="hybridMultilevel"/>
    <w:tmpl w:val="C6C4F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CE1B99"/>
    <w:multiLevelType w:val="multilevel"/>
    <w:tmpl w:val="DB468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A67324"/>
    <w:multiLevelType w:val="hybridMultilevel"/>
    <w:tmpl w:val="F8FED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A50161"/>
    <w:multiLevelType w:val="multilevel"/>
    <w:tmpl w:val="D3D883D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3F6432B7"/>
    <w:multiLevelType w:val="hybridMultilevel"/>
    <w:tmpl w:val="F8D82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777FC0"/>
    <w:multiLevelType w:val="hybridMultilevel"/>
    <w:tmpl w:val="26C2680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391B51"/>
    <w:multiLevelType w:val="hybridMultilevel"/>
    <w:tmpl w:val="65108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650B68"/>
    <w:multiLevelType w:val="hybridMultilevel"/>
    <w:tmpl w:val="D506DBA0"/>
    <w:lvl w:ilvl="0" w:tplc="834C9244">
      <w:start w:val="1"/>
      <w:numFmt w:val="bullet"/>
      <w:lvlText w:val=""/>
      <w:lvlJc w:val="left"/>
      <w:pPr>
        <w:ind w:left="360" w:hanging="360"/>
      </w:pPr>
      <w:rPr>
        <w:rFonts w:ascii="Symbol" w:hAnsi="Symbol" w:hint="default"/>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C4089"/>
    <w:multiLevelType w:val="hybridMultilevel"/>
    <w:tmpl w:val="E1680352"/>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0D6DF5"/>
    <w:multiLevelType w:val="hybridMultilevel"/>
    <w:tmpl w:val="4CB4F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E763BE"/>
    <w:multiLevelType w:val="multilevel"/>
    <w:tmpl w:val="643CC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A405B3"/>
    <w:multiLevelType w:val="hybridMultilevel"/>
    <w:tmpl w:val="C2F6D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AB5D02"/>
    <w:multiLevelType w:val="hybridMultilevel"/>
    <w:tmpl w:val="D674B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4"/>
  </w:num>
  <w:num w:numId="4">
    <w:abstractNumId w:val="17"/>
  </w:num>
  <w:num w:numId="5">
    <w:abstractNumId w:val="1"/>
  </w:num>
  <w:num w:numId="6">
    <w:abstractNumId w:val="16"/>
  </w:num>
  <w:num w:numId="7">
    <w:abstractNumId w:val="7"/>
  </w:num>
  <w:num w:numId="8">
    <w:abstractNumId w:val="8"/>
  </w:num>
  <w:num w:numId="9">
    <w:abstractNumId w:val="3"/>
  </w:num>
  <w:num w:numId="10">
    <w:abstractNumId w:val="0"/>
  </w:num>
  <w:num w:numId="11">
    <w:abstractNumId w:val="18"/>
  </w:num>
  <w:num w:numId="12">
    <w:abstractNumId w:val="5"/>
  </w:num>
  <w:num w:numId="13">
    <w:abstractNumId w:val="12"/>
  </w:num>
  <w:num w:numId="14">
    <w:abstractNumId w:val="9"/>
  </w:num>
  <w:num w:numId="15">
    <w:abstractNumId w:val="11"/>
  </w:num>
  <w:num w:numId="16">
    <w:abstractNumId w:val="15"/>
  </w:num>
  <w:num w:numId="17">
    <w:abstractNumId w:val="6"/>
  </w:num>
  <w:num w:numId="18">
    <w:abstractNumId w:val="13"/>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93A"/>
    <w:rsid w:val="00001B89"/>
    <w:rsid w:val="00005C8D"/>
    <w:rsid w:val="00005DD3"/>
    <w:rsid w:val="00013402"/>
    <w:rsid w:val="00014607"/>
    <w:rsid w:val="00016535"/>
    <w:rsid w:val="00016E19"/>
    <w:rsid w:val="000171D5"/>
    <w:rsid w:val="00022C1D"/>
    <w:rsid w:val="00026985"/>
    <w:rsid w:val="00035FA1"/>
    <w:rsid w:val="00037244"/>
    <w:rsid w:val="00040538"/>
    <w:rsid w:val="000415DE"/>
    <w:rsid w:val="00043CA3"/>
    <w:rsid w:val="000464DB"/>
    <w:rsid w:val="0005099C"/>
    <w:rsid w:val="00051ABF"/>
    <w:rsid w:val="00052EA4"/>
    <w:rsid w:val="00054C68"/>
    <w:rsid w:val="00056F4B"/>
    <w:rsid w:val="000574BF"/>
    <w:rsid w:val="0006199D"/>
    <w:rsid w:val="0006263A"/>
    <w:rsid w:val="00063A0B"/>
    <w:rsid w:val="00066313"/>
    <w:rsid w:val="00066389"/>
    <w:rsid w:val="000665BB"/>
    <w:rsid w:val="00070E4D"/>
    <w:rsid w:val="00073E7A"/>
    <w:rsid w:val="000765BB"/>
    <w:rsid w:val="000766FF"/>
    <w:rsid w:val="00077214"/>
    <w:rsid w:val="00080716"/>
    <w:rsid w:val="00081404"/>
    <w:rsid w:val="00082A7C"/>
    <w:rsid w:val="00084EF1"/>
    <w:rsid w:val="00085499"/>
    <w:rsid w:val="00086CEE"/>
    <w:rsid w:val="00090E27"/>
    <w:rsid w:val="000955B8"/>
    <w:rsid w:val="00096DA5"/>
    <w:rsid w:val="00096FE7"/>
    <w:rsid w:val="00097E34"/>
    <w:rsid w:val="000A0B99"/>
    <w:rsid w:val="000A1DE0"/>
    <w:rsid w:val="000A3D72"/>
    <w:rsid w:val="000B3FC4"/>
    <w:rsid w:val="000C04A9"/>
    <w:rsid w:val="000C0A61"/>
    <w:rsid w:val="000C0DB1"/>
    <w:rsid w:val="000C1A01"/>
    <w:rsid w:val="000C2177"/>
    <w:rsid w:val="000C45FA"/>
    <w:rsid w:val="000C5BB8"/>
    <w:rsid w:val="000C5C90"/>
    <w:rsid w:val="000C79E8"/>
    <w:rsid w:val="000D1E7F"/>
    <w:rsid w:val="000E3B91"/>
    <w:rsid w:val="000E5B97"/>
    <w:rsid w:val="000E68E8"/>
    <w:rsid w:val="000E7AC7"/>
    <w:rsid w:val="000F0E52"/>
    <w:rsid w:val="000F1FC5"/>
    <w:rsid w:val="000F3E0C"/>
    <w:rsid w:val="000F52F2"/>
    <w:rsid w:val="000F6B92"/>
    <w:rsid w:val="00101B2B"/>
    <w:rsid w:val="00102CA2"/>
    <w:rsid w:val="001117A8"/>
    <w:rsid w:val="0011186E"/>
    <w:rsid w:val="001144C1"/>
    <w:rsid w:val="0011590B"/>
    <w:rsid w:val="00116B41"/>
    <w:rsid w:val="00116FA0"/>
    <w:rsid w:val="001174C3"/>
    <w:rsid w:val="00124A6C"/>
    <w:rsid w:val="001306AC"/>
    <w:rsid w:val="00131B27"/>
    <w:rsid w:val="00135DAD"/>
    <w:rsid w:val="0013762D"/>
    <w:rsid w:val="0014043B"/>
    <w:rsid w:val="00145060"/>
    <w:rsid w:val="00151608"/>
    <w:rsid w:val="00153E52"/>
    <w:rsid w:val="00156FBC"/>
    <w:rsid w:val="001578A4"/>
    <w:rsid w:val="00162789"/>
    <w:rsid w:val="0016340B"/>
    <w:rsid w:val="00165AD0"/>
    <w:rsid w:val="001666BD"/>
    <w:rsid w:val="00170F41"/>
    <w:rsid w:val="00172919"/>
    <w:rsid w:val="00173975"/>
    <w:rsid w:val="00177D84"/>
    <w:rsid w:val="0018321E"/>
    <w:rsid w:val="0018332A"/>
    <w:rsid w:val="001834C7"/>
    <w:rsid w:val="0018693B"/>
    <w:rsid w:val="0019328B"/>
    <w:rsid w:val="00193718"/>
    <w:rsid w:val="00194D38"/>
    <w:rsid w:val="0019510E"/>
    <w:rsid w:val="00195A03"/>
    <w:rsid w:val="00197B52"/>
    <w:rsid w:val="001A0A28"/>
    <w:rsid w:val="001A45BE"/>
    <w:rsid w:val="001A5CDE"/>
    <w:rsid w:val="001B1723"/>
    <w:rsid w:val="001B2BC1"/>
    <w:rsid w:val="001B2F56"/>
    <w:rsid w:val="001B3218"/>
    <w:rsid w:val="001B4465"/>
    <w:rsid w:val="001B4C1D"/>
    <w:rsid w:val="001B63D8"/>
    <w:rsid w:val="001B73DF"/>
    <w:rsid w:val="001B7491"/>
    <w:rsid w:val="001C4FD8"/>
    <w:rsid w:val="001C5645"/>
    <w:rsid w:val="001C5ADA"/>
    <w:rsid w:val="001C737D"/>
    <w:rsid w:val="001D21EB"/>
    <w:rsid w:val="001D443F"/>
    <w:rsid w:val="001D59B6"/>
    <w:rsid w:val="001D5DD0"/>
    <w:rsid w:val="001D6C2C"/>
    <w:rsid w:val="001E06C6"/>
    <w:rsid w:val="001E33DF"/>
    <w:rsid w:val="001E4A3C"/>
    <w:rsid w:val="001E4B25"/>
    <w:rsid w:val="001E5CBA"/>
    <w:rsid w:val="001E5E9C"/>
    <w:rsid w:val="001E7B44"/>
    <w:rsid w:val="001F0158"/>
    <w:rsid w:val="001F1059"/>
    <w:rsid w:val="001F3A39"/>
    <w:rsid w:val="001F4C30"/>
    <w:rsid w:val="00200660"/>
    <w:rsid w:val="002009F7"/>
    <w:rsid w:val="002019ED"/>
    <w:rsid w:val="00202979"/>
    <w:rsid w:val="00203AFC"/>
    <w:rsid w:val="00205260"/>
    <w:rsid w:val="00206A2E"/>
    <w:rsid w:val="0020701A"/>
    <w:rsid w:val="00207B4C"/>
    <w:rsid w:val="00214C41"/>
    <w:rsid w:val="00215212"/>
    <w:rsid w:val="002159CB"/>
    <w:rsid w:val="00215C28"/>
    <w:rsid w:val="0022284C"/>
    <w:rsid w:val="00227953"/>
    <w:rsid w:val="00230E09"/>
    <w:rsid w:val="0023328E"/>
    <w:rsid w:val="002414CF"/>
    <w:rsid w:val="002415C0"/>
    <w:rsid w:val="00241BB5"/>
    <w:rsid w:val="00241C1D"/>
    <w:rsid w:val="00247256"/>
    <w:rsid w:val="0025067B"/>
    <w:rsid w:val="00252242"/>
    <w:rsid w:val="0025332A"/>
    <w:rsid w:val="00253480"/>
    <w:rsid w:val="00253768"/>
    <w:rsid w:val="0025474C"/>
    <w:rsid w:val="002559E5"/>
    <w:rsid w:val="00260C9D"/>
    <w:rsid w:val="00261AE2"/>
    <w:rsid w:val="002651D2"/>
    <w:rsid w:val="002655FA"/>
    <w:rsid w:val="002658D7"/>
    <w:rsid w:val="00265B7B"/>
    <w:rsid w:val="00267E6F"/>
    <w:rsid w:val="002703DC"/>
    <w:rsid w:val="00277165"/>
    <w:rsid w:val="002777C2"/>
    <w:rsid w:val="00277C9B"/>
    <w:rsid w:val="002826CB"/>
    <w:rsid w:val="0028270B"/>
    <w:rsid w:val="00286273"/>
    <w:rsid w:val="00290646"/>
    <w:rsid w:val="00290B43"/>
    <w:rsid w:val="002947C4"/>
    <w:rsid w:val="00294C37"/>
    <w:rsid w:val="00296B59"/>
    <w:rsid w:val="00297F34"/>
    <w:rsid w:val="002A074F"/>
    <w:rsid w:val="002A17B3"/>
    <w:rsid w:val="002A1D6A"/>
    <w:rsid w:val="002A241F"/>
    <w:rsid w:val="002A302D"/>
    <w:rsid w:val="002A5343"/>
    <w:rsid w:val="002A5F4C"/>
    <w:rsid w:val="002B012E"/>
    <w:rsid w:val="002B14AE"/>
    <w:rsid w:val="002B304D"/>
    <w:rsid w:val="002B3C7D"/>
    <w:rsid w:val="002B4C78"/>
    <w:rsid w:val="002B5931"/>
    <w:rsid w:val="002B6238"/>
    <w:rsid w:val="002B673C"/>
    <w:rsid w:val="002B751B"/>
    <w:rsid w:val="002C26E6"/>
    <w:rsid w:val="002C27BC"/>
    <w:rsid w:val="002C537F"/>
    <w:rsid w:val="002C7210"/>
    <w:rsid w:val="002D3E6F"/>
    <w:rsid w:val="002D5D99"/>
    <w:rsid w:val="002D66C6"/>
    <w:rsid w:val="002E20FA"/>
    <w:rsid w:val="002E2115"/>
    <w:rsid w:val="002E2B49"/>
    <w:rsid w:val="002E422D"/>
    <w:rsid w:val="002E4304"/>
    <w:rsid w:val="002E5064"/>
    <w:rsid w:val="002E5496"/>
    <w:rsid w:val="002E5953"/>
    <w:rsid w:val="002E6A4E"/>
    <w:rsid w:val="002E7972"/>
    <w:rsid w:val="002F0185"/>
    <w:rsid w:val="002F25D3"/>
    <w:rsid w:val="002F4D22"/>
    <w:rsid w:val="002F6EAC"/>
    <w:rsid w:val="00302ABD"/>
    <w:rsid w:val="003047F7"/>
    <w:rsid w:val="003052AC"/>
    <w:rsid w:val="003060FF"/>
    <w:rsid w:val="0030688E"/>
    <w:rsid w:val="003068D8"/>
    <w:rsid w:val="0031056F"/>
    <w:rsid w:val="00314762"/>
    <w:rsid w:val="00316481"/>
    <w:rsid w:val="003207F6"/>
    <w:rsid w:val="00322BB1"/>
    <w:rsid w:val="00323251"/>
    <w:rsid w:val="00323EED"/>
    <w:rsid w:val="0032434A"/>
    <w:rsid w:val="0032454E"/>
    <w:rsid w:val="00331A75"/>
    <w:rsid w:val="0033345D"/>
    <w:rsid w:val="0033366D"/>
    <w:rsid w:val="003367F8"/>
    <w:rsid w:val="0034340C"/>
    <w:rsid w:val="00344FC5"/>
    <w:rsid w:val="003477FA"/>
    <w:rsid w:val="00352245"/>
    <w:rsid w:val="00352C46"/>
    <w:rsid w:val="00353137"/>
    <w:rsid w:val="00353E53"/>
    <w:rsid w:val="003555D9"/>
    <w:rsid w:val="003564FA"/>
    <w:rsid w:val="00360003"/>
    <w:rsid w:val="00360CE2"/>
    <w:rsid w:val="00361AA5"/>
    <w:rsid w:val="003629F5"/>
    <w:rsid w:val="00363C67"/>
    <w:rsid w:val="0036532E"/>
    <w:rsid w:val="00365702"/>
    <w:rsid w:val="003670DC"/>
    <w:rsid w:val="0037280D"/>
    <w:rsid w:val="00373C8F"/>
    <w:rsid w:val="00373D47"/>
    <w:rsid w:val="00374479"/>
    <w:rsid w:val="00374A75"/>
    <w:rsid w:val="00382652"/>
    <w:rsid w:val="0038586A"/>
    <w:rsid w:val="003908A0"/>
    <w:rsid w:val="003924A3"/>
    <w:rsid w:val="00393560"/>
    <w:rsid w:val="00393AE1"/>
    <w:rsid w:val="00395C8F"/>
    <w:rsid w:val="003A1090"/>
    <w:rsid w:val="003A188B"/>
    <w:rsid w:val="003A3783"/>
    <w:rsid w:val="003A4B13"/>
    <w:rsid w:val="003A6328"/>
    <w:rsid w:val="003A6406"/>
    <w:rsid w:val="003A68CE"/>
    <w:rsid w:val="003A73E3"/>
    <w:rsid w:val="003A76D4"/>
    <w:rsid w:val="003B6DE9"/>
    <w:rsid w:val="003C135A"/>
    <w:rsid w:val="003C1ADB"/>
    <w:rsid w:val="003C2CAD"/>
    <w:rsid w:val="003C4128"/>
    <w:rsid w:val="003C5186"/>
    <w:rsid w:val="003C5C13"/>
    <w:rsid w:val="003C6FDC"/>
    <w:rsid w:val="003C7F8F"/>
    <w:rsid w:val="003D1261"/>
    <w:rsid w:val="003D31CC"/>
    <w:rsid w:val="003D5F5D"/>
    <w:rsid w:val="003D6337"/>
    <w:rsid w:val="003D648C"/>
    <w:rsid w:val="003D6F17"/>
    <w:rsid w:val="003D7A5E"/>
    <w:rsid w:val="003E0E39"/>
    <w:rsid w:val="003E26F3"/>
    <w:rsid w:val="003E2C37"/>
    <w:rsid w:val="003E388D"/>
    <w:rsid w:val="003E5008"/>
    <w:rsid w:val="003E5987"/>
    <w:rsid w:val="003E5F2D"/>
    <w:rsid w:val="003F0A8D"/>
    <w:rsid w:val="003F0E8A"/>
    <w:rsid w:val="003F35F1"/>
    <w:rsid w:val="003F3941"/>
    <w:rsid w:val="003F3AC7"/>
    <w:rsid w:val="003F4749"/>
    <w:rsid w:val="003F4FA6"/>
    <w:rsid w:val="003F781C"/>
    <w:rsid w:val="003F7D53"/>
    <w:rsid w:val="00401703"/>
    <w:rsid w:val="00410E82"/>
    <w:rsid w:val="00414620"/>
    <w:rsid w:val="00414772"/>
    <w:rsid w:val="00420009"/>
    <w:rsid w:val="00422FDA"/>
    <w:rsid w:val="00425E96"/>
    <w:rsid w:val="004265BF"/>
    <w:rsid w:val="00426EEE"/>
    <w:rsid w:val="00430F90"/>
    <w:rsid w:val="00430FCD"/>
    <w:rsid w:val="00431850"/>
    <w:rsid w:val="004370A1"/>
    <w:rsid w:val="00443B07"/>
    <w:rsid w:val="00443B19"/>
    <w:rsid w:val="00444213"/>
    <w:rsid w:val="00444776"/>
    <w:rsid w:val="0044577D"/>
    <w:rsid w:val="00447D85"/>
    <w:rsid w:val="00450379"/>
    <w:rsid w:val="00451636"/>
    <w:rsid w:val="004538EA"/>
    <w:rsid w:val="0045761A"/>
    <w:rsid w:val="00457F27"/>
    <w:rsid w:val="0046045E"/>
    <w:rsid w:val="004623F3"/>
    <w:rsid w:val="0046316D"/>
    <w:rsid w:val="00466501"/>
    <w:rsid w:val="004702CC"/>
    <w:rsid w:val="0047089C"/>
    <w:rsid w:val="004770E4"/>
    <w:rsid w:val="00481AC2"/>
    <w:rsid w:val="00484AB4"/>
    <w:rsid w:val="004857AA"/>
    <w:rsid w:val="00485F24"/>
    <w:rsid w:val="004861A8"/>
    <w:rsid w:val="00491463"/>
    <w:rsid w:val="00494C89"/>
    <w:rsid w:val="0049695A"/>
    <w:rsid w:val="004978E7"/>
    <w:rsid w:val="004A02DC"/>
    <w:rsid w:val="004A0AAC"/>
    <w:rsid w:val="004A5777"/>
    <w:rsid w:val="004A63DF"/>
    <w:rsid w:val="004A7FF7"/>
    <w:rsid w:val="004B0060"/>
    <w:rsid w:val="004B0F48"/>
    <w:rsid w:val="004B3055"/>
    <w:rsid w:val="004B31ED"/>
    <w:rsid w:val="004B394F"/>
    <w:rsid w:val="004B5578"/>
    <w:rsid w:val="004B58FF"/>
    <w:rsid w:val="004B6113"/>
    <w:rsid w:val="004B77E7"/>
    <w:rsid w:val="004C5450"/>
    <w:rsid w:val="004D198B"/>
    <w:rsid w:val="004D426A"/>
    <w:rsid w:val="004D592C"/>
    <w:rsid w:val="004D63B2"/>
    <w:rsid w:val="004D6906"/>
    <w:rsid w:val="004E0FD2"/>
    <w:rsid w:val="004E2F2C"/>
    <w:rsid w:val="004F2530"/>
    <w:rsid w:val="004F27E8"/>
    <w:rsid w:val="004F3088"/>
    <w:rsid w:val="004F34C5"/>
    <w:rsid w:val="004F3C41"/>
    <w:rsid w:val="004F4A46"/>
    <w:rsid w:val="004F6344"/>
    <w:rsid w:val="00501533"/>
    <w:rsid w:val="0050212F"/>
    <w:rsid w:val="00504712"/>
    <w:rsid w:val="00504D1A"/>
    <w:rsid w:val="00506143"/>
    <w:rsid w:val="00507F74"/>
    <w:rsid w:val="0051082D"/>
    <w:rsid w:val="00514CAD"/>
    <w:rsid w:val="00515EAF"/>
    <w:rsid w:val="0052003F"/>
    <w:rsid w:val="0052144E"/>
    <w:rsid w:val="00522004"/>
    <w:rsid w:val="005246FB"/>
    <w:rsid w:val="00524EFA"/>
    <w:rsid w:val="00534E25"/>
    <w:rsid w:val="00535501"/>
    <w:rsid w:val="00535A7E"/>
    <w:rsid w:val="005374D8"/>
    <w:rsid w:val="00542234"/>
    <w:rsid w:val="00545DBA"/>
    <w:rsid w:val="00553258"/>
    <w:rsid w:val="00554845"/>
    <w:rsid w:val="00556E7F"/>
    <w:rsid w:val="005578FA"/>
    <w:rsid w:val="005602A1"/>
    <w:rsid w:val="0056199F"/>
    <w:rsid w:val="005659C8"/>
    <w:rsid w:val="00565A82"/>
    <w:rsid w:val="005666BE"/>
    <w:rsid w:val="00567279"/>
    <w:rsid w:val="0056786C"/>
    <w:rsid w:val="0057026E"/>
    <w:rsid w:val="00571488"/>
    <w:rsid w:val="005734BB"/>
    <w:rsid w:val="00581687"/>
    <w:rsid w:val="00581697"/>
    <w:rsid w:val="00581D74"/>
    <w:rsid w:val="005823AA"/>
    <w:rsid w:val="0058247B"/>
    <w:rsid w:val="00582E78"/>
    <w:rsid w:val="00590784"/>
    <w:rsid w:val="00591B33"/>
    <w:rsid w:val="0059274B"/>
    <w:rsid w:val="00592948"/>
    <w:rsid w:val="005946E3"/>
    <w:rsid w:val="0059570B"/>
    <w:rsid w:val="00595AB8"/>
    <w:rsid w:val="005A187C"/>
    <w:rsid w:val="005A33A3"/>
    <w:rsid w:val="005A62D4"/>
    <w:rsid w:val="005A6883"/>
    <w:rsid w:val="005A73A5"/>
    <w:rsid w:val="005B05FC"/>
    <w:rsid w:val="005B228B"/>
    <w:rsid w:val="005B4F7C"/>
    <w:rsid w:val="005B6236"/>
    <w:rsid w:val="005B7600"/>
    <w:rsid w:val="005B7F23"/>
    <w:rsid w:val="005C2C58"/>
    <w:rsid w:val="005C3579"/>
    <w:rsid w:val="005C6A14"/>
    <w:rsid w:val="005C71D5"/>
    <w:rsid w:val="005D16F7"/>
    <w:rsid w:val="005D1BE5"/>
    <w:rsid w:val="005D2E82"/>
    <w:rsid w:val="005D5C50"/>
    <w:rsid w:val="005D7547"/>
    <w:rsid w:val="005D7A31"/>
    <w:rsid w:val="005E0C47"/>
    <w:rsid w:val="005E2394"/>
    <w:rsid w:val="005E2FB5"/>
    <w:rsid w:val="005E3A1F"/>
    <w:rsid w:val="005E5BE2"/>
    <w:rsid w:val="005E5EE2"/>
    <w:rsid w:val="005E720D"/>
    <w:rsid w:val="005E7C54"/>
    <w:rsid w:val="005F17BC"/>
    <w:rsid w:val="005F1D1B"/>
    <w:rsid w:val="005F2F19"/>
    <w:rsid w:val="005F7C74"/>
    <w:rsid w:val="00600E16"/>
    <w:rsid w:val="006048B3"/>
    <w:rsid w:val="00604FEE"/>
    <w:rsid w:val="00605D3B"/>
    <w:rsid w:val="00610CAA"/>
    <w:rsid w:val="006119D6"/>
    <w:rsid w:val="00611F1E"/>
    <w:rsid w:val="00612DA2"/>
    <w:rsid w:val="00613492"/>
    <w:rsid w:val="00615862"/>
    <w:rsid w:val="00615E64"/>
    <w:rsid w:val="0061617C"/>
    <w:rsid w:val="00621120"/>
    <w:rsid w:val="006241E4"/>
    <w:rsid w:val="006266E6"/>
    <w:rsid w:val="00626B0C"/>
    <w:rsid w:val="00627634"/>
    <w:rsid w:val="00634E57"/>
    <w:rsid w:val="006377C4"/>
    <w:rsid w:val="006402CE"/>
    <w:rsid w:val="00640407"/>
    <w:rsid w:val="00640562"/>
    <w:rsid w:val="006405B4"/>
    <w:rsid w:val="00643BAC"/>
    <w:rsid w:val="00644651"/>
    <w:rsid w:val="00645094"/>
    <w:rsid w:val="00645A4D"/>
    <w:rsid w:val="0064628B"/>
    <w:rsid w:val="0064732E"/>
    <w:rsid w:val="006475A4"/>
    <w:rsid w:val="00650896"/>
    <w:rsid w:val="00653066"/>
    <w:rsid w:val="00653BDA"/>
    <w:rsid w:val="00660336"/>
    <w:rsid w:val="006622AC"/>
    <w:rsid w:val="00665671"/>
    <w:rsid w:val="006657F6"/>
    <w:rsid w:val="00670C8F"/>
    <w:rsid w:val="00672AB2"/>
    <w:rsid w:val="00674AFD"/>
    <w:rsid w:val="00676CCC"/>
    <w:rsid w:val="0068000F"/>
    <w:rsid w:val="006800BE"/>
    <w:rsid w:val="00680C7A"/>
    <w:rsid w:val="006812A6"/>
    <w:rsid w:val="006812A8"/>
    <w:rsid w:val="00681E1E"/>
    <w:rsid w:val="00685472"/>
    <w:rsid w:val="006861F1"/>
    <w:rsid w:val="006869DC"/>
    <w:rsid w:val="0068766B"/>
    <w:rsid w:val="00690590"/>
    <w:rsid w:val="00691AA7"/>
    <w:rsid w:val="00695EBF"/>
    <w:rsid w:val="00695F08"/>
    <w:rsid w:val="006963CA"/>
    <w:rsid w:val="0069663F"/>
    <w:rsid w:val="006A0721"/>
    <w:rsid w:val="006A6DA8"/>
    <w:rsid w:val="006B137C"/>
    <w:rsid w:val="006C29C1"/>
    <w:rsid w:val="006C3855"/>
    <w:rsid w:val="006C3AFC"/>
    <w:rsid w:val="006C528B"/>
    <w:rsid w:val="006D1D43"/>
    <w:rsid w:val="006D1DF3"/>
    <w:rsid w:val="006D2638"/>
    <w:rsid w:val="006D3774"/>
    <w:rsid w:val="006D4E7E"/>
    <w:rsid w:val="006D6B79"/>
    <w:rsid w:val="006D71E7"/>
    <w:rsid w:val="006D7E61"/>
    <w:rsid w:val="006E5285"/>
    <w:rsid w:val="006E53DF"/>
    <w:rsid w:val="006E6473"/>
    <w:rsid w:val="006F397C"/>
    <w:rsid w:val="006F4197"/>
    <w:rsid w:val="006F6A18"/>
    <w:rsid w:val="00700326"/>
    <w:rsid w:val="00700429"/>
    <w:rsid w:val="00700852"/>
    <w:rsid w:val="00700D03"/>
    <w:rsid w:val="00702AC6"/>
    <w:rsid w:val="00706A49"/>
    <w:rsid w:val="00710CA6"/>
    <w:rsid w:val="00711604"/>
    <w:rsid w:val="007127E5"/>
    <w:rsid w:val="00714920"/>
    <w:rsid w:val="007154BE"/>
    <w:rsid w:val="007169B8"/>
    <w:rsid w:val="0071738A"/>
    <w:rsid w:val="007208D3"/>
    <w:rsid w:val="00723686"/>
    <w:rsid w:val="00726B37"/>
    <w:rsid w:val="00727187"/>
    <w:rsid w:val="00730405"/>
    <w:rsid w:val="0073061C"/>
    <w:rsid w:val="00730E3E"/>
    <w:rsid w:val="00732012"/>
    <w:rsid w:val="00732215"/>
    <w:rsid w:val="007327DD"/>
    <w:rsid w:val="00734937"/>
    <w:rsid w:val="00735E95"/>
    <w:rsid w:val="00737A28"/>
    <w:rsid w:val="00737C02"/>
    <w:rsid w:val="0074095B"/>
    <w:rsid w:val="00740AF7"/>
    <w:rsid w:val="007429F9"/>
    <w:rsid w:val="00743962"/>
    <w:rsid w:val="0074514A"/>
    <w:rsid w:val="00746E43"/>
    <w:rsid w:val="00747873"/>
    <w:rsid w:val="00747B25"/>
    <w:rsid w:val="00750068"/>
    <w:rsid w:val="00752FE6"/>
    <w:rsid w:val="0075390D"/>
    <w:rsid w:val="00754FAD"/>
    <w:rsid w:val="00760E98"/>
    <w:rsid w:val="00761178"/>
    <w:rsid w:val="00763EEB"/>
    <w:rsid w:val="00763F57"/>
    <w:rsid w:val="00764CD6"/>
    <w:rsid w:val="0076525E"/>
    <w:rsid w:val="007654A6"/>
    <w:rsid w:val="007668AD"/>
    <w:rsid w:val="00767419"/>
    <w:rsid w:val="00772232"/>
    <w:rsid w:val="0077244F"/>
    <w:rsid w:val="00773F1B"/>
    <w:rsid w:val="00774D7C"/>
    <w:rsid w:val="00774E90"/>
    <w:rsid w:val="007750AD"/>
    <w:rsid w:val="00775827"/>
    <w:rsid w:val="007758E7"/>
    <w:rsid w:val="00782981"/>
    <w:rsid w:val="00784128"/>
    <w:rsid w:val="0079051A"/>
    <w:rsid w:val="00791F2E"/>
    <w:rsid w:val="0079239A"/>
    <w:rsid w:val="00793DC6"/>
    <w:rsid w:val="00796265"/>
    <w:rsid w:val="00796484"/>
    <w:rsid w:val="00796FC4"/>
    <w:rsid w:val="00797680"/>
    <w:rsid w:val="007A202E"/>
    <w:rsid w:val="007A533D"/>
    <w:rsid w:val="007A5AA5"/>
    <w:rsid w:val="007A7BB0"/>
    <w:rsid w:val="007B25A7"/>
    <w:rsid w:val="007B473A"/>
    <w:rsid w:val="007B4792"/>
    <w:rsid w:val="007B5B5F"/>
    <w:rsid w:val="007C4241"/>
    <w:rsid w:val="007C5FBE"/>
    <w:rsid w:val="007C64D4"/>
    <w:rsid w:val="007C6C67"/>
    <w:rsid w:val="007D0223"/>
    <w:rsid w:val="007D05A2"/>
    <w:rsid w:val="007D12D8"/>
    <w:rsid w:val="007D6B5E"/>
    <w:rsid w:val="007E0DB1"/>
    <w:rsid w:val="007E5176"/>
    <w:rsid w:val="007F3C47"/>
    <w:rsid w:val="007F54F4"/>
    <w:rsid w:val="007F618B"/>
    <w:rsid w:val="007F6E21"/>
    <w:rsid w:val="00801190"/>
    <w:rsid w:val="008036B3"/>
    <w:rsid w:val="00803965"/>
    <w:rsid w:val="00803AE6"/>
    <w:rsid w:val="00803DC5"/>
    <w:rsid w:val="008072C3"/>
    <w:rsid w:val="0081438A"/>
    <w:rsid w:val="008211BE"/>
    <w:rsid w:val="00821D1C"/>
    <w:rsid w:val="008226ED"/>
    <w:rsid w:val="0082513E"/>
    <w:rsid w:val="00825CDE"/>
    <w:rsid w:val="00825D4E"/>
    <w:rsid w:val="008313A8"/>
    <w:rsid w:val="00832A1F"/>
    <w:rsid w:val="00833505"/>
    <w:rsid w:val="00836C4D"/>
    <w:rsid w:val="00844436"/>
    <w:rsid w:val="00845BC9"/>
    <w:rsid w:val="00847362"/>
    <w:rsid w:val="00847B60"/>
    <w:rsid w:val="00850F2C"/>
    <w:rsid w:val="008547AA"/>
    <w:rsid w:val="00854CCE"/>
    <w:rsid w:val="00855130"/>
    <w:rsid w:val="00857B88"/>
    <w:rsid w:val="00860281"/>
    <w:rsid w:val="0086271B"/>
    <w:rsid w:val="00863AF8"/>
    <w:rsid w:val="008647E7"/>
    <w:rsid w:val="0086656E"/>
    <w:rsid w:val="00872292"/>
    <w:rsid w:val="00873D3E"/>
    <w:rsid w:val="008754E7"/>
    <w:rsid w:val="008757CC"/>
    <w:rsid w:val="00875819"/>
    <w:rsid w:val="00881116"/>
    <w:rsid w:val="00886400"/>
    <w:rsid w:val="00886CA7"/>
    <w:rsid w:val="00891772"/>
    <w:rsid w:val="008935D5"/>
    <w:rsid w:val="008957C6"/>
    <w:rsid w:val="008963C6"/>
    <w:rsid w:val="008976BC"/>
    <w:rsid w:val="008A0DBC"/>
    <w:rsid w:val="008A1961"/>
    <w:rsid w:val="008A315D"/>
    <w:rsid w:val="008A3162"/>
    <w:rsid w:val="008A5E3B"/>
    <w:rsid w:val="008A70E5"/>
    <w:rsid w:val="008A796D"/>
    <w:rsid w:val="008B316D"/>
    <w:rsid w:val="008B5F4C"/>
    <w:rsid w:val="008B7DDB"/>
    <w:rsid w:val="008C4618"/>
    <w:rsid w:val="008D08E0"/>
    <w:rsid w:val="008D2BE7"/>
    <w:rsid w:val="008D5617"/>
    <w:rsid w:val="008D5BF2"/>
    <w:rsid w:val="008E12C8"/>
    <w:rsid w:val="008E3624"/>
    <w:rsid w:val="008E6D80"/>
    <w:rsid w:val="008E754D"/>
    <w:rsid w:val="008E7D84"/>
    <w:rsid w:val="008F00F6"/>
    <w:rsid w:val="008F0B3E"/>
    <w:rsid w:val="008F5BEC"/>
    <w:rsid w:val="00901CB1"/>
    <w:rsid w:val="00905753"/>
    <w:rsid w:val="009061C2"/>
    <w:rsid w:val="00906AAF"/>
    <w:rsid w:val="00907471"/>
    <w:rsid w:val="00907CFF"/>
    <w:rsid w:val="0091005C"/>
    <w:rsid w:val="009104B7"/>
    <w:rsid w:val="00911387"/>
    <w:rsid w:val="009129D7"/>
    <w:rsid w:val="00912ADA"/>
    <w:rsid w:val="009150E7"/>
    <w:rsid w:val="00915C82"/>
    <w:rsid w:val="00917D3A"/>
    <w:rsid w:val="00920FB4"/>
    <w:rsid w:val="00921BFD"/>
    <w:rsid w:val="00925374"/>
    <w:rsid w:val="00925712"/>
    <w:rsid w:val="00926BF4"/>
    <w:rsid w:val="009305A2"/>
    <w:rsid w:val="00931432"/>
    <w:rsid w:val="00932670"/>
    <w:rsid w:val="00932F02"/>
    <w:rsid w:val="009338E2"/>
    <w:rsid w:val="009343EF"/>
    <w:rsid w:val="00936575"/>
    <w:rsid w:val="00936688"/>
    <w:rsid w:val="00937F31"/>
    <w:rsid w:val="00941628"/>
    <w:rsid w:val="00941DAC"/>
    <w:rsid w:val="00942871"/>
    <w:rsid w:val="009429DE"/>
    <w:rsid w:val="00946273"/>
    <w:rsid w:val="009470A7"/>
    <w:rsid w:val="0095202A"/>
    <w:rsid w:val="00954ED4"/>
    <w:rsid w:val="00956299"/>
    <w:rsid w:val="00956A8F"/>
    <w:rsid w:val="00957F77"/>
    <w:rsid w:val="00960448"/>
    <w:rsid w:val="00961F1B"/>
    <w:rsid w:val="00963A76"/>
    <w:rsid w:val="009653CD"/>
    <w:rsid w:val="009677CA"/>
    <w:rsid w:val="00970A6E"/>
    <w:rsid w:val="009725AD"/>
    <w:rsid w:val="0097455D"/>
    <w:rsid w:val="00977EAE"/>
    <w:rsid w:val="00980653"/>
    <w:rsid w:val="00980C7E"/>
    <w:rsid w:val="00984CEE"/>
    <w:rsid w:val="00984DFC"/>
    <w:rsid w:val="0098674E"/>
    <w:rsid w:val="009868AB"/>
    <w:rsid w:val="00991D4D"/>
    <w:rsid w:val="00992E0D"/>
    <w:rsid w:val="009932EA"/>
    <w:rsid w:val="00995A6B"/>
    <w:rsid w:val="00995FE5"/>
    <w:rsid w:val="009974C5"/>
    <w:rsid w:val="009A031A"/>
    <w:rsid w:val="009A5E76"/>
    <w:rsid w:val="009A7582"/>
    <w:rsid w:val="009B2DE7"/>
    <w:rsid w:val="009B3FDE"/>
    <w:rsid w:val="009B475B"/>
    <w:rsid w:val="009C0338"/>
    <w:rsid w:val="009C16D9"/>
    <w:rsid w:val="009C2F37"/>
    <w:rsid w:val="009C3C31"/>
    <w:rsid w:val="009D0241"/>
    <w:rsid w:val="009D0A21"/>
    <w:rsid w:val="009D4EF2"/>
    <w:rsid w:val="009D7F0E"/>
    <w:rsid w:val="009E2457"/>
    <w:rsid w:val="009E2A8C"/>
    <w:rsid w:val="009E40A9"/>
    <w:rsid w:val="009E6624"/>
    <w:rsid w:val="009F1C7A"/>
    <w:rsid w:val="009F3362"/>
    <w:rsid w:val="009F4FA6"/>
    <w:rsid w:val="009F57A0"/>
    <w:rsid w:val="00A01C03"/>
    <w:rsid w:val="00A03B11"/>
    <w:rsid w:val="00A03F77"/>
    <w:rsid w:val="00A0570A"/>
    <w:rsid w:val="00A063E3"/>
    <w:rsid w:val="00A0749C"/>
    <w:rsid w:val="00A07D5D"/>
    <w:rsid w:val="00A1123C"/>
    <w:rsid w:val="00A265C5"/>
    <w:rsid w:val="00A3046B"/>
    <w:rsid w:val="00A31421"/>
    <w:rsid w:val="00A33460"/>
    <w:rsid w:val="00A349A0"/>
    <w:rsid w:val="00A35F5D"/>
    <w:rsid w:val="00A43F69"/>
    <w:rsid w:val="00A50F85"/>
    <w:rsid w:val="00A51CCC"/>
    <w:rsid w:val="00A528DB"/>
    <w:rsid w:val="00A52AA1"/>
    <w:rsid w:val="00A54243"/>
    <w:rsid w:val="00A617FA"/>
    <w:rsid w:val="00A61966"/>
    <w:rsid w:val="00A6263C"/>
    <w:rsid w:val="00A62882"/>
    <w:rsid w:val="00A6389F"/>
    <w:rsid w:val="00A648F1"/>
    <w:rsid w:val="00A67296"/>
    <w:rsid w:val="00A677FC"/>
    <w:rsid w:val="00A71C55"/>
    <w:rsid w:val="00A7393A"/>
    <w:rsid w:val="00A747CC"/>
    <w:rsid w:val="00A77B64"/>
    <w:rsid w:val="00A80390"/>
    <w:rsid w:val="00A836C2"/>
    <w:rsid w:val="00A83D44"/>
    <w:rsid w:val="00A85860"/>
    <w:rsid w:val="00A9038A"/>
    <w:rsid w:val="00A91349"/>
    <w:rsid w:val="00A914E0"/>
    <w:rsid w:val="00A928D9"/>
    <w:rsid w:val="00A94A6B"/>
    <w:rsid w:val="00A95244"/>
    <w:rsid w:val="00A96574"/>
    <w:rsid w:val="00AA1907"/>
    <w:rsid w:val="00AA2C5F"/>
    <w:rsid w:val="00AA339F"/>
    <w:rsid w:val="00AA3680"/>
    <w:rsid w:val="00AA36EC"/>
    <w:rsid w:val="00AA444E"/>
    <w:rsid w:val="00AA6F18"/>
    <w:rsid w:val="00AB2757"/>
    <w:rsid w:val="00AB329F"/>
    <w:rsid w:val="00AB432F"/>
    <w:rsid w:val="00AB5DF8"/>
    <w:rsid w:val="00AB6AEF"/>
    <w:rsid w:val="00AB76AE"/>
    <w:rsid w:val="00AC07B9"/>
    <w:rsid w:val="00AC1B52"/>
    <w:rsid w:val="00AC29A6"/>
    <w:rsid w:val="00AC30EF"/>
    <w:rsid w:val="00AC6254"/>
    <w:rsid w:val="00AC74EF"/>
    <w:rsid w:val="00AD3B21"/>
    <w:rsid w:val="00AD5BF4"/>
    <w:rsid w:val="00AD720D"/>
    <w:rsid w:val="00AE1015"/>
    <w:rsid w:val="00AE1405"/>
    <w:rsid w:val="00AE2135"/>
    <w:rsid w:val="00AE32B6"/>
    <w:rsid w:val="00AE6ED3"/>
    <w:rsid w:val="00AF0ECD"/>
    <w:rsid w:val="00AF103E"/>
    <w:rsid w:val="00AF41D2"/>
    <w:rsid w:val="00B03B43"/>
    <w:rsid w:val="00B0593D"/>
    <w:rsid w:val="00B14354"/>
    <w:rsid w:val="00B156AB"/>
    <w:rsid w:val="00B15D07"/>
    <w:rsid w:val="00B2072E"/>
    <w:rsid w:val="00B22B54"/>
    <w:rsid w:val="00B24AF7"/>
    <w:rsid w:val="00B304B8"/>
    <w:rsid w:val="00B31B84"/>
    <w:rsid w:val="00B33687"/>
    <w:rsid w:val="00B3633F"/>
    <w:rsid w:val="00B37F80"/>
    <w:rsid w:val="00B4163C"/>
    <w:rsid w:val="00B444D9"/>
    <w:rsid w:val="00B44E6F"/>
    <w:rsid w:val="00B50452"/>
    <w:rsid w:val="00B506C1"/>
    <w:rsid w:val="00B5300F"/>
    <w:rsid w:val="00B53E00"/>
    <w:rsid w:val="00B53F5F"/>
    <w:rsid w:val="00B54569"/>
    <w:rsid w:val="00B571DB"/>
    <w:rsid w:val="00B62BD2"/>
    <w:rsid w:val="00B62CA6"/>
    <w:rsid w:val="00B62E90"/>
    <w:rsid w:val="00B63EE3"/>
    <w:rsid w:val="00B675C9"/>
    <w:rsid w:val="00B703E2"/>
    <w:rsid w:val="00B709FE"/>
    <w:rsid w:val="00B718DB"/>
    <w:rsid w:val="00B71DAE"/>
    <w:rsid w:val="00B749FB"/>
    <w:rsid w:val="00B74FED"/>
    <w:rsid w:val="00B75161"/>
    <w:rsid w:val="00B75B86"/>
    <w:rsid w:val="00B7638C"/>
    <w:rsid w:val="00B8219E"/>
    <w:rsid w:val="00B826C8"/>
    <w:rsid w:val="00B8579A"/>
    <w:rsid w:val="00B871EF"/>
    <w:rsid w:val="00B87F4A"/>
    <w:rsid w:val="00B94632"/>
    <w:rsid w:val="00BA102F"/>
    <w:rsid w:val="00BA214C"/>
    <w:rsid w:val="00BA2AE0"/>
    <w:rsid w:val="00BA6B92"/>
    <w:rsid w:val="00BB225D"/>
    <w:rsid w:val="00BB3B4D"/>
    <w:rsid w:val="00BB7B36"/>
    <w:rsid w:val="00BC0CCA"/>
    <w:rsid w:val="00BC1410"/>
    <w:rsid w:val="00BC5B3A"/>
    <w:rsid w:val="00BC7D2E"/>
    <w:rsid w:val="00BD21D1"/>
    <w:rsid w:val="00BE3BC4"/>
    <w:rsid w:val="00BE52D5"/>
    <w:rsid w:val="00BE5AA0"/>
    <w:rsid w:val="00BE7B0E"/>
    <w:rsid w:val="00BE7CE5"/>
    <w:rsid w:val="00BF6151"/>
    <w:rsid w:val="00BF66FB"/>
    <w:rsid w:val="00BF7A1A"/>
    <w:rsid w:val="00C00D84"/>
    <w:rsid w:val="00C02034"/>
    <w:rsid w:val="00C1023B"/>
    <w:rsid w:val="00C1409E"/>
    <w:rsid w:val="00C15324"/>
    <w:rsid w:val="00C15FED"/>
    <w:rsid w:val="00C202F0"/>
    <w:rsid w:val="00C23840"/>
    <w:rsid w:val="00C25C8B"/>
    <w:rsid w:val="00C25D1D"/>
    <w:rsid w:val="00C26F81"/>
    <w:rsid w:val="00C30E30"/>
    <w:rsid w:val="00C3125F"/>
    <w:rsid w:val="00C3510E"/>
    <w:rsid w:val="00C35624"/>
    <w:rsid w:val="00C36810"/>
    <w:rsid w:val="00C368CB"/>
    <w:rsid w:val="00C404B6"/>
    <w:rsid w:val="00C40F7C"/>
    <w:rsid w:val="00C41F5F"/>
    <w:rsid w:val="00C42FE3"/>
    <w:rsid w:val="00C46B1A"/>
    <w:rsid w:val="00C47943"/>
    <w:rsid w:val="00C504D6"/>
    <w:rsid w:val="00C513F8"/>
    <w:rsid w:val="00C539D1"/>
    <w:rsid w:val="00C5596C"/>
    <w:rsid w:val="00C56E45"/>
    <w:rsid w:val="00C60248"/>
    <w:rsid w:val="00C604AE"/>
    <w:rsid w:val="00C61DBA"/>
    <w:rsid w:val="00C63E77"/>
    <w:rsid w:val="00C64F7B"/>
    <w:rsid w:val="00C66CA7"/>
    <w:rsid w:val="00C673BB"/>
    <w:rsid w:val="00C67971"/>
    <w:rsid w:val="00C67F2D"/>
    <w:rsid w:val="00C7011D"/>
    <w:rsid w:val="00C73C57"/>
    <w:rsid w:val="00C74309"/>
    <w:rsid w:val="00C75802"/>
    <w:rsid w:val="00C76269"/>
    <w:rsid w:val="00C76D7E"/>
    <w:rsid w:val="00C81FC7"/>
    <w:rsid w:val="00C831A7"/>
    <w:rsid w:val="00C840E8"/>
    <w:rsid w:val="00C84833"/>
    <w:rsid w:val="00C863A2"/>
    <w:rsid w:val="00C875C3"/>
    <w:rsid w:val="00C93926"/>
    <w:rsid w:val="00CA0C07"/>
    <w:rsid w:val="00CA477D"/>
    <w:rsid w:val="00CB05A2"/>
    <w:rsid w:val="00CB13C3"/>
    <w:rsid w:val="00CB1E67"/>
    <w:rsid w:val="00CB383A"/>
    <w:rsid w:val="00CB5F5B"/>
    <w:rsid w:val="00CB7E41"/>
    <w:rsid w:val="00CC0A23"/>
    <w:rsid w:val="00CC3168"/>
    <w:rsid w:val="00CC3321"/>
    <w:rsid w:val="00CC66C5"/>
    <w:rsid w:val="00CD1E07"/>
    <w:rsid w:val="00CD41E1"/>
    <w:rsid w:val="00CD5858"/>
    <w:rsid w:val="00CE1255"/>
    <w:rsid w:val="00CE5628"/>
    <w:rsid w:val="00CE6D1D"/>
    <w:rsid w:val="00CE709B"/>
    <w:rsid w:val="00CE7792"/>
    <w:rsid w:val="00CF0A25"/>
    <w:rsid w:val="00CF13E6"/>
    <w:rsid w:val="00CF1893"/>
    <w:rsid w:val="00CF3BD4"/>
    <w:rsid w:val="00CF3F49"/>
    <w:rsid w:val="00CF4385"/>
    <w:rsid w:val="00CF4D8E"/>
    <w:rsid w:val="00CF66B2"/>
    <w:rsid w:val="00CF66CB"/>
    <w:rsid w:val="00CF6B93"/>
    <w:rsid w:val="00D03F70"/>
    <w:rsid w:val="00D04118"/>
    <w:rsid w:val="00D04D68"/>
    <w:rsid w:val="00D07C1D"/>
    <w:rsid w:val="00D10AC7"/>
    <w:rsid w:val="00D12B10"/>
    <w:rsid w:val="00D13966"/>
    <w:rsid w:val="00D1458F"/>
    <w:rsid w:val="00D245BD"/>
    <w:rsid w:val="00D26096"/>
    <w:rsid w:val="00D35AC2"/>
    <w:rsid w:val="00D35F81"/>
    <w:rsid w:val="00D36171"/>
    <w:rsid w:val="00D37119"/>
    <w:rsid w:val="00D40017"/>
    <w:rsid w:val="00D42F5C"/>
    <w:rsid w:val="00D4498B"/>
    <w:rsid w:val="00D45008"/>
    <w:rsid w:val="00D45B93"/>
    <w:rsid w:val="00D46679"/>
    <w:rsid w:val="00D53129"/>
    <w:rsid w:val="00D560F6"/>
    <w:rsid w:val="00D60F14"/>
    <w:rsid w:val="00D6140F"/>
    <w:rsid w:val="00D640C2"/>
    <w:rsid w:val="00D7044A"/>
    <w:rsid w:val="00D71A5B"/>
    <w:rsid w:val="00D75D60"/>
    <w:rsid w:val="00D76C6D"/>
    <w:rsid w:val="00D808EF"/>
    <w:rsid w:val="00D82E51"/>
    <w:rsid w:val="00D834BD"/>
    <w:rsid w:val="00D86011"/>
    <w:rsid w:val="00D916DF"/>
    <w:rsid w:val="00D950E7"/>
    <w:rsid w:val="00D9529C"/>
    <w:rsid w:val="00D9686E"/>
    <w:rsid w:val="00D97534"/>
    <w:rsid w:val="00D97B35"/>
    <w:rsid w:val="00DA1579"/>
    <w:rsid w:val="00DA52AD"/>
    <w:rsid w:val="00DB3551"/>
    <w:rsid w:val="00DB392C"/>
    <w:rsid w:val="00DB57CB"/>
    <w:rsid w:val="00DB7479"/>
    <w:rsid w:val="00DC03DC"/>
    <w:rsid w:val="00DC0C24"/>
    <w:rsid w:val="00DC1341"/>
    <w:rsid w:val="00DC4815"/>
    <w:rsid w:val="00DC48EA"/>
    <w:rsid w:val="00DC7286"/>
    <w:rsid w:val="00DD3525"/>
    <w:rsid w:val="00DD675C"/>
    <w:rsid w:val="00DD6BCE"/>
    <w:rsid w:val="00DD7BA5"/>
    <w:rsid w:val="00DE0350"/>
    <w:rsid w:val="00DE206E"/>
    <w:rsid w:val="00DE429A"/>
    <w:rsid w:val="00DE4BB0"/>
    <w:rsid w:val="00DE5848"/>
    <w:rsid w:val="00DE6CD8"/>
    <w:rsid w:val="00DF0FF0"/>
    <w:rsid w:val="00DF1072"/>
    <w:rsid w:val="00E02991"/>
    <w:rsid w:val="00E0674F"/>
    <w:rsid w:val="00E102E6"/>
    <w:rsid w:val="00E10ABD"/>
    <w:rsid w:val="00E1331F"/>
    <w:rsid w:val="00E141DB"/>
    <w:rsid w:val="00E159D7"/>
    <w:rsid w:val="00E15D9B"/>
    <w:rsid w:val="00E20446"/>
    <w:rsid w:val="00E25550"/>
    <w:rsid w:val="00E26431"/>
    <w:rsid w:val="00E268F4"/>
    <w:rsid w:val="00E30CF5"/>
    <w:rsid w:val="00E32020"/>
    <w:rsid w:val="00E3319A"/>
    <w:rsid w:val="00E34CF4"/>
    <w:rsid w:val="00E34D20"/>
    <w:rsid w:val="00E364EC"/>
    <w:rsid w:val="00E37C60"/>
    <w:rsid w:val="00E37F81"/>
    <w:rsid w:val="00E4238B"/>
    <w:rsid w:val="00E445B8"/>
    <w:rsid w:val="00E47FE7"/>
    <w:rsid w:val="00E5025F"/>
    <w:rsid w:val="00E512CB"/>
    <w:rsid w:val="00E6413F"/>
    <w:rsid w:val="00E6676E"/>
    <w:rsid w:val="00E67B14"/>
    <w:rsid w:val="00E72FA5"/>
    <w:rsid w:val="00E7419C"/>
    <w:rsid w:val="00E7466F"/>
    <w:rsid w:val="00E74CB1"/>
    <w:rsid w:val="00E75CFA"/>
    <w:rsid w:val="00E75D72"/>
    <w:rsid w:val="00E80432"/>
    <w:rsid w:val="00E81AD3"/>
    <w:rsid w:val="00E824BE"/>
    <w:rsid w:val="00E8511E"/>
    <w:rsid w:val="00E85DAD"/>
    <w:rsid w:val="00E85EC4"/>
    <w:rsid w:val="00E907AD"/>
    <w:rsid w:val="00EA1302"/>
    <w:rsid w:val="00EA1E51"/>
    <w:rsid w:val="00EA25A8"/>
    <w:rsid w:val="00EA35C3"/>
    <w:rsid w:val="00EA5E4E"/>
    <w:rsid w:val="00EA6809"/>
    <w:rsid w:val="00EB0566"/>
    <w:rsid w:val="00EB1869"/>
    <w:rsid w:val="00EB2163"/>
    <w:rsid w:val="00EB5955"/>
    <w:rsid w:val="00EC0D0C"/>
    <w:rsid w:val="00EC6A6E"/>
    <w:rsid w:val="00ED0A13"/>
    <w:rsid w:val="00ED7918"/>
    <w:rsid w:val="00EE0902"/>
    <w:rsid w:val="00EE1107"/>
    <w:rsid w:val="00EE26F9"/>
    <w:rsid w:val="00EE3E8B"/>
    <w:rsid w:val="00EE6940"/>
    <w:rsid w:val="00EE75AE"/>
    <w:rsid w:val="00EF092D"/>
    <w:rsid w:val="00EF0C6A"/>
    <w:rsid w:val="00EF2E1B"/>
    <w:rsid w:val="00EF3467"/>
    <w:rsid w:val="00EF35AE"/>
    <w:rsid w:val="00EF3EFE"/>
    <w:rsid w:val="00EF4199"/>
    <w:rsid w:val="00EF4637"/>
    <w:rsid w:val="00EF5637"/>
    <w:rsid w:val="00EF6B82"/>
    <w:rsid w:val="00F0002D"/>
    <w:rsid w:val="00F01806"/>
    <w:rsid w:val="00F028CB"/>
    <w:rsid w:val="00F04FAF"/>
    <w:rsid w:val="00F10AD8"/>
    <w:rsid w:val="00F11C2A"/>
    <w:rsid w:val="00F11C91"/>
    <w:rsid w:val="00F12BD8"/>
    <w:rsid w:val="00F12CF7"/>
    <w:rsid w:val="00F13FB7"/>
    <w:rsid w:val="00F14466"/>
    <w:rsid w:val="00F1479B"/>
    <w:rsid w:val="00F158CA"/>
    <w:rsid w:val="00F15B21"/>
    <w:rsid w:val="00F15FE2"/>
    <w:rsid w:val="00F1759C"/>
    <w:rsid w:val="00F26ED6"/>
    <w:rsid w:val="00F26FFB"/>
    <w:rsid w:val="00F31918"/>
    <w:rsid w:val="00F32844"/>
    <w:rsid w:val="00F3535E"/>
    <w:rsid w:val="00F372D4"/>
    <w:rsid w:val="00F37ADA"/>
    <w:rsid w:val="00F40C20"/>
    <w:rsid w:val="00F44730"/>
    <w:rsid w:val="00F46FEB"/>
    <w:rsid w:val="00F515C2"/>
    <w:rsid w:val="00F52A1E"/>
    <w:rsid w:val="00F52CD3"/>
    <w:rsid w:val="00F533B7"/>
    <w:rsid w:val="00F5369E"/>
    <w:rsid w:val="00F551C5"/>
    <w:rsid w:val="00F57D5E"/>
    <w:rsid w:val="00F67E66"/>
    <w:rsid w:val="00F70112"/>
    <w:rsid w:val="00F7138A"/>
    <w:rsid w:val="00F74B4E"/>
    <w:rsid w:val="00F76EDD"/>
    <w:rsid w:val="00F7715F"/>
    <w:rsid w:val="00F81915"/>
    <w:rsid w:val="00F81A2A"/>
    <w:rsid w:val="00F820E0"/>
    <w:rsid w:val="00F825F2"/>
    <w:rsid w:val="00F848B6"/>
    <w:rsid w:val="00F8558A"/>
    <w:rsid w:val="00F90348"/>
    <w:rsid w:val="00F90735"/>
    <w:rsid w:val="00F93CAA"/>
    <w:rsid w:val="00F93E5E"/>
    <w:rsid w:val="00F94479"/>
    <w:rsid w:val="00F94A22"/>
    <w:rsid w:val="00F94BDD"/>
    <w:rsid w:val="00F94F8E"/>
    <w:rsid w:val="00F96B34"/>
    <w:rsid w:val="00F97678"/>
    <w:rsid w:val="00FA0268"/>
    <w:rsid w:val="00FA0D3C"/>
    <w:rsid w:val="00FA236E"/>
    <w:rsid w:val="00FA335A"/>
    <w:rsid w:val="00FA3BA3"/>
    <w:rsid w:val="00FA4EC2"/>
    <w:rsid w:val="00FA4F5E"/>
    <w:rsid w:val="00FA56D1"/>
    <w:rsid w:val="00FB2F3D"/>
    <w:rsid w:val="00FC0011"/>
    <w:rsid w:val="00FC1FFD"/>
    <w:rsid w:val="00FC2697"/>
    <w:rsid w:val="00FC5528"/>
    <w:rsid w:val="00FC6665"/>
    <w:rsid w:val="00FC68F8"/>
    <w:rsid w:val="00FD0EBF"/>
    <w:rsid w:val="00FD1FCF"/>
    <w:rsid w:val="00FD655B"/>
    <w:rsid w:val="00FE2EB3"/>
    <w:rsid w:val="00FE7142"/>
    <w:rsid w:val="00FF11F8"/>
    <w:rsid w:val="00FF412E"/>
    <w:rsid w:val="00FF453F"/>
    <w:rsid w:val="00FF4BA8"/>
    <w:rsid w:val="00FF5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498A8"/>
  <w15:chartTrackingRefBased/>
  <w15:docId w15:val="{DCDD62F4-62F4-4052-ACF5-958E3518F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666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C66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370A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62E9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B6DE9"/>
    <w:rPr>
      <w:color w:val="808080"/>
    </w:rPr>
  </w:style>
  <w:style w:type="paragraph" w:styleId="Header">
    <w:name w:val="header"/>
    <w:basedOn w:val="Normal"/>
    <w:link w:val="HeaderChar"/>
    <w:uiPriority w:val="99"/>
    <w:unhideWhenUsed/>
    <w:rsid w:val="007236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686"/>
  </w:style>
  <w:style w:type="paragraph" w:styleId="Footer">
    <w:name w:val="footer"/>
    <w:basedOn w:val="Normal"/>
    <w:link w:val="FooterChar"/>
    <w:uiPriority w:val="99"/>
    <w:unhideWhenUsed/>
    <w:rsid w:val="007236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686"/>
  </w:style>
  <w:style w:type="character" w:customStyle="1" w:styleId="Heading1Char">
    <w:name w:val="Heading 1 Char"/>
    <w:basedOn w:val="DefaultParagraphFont"/>
    <w:link w:val="Heading1"/>
    <w:uiPriority w:val="9"/>
    <w:rsid w:val="00FC666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53258"/>
    <w:pPr>
      <w:outlineLvl w:val="9"/>
    </w:pPr>
    <w:rPr>
      <w:lang w:val="en-US"/>
    </w:rPr>
  </w:style>
  <w:style w:type="paragraph" w:styleId="TOC1">
    <w:name w:val="toc 1"/>
    <w:basedOn w:val="Normal"/>
    <w:next w:val="Normal"/>
    <w:autoRedefine/>
    <w:uiPriority w:val="39"/>
    <w:unhideWhenUsed/>
    <w:rsid w:val="00553258"/>
    <w:pPr>
      <w:spacing w:after="100"/>
    </w:pPr>
  </w:style>
  <w:style w:type="character" w:styleId="Hyperlink">
    <w:name w:val="Hyperlink"/>
    <w:basedOn w:val="DefaultParagraphFont"/>
    <w:uiPriority w:val="99"/>
    <w:unhideWhenUsed/>
    <w:rsid w:val="00553258"/>
    <w:rPr>
      <w:color w:val="0563C1" w:themeColor="hyperlink"/>
      <w:u w:val="single"/>
    </w:rPr>
  </w:style>
  <w:style w:type="paragraph" w:styleId="EndnoteText">
    <w:name w:val="endnote text"/>
    <w:basedOn w:val="Normal"/>
    <w:link w:val="EndnoteTextChar"/>
    <w:uiPriority w:val="99"/>
    <w:semiHidden/>
    <w:unhideWhenUsed/>
    <w:rsid w:val="000C04A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C04A9"/>
    <w:rPr>
      <w:sz w:val="20"/>
      <w:szCs w:val="20"/>
    </w:rPr>
  </w:style>
  <w:style w:type="character" w:styleId="EndnoteReference">
    <w:name w:val="endnote reference"/>
    <w:basedOn w:val="DefaultParagraphFont"/>
    <w:uiPriority w:val="99"/>
    <w:semiHidden/>
    <w:unhideWhenUsed/>
    <w:rsid w:val="000C04A9"/>
    <w:rPr>
      <w:vertAlign w:val="superscript"/>
    </w:rPr>
  </w:style>
  <w:style w:type="character" w:customStyle="1" w:styleId="apple-converted-space">
    <w:name w:val="apple-converted-space"/>
    <w:basedOn w:val="DefaultParagraphFont"/>
    <w:rsid w:val="004E0FD2"/>
  </w:style>
  <w:style w:type="table" w:styleId="TableGrid">
    <w:name w:val="Table Grid"/>
    <w:basedOn w:val="TableNormal"/>
    <w:uiPriority w:val="39"/>
    <w:rsid w:val="007127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C6665"/>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6405B4"/>
    <w:pPr>
      <w:spacing w:after="200" w:line="240" w:lineRule="auto"/>
    </w:pPr>
    <w:rPr>
      <w:i/>
      <w:iCs/>
      <w:color w:val="44546A" w:themeColor="text2"/>
      <w:sz w:val="18"/>
      <w:szCs w:val="18"/>
    </w:rPr>
  </w:style>
  <w:style w:type="paragraph" w:styleId="ListParagraph">
    <w:name w:val="List Paragraph"/>
    <w:basedOn w:val="Normal"/>
    <w:uiPriority w:val="34"/>
    <w:qFormat/>
    <w:rsid w:val="004857AA"/>
    <w:pPr>
      <w:ind w:left="720"/>
      <w:contextualSpacing/>
    </w:pPr>
  </w:style>
  <w:style w:type="paragraph" w:styleId="FootnoteText">
    <w:name w:val="footnote text"/>
    <w:basedOn w:val="Normal"/>
    <w:link w:val="FootnoteTextChar"/>
    <w:uiPriority w:val="99"/>
    <w:semiHidden/>
    <w:unhideWhenUsed/>
    <w:rsid w:val="009974C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74C5"/>
    <w:rPr>
      <w:sz w:val="20"/>
      <w:szCs w:val="20"/>
    </w:rPr>
  </w:style>
  <w:style w:type="character" w:styleId="FootnoteReference">
    <w:name w:val="footnote reference"/>
    <w:basedOn w:val="DefaultParagraphFont"/>
    <w:uiPriority w:val="99"/>
    <w:semiHidden/>
    <w:unhideWhenUsed/>
    <w:rsid w:val="009974C5"/>
    <w:rPr>
      <w:vertAlign w:val="superscript"/>
    </w:rPr>
  </w:style>
  <w:style w:type="table" w:styleId="TableGridLight">
    <w:name w:val="Grid Table Light"/>
    <w:basedOn w:val="TableNormal"/>
    <w:uiPriority w:val="40"/>
    <w:rsid w:val="006D7E6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2">
    <w:name w:val="toc 2"/>
    <w:basedOn w:val="Normal"/>
    <w:next w:val="Normal"/>
    <w:autoRedefine/>
    <w:uiPriority w:val="39"/>
    <w:unhideWhenUsed/>
    <w:rsid w:val="00FA4EC2"/>
    <w:pPr>
      <w:spacing w:after="100"/>
      <w:ind w:left="220"/>
    </w:pPr>
  </w:style>
  <w:style w:type="paragraph" w:styleId="NormalWeb">
    <w:name w:val="Normal (Web)"/>
    <w:basedOn w:val="Normal"/>
    <w:uiPriority w:val="99"/>
    <w:semiHidden/>
    <w:unhideWhenUsed/>
    <w:rsid w:val="00206A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bikegray">
    <w:name w:val="mbike_gray"/>
    <w:basedOn w:val="DefaultParagraphFont"/>
    <w:rsid w:val="00FC68F8"/>
  </w:style>
  <w:style w:type="character" w:customStyle="1" w:styleId="Heading3Char">
    <w:name w:val="Heading 3 Char"/>
    <w:basedOn w:val="DefaultParagraphFont"/>
    <w:link w:val="Heading3"/>
    <w:uiPriority w:val="9"/>
    <w:rsid w:val="004370A1"/>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4370A1"/>
    <w:pPr>
      <w:spacing w:after="100"/>
      <w:ind w:left="440"/>
    </w:pPr>
  </w:style>
  <w:style w:type="table" w:styleId="GridTable1Light">
    <w:name w:val="Grid Table 1 Light"/>
    <w:basedOn w:val="TableNormal"/>
    <w:uiPriority w:val="46"/>
    <w:rsid w:val="009F1C7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Spacing">
    <w:name w:val="No Spacing"/>
    <w:uiPriority w:val="1"/>
    <w:qFormat/>
    <w:rsid w:val="00D03F70"/>
    <w:pPr>
      <w:spacing w:after="0" w:line="240" w:lineRule="auto"/>
    </w:pPr>
  </w:style>
  <w:style w:type="paragraph" w:customStyle="1" w:styleId="Style1">
    <w:name w:val="Style#1"/>
    <w:basedOn w:val="Normal"/>
    <w:next w:val="Normal"/>
    <w:link w:val="Style1Char"/>
    <w:rsid w:val="00963A76"/>
    <w:pPr>
      <w:keepNext/>
      <w:spacing w:before="240" w:after="60"/>
      <w:jc w:val="center"/>
    </w:pPr>
    <w:rPr>
      <w:b/>
      <w:color w:val="000000"/>
      <w:sz w:val="26"/>
    </w:rPr>
  </w:style>
  <w:style w:type="character" w:customStyle="1" w:styleId="Style1Char">
    <w:name w:val="Style#1 Char"/>
    <w:basedOn w:val="DefaultParagraphFont"/>
    <w:link w:val="Style1"/>
    <w:rsid w:val="00963A76"/>
    <w:rPr>
      <w:b/>
      <w:color w:val="000000"/>
      <w:sz w:val="26"/>
    </w:rPr>
  </w:style>
  <w:style w:type="paragraph" w:customStyle="1" w:styleId="Style3">
    <w:name w:val="Style#3"/>
    <w:basedOn w:val="Normal"/>
    <w:next w:val="Normal"/>
    <w:link w:val="Style3Char"/>
    <w:rsid w:val="00963A76"/>
    <w:pPr>
      <w:keepNext/>
      <w:spacing w:before="200" w:after="60"/>
    </w:pPr>
    <w:rPr>
      <w:b/>
      <w:color w:val="000000"/>
      <w:sz w:val="24"/>
    </w:rPr>
  </w:style>
  <w:style w:type="character" w:customStyle="1" w:styleId="Style3Char">
    <w:name w:val="Style#3 Char"/>
    <w:basedOn w:val="DefaultParagraphFont"/>
    <w:link w:val="Style3"/>
    <w:rsid w:val="00963A76"/>
    <w:rPr>
      <w:b/>
      <w:color w:val="000000"/>
      <w:sz w:val="24"/>
    </w:rPr>
  </w:style>
  <w:style w:type="character" w:styleId="Emphasis">
    <w:name w:val="Emphasis"/>
    <w:basedOn w:val="DefaultParagraphFont"/>
    <w:uiPriority w:val="20"/>
    <w:qFormat/>
    <w:rsid w:val="00491463"/>
    <w:rPr>
      <w:i/>
      <w:iCs/>
    </w:rPr>
  </w:style>
  <w:style w:type="character" w:customStyle="1" w:styleId="reference-viewcite-subtitle">
    <w:name w:val="reference-view__cite-subtitle"/>
    <w:basedOn w:val="DefaultParagraphFont"/>
    <w:rsid w:val="00A349A0"/>
  </w:style>
  <w:style w:type="character" w:customStyle="1" w:styleId="Heading4Char">
    <w:name w:val="Heading 4 Char"/>
    <w:basedOn w:val="DefaultParagraphFont"/>
    <w:link w:val="Heading4"/>
    <w:uiPriority w:val="9"/>
    <w:semiHidden/>
    <w:rsid w:val="00B62E90"/>
    <w:rPr>
      <w:rFonts w:asciiTheme="majorHAnsi" w:eastAsiaTheme="majorEastAsia" w:hAnsiTheme="majorHAnsi" w:cstheme="majorBidi"/>
      <w:i/>
      <w:iCs/>
      <w:color w:val="2E74B5" w:themeColor="accent1" w:themeShade="BF"/>
    </w:rPr>
  </w:style>
  <w:style w:type="paragraph" w:styleId="Bibliography">
    <w:name w:val="Bibliography"/>
    <w:basedOn w:val="Normal"/>
    <w:next w:val="Normal"/>
    <w:uiPriority w:val="37"/>
    <w:unhideWhenUsed/>
    <w:rsid w:val="00A617FA"/>
  </w:style>
  <w:style w:type="character" w:customStyle="1" w:styleId="a-size-large">
    <w:name w:val="a-size-large"/>
    <w:basedOn w:val="DefaultParagraphFont"/>
    <w:rsid w:val="00F515C2"/>
  </w:style>
  <w:style w:type="character" w:styleId="UnresolvedMention">
    <w:name w:val="Unresolved Mention"/>
    <w:basedOn w:val="DefaultParagraphFont"/>
    <w:uiPriority w:val="99"/>
    <w:semiHidden/>
    <w:unhideWhenUsed/>
    <w:rsid w:val="00BB225D"/>
    <w:rPr>
      <w:color w:val="808080"/>
      <w:shd w:val="clear" w:color="auto" w:fill="E6E6E6"/>
    </w:rPr>
  </w:style>
  <w:style w:type="character" w:customStyle="1" w:styleId="tgc">
    <w:name w:val="_tgc"/>
    <w:basedOn w:val="DefaultParagraphFont"/>
    <w:rsid w:val="005C6A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9075">
      <w:bodyDiv w:val="1"/>
      <w:marLeft w:val="0"/>
      <w:marRight w:val="0"/>
      <w:marTop w:val="0"/>
      <w:marBottom w:val="0"/>
      <w:divBdr>
        <w:top w:val="none" w:sz="0" w:space="0" w:color="auto"/>
        <w:left w:val="none" w:sz="0" w:space="0" w:color="auto"/>
        <w:bottom w:val="none" w:sz="0" w:space="0" w:color="auto"/>
        <w:right w:val="none" w:sz="0" w:space="0" w:color="auto"/>
      </w:divBdr>
    </w:div>
    <w:div w:id="31924537">
      <w:bodyDiv w:val="1"/>
      <w:marLeft w:val="0"/>
      <w:marRight w:val="0"/>
      <w:marTop w:val="0"/>
      <w:marBottom w:val="0"/>
      <w:divBdr>
        <w:top w:val="none" w:sz="0" w:space="0" w:color="auto"/>
        <w:left w:val="none" w:sz="0" w:space="0" w:color="auto"/>
        <w:bottom w:val="none" w:sz="0" w:space="0" w:color="auto"/>
        <w:right w:val="none" w:sz="0" w:space="0" w:color="auto"/>
      </w:divBdr>
    </w:div>
    <w:div w:id="82730490">
      <w:bodyDiv w:val="1"/>
      <w:marLeft w:val="0"/>
      <w:marRight w:val="0"/>
      <w:marTop w:val="0"/>
      <w:marBottom w:val="0"/>
      <w:divBdr>
        <w:top w:val="none" w:sz="0" w:space="0" w:color="auto"/>
        <w:left w:val="none" w:sz="0" w:space="0" w:color="auto"/>
        <w:bottom w:val="none" w:sz="0" w:space="0" w:color="auto"/>
        <w:right w:val="none" w:sz="0" w:space="0" w:color="auto"/>
      </w:divBdr>
    </w:div>
    <w:div w:id="122817486">
      <w:bodyDiv w:val="1"/>
      <w:marLeft w:val="0"/>
      <w:marRight w:val="0"/>
      <w:marTop w:val="0"/>
      <w:marBottom w:val="0"/>
      <w:divBdr>
        <w:top w:val="none" w:sz="0" w:space="0" w:color="auto"/>
        <w:left w:val="none" w:sz="0" w:space="0" w:color="auto"/>
        <w:bottom w:val="none" w:sz="0" w:space="0" w:color="auto"/>
        <w:right w:val="none" w:sz="0" w:space="0" w:color="auto"/>
      </w:divBdr>
    </w:div>
    <w:div w:id="153766282">
      <w:bodyDiv w:val="1"/>
      <w:marLeft w:val="0"/>
      <w:marRight w:val="0"/>
      <w:marTop w:val="0"/>
      <w:marBottom w:val="0"/>
      <w:divBdr>
        <w:top w:val="none" w:sz="0" w:space="0" w:color="auto"/>
        <w:left w:val="none" w:sz="0" w:space="0" w:color="auto"/>
        <w:bottom w:val="none" w:sz="0" w:space="0" w:color="auto"/>
        <w:right w:val="none" w:sz="0" w:space="0" w:color="auto"/>
      </w:divBdr>
    </w:div>
    <w:div w:id="205995436">
      <w:bodyDiv w:val="1"/>
      <w:marLeft w:val="0"/>
      <w:marRight w:val="0"/>
      <w:marTop w:val="0"/>
      <w:marBottom w:val="0"/>
      <w:divBdr>
        <w:top w:val="none" w:sz="0" w:space="0" w:color="auto"/>
        <w:left w:val="none" w:sz="0" w:space="0" w:color="auto"/>
        <w:bottom w:val="none" w:sz="0" w:space="0" w:color="auto"/>
        <w:right w:val="none" w:sz="0" w:space="0" w:color="auto"/>
      </w:divBdr>
    </w:div>
    <w:div w:id="255484550">
      <w:bodyDiv w:val="1"/>
      <w:marLeft w:val="0"/>
      <w:marRight w:val="0"/>
      <w:marTop w:val="0"/>
      <w:marBottom w:val="0"/>
      <w:divBdr>
        <w:top w:val="none" w:sz="0" w:space="0" w:color="auto"/>
        <w:left w:val="none" w:sz="0" w:space="0" w:color="auto"/>
        <w:bottom w:val="none" w:sz="0" w:space="0" w:color="auto"/>
        <w:right w:val="none" w:sz="0" w:space="0" w:color="auto"/>
      </w:divBdr>
    </w:div>
    <w:div w:id="268898084">
      <w:bodyDiv w:val="1"/>
      <w:marLeft w:val="0"/>
      <w:marRight w:val="0"/>
      <w:marTop w:val="0"/>
      <w:marBottom w:val="0"/>
      <w:divBdr>
        <w:top w:val="none" w:sz="0" w:space="0" w:color="auto"/>
        <w:left w:val="none" w:sz="0" w:space="0" w:color="auto"/>
        <w:bottom w:val="none" w:sz="0" w:space="0" w:color="auto"/>
        <w:right w:val="none" w:sz="0" w:space="0" w:color="auto"/>
      </w:divBdr>
    </w:div>
    <w:div w:id="291441784">
      <w:bodyDiv w:val="1"/>
      <w:marLeft w:val="0"/>
      <w:marRight w:val="0"/>
      <w:marTop w:val="0"/>
      <w:marBottom w:val="0"/>
      <w:divBdr>
        <w:top w:val="none" w:sz="0" w:space="0" w:color="auto"/>
        <w:left w:val="none" w:sz="0" w:space="0" w:color="auto"/>
        <w:bottom w:val="none" w:sz="0" w:space="0" w:color="auto"/>
        <w:right w:val="none" w:sz="0" w:space="0" w:color="auto"/>
      </w:divBdr>
    </w:div>
    <w:div w:id="316694976">
      <w:bodyDiv w:val="1"/>
      <w:marLeft w:val="0"/>
      <w:marRight w:val="0"/>
      <w:marTop w:val="0"/>
      <w:marBottom w:val="0"/>
      <w:divBdr>
        <w:top w:val="none" w:sz="0" w:space="0" w:color="auto"/>
        <w:left w:val="none" w:sz="0" w:space="0" w:color="auto"/>
        <w:bottom w:val="none" w:sz="0" w:space="0" w:color="auto"/>
        <w:right w:val="none" w:sz="0" w:space="0" w:color="auto"/>
      </w:divBdr>
      <w:divsChild>
        <w:div w:id="1537233606">
          <w:marLeft w:val="0"/>
          <w:marRight w:val="0"/>
          <w:marTop w:val="0"/>
          <w:marBottom w:val="0"/>
          <w:divBdr>
            <w:top w:val="none" w:sz="0" w:space="0" w:color="auto"/>
            <w:left w:val="none" w:sz="0" w:space="0" w:color="auto"/>
            <w:bottom w:val="none" w:sz="0" w:space="0" w:color="auto"/>
            <w:right w:val="none" w:sz="0" w:space="0" w:color="auto"/>
          </w:divBdr>
        </w:div>
      </w:divsChild>
    </w:div>
    <w:div w:id="371151153">
      <w:bodyDiv w:val="1"/>
      <w:marLeft w:val="0"/>
      <w:marRight w:val="0"/>
      <w:marTop w:val="0"/>
      <w:marBottom w:val="0"/>
      <w:divBdr>
        <w:top w:val="none" w:sz="0" w:space="0" w:color="auto"/>
        <w:left w:val="none" w:sz="0" w:space="0" w:color="auto"/>
        <w:bottom w:val="none" w:sz="0" w:space="0" w:color="auto"/>
        <w:right w:val="none" w:sz="0" w:space="0" w:color="auto"/>
      </w:divBdr>
    </w:div>
    <w:div w:id="409548488">
      <w:bodyDiv w:val="1"/>
      <w:marLeft w:val="0"/>
      <w:marRight w:val="0"/>
      <w:marTop w:val="0"/>
      <w:marBottom w:val="0"/>
      <w:divBdr>
        <w:top w:val="none" w:sz="0" w:space="0" w:color="auto"/>
        <w:left w:val="none" w:sz="0" w:space="0" w:color="auto"/>
        <w:bottom w:val="none" w:sz="0" w:space="0" w:color="auto"/>
        <w:right w:val="none" w:sz="0" w:space="0" w:color="auto"/>
      </w:divBdr>
    </w:div>
    <w:div w:id="481897598">
      <w:bodyDiv w:val="1"/>
      <w:marLeft w:val="0"/>
      <w:marRight w:val="0"/>
      <w:marTop w:val="0"/>
      <w:marBottom w:val="0"/>
      <w:divBdr>
        <w:top w:val="none" w:sz="0" w:space="0" w:color="auto"/>
        <w:left w:val="none" w:sz="0" w:space="0" w:color="auto"/>
        <w:bottom w:val="none" w:sz="0" w:space="0" w:color="auto"/>
        <w:right w:val="none" w:sz="0" w:space="0" w:color="auto"/>
      </w:divBdr>
    </w:div>
    <w:div w:id="516506418">
      <w:bodyDiv w:val="1"/>
      <w:marLeft w:val="0"/>
      <w:marRight w:val="0"/>
      <w:marTop w:val="0"/>
      <w:marBottom w:val="0"/>
      <w:divBdr>
        <w:top w:val="none" w:sz="0" w:space="0" w:color="auto"/>
        <w:left w:val="none" w:sz="0" w:space="0" w:color="auto"/>
        <w:bottom w:val="none" w:sz="0" w:space="0" w:color="auto"/>
        <w:right w:val="none" w:sz="0" w:space="0" w:color="auto"/>
      </w:divBdr>
    </w:div>
    <w:div w:id="558513760">
      <w:bodyDiv w:val="1"/>
      <w:marLeft w:val="0"/>
      <w:marRight w:val="0"/>
      <w:marTop w:val="0"/>
      <w:marBottom w:val="0"/>
      <w:divBdr>
        <w:top w:val="none" w:sz="0" w:space="0" w:color="auto"/>
        <w:left w:val="none" w:sz="0" w:space="0" w:color="auto"/>
        <w:bottom w:val="none" w:sz="0" w:space="0" w:color="auto"/>
        <w:right w:val="none" w:sz="0" w:space="0" w:color="auto"/>
      </w:divBdr>
    </w:div>
    <w:div w:id="577832650">
      <w:bodyDiv w:val="1"/>
      <w:marLeft w:val="0"/>
      <w:marRight w:val="0"/>
      <w:marTop w:val="0"/>
      <w:marBottom w:val="0"/>
      <w:divBdr>
        <w:top w:val="none" w:sz="0" w:space="0" w:color="auto"/>
        <w:left w:val="none" w:sz="0" w:space="0" w:color="auto"/>
        <w:bottom w:val="none" w:sz="0" w:space="0" w:color="auto"/>
        <w:right w:val="none" w:sz="0" w:space="0" w:color="auto"/>
      </w:divBdr>
    </w:div>
    <w:div w:id="631130146">
      <w:bodyDiv w:val="1"/>
      <w:marLeft w:val="0"/>
      <w:marRight w:val="0"/>
      <w:marTop w:val="0"/>
      <w:marBottom w:val="0"/>
      <w:divBdr>
        <w:top w:val="none" w:sz="0" w:space="0" w:color="auto"/>
        <w:left w:val="none" w:sz="0" w:space="0" w:color="auto"/>
        <w:bottom w:val="none" w:sz="0" w:space="0" w:color="auto"/>
        <w:right w:val="none" w:sz="0" w:space="0" w:color="auto"/>
      </w:divBdr>
    </w:div>
    <w:div w:id="644703839">
      <w:bodyDiv w:val="1"/>
      <w:marLeft w:val="0"/>
      <w:marRight w:val="0"/>
      <w:marTop w:val="0"/>
      <w:marBottom w:val="0"/>
      <w:divBdr>
        <w:top w:val="none" w:sz="0" w:space="0" w:color="auto"/>
        <w:left w:val="none" w:sz="0" w:space="0" w:color="auto"/>
        <w:bottom w:val="none" w:sz="0" w:space="0" w:color="auto"/>
        <w:right w:val="none" w:sz="0" w:space="0" w:color="auto"/>
      </w:divBdr>
    </w:div>
    <w:div w:id="670983382">
      <w:bodyDiv w:val="1"/>
      <w:marLeft w:val="0"/>
      <w:marRight w:val="0"/>
      <w:marTop w:val="0"/>
      <w:marBottom w:val="0"/>
      <w:divBdr>
        <w:top w:val="none" w:sz="0" w:space="0" w:color="auto"/>
        <w:left w:val="none" w:sz="0" w:space="0" w:color="auto"/>
        <w:bottom w:val="none" w:sz="0" w:space="0" w:color="auto"/>
        <w:right w:val="none" w:sz="0" w:space="0" w:color="auto"/>
      </w:divBdr>
    </w:div>
    <w:div w:id="671644449">
      <w:bodyDiv w:val="1"/>
      <w:marLeft w:val="0"/>
      <w:marRight w:val="0"/>
      <w:marTop w:val="0"/>
      <w:marBottom w:val="0"/>
      <w:divBdr>
        <w:top w:val="none" w:sz="0" w:space="0" w:color="auto"/>
        <w:left w:val="none" w:sz="0" w:space="0" w:color="auto"/>
        <w:bottom w:val="none" w:sz="0" w:space="0" w:color="auto"/>
        <w:right w:val="none" w:sz="0" w:space="0" w:color="auto"/>
      </w:divBdr>
    </w:div>
    <w:div w:id="681518583">
      <w:bodyDiv w:val="1"/>
      <w:marLeft w:val="0"/>
      <w:marRight w:val="0"/>
      <w:marTop w:val="0"/>
      <w:marBottom w:val="0"/>
      <w:divBdr>
        <w:top w:val="none" w:sz="0" w:space="0" w:color="auto"/>
        <w:left w:val="none" w:sz="0" w:space="0" w:color="auto"/>
        <w:bottom w:val="none" w:sz="0" w:space="0" w:color="auto"/>
        <w:right w:val="none" w:sz="0" w:space="0" w:color="auto"/>
      </w:divBdr>
    </w:div>
    <w:div w:id="711273698">
      <w:bodyDiv w:val="1"/>
      <w:marLeft w:val="0"/>
      <w:marRight w:val="0"/>
      <w:marTop w:val="0"/>
      <w:marBottom w:val="0"/>
      <w:divBdr>
        <w:top w:val="none" w:sz="0" w:space="0" w:color="auto"/>
        <w:left w:val="none" w:sz="0" w:space="0" w:color="auto"/>
        <w:bottom w:val="none" w:sz="0" w:space="0" w:color="auto"/>
        <w:right w:val="none" w:sz="0" w:space="0" w:color="auto"/>
      </w:divBdr>
    </w:div>
    <w:div w:id="798377276">
      <w:bodyDiv w:val="1"/>
      <w:marLeft w:val="0"/>
      <w:marRight w:val="0"/>
      <w:marTop w:val="0"/>
      <w:marBottom w:val="0"/>
      <w:divBdr>
        <w:top w:val="none" w:sz="0" w:space="0" w:color="auto"/>
        <w:left w:val="none" w:sz="0" w:space="0" w:color="auto"/>
        <w:bottom w:val="none" w:sz="0" w:space="0" w:color="auto"/>
        <w:right w:val="none" w:sz="0" w:space="0" w:color="auto"/>
      </w:divBdr>
    </w:div>
    <w:div w:id="805241669">
      <w:bodyDiv w:val="1"/>
      <w:marLeft w:val="0"/>
      <w:marRight w:val="0"/>
      <w:marTop w:val="0"/>
      <w:marBottom w:val="0"/>
      <w:divBdr>
        <w:top w:val="none" w:sz="0" w:space="0" w:color="auto"/>
        <w:left w:val="none" w:sz="0" w:space="0" w:color="auto"/>
        <w:bottom w:val="none" w:sz="0" w:space="0" w:color="auto"/>
        <w:right w:val="none" w:sz="0" w:space="0" w:color="auto"/>
      </w:divBdr>
    </w:div>
    <w:div w:id="860438057">
      <w:bodyDiv w:val="1"/>
      <w:marLeft w:val="0"/>
      <w:marRight w:val="0"/>
      <w:marTop w:val="0"/>
      <w:marBottom w:val="0"/>
      <w:divBdr>
        <w:top w:val="none" w:sz="0" w:space="0" w:color="auto"/>
        <w:left w:val="none" w:sz="0" w:space="0" w:color="auto"/>
        <w:bottom w:val="none" w:sz="0" w:space="0" w:color="auto"/>
        <w:right w:val="none" w:sz="0" w:space="0" w:color="auto"/>
      </w:divBdr>
    </w:div>
    <w:div w:id="871111291">
      <w:bodyDiv w:val="1"/>
      <w:marLeft w:val="0"/>
      <w:marRight w:val="0"/>
      <w:marTop w:val="0"/>
      <w:marBottom w:val="0"/>
      <w:divBdr>
        <w:top w:val="none" w:sz="0" w:space="0" w:color="auto"/>
        <w:left w:val="none" w:sz="0" w:space="0" w:color="auto"/>
        <w:bottom w:val="none" w:sz="0" w:space="0" w:color="auto"/>
        <w:right w:val="none" w:sz="0" w:space="0" w:color="auto"/>
      </w:divBdr>
    </w:div>
    <w:div w:id="875000978">
      <w:bodyDiv w:val="1"/>
      <w:marLeft w:val="0"/>
      <w:marRight w:val="0"/>
      <w:marTop w:val="0"/>
      <w:marBottom w:val="0"/>
      <w:divBdr>
        <w:top w:val="none" w:sz="0" w:space="0" w:color="auto"/>
        <w:left w:val="none" w:sz="0" w:space="0" w:color="auto"/>
        <w:bottom w:val="none" w:sz="0" w:space="0" w:color="auto"/>
        <w:right w:val="none" w:sz="0" w:space="0" w:color="auto"/>
      </w:divBdr>
    </w:div>
    <w:div w:id="930312314">
      <w:bodyDiv w:val="1"/>
      <w:marLeft w:val="0"/>
      <w:marRight w:val="0"/>
      <w:marTop w:val="0"/>
      <w:marBottom w:val="0"/>
      <w:divBdr>
        <w:top w:val="none" w:sz="0" w:space="0" w:color="auto"/>
        <w:left w:val="none" w:sz="0" w:space="0" w:color="auto"/>
        <w:bottom w:val="none" w:sz="0" w:space="0" w:color="auto"/>
        <w:right w:val="none" w:sz="0" w:space="0" w:color="auto"/>
      </w:divBdr>
    </w:div>
    <w:div w:id="955022111">
      <w:bodyDiv w:val="1"/>
      <w:marLeft w:val="0"/>
      <w:marRight w:val="0"/>
      <w:marTop w:val="0"/>
      <w:marBottom w:val="0"/>
      <w:divBdr>
        <w:top w:val="none" w:sz="0" w:space="0" w:color="auto"/>
        <w:left w:val="none" w:sz="0" w:space="0" w:color="auto"/>
        <w:bottom w:val="none" w:sz="0" w:space="0" w:color="auto"/>
        <w:right w:val="none" w:sz="0" w:space="0" w:color="auto"/>
      </w:divBdr>
    </w:div>
    <w:div w:id="996956849">
      <w:bodyDiv w:val="1"/>
      <w:marLeft w:val="0"/>
      <w:marRight w:val="0"/>
      <w:marTop w:val="0"/>
      <w:marBottom w:val="0"/>
      <w:divBdr>
        <w:top w:val="none" w:sz="0" w:space="0" w:color="auto"/>
        <w:left w:val="none" w:sz="0" w:space="0" w:color="auto"/>
        <w:bottom w:val="none" w:sz="0" w:space="0" w:color="auto"/>
        <w:right w:val="none" w:sz="0" w:space="0" w:color="auto"/>
      </w:divBdr>
    </w:div>
    <w:div w:id="1027028385">
      <w:bodyDiv w:val="1"/>
      <w:marLeft w:val="0"/>
      <w:marRight w:val="0"/>
      <w:marTop w:val="0"/>
      <w:marBottom w:val="0"/>
      <w:divBdr>
        <w:top w:val="none" w:sz="0" w:space="0" w:color="auto"/>
        <w:left w:val="none" w:sz="0" w:space="0" w:color="auto"/>
        <w:bottom w:val="none" w:sz="0" w:space="0" w:color="auto"/>
        <w:right w:val="none" w:sz="0" w:space="0" w:color="auto"/>
      </w:divBdr>
    </w:div>
    <w:div w:id="1114523692">
      <w:bodyDiv w:val="1"/>
      <w:marLeft w:val="0"/>
      <w:marRight w:val="0"/>
      <w:marTop w:val="0"/>
      <w:marBottom w:val="0"/>
      <w:divBdr>
        <w:top w:val="none" w:sz="0" w:space="0" w:color="auto"/>
        <w:left w:val="none" w:sz="0" w:space="0" w:color="auto"/>
        <w:bottom w:val="none" w:sz="0" w:space="0" w:color="auto"/>
        <w:right w:val="none" w:sz="0" w:space="0" w:color="auto"/>
      </w:divBdr>
    </w:div>
    <w:div w:id="1119883525">
      <w:bodyDiv w:val="1"/>
      <w:marLeft w:val="0"/>
      <w:marRight w:val="0"/>
      <w:marTop w:val="0"/>
      <w:marBottom w:val="0"/>
      <w:divBdr>
        <w:top w:val="none" w:sz="0" w:space="0" w:color="auto"/>
        <w:left w:val="none" w:sz="0" w:space="0" w:color="auto"/>
        <w:bottom w:val="none" w:sz="0" w:space="0" w:color="auto"/>
        <w:right w:val="none" w:sz="0" w:space="0" w:color="auto"/>
      </w:divBdr>
    </w:div>
    <w:div w:id="1122074455">
      <w:bodyDiv w:val="1"/>
      <w:marLeft w:val="0"/>
      <w:marRight w:val="0"/>
      <w:marTop w:val="0"/>
      <w:marBottom w:val="0"/>
      <w:divBdr>
        <w:top w:val="none" w:sz="0" w:space="0" w:color="auto"/>
        <w:left w:val="none" w:sz="0" w:space="0" w:color="auto"/>
        <w:bottom w:val="none" w:sz="0" w:space="0" w:color="auto"/>
        <w:right w:val="none" w:sz="0" w:space="0" w:color="auto"/>
      </w:divBdr>
      <w:divsChild>
        <w:div w:id="918170963">
          <w:marLeft w:val="0"/>
          <w:marRight w:val="0"/>
          <w:marTop w:val="0"/>
          <w:marBottom w:val="0"/>
          <w:divBdr>
            <w:top w:val="none" w:sz="0" w:space="0" w:color="auto"/>
            <w:left w:val="none" w:sz="0" w:space="0" w:color="auto"/>
            <w:bottom w:val="none" w:sz="0" w:space="0" w:color="auto"/>
            <w:right w:val="none" w:sz="0" w:space="0" w:color="auto"/>
          </w:divBdr>
          <w:divsChild>
            <w:div w:id="901019007">
              <w:marLeft w:val="0"/>
              <w:marRight w:val="0"/>
              <w:marTop w:val="0"/>
              <w:marBottom w:val="0"/>
              <w:divBdr>
                <w:top w:val="none" w:sz="0" w:space="0" w:color="auto"/>
                <w:left w:val="none" w:sz="0" w:space="0" w:color="auto"/>
                <w:bottom w:val="none" w:sz="0" w:space="0" w:color="auto"/>
                <w:right w:val="none" w:sz="0" w:space="0" w:color="auto"/>
              </w:divBdr>
            </w:div>
            <w:div w:id="555703868">
              <w:marLeft w:val="0"/>
              <w:marRight w:val="0"/>
              <w:marTop w:val="0"/>
              <w:marBottom w:val="0"/>
              <w:divBdr>
                <w:top w:val="none" w:sz="0" w:space="0" w:color="auto"/>
                <w:left w:val="none" w:sz="0" w:space="0" w:color="auto"/>
                <w:bottom w:val="none" w:sz="0" w:space="0" w:color="auto"/>
                <w:right w:val="none" w:sz="0" w:space="0" w:color="auto"/>
              </w:divBdr>
            </w:div>
          </w:divsChild>
        </w:div>
        <w:div w:id="738986610">
          <w:marLeft w:val="0"/>
          <w:marRight w:val="0"/>
          <w:marTop w:val="0"/>
          <w:marBottom w:val="0"/>
          <w:divBdr>
            <w:top w:val="none" w:sz="0" w:space="0" w:color="auto"/>
            <w:left w:val="none" w:sz="0" w:space="0" w:color="auto"/>
            <w:bottom w:val="none" w:sz="0" w:space="0" w:color="auto"/>
            <w:right w:val="none" w:sz="0" w:space="0" w:color="auto"/>
          </w:divBdr>
          <w:divsChild>
            <w:div w:id="1617174039">
              <w:marLeft w:val="0"/>
              <w:marRight w:val="0"/>
              <w:marTop w:val="0"/>
              <w:marBottom w:val="0"/>
              <w:divBdr>
                <w:top w:val="none" w:sz="0" w:space="0" w:color="auto"/>
                <w:left w:val="none" w:sz="0" w:space="0" w:color="auto"/>
                <w:bottom w:val="none" w:sz="0" w:space="0" w:color="auto"/>
                <w:right w:val="none" w:sz="0" w:space="0" w:color="auto"/>
              </w:divBdr>
            </w:div>
            <w:div w:id="1979650385">
              <w:marLeft w:val="0"/>
              <w:marRight w:val="0"/>
              <w:marTop w:val="0"/>
              <w:marBottom w:val="0"/>
              <w:divBdr>
                <w:top w:val="none" w:sz="0" w:space="0" w:color="auto"/>
                <w:left w:val="none" w:sz="0" w:space="0" w:color="auto"/>
                <w:bottom w:val="none" w:sz="0" w:space="0" w:color="auto"/>
                <w:right w:val="none" w:sz="0" w:space="0" w:color="auto"/>
              </w:divBdr>
            </w:div>
            <w:div w:id="1697078866">
              <w:marLeft w:val="0"/>
              <w:marRight w:val="0"/>
              <w:marTop w:val="0"/>
              <w:marBottom w:val="0"/>
              <w:divBdr>
                <w:top w:val="none" w:sz="0" w:space="0" w:color="auto"/>
                <w:left w:val="none" w:sz="0" w:space="0" w:color="auto"/>
                <w:bottom w:val="none" w:sz="0" w:space="0" w:color="auto"/>
                <w:right w:val="none" w:sz="0" w:space="0" w:color="auto"/>
              </w:divBdr>
            </w:div>
            <w:div w:id="429744640">
              <w:marLeft w:val="0"/>
              <w:marRight w:val="0"/>
              <w:marTop w:val="0"/>
              <w:marBottom w:val="0"/>
              <w:divBdr>
                <w:top w:val="none" w:sz="0" w:space="0" w:color="auto"/>
                <w:left w:val="none" w:sz="0" w:space="0" w:color="auto"/>
                <w:bottom w:val="none" w:sz="0" w:space="0" w:color="auto"/>
                <w:right w:val="none" w:sz="0" w:space="0" w:color="auto"/>
              </w:divBdr>
            </w:div>
            <w:div w:id="1351951407">
              <w:marLeft w:val="960"/>
              <w:marRight w:val="0"/>
              <w:marTop w:val="0"/>
              <w:marBottom w:val="0"/>
              <w:divBdr>
                <w:top w:val="none" w:sz="0" w:space="0" w:color="auto"/>
                <w:left w:val="none" w:sz="0" w:space="0" w:color="auto"/>
                <w:bottom w:val="none" w:sz="0" w:space="0" w:color="auto"/>
                <w:right w:val="none" w:sz="0" w:space="0" w:color="auto"/>
              </w:divBdr>
            </w:div>
          </w:divsChild>
        </w:div>
      </w:divsChild>
    </w:div>
    <w:div w:id="1140147491">
      <w:bodyDiv w:val="1"/>
      <w:marLeft w:val="0"/>
      <w:marRight w:val="0"/>
      <w:marTop w:val="0"/>
      <w:marBottom w:val="0"/>
      <w:divBdr>
        <w:top w:val="none" w:sz="0" w:space="0" w:color="auto"/>
        <w:left w:val="none" w:sz="0" w:space="0" w:color="auto"/>
        <w:bottom w:val="none" w:sz="0" w:space="0" w:color="auto"/>
        <w:right w:val="none" w:sz="0" w:space="0" w:color="auto"/>
      </w:divBdr>
    </w:div>
    <w:div w:id="1174418917">
      <w:bodyDiv w:val="1"/>
      <w:marLeft w:val="0"/>
      <w:marRight w:val="0"/>
      <w:marTop w:val="0"/>
      <w:marBottom w:val="0"/>
      <w:divBdr>
        <w:top w:val="none" w:sz="0" w:space="0" w:color="auto"/>
        <w:left w:val="none" w:sz="0" w:space="0" w:color="auto"/>
        <w:bottom w:val="none" w:sz="0" w:space="0" w:color="auto"/>
        <w:right w:val="none" w:sz="0" w:space="0" w:color="auto"/>
      </w:divBdr>
      <w:divsChild>
        <w:div w:id="1243370169">
          <w:marLeft w:val="0"/>
          <w:marRight w:val="0"/>
          <w:marTop w:val="0"/>
          <w:marBottom w:val="0"/>
          <w:divBdr>
            <w:top w:val="none" w:sz="0" w:space="0" w:color="auto"/>
            <w:left w:val="none" w:sz="0" w:space="0" w:color="auto"/>
            <w:bottom w:val="none" w:sz="0" w:space="0" w:color="auto"/>
            <w:right w:val="none" w:sz="0" w:space="0" w:color="auto"/>
          </w:divBdr>
        </w:div>
      </w:divsChild>
    </w:div>
    <w:div w:id="1215122323">
      <w:bodyDiv w:val="1"/>
      <w:marLeft w:val="0"/>
      <w:marRight w:val="0"/>
      <w:marTop w:val="0"/>
      <w:marBottom w:val="0"/>
      <w:divBdr>
        <w:top w:val="none" w:sz="0" w:space="0" w:color="auto"/>
        <w:left w:val="none" w:sz="0" w:space="0" w:color="auto"/>
        <w:bottom w:val="none" w:sz="0" w:space="0" w:color="auto"/>
        <w:right w:val="none" w:sz="0" w:space="0" w:color="auto"/>
      </w:divBdr>
    </w:div>
    <w:div w:id="1218779918">
      <w:bodyDiv w:val="1"/>
      <w:marLeft w:val="0"/>
      <w:marRight w:val="0"/>
      <w:marTop w:val="0"/>
      <w:marBottom w:val="0"/>
      <w:divBdr>
        <w:top w:val="none" w:sz="0" w:space="0" w:color="auto"/>
        <w:left w:val="none" w:sz="0" w:space="0" w:color="auto"/>
        <w:bottom w:val="none" w:sz="0" w:space="0" w:color="auto"/>
        <w:right w:val="none" w:sz="0" w:space="0" w:color="auto"/>
      </w:divBdr>
    </w:div>
    <w:div w:id="1265190327">
      <w:bodyDiv w:val="1"/>
      <w:marLeft w:val="0"/>
      <w:marRight w:val="0"/>
      <w:marTop w:val="0"/>
      <w:marBottom w:val="0"/>
      <w:divBdr>
        <w:top w:val="none" w:sz="0" w:space="0" w:color="auto"/>
        <w:left w:val="none" w:sz="0" w:space="0" w:color="auto"/>
        <w:bottom w:val="none" w:sz="0" w:space="0" w:color="auto"/>
        <w:right w:val="none" w:sz="0" w:space="0" w:color="auto"/>
      </w:divBdr>
      <w:divsChild>
        <w:div w:id="1013144939">
          <w:marLeft w:val="0"/>
          <w:marRight w:val="0"/>
          <w:marTop w:val="0"/>
          <w:marBottom w:val="0"/>
          <w:divBdr>
            <w:top w:val="none" w:sz="0" w:space="0" w:color="auto"/>
            <w:left w:val="none" w:sz="0" w:space="0" w:color="auto"/>
            <w:bottom w:val="none" w:sz="0" w:space="0" w:color="auto"/>
            <w:right w:val="none" w:sz="0" w:space="0" w:color="auto"/>
          </w:divBdr>
        </w:div>
      </w:divsChild>
    </w:div>
    <w:div w:id="1371414292">
      <w:bodyDiv w:val="1"/>
      <w:marLeft w:val="0"/>
      <w:marRight w:val="0"/>
      <w:marTop w:val="0"/>
      <w:marBottom w:val="0"/>
      <w:divBdr>
        <w:top w:val="none" w:sz="0" w:space="0" w:color="auto"/>
        <w:left w:val="none" w:sz="0" w:space="0" w:color="auto"/>
        <w:bottom w:val="none" w:sz="0" w:space="0" w:color="auto"/>
        <w:right w:val="none" w:sz="0" w:space="0" w:color="auto"/>
      </w:divBdr>
    </w:div>
    <w:div w:id="1389454338">
      <w:bodyDiv w:val="1"/>
      <w:marLeft w:val="0"/>
      <w:marRight w:val="0"/>
      <w:marTop w:val="0"/>
      <w:marBottom w:val="0"/>
      <w:divBdr>
        <w:top w:val="none" w:sz="0" w:space="0" w:color="auto"/>
        <w:left w:val="none" w:sz="0" w:space="0" w:color="auto"/>
        <w:bottom w:val="none" w:sz="0" w:space="0" w:color="auto"/>
        <w:right w:val="none" w:sz="0" w:space="0" w:color="auto"/>
      </w:divBdr>
      <w:divsChild>
        <w:div w:id="1585339020">
          <w:marLeft w:val="0"/>
          <w:marRight w:val="0"/>
          <w:marTop w:val="0"/>
          <w:marBottom w:val="0"/>
          <w:divBdr>
            <w:top w:val="none" w:sz="0" w:space="0" w:color="auto"/>
            <w:left w:val="none" w:sz="0" w:space="0" w:color="auto"/>
            <w:bottom w:val="none" w:sz="0" w:space="0" w:color="auto"/>
            <w:right w:val="none" w:sz="0" w:space="0" w:color="auto"/>
          </w:divBdr>
        </w:div>
      </w:divsChild>
    </w:div>
    <w:div w:id="1403914333">
      <w:bodyDiv w:val="1"/>
      <w:marLeft w:val="0"/>
      <w:marRight w:val="0"/>
      <w:marTop w:val="0"/>
      <w:marBottom w:val="0"/>
      <w:divBdr>
        <w:top w:val="none" w:sz="0" w:space="0" w:color="auto"/>
        <w:left w:val="none" w:sz="0" w:space="0" w:color="auto"/>
        <w:bottom w:val="none" w:sz="0" w:space="0" w:color="auto"/>
        <w:right w:val="none" w:sz="0" w:space="0" w:color="auto"/>
      </w:divBdr>
    </w:div>
    <w:div w:id="1436367636">
      <w:bodyDiv w:val="1"/>
      <w:marLeft w:val="0"/>
      <w:marRight w:val="0"/>
      <w:marTop w:val="0"/>
      <w:marBottom w:val="0"/>
      <w:divBdr>
        <w:top w:val="none" w:sz="0" w:space="0" w:color="auto"/>
        <w:left w:val="none" w:sz="0" w:space="0" w:color="auto"/>
        <w:bottom w:val="none" w:sz="0" w:space="0" w:color="auto"/>
        <w:right w:val="none" w:sz="0" w:space="0" w:color="auto"/>
      </w:divBdr>
    </w:div>
    <w:div w:id="1574730632">
      <w:bodyDiv w:val="1"/>
      <w:marLeft w:val="0"/>
      <w:marRight w:val="0"/>
      <w:marTop w:val="0"/>
      <w:marBottom w:val="0"/>
      <w:divBdr>
        <w:top w:val="none" w:sz="0" w:space="0" w:color="auto"/>
        <w:left w:val="none" w:sz="0" w:space="0" w:color="auto"/>
        <w:bottom w:val="none" w:sz="0" w:space="0" w:color="auto"/>
        <w:right w:val="none" w:sz="0" w:space="0" w:color="auto"/>
      </w:divBdr>
    </w:div>
    <w:div w:id="1595362441">
      <w:bodyDiv w:val="1"/>
      <w:marLeft w:val="0"/>
      <w:marRight w:val="0"/>
      <w:marTop w:val="0"/>
      <w:marBottom w:val="0"/>
      <w:divBdr>
        <w:top w:val="none" w:sz="0" w:space="0" w:color="auto"/>
        <w:left w:val="none" w:sz="0" w:space="0" w:color="auto"/>
        <w:bottom w:val="none" w:sz="0" w:space="0" w:color="auto"/>
        <w:right w:val="none" w:sz="0" w:space="0" w:color="auto"/>
      </w:divBdr>
    </w:div>
    <w:div w:id="1597597561">
      <w:bodyDiv w:val="1"/>
      <w:marLeft w:val="0"/>
      <w:marRight w:val="0"/>
      <w:marTop w:val="0"/>
      <w:marBottom w:val="0"/>
      <w:divBdr>
        <w:top w:val="none" w:sz="0" w:space="0" w:color="auto"/>
        <w:left w:val="none" w:sz="0" w:space="0" w:color="auto"/>
        <w:bottom w:val="none" w:sz="0" w:space="0" w:color="auto"/>
        <w:right w:val="none" w:sz="0" w:space="0" w:color="auto"/>
      </w:divBdr>
    </w:div>
    <w:div w:id="1598296134">
      <w:bodyDiv w:val="1"/>
      <w:marLeft w:val="0"/>
      <w:marRight w:val="0"/>
      <w:marTop w:val="0"/>
      <w:marBottom w:val="0"/>
      <w:divBdr>
        <w:top w:val="none" w:sz="0" w:space="0" w:color="auto"/>
        <w:left w:val="none" w:sz="0" w:space="0" w:color="auto"/>
        <w:bottom w:val="none" w:sz="0" w:space="0" w:color="auto"/>
        <w:right w:val="none" w:sz="0" w:space="0" w:color="auto"/>
      </w:divBdr>
      <w:divsChild>
        <w:div w:id="1692223391">
          <w:marLeft w:val="0"/>
          <w:marRight w:val="0"/>
          <w:marTop w:val="0"/>
          <w:marBottom w:val="0"/>
          <w:divBdr>
            <w:top w:val="none" w:sz="0" w:space="0" w:color="auto"/>
            <w:left w:val="none" w:sz="0" w:space="0" w:color="auto"/>
            <w:bottom w:val="none" w:sz="0" w:space="0" w:color="auto"/>
            <w:right w:val="none" w:sz="0" w:space="0" w:color="auto"/>
          </w:divBdr>
        </w:div>
      </w:divsChild>
    </w:div>
    <w:div w:id="1626882995">
      <w:bodyDiv w:val="1"/>
      <w:marLeft w:val="0"/>
      <w:marRight w:val="0"/>
      <w:marTop w:val="0"/>
      <w:marBottom w:val="0"/>
      <w:divBdr>
        <w:top w:val="none" w:sz="0" w:space="0" w:color="auto"/>
        <w:left w:val="none" w:sz="0" w:space="0" w:color="auto"/>
        <w:bottom w:val="none" w:sz="0" w:space="0" w:color="auto"/>
        <w:right w:val="none" w:sz="0" w:space="0" w:color="auto"/>
      </w:divBdr>
    </w:div>
    <w:div w:id="1630166936">
      <w:bodyDiv w:val="1"/>
      <w:marLeft w:val="0"/>
      <w:marRight w:val="0"/>
      <w:marTop w:val="0"/>
      <w:marBottom w:val="0"/>
      <w:divBdr>
        <w:top w:val="none" w:sz="0" w:space="0" w:color="auto"/>
        <w:left w:val="none" w:sz="0" w:space="0" w:color="auto"/>
        <w:bottom w:val="none" w:sz="0" w:space="0" w:color="auto"/>
        <w:right w:val="none" w:sz="0" w:space="0" w:color="auto"/>
      </w:divBdr>
    </w:div>
    <w:div w:id="1638217481">
      <w:bodyDiv w:val="1"/>
      <w:marLeft w:val="0"/>
      <w:marRight w:val="0"/>
      <w:marTop w:val="0"/>
      <w:marBottom w:val="0"/>
      <w:divBdr>
        <w:top w:val="none" w:sz="0" w:space="0" w:color="auto"/>
        <w:left w:val="none" w:sz="0" w:space="0" w:color="auto"/>
        <w:bottom w:val="none" w:sz="0" w:space="0" w:color="auto"/>
        <w:right w:val="none" w:sz="0" w:space="0" w:color="auto"/>
      </w:divBdr>
    </w:div>
    <w:div w:id="1653215667">
      <w:bodyDiv w:val="1"/>
      <w:marLeft w:val="0"/>
      <w:marRight w:val="0"/>
      <w:marTop w:val="0"/>
      <w:marBottom w:val="0"/>
      <w:divBdr>
        <w:top w:val="none" w:sz="0" w:space="0" w:color="auto"/>
        <w:left w:val="none" w:sz="0" w:space="0" w:color="auto"/>
        <w:bottom w:val="none" w:sz="0" w:space="0" w:color="auto"/>
        <w:right w:val="none" w:sz="0" w:space="0" w:color="auto"/>
      </w:divBdr>
    </w:div>
    <w:div w:id="1665235161">
      <w:bodyDiv w:val="1"/>
      <w:marLeft w:val="0"/>
      <w:marRight w:val="0"/>
      <w:marTop w:val="0"/>
      <w:marBottom w:val="0"/>
      <w:divBdr>
        <w:top w:val="none" w:sz="0" w:space="0" w:color="auto"/>
        <w:left w:val="none" w:sz="0" w:space="0" w:color="auto"/>
        <w:bottom w:val="none" w:sz="0" w:space="0" w:color="auto"/>
        <w:right w:val="none" w:sz="0" w:space="0" w:color="auto"/>
      </w:divBdr>
    </w:div>
    <w:div w:id="1730962206">
      <w:bodyDiv w:val="1"/>
      <w:marLeft w:val="0"/>
      <w:marRight w:val="0"/>
      <w:marTop w:val="0"/>
      <w:marBottom w:val="0"/>
      <w:divBdr>
        <w:top w:val="none" w:sz="0" w:space="0" w:color="auto"/>
        <w:left w:val="none" w:sz="0" w:space="0" w:color="auto"/>
        <w:bottom w:val="none" w:sz="0" w:space="0" w:color="auto"/>
        <w:right w:val="none" w:sz="0" w:space="0" w:color="auto"/>
      </w:divBdr>
    </w:div>
    <w:div w:id="1732732913">
      <w:bodyDiv w:val="1"/>
      <w:marLeft w:val="0"/>
      <w:marRight w:val="0"/>
      <w:marTop w:val="0"/>
      <w:marBottom w:val="0"/>
      <w:divBdr>
        <w:top w:val="none" w:sz="0" w:space="0" w:color="auto"/>
        <w:left w:val="none" w:sz="0" w:space="0" w:color="auto"/>
        <w:bottom w:val="none" w:sz="0" w:space="0" w:color="auto"/>
        <w:right w:val="none" w:sz="0" w:space="0" w:color="auto"/>
      </w:divBdr>
    </w:div>
    <w:div w:id="1742673892">
      <w:bodyDiv w:val="1"/>
      <w:marLeft w:val="0"/>
      <w:marRight w:val="0"/>
      <w:marTop w:val="0"/>
      <w:marBottom w:val="0"/>
      <w:divBdr>
        <w:top w:val="none" w:sz="0" w:space="0" w:color="auto"/>
        <w:left w:val="none" w:sz="0" w:space="0" w:color="auto"/>
        <w:bottom w:val="none" w:sz="0" w:space="0" w:color="auto"/>
        <w:right w:val="none" w:sz="0" w:space="0" w:color="auto"/>
      </w:divBdr>
    </w:div>
    <w:div w:id="1764835741">
      <w:bodyDiv w:val="1"/>
      <w:marLeft w:val="0"/>
      <w:marRight w:val="0"/>
      <w:marTop w:val="0"/>
      <w:marBottom w:val="0"/>
      <w:divBdr>
        <w:top w:val="none" w:sz="0" w:space="0" w:color="auto"/>
        <w:left w:val="none" w:sz="0" w:space="0" w:color="auto"/>
        <w:bottom w:val="none" w:sz="0" w:space="0" w:color="auto"/>
        <w:right w:val="none" w:sz="0" w:space="0" w:color="auto"/>
      </w:divBdr>
    </w:div>
    <w:div w:id="1813937467">
      <w:bodyDiv w:val="1"/>
      <w:marLeft w:val="0"/>
      <w:marRight w:val="0"/>
      <w:marTop w:val="0"/>
      <w:marBottom w:val="0"/>
      <w:divBdr>
        <w:top w:val="none" w:sz="0" w:space="0" w:color="auto"/>
        <w:left w:val="none" w:sz="0" w:space="0" w:color="auto"/>
        <w:bottom w:val="none" w:sz="0" w:space="0" w:color="auto"/>
        <w:right w:val="none" w:sz="0" w:space="0" w:color="auto"/>
      </w:divBdr>
    </w:div>
    <w:div w:id="1830175917">
      <w:bodyDiv w:val="1"/>
      <w:marLeft w:val="0"/>
      <w:marRight w:val="0"/>
      <w:marTop w:val="0"/>
      <w:marBottom w:val="0"/>
      <w:divBdr>
        <w:top w:val="none" w:sz="0" w:space="0" w:color="auto"/>
        <w:left w:val="none" w:sz="0" w:space="0" w:color="auto"/>
        <w:bottom w:val="none" w:sz="0" w:space="0" w:color="auto"/>
        <w:right w:val="none" w:sz="0" w:space="0" w:color="auto"/>
      </w:divBdr>
    </w:div>
    <w:div w:id="1893956566">
      <w:bodyDiv w:val="1"/>
      <w:marLeft w:val="0"/>
      <w:marRight w:val="0"/>
      <w:marTop w:val="0"/>
      <w:marBottom w:val="0"/>
      <w:divBdr>
        <w:top w:val="none" w:sz="0" w:space="0" w:color="auto"/>
        <w:left w:val="none" w:sz="0" w:space="0" w:color="auto"/>
        <w:bottom w:val="none" w:sz="0" w:space="0" w:color="auto"/>
        <w:right w:val="none" w:sz="0" w:space="0" w:color="auto"/>
      </w:divBdr>
    </w:div>
    <w:div w:id="1924685317">
      <w:bodyDiv w:val="1"/>
      <w:marLeft w:val="0"/>
      <w:marRight w:val="0"/>
      <w:marTop w:val="0"/>
      <w:marBottom w:val="0"/>
      <w:divBdr>
        <w:top w:val="none" w:sz="0" w:space="0" w:color="auto"/>
        <w:left w:val="none" w:sz="0" w:space="0" w:color="auto"/>
        <w:bottom w:val="none" w:sz="0" w:space="0" w:color="auto"/>
        <w:right w:val="none" w:sz="0" w:space="0" w:color="auto"/>
      </w:divBdr>
    </w:div>
    <w:div w:id="1938051577">
      <w:bodyDiv w:val="1"/>
      <w:marLeft w:val="0"/>
      <w:marRight w:val="0"/>
      <w:marTop w:val="0"/>
      <w:marBottom w:val="0"/>
      <w:divBdr>
        <w:top w:val="none" w:sz="0" w:space="0" w:color="auto"/>
        <w:left w:val="none" w:sz="0" w:space="0" w:color="auto"/>
        <w:bottom w:val="none" w:sz="0" w:space="0" w:color="auto"/>
        <w:right w:val="none" w:sz="0" w:space="0" w:color="auto"/>
      </w:divBdr>
    </w:div>
    <w:div w:id="1950813638">
      <w:bodyDiv w:val="1"/>
      <w:marLeft w:val="0"/>
      <w:marRight w:val="0"/>
      <w:marTop w:val="0"/>
      <w:marBottom w:val="0"/>
      <w:divBdr>
        <w:top w:val="none" w:sz="0" w:space="0" w:color="auto"/>
        <w:left w:val="none" w:sz="0" w:space="0" w:color="auto"/>
        <w:bottom w:val="none" w:sz="0" w:space="0" w:color="auto"/>
        <w:right w:val="none" w:sz="0" w:space="0" w:color="auto"/>
      </w:divBdr>
    </w:div>
    <w:div w:id="1962229550">
      <w:bodyDiv w:val="1"/>
      <w:marLeft w:val="0"/>
      <w:marRight w:val="0"/>
      <w:marTop w:val="0"/>
      <w:marBottom w:val="0"/>
      <w:divBdr>
        <w:top w:val="none" w:sz="0" w:space="0" w:color="auto"/>
        <w:left w:val="none" w:sz="0" w:space="0" w:color="auto"/>
        <w:bottom w:val="none" w:sz="0" w:space="0" w:color="auto"/>
        <w:right w:val="none" w:sz="0" w:space="0" w:color="auto"/>
      </w:divBdr>
    </w:div>
    <w:div w:id="1976835228">
      <w:bodyDiv w:val="1"/>
      <w:marLeft w:val="0"/>
      <w:marRight w:val="0"/>
      <w:marTop w:val="0"/>
      <w:marBottom w:val="0"/>
      <w:divBdr>
        <w:top w:val="none" w:sz="0" w:space="0" w:color="auto"/>
        <w:left w:val="none" w:sz="0" w:space="0" w:color="auto"/>
        <w:bottom w:val="none" w:sz="0" w:space="0" w:color="auto"/>
        <w:right w:val="none" w:sz="0" w:space="0" w:color="auto"/>
      </w:divBdr>
    </w:div>
    <w:div w:id="1980307336">
      <w:bodyDiv w:val="1"/>
      <w:marLeft w:val="0"/>
      <w:marRight w:val="0"/>
      <w:marTop w:val="0"/>
      <w:marBottom w:val="0"/>
      <w:divBdr>
        <w:top w:val="none" w:sz="0" w:space="0" w:color="auto"/>
        <w:left w:val="none" w:sz="0" w:space="0" w:color="auto"/>
        <w:bottom w:val="none" w:sz="0" w:space="0" w:color="auto"/>
        <w:right w:val="none" w:sz="0" w:space="0" w:color="auto"/>
      </w:divBdr>
      <w:divsChild>
        <w:div w:id="1697265133">
          <w:marLeft w:val="0"/>
          <w:marRight w:val="0"/>
          <w:marTop w:val="0"/>
          <w:marBottom w:val="0"/>
          <w:divBdr>
            <w:top w:val="none" w:sz="0" w:space="0" w:color="auto"/>
            <w:left w:val="none" w:sz="0" w:space="0" w:color="auto"/>
            <w:bottom w:val="none" w:sz="0" w:space="0" w:color="auto"/>
            <w:right w:val="none" w:sz="0" w:space="0" w:color="auto"/>
          </w:divBdr>
        </w:div>
      </w:divsChild>
    </w:div>
    <w:div w:id="2025285316">
      <w:bodyDiv w:val="1"/>
      <w:marLeft w:val="0"/>
      <w:marRight w:val="0"/>
      <w:marTop w:val="0"/>
      <w:marBottom w:val="0"/>
      <w:divBdr>
        <w:top w:val="none" w:sz="0" w:space="0" w:color="auto"/>
        <w:left w:val="none" w:sz="0" w:space="0" w:color="auto"/>
        <w:bottom w:val="none" w:sz="0" w:space="0" w:color="auto"/>
        <w:right w:val="none" w:sz="0" w:space="0" w:color="auto"/>
      </w:divBdr>
    </w:div>
    <w:div w:id="2044283120">
      <w:bodyDiv w:val="1"/>
      <w:marLeft w:val="0"/>
      <w:marRight w:val="0"/>
      <w:marTop w:val="0"/>
      <w:marBottom w:val="0"/>
      <w:divBdr>
        <w:top w:val="none" w:sz="0" w:space="0" w:color="auto"/>
        <w:left w:val="none" w:sz="0" w:space="0" w:color="auto"/>
        <w:bottom w:val="none" w:sz="0" w:space="0" w:color="auto"/>
        <w:right w:val="none" w:sz="0" w:space="0" w:color="auto"/>
      </w:divBdr>
    </w:div>
    <w:div w:id="2045523895">
      <w:bodyDiv w:val="1"/>
      <w:marLeft w:val="0"/>
      <w:marRight w:val="0"/>
      <w:marTop w:val="0"/>
      <w:marBottom w:val="0"/>
      <w:divBdr>
        <w:top w:val="none" w:sz="0" w:space="0" w:color="auto"/>
        <w:left w:val="none" w:sz="0" w:space="0" w:color="auto"/>
        <w:bottom w:val="none" w:sz="0" w:space="0" w:color="auto"/>
        <w:right w:val="none" w:sz="0" w:space="0" w:color="auto"/>
      </w:divBdr>
    </w:div>
    <w:div w:id="2099012794">
      <w:bodyDiv w:val="1"/>
      <w:marLeft w:val="0"/>
      <w:marRight w:val="0"/>
      <w:marTop w:val="0"/>
      <w:marBottom w:val="0"/>
      <w:divBdr>
        <w:top w:val="none" w:sz="0" w:space="0" w:color="auto"/>
        <w:left w:val="none" w:sz="0" w:space="0" w:color="auto"/>
        <w:bottom w:val="none" w:sz="0" w:space="0" w:color="auto"/>
        <w:right w:val="none" w:sz="0" w:space="0" w:color="auto"/>
      </w:divBdr>
    </w:div>
    <w:div w:id="2111311099">
      <w:bodyDiv w:val="1"/>
      <w:marLeft w:val="0"/>
      <w:marRight w:val="0"/>
      <w:marTop w:val="0"/>
      <w:marBottom w:val="0"/>
      <w:divBdr>
        <w:top w:val="none" w:sz="0" w:space="0" w:color="auto"/>
        <w:left w:val="none" w:sz="0" w:space="0" w:color="auto"/>
        <w:bottom w:val="none" w:sz="0" w:space="0" w:color="auto"/>
        <w:right w:val="none" w:sz="0" w:space="0" w:color="auto"/>
      </w:divBdr>
    </w:div>
    <w:div w:id="213844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chart" Target="charts/chart2.xml"/><Relationship Id="rId3" Type="http://schemas.openxmlformats.org/officeDocument/2006/relationships/styles" Target="styles.xml"/><Relationship Id="rId21" Type="http://schemas.openxmlformats.org/officeDocument/2006/relationships/chart" Target="charts/chart4.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6.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Chris\Dropbox\Work%20share%20folder\powertrain\Combusion%20spreadsheet%20fina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hris\Dropbox\Work%20share%20folder\powertrain\Combusion%20spreadsheet%20fina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hris\Dropbox\Work%20share%20folder\powertrain\Combusion%20spreadsheet%20final.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hris\Dropbox\Work%20share%20folder\powertrain\Combusion%20spreadsheet%20final.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Enthalpy</a:t>
            </a:r>
            <a:r>
              <a:rPr lang="en-GB" baseline="0"/>
              <a:t> Needed (MJ/Kmol) / Temperature (K)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CO2</c:v>
          </c:tx>
          <c:spPr>
            <a:ln w="19050" cap="rnd">
              <a:solidFill>
                <a:schemeClr val="accent1"/>
              </a:solidFill>
              <a:round/>
            </a:ln>
            <a:effectLst/>
          </c:spPr>
          <c:marker>
            <c:symbol val="none"/>
          </c:marker>
          <c:xVal>
            <c:numRef>
              <c:f>'CP Tables'!$A$3:$A$52</c:f>
              <c:numCache>
                <c:formatCode>General</c:formatCode>
                <c:ptCount val="50"/>
                <c:pt idx="0">
                  <c:v>200</c:v>
                </c:pt>
                <c:pt idx="1">
                  <c:v>298</c:v>
                </c:pt>
                <c:pt idx="2">
                  <c:v>300</c:v>
                </c:pt>
                <c:pt idx="3">
                  <c:v>400</c:v>
                </c:pt>
                <c:pt idx="4">
                  <c:v>500</c:v>
                </c:pt>
                <c:pt idx="5">
                  <c:v>600</c:v>
                </c:pt>
                <c:pt idx="6">
                  <c:v>700</c:v>
                </c:pt>
                <c:pt idx="7">
                  <c:v>800</c:v>
                </c:pt>
                <c:pt idx="8">
                  <c:v>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pt idx="24">
                  <c:v>2500</c:v>
                </c:pt>
                <c:pt idx="25">
                  <c:v>2600</c:v>
                </c:pt>
                <c:pt idx="26">
                  <c:v>2700</c:v>
                </c:pt>
                <c:pt idx="27">
                  <c:v>2800</c:v>
                </c:pt>
                <c:pt idx="28">
                  <c:v>2900</c:v>
                </c:pt>
                <c:pt idx="29">
                  <c:v>3000</c:v>
                </c:pt>
                <c:pt idx="30">
                  <c:v>3100</c:v>
                </c:pt>
                <c:pt idx="31">
                  <c:v>3200</c:v>
                </c:pt>
                <c:pt idx="32">
                  <c:v>3300</c:v>
                </c:pt>
                <c:pt idx="33">
                  <c:v>3400</c:v>
                </c:pt>
                <c:pt idx="34">
                  <c:v>3500</c:v>
                </c:pt>
                <c:pt idx="35">
                  <c:v>3600</c:v>
                </c:pt>
                <c:pt idx="36">
                  <c:v>3700</c:v>
                </c:pt>
                <c:pt idx="37">
                  <c:v>3800</c:v>
                </c:pt>
                <c:pt idx="38">
                  <c:v>3900</c:v>
                </c:pt>
                <c:pt idx="39">
                  <c:v>4000</c:v>
                </c:pt>
                <c:pt idx="40">
                  <c:v>4100</c:v>
                </c:pt>
                <c:pt idx="41">
                  <c:v>4200</c:v>
                </c:pt>
                <c:pt idx="42">
                  <c:v>4300</c:v>
                </c:pt>
                <c:pt idx="43">
                  <c:v>4400</c:v>
                </c:pt>
                <c:pt idx="44">
                  <c:v>4500</c:v>
                </c:pt>
                <c:pt idx="45">
                  <c:v>4600</c:v>
                </c:pt>
                <c:pt idx="46">
                  <c:v>4700</c:v>
                </c:pt>
                <c:pt idx="47">
                  <c:v>4800</c:v>
                </c:pt>
                <c:pt idx="48">
                  <c:v>4900</c:v>
                </c:pt>
                <c:pt idx="49">
                  <c:v>5000</c:v>
                </c:pt>
              </c:numCache>
            </c:numRef>
          </c:xVal>
          <c:yVal>
            <c:numRef>
              <c:f>'CP Tables'!$B$3:$B$52</c:f>
              <c:numCache>
                <c:formatCode>General</c:formatCode>
                <c:ptCount val="50"/>
                <c:pt idx="0">
                  <c:v>-3.423</c:v>
                </c:pt>
                <c:pt idx="1">
                  <c:v>0</c:v>
                </c:pt>
                <c:pt idx="2">
                  <c:v>6.9000000000000006E-2</c:v>
                </c:pt>
                <c:pt idx="3">
                  <c:v>4.0030000000000001</c:v>
                </c:pt>
                <c:pt idx="4">
                  <c:v>8.3010000000000002</c:v>
                </c:pt>
                <c:pt idx="5">
                  <c:v>12.898999999999999</c:v>
                </c:pt>
                <c:pt idx="6">
                  <c:v>17.748999999999999</c:v>
                </c:pt>
                <c:pt idx="7">
                  <c:v>22.81</c:v>
                </c:pt>
                <c:pt idx="8">
                  <c:v>28.047000000000001</c:v>
                </c:pt>
                <c:pt idx="9">
                  <c:v>33.424999999999997</c:v>
                </c:pt>
                <c:pt idx="10">
                  <c:v>38.911000000000001</c:v>
                </c:pt>
                <c:pt idx="11">
                  <c:v>44.488</c:v>
                </c:pt>
                <c:pt idx="12">
                  <c:v>50.149000000000001</c:v>
                </c:pt>
                <c:pt idx="13">
                  <c:v>55.881999999999998</c:v>
                </c:pt>
                <c:pt idx="14">
                  <c:v>61.680999999999997</c:v>
                </c:pt>
                <c:pt idx="15">
                  <c:v>67.537999999999997</c:v>
                </c:pt>
                <c:pt idx="16">
                  <c:v>73.445999999999998</c:v>
                </c:pt>
                <c:pt idx="17">
                  <c:v>79.399000000000001</c:v>
                </c:pt>
                <c:pt idx="18">
                  <c:v>85.391999999999996</c:v>
                </c:pt>
                <c:pt idx="19">
                  <c:v>91.42</c:v>
                </c:pt>
                <c:pt idx="20">
                  <c:v>97.477000000000004</c:v>
                </c:pt>
                <c:pt idx="21">
                  <c:v>103.562</c:v>
                </c:pt>
                <c:pt idx="22">
                  <c:v>109.67</c:v>
                </c:pt>
                <c:pt idx="23">
                  <c:v>115.798</c:v>
                </c:pt>
                <c:pt idx="24">
                  <c:v>121.944</c:v>
                </c:pt>
                <c:pt idx="25">
                  <c:v>128.107</c:v>
                </c:pt>
                <c:pt idx="26">
                  <c:v>134.28399999999999</c:v>
                </c:pt>
                <c:pt idx="27">
                  <c:v>140.47399999999999</c:v>
                </c:pt>
                <c:pt idx="28">
                  <c:v>146.67699999999999</c:v>
                </c:pt>
                <c:pt idx="29">
                  <c:v>152.89099999999999</c:v>
                </c:pt>
                <c:pt idx="30">
                  <c:v>159.11600000000001</c:v>
                </c:pt>
                <c:pt idx="31">
                  <c:v>165.351</c:v>
                </c:pt>
                <c:pt idx="32">
                  <c:v>171.59700000000001</c:v>
                </c:pt>
                <c:pt idx="33">
                  <c:v>177.85300000000001</c:v>
                </c:pt>
                <c:pt idx="34">
                  <c:v>184.12</c:v>
                </c:pt>
                <c:pt idx="35">
                  <c:v>190.39699999999999</c:v>
                </c:pt>
                <c:pt idx="36">
                  <c:v>196.685</c:v>
                </c:pt>
                <c:pt idx="37">
                  <c:v>202.983</c:v>
                </c:pt>
                <c:pt idx="38">
                  <c:v>209.29300000000001</c:v>
                </c:pt>
                <c:pt idx="39">
                  <c:v>215.613</c:v>
                </c:pt>
                <c:pt idx="40">
                  <c:v>221.94499999999999</c:v>
                </c:pt>
                <c:pt idx="41">
                  <c:v>228.28700000000001</c:v>
                </c:pt>
                <c:pt idx="42">
                  <c:v>234.64</c:v>
                </c:pt>
                <c:pt idx="43">
                  <c:v>241.00200000000001</c:v>
                </c:pt>
                <c:pt idx="44">
                  <c:v>247.37299999999999</c:v>
                </c:pt>
                <c:pt idx="45">
                  <c:v>253.75200000000001</c:v>
                </c:pt>
                <c:pt idx="46">
                  <c:v>260.13799999999998</c:v>
                </c:pt>
                <c:pt idx="47">
                  <c:v>266.52800000000002</c:v>
                </c:pt>
                <c:pt idx="48">
                  <c:v>272.92</c:v>
                </c:pt>
                <c:pt idx="49">
                  <c:v>279.31299999999999</c:v>
                </c:pt>
              </c:numCache>
            </c:numRef>
          </c:yVal>
          <c:smooth val="1"/>
          <c:extLst>
            <c:ext xmlns:c16="http://schemas.microsoft.com/office/drawing/2014/chart" uri="{C3380CC4-5D6E-409C-BE32-E72D297353CC}">
              <c16:uniqueId val="{00000000-804C-44CD-B04A-6095B8A37E29}"/>
            </c:ext>
          </c:extLst>
        </c:ser>
        <c:ser>
          <c:idx val="1"/>
          <c:order val="1"/>
          <c:tx>
            <c:v>N2</c:v>
          </c:tx>
          <c:spPr>
            <a:ln w="19050" cap="rnd">
              <a:solidFill>
                <a:schemeClr val="accent2"/>
              </a:solidFill>
              <a:round/>
            </a:ln>
            <a:effectLst/>
          </c:spPr>
          <c:marker>
            <c:symbol val="none"/>
          </c:marker>
          <c:xVal>
            <c:numRef>
              <c:f>'CP Tables'!$A$3:$A$52</c:f>
              <c:numCache>
                <c:formatCode>General</c:formatCode>
                <c:ptCount val="50"/>
                <c:pt idx="0">
                  <c:v>200</c:v>
                </c:pt>
                <c:pt idx="1">
                  <c:v>298</c:v>
                </c:pt>
                <c:pt idx="2">
                  <c:v>300</c:v>
                </c:pt>
                <c:pt idx="3">
                  <c:v>400</c:v>
                </c:pt>
                <c:pt idx="4">
                  <c:v>500</c:v>
                </c:pt>
                <c:pt idx="5">
                  <c:v>600</c:v>
                </c:pt>
                <c:pt idx="6">
                  <c:v>700</c:v>
                </c:pt>
                <c:pt idx="7">
                  <c:v>800</c:v>
                </c:pt>
                <c:pt idx="8">
                  <c:v>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pt idx="24">
                  <c:v>2500</c:v>
                </c:pt>
                <c:pt idx="25">
                  <c:v>2600</c:v>
                </c:pt>
                <c:pt idx="26">
                  <c:v>2700</c:v>
                </c:pt>
                <c:pt idx="27">
                  <c:v>2800</c:v>
                </c:pt>
                <c:pt idx="28">
                  <c:v>2900</c:v>
                </c:pt>
                <c:pt idx="29">
                  <c:v>3000</c:v>
                </c:pt>
                <c:pt idx="30">
                  <c:v>3100</c:v>
                </c:pt>
                <c:pt idx="31">
                  <c:v>3200</c:v>
                </c:pt>
                <c:pt idx="32">
                  <c:v>3300</c:v>
                </c:pt>
                <c:pt idx="33">
                  <c:v>3400</c:v>
                </c:pt>
                <c:pt idx="34">
                  <c:v>3500</c:v>
                </c:pt>
                <c:pt idx="35">
                  <c:v>3600</c:v>
                </c:pt>
                <c:pt idx="36">
                  <c:v>3700</c:v>
                </c:pt>
                <c:pt idx="37">
                  <c:v>3800</c:v>
                </c:pt>
                <c:pt idx="38">
                  <c:v>3900</c:v>
                </c:pt>
                <c:pt idx="39">
                  <c:v>4000</c:v>
                </c:pt>
                <c:pt idx="40">
                  <c:v>4100</c:v>
                </c:pt>
                <c:pt idx="41">
                  <c:v>4200</c:v>
                </c:pt>
                <c:pt idx="42">
                  <c:v>4300</c:v>
                </c:pt>
                <c:pt idx="43">
                  <c:v>4400</c:v>
                </c:pt>
                <c:pt idx="44">
                  <c:v>4500</c:v>
                </c:pt>
                <c:pt idx="45">
                  <c:v>4600</c:v>
                </c:pt>
                <c:pt idx="46">
                  <c:v>4700</c:v>
                </c:pt>
                <c:pt idx="47">
                  <c:v>4800</c:v>
                </c:pt>
                <c:pt idx="48">
                  <c:v>4900</c:v>
                </c:pt>
                <c:pt idx="49">
                  <c:v>5000</c:v>
                </c:pt>
              </c:numCache>
            </c:numRef>
          </c:xVal>
          <c:yVal>
            <c:numRef>
              <c:f>'CP Tables'!$E$3:$E$52</c:f>
              <c:numCache>
                <c:formatCode>General</c:formatCode>
                <c:ptCount val="50"/>
                <c:pt idx="0">
                  <c:v>-2.8410000000000002</c:v>
                </c:pt>
                <c:pt idx="1">
                  <c:v>0</c:v>
                </c:pt>
                <c:pt idx="2">
                  <c:v>5.3999999999999999E-2</c:v>
                </c:pt>
                <c:pt idx="3">
                  <c:v>2.9729999999999999</c:v>
                </c:pt>
                <c:pt idx="4">
                  <c:v>5.92</c:v>
                </c:pt>
                <c:pt idx="5">
                  <c:v>8.9049999999999994</c:v>
                </c:pt>
                <c:pt idx="6">
                  <c:v>11.942</c:v>
                </c:pt>
                <c:pt idx="7">
                  <c:v>15.045999999999999</c:v>
                </c:pt>
                <c:pt idx="8">
                  <c:v>18.222000000000001</c:v>
                </c:pt>
                <c:pt idx="9">
                  <c:v>21.468</c:v>
                </c:pt>
                <c:pt idx="10">
                  <c:v>24.77</c:v>
                </c:pt>
                <c:pt idx="11">
                  <c:v>28.117999999999999</c:v>
                </c:pt>
                <c:pt idx="12">
                  <c:v>31.51</c:v>
                </c:pt>
                <c:pt idx="13">
                  <c:v>34.939</c:v>
                </c:pt>
                <c:pt idx="14">
                  <c:v>38.404000000000003</c:v>
                </c:pt>
                <c:pt idx="15">
                  <c:v>41.899000000000001</c:v>
                </c:pt>
                <c:pt idx="16">
                  <c:v>45.423000000000002</c:v>
                </c:pt>
                <c:pt idx="17">
                  <c:v>48.970999999999997</c:v>
                </c:pt>
                <c:pt idx="18">
                  <c:v>52.540999999999997</c:v>
                </c:pt>
                <c:pt idx="19">
                  <c:v>56.13</c:v>
                </c:pt>
                <c:pt idx="20">
                  <c:v>59.738</c:v>
                </c:pt>
                <c:pt idx="21">
                  <c:v>63.36</c:v>
                </c:pt>
                <c:pt idx="22">
                  <c:v>66.997</c:v>
                </c:pt>
                <c:pt idx="23">
                  <c:v>70.644999999999996</c:v>
                </c:pt>
                <c:pt idx="24">
                  <c:v>74.305000000000007</c:v>
                </c:pt>
                <c:pt idx="25">
                  <c:v>77.974000000000004</c:v>
                </c:pt>
                <c:pt idx="26">
                  <c:v>81.652000000000001</c:v>
                </c:pt>
                <c:pt idx="27">
                  <c:v>85.337999999999994</c:v>
                </c:pt>
                <c:pt idx="28">
                  <c:v>89.031000000000006</c:v>
                </c:pt>
                <c:pt idx="29">
                  <c:v>92.73</c:v>
                </c:pt>
                <c:pt idx="30">
                  <c:v>96.436000000000007</c:v>
                </c:pt>
                <c:pt idx="31">
                  <c:v>100.148</c:v>
                </c:pt>
                <c:pt idx="32">
                  <c:v>103.86499999999999</c:v>
                </c:pt>
                <c:pt idx="33">
                  <c:v>107.587</c:v>
                </c:pt>
                <c:pt idx="34">
                  <c:v>111.315</c:v>
                </c:pt>
                <c:pt idx="35">
                  <c:v>115.048</c:v>
                </c:pt>
                <c:pt idx="36">
                  <c:v>118.786</c:v>
                </c:pt>
                <c:pt idx="37">
                  <c:v>122.52800000000001</c:v>
                </c:pt>
                <c:pt idx="38">
                  <c:v>126.276</c:v>
                </c:pt>
                <c:pt idx="39">
                  <c:v>130.02799999999999</c:v>
                </c:pt>
                <c:pt idx="40">
                  <c:v>133.786</c:v>
                </c:pt>
                <c:pt idx="41">
                  <c:v>137.548</c:v>
                </c:pt>
                <c:pt idx="42">
                  <c:v>141.31399999999999</c:v>
                </c:pt>
                <c:pt idx="43">
                  <c:v>145.08500000000001</c:v>
                </c:pt>
                <c:pt idx="44">
                  <c:v>148.86000000000001</c:v>
                </c:pt>
                <c:pt idx="45">
                  <c:v>152.63900000000001</c:v>
                </c:pt>
                <c:pt idx="46">
                  <c:v>156.41999999999999</c:v>
                </c:pt>
                <c:pt idx="47">
                  <c:v>160.20500000000001</c:v>
                </c:pt>
                <c:pt idx="48">
                  <c:v>163.99100000000001</c:v>
                </c:pt>
                <c:pt idx="49">
                  <c:v>167.77799999999999</c:v>
                </c:pt>
              </c:numCache>
            </c:numRef>
          </c:yVal>
          <c:smooth val="1"/>
          <c:extLst>
            <c:ext xmlns:c16="http://schemas.microsoft.com/office/drawing/2014/chart" uri="{C3380CC4-5D6E-409C-BE32-E72D297353CC}">
              <c16:uniqueId val="{00000001-804C-44CD-B04A-6095B8A37E29}"/>
            </c:ext>
          </c:extLst>
        </c:ser>
        <c:ser>
          <c:idx val="2"/>
          <c:order val="2"/>
          <c:tx>
            <c:v>H2O</c:v>
          </c:tx>
          <c:spPr>
            <a:ln w="19050" cap="rnd">
              <a:solidFill>
                <a:schemeClr val="accent3"/>
              </a:solidFill>
              <a:round/>
            </a:ln>
            <a:effectLst/>
          </c:spPr>
          <c:marker>
            <c:symbol val="none"/>
          </c:marker>
          <c:xVal>
            <c:numRef>
              <c:f>'CP Tables'!$A$3:$A$52</c:f>
              <c:numCache>
                <c:formatCode>General</c:formatCode>
                <c:ptCount val="50"/>
                <c:pt idx="0">
                  <c:v>200</c:v>
                </c:pt>
                <c:pt idx="1">
                  <c:v>298</c:v>
                </c:pt>
                <c:pt idx="2">
                  <c:v>300</c:v>
                </c:pt>
                <c:pt idx="3">
                  <c:v>400</c:v>
                </c:pt>
                <c:pt idx="4">
                  <c:v>500</c:v>
                </c:pt>
                <c:pt idx="5">
                  <c:v>600</c:v>
                </c:pt>
                <c:pt idx="6">
                  <c:v>700</c:v>
                </c:pt>
                <c:pt idx="7">
                  <c:v>800</c:v>
                </c:pt>
                <c:pt idx="8">
                  <c:v>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pt idx="24">
                  <c:v>2500</c:v>
                </c:pt>
                <c:pt idx="25">
                  <c:v>2600</c:v>
                </c:pt>
                <c:pt idx="26">
                  <c:v>2700</c:v>
                </c:pt>
                <c:pt idx="27">
                  <c:v>2800</c:v>
                </c:pt>
                <c:pt idx="28">
                  <c:v>2900</c:v>
                </c:pt>
                <c:pt idx="29">
                  <c:v>3000</c:v>
                </c:pt>
                <c:pt idx="30">
                  <c:v>3100</c:v>
                </c:pt>
                <c:pt idx="31">
                  <c:v>3200</c:v>
                </c:pt>
                <c:pt idx="32">
                  <c:v>3300</c:v>
                </c:pt>
                <c:pt idx="33">
                  <c:v>3400</c:v>
                </c:pt>
                <c:pt idx="34">
                  <c:v>3500</c:v>
                </c:pt>
                <c:pt idx="35">
                  <c:v>3600</c:v>
                </c:pt>
                <c:pt idx="36">
                  <c:v>3700</c:v>
                </c:pt>
                <c:pt idx="37">
                  <c:v>3800</c:v>
                </c:pt>
                <c:pt idx="38">
                  <c:v>3900</c:v>
                </c:pt>
                <c:pt idx="39">
                  <c:v>4000</c:v>
                </c:pt>
                <c:pt idx="40">
                  <c:v>4100</c:v>
                </c:pt>
                <c:pt idx="41">
                  <c:v>4200</c:v>
                </c:pt>
                <c:pt idx="42">
                  <c:v>4300</c:v>
                </c:pt>
                <c:pt idx="43">
                  <c:v>4400</c:v>
                </c:pt>
                <c:pt idx="44">
                  <c:v>4500</c:v>
                </c:pt>
                <c:pt idx="45">
                  <c:v>4600</c:v>
                </c:pt>
                <c:pt idx="46">
                  <c:v>4700</c:v>
                </c:pt>
                <c:pt idx="47">
                  <c:v>4800</c:v>
                </c:pt>
                <c:pt idx="48">
                  <c:v>4900</c:v>
                </c:pt>
                <c:pt idx="49">
                  <c:v>5000</c:v>
                </c:pt>
              </c:numCache>
            </c:numRef>
          </c:xVal>
          <c:yVal>
            <c:numRef>
              <c:f>'CP Tables'!$H$3:$H$52</c:f>
              <c:numCache>
                <c:formatCode>General</c:formatCode>
                <c:ptCount val="50"/>
                <c:pt idx="0">
                  <c:v>-3.2269999999999999</c:v>
                </c:pt>
                <c:pt idx="1">
                  <c:v>0</c:v>
                </c:pt>
                <c:pt idx="2">
                  <c:v>6.2E-2</c:v>
                </c:pt>
                <c:pt idx="3">
                  <c:v>3.4580000000000002</c:v>
                </c:pt>
                <c:pt idx="4">
                  <c:v>6.9470000000000001</c:v>
                </c:pt>
                <c:pt idx="5">
                  <c:v>10.528</c:v>
                </c:pt>
                <c:pt idx="6">
                  <c:v>14.209</c:v>
                </c:pt>
                <c:pt idx="7">
                  <c:v>18.004999999999999</c:v>
                </c:pt>
                <c:pt idx="8">
                  <c:v>21.93</c:v>
                </c:pt>
                <c:pt idx="9">
                  <c:v>25.992999999999999</c:v>
                </c:pt>
                <c:pt idx="10">
                  <c:v>30.190999999999999</c:v>
                </c:pt>
                <c:pt idx="11">
                  <c:v>34.518000000000001</c:v>
                </c:pt>
                <c:pt idx="12">
                  <c:v>38.963000000000001</c:v>
                </c:pt>
                <c:pt idx="13">
                  <c:v>43.52</c:v>
                </c:pt>
                <c:pt idx="14">
                  <c:v>48.180999999999997</c:v>
                </c:pt>
                <c:pt idx="15">
                  <c:v>52.939</c:v>
                </c:pt>
                <c:pt idx="16">
                  <c:v>57.786000000000001</c:v>
                </c:pt>
                <c:pt idx="17">
                  <c:v>62.716999999999999</c:v>
                </c:pt>
                <c:pt idx="18">
                  <c:v>67.724999999999994</c:v>
                </c:pt>
                <c:pt idx="19">
                  <c:v>72.805000000000007</c:v>
                </c:pt>
                <c:pt idx="20">
                  <c:v>77.951999999999998</c:v>
                </c:pt>
                <c:pt idx="21">
                  <c:v>83.16</c:v>
                </c:pt>
                <c:pt idx="22">
                  <c:v>88.426000000000002</c:v>
                </c:pt>
                <c:pt idx="23">
                  <c:v>93.744</c:v>
                </c:pt>
                <c:pt idx="24">
                  <c:v>99.111999999999995</c:v>
                </c:pt>
                <c:pt idx="25">
                  <c:v>104.524</c:v>
                </c:pt>
                <c:pt idx="26">
                  <c:v>109.979</c:v>
                </c:pt>
                <c:pt idx="27">
                  <c:v>115.47199999999999</c:v>
                </c:pt>
                <c:pt idx="28">
                  <c:v>121.001</c:v>
                </c:pt>
                <c:pt idx="29">
                  <c:v>126.563</c:v>
                </c:pt>
                <c:pt idx="30">
                  <c:v>132.15600000000001</c:v>
                </c:pt>
                <c:pt idx="31">
                  <c:v>137.77699999999999</c:v>
                </c:pt>
                <c:pt idx="32">
                  <c:v>143.42599999999999</c:v>
                </c:pt>
                <c:pt idx="33">
                  <c:v>149.09899999999999</c:v>
                </c:pt>
                <c:pt idx="34">
                  <c:v>154.79499999999999</c:v>
                </c:pt>
                <c:pt idx="35">
                  <c:v>160.51400000000001</c:v>
                </c:pt>
                <c:pt idx="36">
                  <c:v>166.25200000000001</c:v>
                </c:pt>
                <c:pt idx="37">
                  <c:v>172.011</c:v>
                </c:pt>
                <c:pt idx="38">
                  <c:v>177.78700000000001</c:v>
                </c:pt>
                <c:pt idx="39">
                  <c:v>183.58199999999999</c:v>
                </c:pt>
                <c:pt idx="40">
                  <c:v>189.392</c:v>
                </c:pt>
                <c:pt idx="41">
                  <c:v>195.21899999999999</c:v>
                </c:pt>
                <c:pt idx="42">
                  <c:v>201.06100000000001</c:v>
                </c:pt>
                <c:pt idx="43">
                  <c:v>206.91800000000001</c:v>
                </c:pt>
                <c:pt idx="44">
                  <c:v>212.79</c:v>
                </c:pt>
                <c:pt idx="45">
                  <c:v>218.67400000000001</c:v>
                </c:pt>
                <c:pt idx="46">
                  <c:v>224.57300000000001</c:v>
                </c:pt>
                <c:pt idx="47">
                  <c:v>230.48400000000001</c:v>
                </c:pt>
                <c:pt idx="48">
                  <c:v>236.40700000000001</c:v>
                </c:pt>
                <c:pt idx="49">
                  <c:v>242.34299999999999</c:v>
                </c:pt>
              </c:numCache>
            </c:numRef>
          </c:yVal>
          <c:smooth val="1"/>
          <c:extLst>
            <c:ext xmlns:c16="http://schemas.microsoft.com/office/drawing/2014/chart" uri="{C3380CC4-5D6E-409C-BE32-E72D297353CC}">
              <c16:uniqueId val="{00000002-804C-44CD-B04A-6095B8A37E29}"/>
            </c:ext>
          </c:extLst>
        </c:ser>
        <c:ser>
          <c:idx val="3"/>
          <c:order val="3"/>
          <c:tx>
            <c:v>O2</c:v>
          </c:tx>
          <c:spPr>
            <a:ln w="19050" cap="rnd">
              <a:solidFill>
                <a:schemeClr val="accent4"/>
              </a:solidFill>
              <a:round/>
            </a:ln>
            <a:effectLst/>
          </c:spPr>
          <c:marker>
            <c:symbol val="none"/>
          </c:marker>
          <c:xVal>
            <c:numRef>
              <c:f>'CP Tables'!$A$3:$A$52</c:f>
              <c:numCache>
                <c:formatCode>General</c:formatCode>
                <c:ptCount val="50"/>
                <c:pt idx="0">
                  <c:v>200</c:v>
                </c:pt>
                <c:pt idx="1">
                  <c:v>298</c:v>
                </c:pt>
                <c:pt idx="2">
                  <c:v>300</c:v>
                </c:pt>
                <c:pt idx="3">
                  <c:v>400</c:v>
                </c:pt>
                <c:pt idx="4">
                  <c:v>500</c:v>
                </c:pt>
                <c:pt idx="5">
                  <c:v>600</c:v>
                </c:pt>
                <c:pt idx="6">
                  <c:v>700</c:v>
                </c:pt>
                <c:pt idx="7">
                  <c:v>800</c:v>
                </c:pt>
                <c:pt idx="8">
                  <c:v>900</c:v>
                </c:pt>
                <c:pt idx="9">
                  <c:v>1000</c:v>
                </c:pt>
                <c:pt idx="10">
                  <c:v>1100</c:v>
                </c:pt>
                <c:pt idx="11">
                  <c:v>1200</c:v>
                </c:pt>
                <c:pt idx="12">
                  <c:v>1300</c:v>
                </c:pt>
                <c:pt idx="13">
                  <c:v>1400</c:v>
                </c:pt>
                <c:pt idx="14">
                  <c:v>1500</c:v>
                </c:pt>
                <c:pt idx="15">
                  <c:v>1600</c:v>
                </c:pt>
                <c:pt idx="16">
                  <c:v>1700</c:v>
                </c:pt>
                <c:pt idx="17">
                  <c:v>1800</c:v>
                </c:pt>
                <c:pt idx="18">
                  <c:v>1900</c:v>
                </c:pt>
                <c:pt idx="19">
                  <c:v>2000</c:v>
                </c:pt>
                <c:pt idx="20">
                  <c:v>2100</c:v>
                </c:pt>
                <c:pt idx="21">
                  <c:v>2200</c:v>
                </c:pt>
                <c:pt idx="22">
                  <c:v>2300</c:v>
                </c:pt>
                <c:pt idx="23">
                  <c:v>2400</c:v>
                </c:pt>
                <c:pt idx="24">
                  <c:v>2500</c:v>
                </c:pt>
                <c:pt idx="25">
                  <c:v>2600</c:v>
                </c:pt>
                <c:pt idx="26">
                  <c:v>2700</c:v>
                </c:pt>
                <c:pt idx="27">
                  <c:v>2800</c:v>
                </c:pt>
                <c:pt idx="28">
                  <c:v>2900</c:v>
                </c:pt>
                <c:pt idx="29">
                  <c:v>3000</c:v>
                </c:pt>
                <c:pt idx="30">
                  <c:v>3100</c:v>
                </c:pt>
                <c:pt idx="31">
                  <c:v>3200</c:v>
                </c:pt>
                <c:pt idx="32">
                  <c:v>3300</c:v>
                </c:pt>
                <c:pt idx="33">
                  <c:v>3400</c:v>
                </c:pt>
                <c:pt idx="34">
                  <c:v>3500</c:v>
                </c:pt>
                <c:pt idx="35">
                  <c:v>3600</c:v>
                </c:pt>
                <c:pt idx="36">
                  <c:v>3700</c:v>
                </c:pt>
                <c:pt idx="37">
                  <c:v>3800</c:v>
                </c:pt>
                <c:pt idx="38">
                  <c:v>3900</c:v>
                </c:pt>
                <c:pt idx="39">
                  <c:v>4000</c:v>
                </c:pt>
                <c:pt idx="40">
                  <c:v>4100</c:v>
                </c:pt>
                <c:pt idx="41">
                  <c:v>4200</c:v>
                </c:pt>
                <c:pt idx="42">
                  <c:v>4300</c:v>
                </c:pt>
                <c:pt idx="43">
                  <c:v>4400</c:v>
                </c:pt>
                <c:pt idx="44">
                  <c:v>4500</c:v>
                </c:pt>
                <c:pt idx="45">
                  <c:v>4600</c:v>
                </c:pt>
                <c:pt idx="46">
                  <c:v>4700</c:v>
                </c:pt>
                <c:pt idx="47">
                  <c:v>4800</c:v>
                </c:pt>
                <c:pt idx="48">
                  <c:v>4900</c:v>
                </c:pt>
                <c:pt idx="49">
                  <c:v>5000</c:v>
                </c:pt>
              </c:numCache>
            </c:numRef>
          </c:xVal>
          <c:yVal>
            <c:numRef>
              <c:f>'CP Tables'!$K$3:$K$52</c:f>
              <c:numCache>
                <c:formatCode>General</c:formatCode>
                <c:ptCount val="50"/>
                <c:pt idx="0">
                  <c:v>-2.8359999999999999</c:v>
                </c:pt>
                <c:pt idx="1">
                  <c:v>0</c:v>
                </c:pt>
                <c:pt idx="2">
                  <c:v>5.3999999999999999E-2</c:v>
                </c:pt>
                <c:pt idx="3">
                  <c:v>3.0310000000000001</c:v>
                </c:pt>
                <c:pt idx="4">
                  <c:v>6.0970000000000004</c:v>
                </c:pt>
                <c:pt idx="5">
                  <c:v>9.2539999999999996</c:v>
                </c:pt>
                <c:pt idx="6">
                  <c:v>12.503</c:v>
                </c:pt>
                <c:pt idx="7">
                  <c:v>15.837999999999999</c:v>
                </c:pt>
                <c:pt idx="8">
                  <c:v>19.25</c:v>
                </c:pt>
                <c:pt idx="9">
                  <c:v>22.721</c:v>
                </c:pt>
                <c:pt idx="10">
                  <c:v>26.231999999999999</c:v>
                </c:pt>
                <c:pt idx="11">
                  <c:v>29.774999999999999</c:v>
                </c:pt>
                <c:pt idx="12">
                  <c:v>33.35</c:v>
                </c:pt>
                <c:pt idx="13">
                  <c:v>36.954999999999998</c:v>
                </c:pt>
                <c:pt idx="14">
                  <c:v>40.590000000000003</c:v>
                </c:pt>
                <c:pt idx="15">
                  <c:v>44.253</c:v>
                </c:pt>
                <c:pt idx="16">
                  <c:v>47.942999999999998</c:v>
                </c:pt>
                <c:pt idx="17">
                  <c:v>51.66</c:v>
                </c:pt>
                <c:pt idx="18">
                  <c:v>55.402000000000001</c:v>
                </c:pt>
                <c:pt idx="19">
                  <c:v>59.168999999999997</c:v>
                </c:pt>
                <c:pt idx="20">
                  <c:v>62.959000000000003</c:v>
                </c:pt>
                <c:pt idx="21">
                  <c:v>66.772999999999996</c:v>
                </c:pt>
                <c:pt idx="22">
                  <c:v>70.608999999999995</c:v>
                </c:pt>
                <c:pt idx="23">
                  <c:v>74.466999999999999</c:v>
                </c:pt>
                <c:pt idx="24">
                  <c:v>78.346000000000004</c:v>
                </c:pt>
                <c:pt idx="25">
                  <c:v>82.245000000000005</c:v>
                </c:pt>
                <c:pt idx="26">
                  <c:v>86.164000000000001</c:v>
                </c:pt>
                <c:pt idx="27">
                  <c:v>90.102999999999994</c:v>
                </c:pt>
                <c:pt idx="28">
                  <c:v>94.06</c:v>
                </c:pt>
                <c:pt idx="29">
                  <c:v>98.036000000000001</c:v>
                </c:pt>
                <c:pt idx="30">
                  <c:v>102.029</c:v>
                </c:pt>
                <c:pt idx="31">
                  <c:v>106.04</c:v>
                </c:pt>
                <c:pt idx="32">
                  <c:v>110.068</c:v>
                </c:pt>
                <c:pt idx="33">
                  <c:v>114.11199999999999</c:v>
                </c:pt>
                <c:pt idx="34">
                  <c:v>118.173</c:v>
                </c:pt>
                <c:pt idx="35">
                  <c:v>122.249</c:v>
                </c:pt>
                <c:pt idx="36">
                  <c:v>126.34099999999999</c:v>
                </c:pt>
                <c:pt idx="37">
                  <c:v>130.44800000000001</c:v>
                </c:pt>
                <c:pt idx="38">
                  <c:v>134.57</c:v>
                </c:pt>
                <c:pt idx="39">
                  <c:v>138.70500000000001</c:v>
                </c:pt>
                <c:pt idx="40">
                  <c:v>142.85499999999999</c:v>
                </c:pt>
                <c:pt idx="41">
                  <c:v>147.01900000000001</c:v>
                </c:pt>
                <c:pt idx="42">
                  <c:v>151.19499999999999</c:v>
                </c:pt>
                <c:pt idx="43">
                  <c:v>155.38399999999999</c:v>
                </c:pt>
                <c:pt idx="44">
                  <c:v>159.58600000000001</c:v>
                </c:pt>
                <c:pt idx="45">
                  <c:v>163.80000000000001</c:v>
                </c:pt>
                <c:pt idx="46">
                  <c:v>168.02600000000001</c:v>
                </c:pt>
                <c:pt idx="47">
                  <c:v>172.262</c:v>
                </c:pt>
                <c:pt idx="48">
                  <c:v>176.51</c:v>
                </c:pt>
                <c:pt idx="49">
                  <c:v>180.767</c:v>
                </c:pt>
              </c:numCache>
            </c:numRef>
          </c:yVal>
          <c:smooth val="1"/>
          <c:extLst>
            <c:ext xmlns:c16="http://schemas.microsoft.com/office/drawing/2014/chart" uri="{C3380CC4-5D6E-409C-BE32-E72D297353CC}">
              <c16:uniqueId val="{00000003-804C-44CD-B04A-6095B8A37E29}"/>
            </c:ext>
          </c:extLst>
        </c:ser>
        <c:dLbls>
          <c:showLegendKey val="0"/>
          <c:showVal val="0"/>
          <c:showCatName val="0"/>
          <c:showSerName val="0"/>
          <c:showPercent val="0"/>
          <c:showBubbleSize val="0"/>
        </c:dLbls>
        <c:axId val="332790544"/>
        <c:axId val="332787592"/>
      </c:scatterChart>
      <c:valAx>
        <c:axId val="3327905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Temperature (K)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2787592"/>
        <c:crosses val="autoZero"/>
        <c:crossBetween val="midCat"/>
      </c:valAx>
      <c:valAx>
        <c:axId val="332787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baseline="0">
                    <a:effectLst/>
                  </a:rPr>
                  <a:t>Enthalpy Needed (MJ/Kmol)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279054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Flame</a:t>
            </a:r>
            <a:r>
              <a:rPr lang="en-GB" baseline="0"/>
              <a:t> Temperature (TB1) / </a:t>
            </a:r>
            <a:r>
              <a:rPr lang="az-Cyrl-AZ" baseline="0">
                <a:latin typeface="Calibri" panose="020F0502020204030204" pitchFamily="34" charset="0"/>
                <a:cs typeface="Calibri" panose="020F0502020204030204" pitchFamily="34" charset="0"/>
              </a:rPr>
              <a:t>ф</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'Temp, Nox'!$A$2:$A$14</c:f>
              <c:numCache>
                <c:formatCode>General</c:formatCode>
                <c:ptCount val="13"/>
                <c:pt idx="0">
                  <c:v>1</c:v>
                </c:pt>
                <c:pt idx="1">
                  <c:v>0.99</c:v>
                </c:pt>
                <c:pt idx="2">
                  <c:v>0.98</c:v>
                </c:pt>
                <c:pt idx="3">
                  <c:v>0.97</c:v>
                </c:pt>
                <c:pt idx="4">
                  <c:v>0.96</c:v>
                </c:pt>
                <c:pt idx="5">
                  <c:v>0.95</c:v>
                </c:pt>
                <c:pt idx="6">
                  <c:v>0.9</c:v>
                </c:pt>
                <c:pt idx="7">
                  <c:v>0.85</c:v>
                </c:pt>
                <c:pt idx="8">
                  <c:v>0.8</c:v>
                </c:pt>
                <c:pt idx="9">
                  <c:v>0.75</c:v>
                </c:pt>
                <c:pt idx="10">
                  <c:v>0.7</c:v>
                </c:pt>
                <c:pt idx="11">
                  <c:v>0.65</c:v>
                </c:pt>
                <c:pt idx="12">
                  <c:v>0.6</c:v>
                </c:pt>
              </c:numCache>
            </c:numRef>
          </c:xVal>
          <c:yVal>
            <c:numRef>
              <c:f>'Temp, Nox'!$B$2:$B$14</c:f>
              <c:numCache>
                <c:formatCode>General</c:formatCode>
                <c:ptCount val="13"/>
                <c:pt idx="0" formatCode="0.0000">
                  <c:v>2409.5335788669277</c:v>
                </c:pt>
                <c:pt idx="1">
                  <c:v>2393.6312706522554</c:v>
                </c:pt>
                <c:pt idx="2">
                  <c:v>2377.6607902689079</c:v>
                </c:pt>
                <c:pt idx="3">
                  <c:v>2361.6215356905213</c:v>
                </c:pt>
                <c:pt idx="4">
                  <c:v>2345.5128944496482</c:v>
                </c:pt>
                <c:pt idx="5">
                  <c:v>2329.3342434258429</c:v>
                </c:pt>
                <c:pt idx="6">
                  <c:v>2247.3681524856988</c:v>
                </c:pt>
                <c:pt idx="7">
                  <c:v>2163.5511399035195</c:v>
                </c:pt>
                <c:pt idx="8">
                  <c:v>2077.7905434039731</c:v>
                </c:pt>
                <c:pt idx="9">
                  <c:v>1989.9839872277685</c:v>
                </c:pt>
                <c:pt idx="10">
                  <c:v>1900.0179522295282</c:v>
                </c:pt>
                <c:pt idx="11" formatCode="0.0000">
                  <c:v>1807.7660988455093</c:v>
                </c:pt>
                <c:pt idx="12">
                  <c:v>1713.0872716881711</c:v>
                </c:pt>
              </c:numCache>
            </c:numRef>
          </c:yVal>
          <c:smooth val="0"/>
          <c:extLst>
            <c:ext xmlns:c16="http://schemas.microsoft.com/office/drawing/2014/chart" uri="{C3380CC4-5D6E-409C-BE32-E72D297353CC}">
              <c16:uniqueId val="{00000000-A268-4EFA-9452-2C09D3A0EE7B}"/>
            </c:ext>
          </c:extLst>
        </c:ser>
        <c:dLbls>
          <c:showLegendKey val="0"/>
          <c:showVal val="0"/>
          <c:showCatName val="0"/>
          <c:showSerName val="0"/>
          <c:showPercent val="0"/>
          <c:showBubbleSize val="0"/>
        </c:dLbls>
        <c:axId val="777791320"/>
        <c:axId val="684137432"/>
      </c:scatterChart>
      <c:valAx>
        <c:axId val="777791320"/>
        <c:scaling>
          <c:orientation val="minMax"/>
          <c:min val="0.55000000000000004"/>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4137432"/>
        <c:crosses val="autoZero"/>
        <c:crossBetween val="midCat"/>
      </c:valAx>
      <c:valAx>
        <c:axId val="684137432"/>
        <c:scaling>
          <c:orientation val="minMax"/>
          <c:min val="15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Flame</a:t>
                </a:r>
                <a:r>
                  <a:rPr lang="en-GB" baseline="0"/>
                  <a:t> Temperature (K)</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77913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Flame Temperature (TB1) / EGR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trendline>
            <c:spPr>
              <a:ln w="19050" cap="rnd">
                <a:noFill/>
                <a:prstDash val="sysDot"/>
              </a:ln>
              <a:effectLst/>
            </c:spPr>
            <c:trendlineType val="linear"/>
            <c:dispRSqr val="0"/>
            <c:dispEq val="0"/>
          </c:trendline>
          <c:xVal>
            <c:numRef>
              <c:f>EGR!$A$22:$A$52</c:f>
              <c:numCache>
                <c:formatCode>General</c:formatCode>
                <c:ptCount val="31"/>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numCache>
            </c:numRef>
          </c:xVal>
          <c:yVal>
            <c:numRef>
              <c:f>EGR!$B$22:$B$52</c:f>
              <c:numCache>
                <c:formatCode>General</c:formatCode>
                <c:ptCount val="31"/>
                <c:pt idx="0">
                  <c:v>2329.2199210534827</c:v>
                </c:pt>
                <c:pt idx="1">
                  <c:v>2311.0879190910559</c:v>
                </c:pt>
                <c:pt idx="2">
                  <c:v>2293.2978953161546</c:v>
                </c:pt>
                <c:pt idx="3">
                  <c:v>2275.8400793028459</c:v>
                </c:pt>
                <c:pt idx="4">
                  <c:v>2258.7050507875738</c:v>
                </c:pt>
                <c:pt idx="5">
                  <c:v>2241.883754325474</c:v>
                </c:pt>
                <c:pt idx="6">
                  <c:v>2225.367452092994</c:v>
                </c:pt>
                <c:pt idx="7">
                  <c:v>2209.1477452837412</c:v>
                </c:pt>
                <c:pt idx="8">
                  <c:v>2193</c:v>
                </c:pt>
                <c:pt idx="9">
                  <c:v>2177.5659667909558</c:v>
                </c:pt>
                <c:pt idx="10">
                  <c:v>2162.1885546183044</c:v>
                </c:pt>
                <c:pt idx="11">
                  <c:v>2147.0770152082605</c:v>
                </c:pt>
                <c:pt idx="12">
                  <c:v>2132.2243195068354</c:v>
                </c:pt>
                <c:pt idx="13">
                  <c:v>2117.6237153176316</c:v>
                </c:pt>
                <c:pt idx="14">
                  <c:v>2103.2686648812282</c:v>
                </c:pt>
                <c:pt idx="15">
                  <c:v>2089.1528548542765</c:v>
                </c:pt>
                <c:pt idx="16">
                  <c:v>2075.2701837867035</c:v>
                </c:pt>
                <c:pt idx="17">
                  <c:v>2061.6147644147736</c:v>
                </c:pt>
                <c:pt idx="18">
                  <c:v>2048.1809051611685</c:v>
                </c:pt>
                <c:pt idx="19">
                  <c:v>2034.963097940901</c:v>
                </c:pt>
                <c:pt idx="20">
                  <c:v>2021.9560147795714</c:v>
                </c:pt>
                <c:pt idx="21">
                  <c:v>2009.1545067375962</c:v>
                </c:pt>
                <c:pt idx="22">
                  <c:v>1996.5535925458255</c:v>
                </c:pt>
                <c:pt idx="23">
                  <c:v>1984.1484578091033</c:v>
                </c:pt>
                <c:pt idx="24">
                  <c:v>1971.9344258195472</c:v>
                </c:pt>
                <c:pt idx="25">
                  <c:v>1959.9069754402117</c:v>
                </c:pt>
                <c:pt idx="26">
                  <c:v>1948.0617331216795</c:v>
                </c:pt>
                <c:pt idx="27">
                  <c:v>1936.3944498635717</c:v>
                </c:pt>
                <c:pt idx="28">
                  <c:v>1924.901033356349</c:v>
                </c:pt>
                <c:pt idx="29">
                  <c:v>1913.5774805179408</c:v>
                </c:pt>
                <c:pt idx="30">
                  <c:v>1902.4199451187574</c:v>
                </c:pt>
              </c:numCache>
            </c:numRef>
          </c:yVal>
          <c:smooth val="1"/>
          <c:extLst>
            <c:ext xmlns:c16="http://schemas.microsoft.com/office/drawing/2014/chart" uri="{C3380CC4-5D6E-409C-BE32-E72D297353CC}">
              <c16:uniqueId val="{00000001-3C82-45F0-8A47-102BE335906C}"/>
            </c:ext>
          </c:extLst>
        </c:ser>
        <c:dLbls>
          <c:showLegendKey val="0"/>
          <c:showVal val="0"/>
          <c:showCatName val="0"/>
          <c:showSerName val="0"/>
          <c:showPercent val="0"/>
          <c:showBubbleSize val="0"/>
        </c:dLbls>
        <c:axId val="544912032"/>
        <c:axId val="544910720"/>
      </c:scatterChart>
      <c:valAx>
        <c:axId val="544912032"/>
        <c:scaling>
          <c:orientation val="minMax"/>
          <c:max val="0.32000000000000006"/>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EGR</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4910720"/>
        <c:crosses val="autoZero"/>
        <c:crossBetween val="midCat"/>
      </c:valAx>
      <c:valAx>
        <c:axId val="544910720"/>
        <c:scaling>
          <c:orientation val="minMax"/>
          <c:min val="18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TB1</a:t>
                </a:r>
                <a:r>
                  <a:rPr lang="en-GB" baseline="0"/>
                  <a:t> Flame Temp</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49120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NOx PPM/EGR %</a:t>
            </a:r>
            <a:endParaRPr lang="en-GB">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EGR!$A$22:$A$52</c:f>
              <c:numCache>
                <c:formatCode>General</c:formatCode>
                <c:ptCount val="31"/>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numCache>
            </c:numRef>
          </c:xVal>
          <c:yVal>
            <c:numRef>
              <c:f>EGR!$E$22:$E$52</c:f>
              <c:numCache>
                <c:formatCode>General</c:formatCode>
                <c:ptCount val="31"/>
                <c:pt idx="0">
                  <c:v>141190.1251546253</c:v>
                </c:pt>
                <c:pt idx="1">
                  <c:v>117905.6106358072</c:v>
                </c:pt>
                <c:pt idx="2">
                  <c:v>98526.643076424836</c:v>
                </c:pt>
                <c:pt idx="3">
                  <c:v>82387.118911539699</c:v>
                </c:pt>
                <c:pt idx="4">
                  <c:v>68936.42153271554</c:v>
                </c:pt>
                <c:pt idx="5">
                  <c:v>57719.071641341696</c:v>
                </c:pt>
                <c:pt idx="6">
                  <c:v>48358.020965147109</c:v>
                </c:pt>
                <c:pt idx="7">
                  <c:v>40540.932480646799</c:v>
                </c:pt>
                <c:pt idx="8">
                  <c:v>33981.243103976478</c:v>
                </c:pt>
                <c:pt idx="9">
                  <c:v>28547.099867539386</c:v>
                </c:pt>
                <c:pt idx="10">
                  <c:v>23977.289917184455</c:v>
                </c:pt>
                <c:pt idx="11">
                  <c:v>20151.350444396223</c:v>
                </c:pt>
                <c:pt idx="12">
                  <c:v>16946.177742246597</c:v>
                </c:pt>
                <c:pt idx="13">
                  <c:v>14259.374029594137</c:v>
                </c:pt>
                <c:pt idx="14">
                  <c:v>12005.712380263805</c:v>
                </c:pt>
                <c:pt idx="15">
                  <c:v>10114.205396709456</c:v>
                </c:pt>
                <c:pt idx="16">
                  <c:v>8525.6912580235421</c:v>
                </c:pt>
                <c:pt idx="17">
                  <c:v>7190.8320168456075</c:v>
                </c:pt>
                <c:pt idx="18">
                  <c:v>6068.4554390800376</c:v>
                </c:pt>
                <c:pt idx="19">
                  <c:v>5124.1793567454415</c:v>
                </c:pt>
                <c:pt idx="20">
                  <c:v>4329.2776581966291</c:v>
                </c:pt>
                <c:pt idx="21">
                  <c:v>3659.7323714441918</c:v>
                </c:pt>
                <c:pt idx="22">
                  <c:v>3095.4495907106925</c:v>
                </c:pt>
                <c:pt idx="23">
                  <c:v>2619.6100911994608</c:v>
                </c:pt>
                <c:pt idx="24">
                  <c:v>2218.1240489422235</c:v>
                </c:pt>
                <c:pt idx="25">
                  <c:v>1879.1837970967395</c:v>
                </c:pt>
                <c:pt idx="26">
                  <c:v>1592.8866961811243</c:v>
                </c:pt>
                <c:pt idx="27">
                  <c:v>1350.9230276870035</c:v>
                </c:pt>
                <c:pt idx="28">
                  <c:v>1146.316368199866</c:v>
                </c:pt>
                <c:pt idx="29">
                  <c:v>973.20543163482932</c:v>
                </c:pt>
                <c:pt idx="30">
                  <c:v>826.66355408961749</c:v>
                </c:pt>
              </c:numCache>
            </c:numRef>
          </c:yVal>
          <c:smooth val="1"/>
          <c:extLst>
            <c:ext xmlns:c16="http://schemas.microsoft.com/office/drawing/2014/chart" uri="{C3380CC4-5D6E-409C-BE32-E72D297353CC}">
              <c16:uniqueId val="{00000000-3764-4066-B2BA-827486104497}"/>
            </c:ext>
          </c:extLst>
        </c:ser>
        <c:dLbls>
          <c:showLegendKey val="0"/>
          <c:showVal val="0"/>
          <c:showCatName val="0"/>
          <c:showSerName val="0"/>
          <c:showPercent val="0"/>
          <c:showBubbleSize val="0"/>
        </c:dLbls>
        <c:axId val="501327512"/>
        <c:axId val="501330792"/>
      </c:scatterChart>
      <c:valAx>
        <c:axId val="501327512"/>
        <c:scaling>
          <c:orientation val="minMax"/>
          <c:max val="0.3100000000000000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EGR</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330792"/>
        <c:crosses val="autoZero"/>
        <c:crossBetween val="midCat"/>
      </c:valAx>
      <c:valAx>
        <c:axId val="501330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a:effectLst/>
                  </a:rPr>
                  <a:t>NOx</a:t>
                </a:r>
                <a:r>
                  <a:rPr lang="en-GB" baseline="0">
                    <a:effectLst/>
                  </a:rPr>
                  <a:t> PPM </a:t>
                </a:r>
                <a:endParaRPr lang="en-GB">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132751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A6C"/>
    <w:rsid w:val="00BD1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D1A6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Eri00</b:Tag>
    <b:SourceType>Book</b:SourceType>
    <b:Guid>{A32A8317-5C95-4ECB-9384-90EFD0C42310}</b:Guid>
    <b:Author>
      <b:Author>
        <b:NameList>
          <b:Person>
            <b:Last>Goodger</b:Last>
            <b:First>Eric</b:First>
            <b:Middle>M</b:Middle>
          </b:Person>
        </b:NameList>
      </b:Author>
    </b:Author>
    <b:Title>Transport Fuels Technology </b:Title>
    <b:Year>2000</b:Year>
    <b:City>Norwich</b:City>
    <b:Publisher>Landfall Press</b:Publisher>
    <b:RefOrder>2</b:RefOrder>
  </b:Source>
  <b:Source>
    <b:Tag>Joh88</b:Tag>
    <b:SourceType>Book</b:SourceType>
    <b:Guid>{3A63D298-679B-4CB7-AA54-1ADA7D93E2F3}</b:Guid>
    <b:Author>
      <b:Author>
        <b:NameList>
          <b:Person>
            <b:Last>Heywood</b:Last>
            <b:First>John</b:First>
            <b:Middle>B</b:Middle>
          </b:Person>
        </b:NameList>
      </b:Author>
    </b:Author>
    <b:Title>Internal Combustion Engine Fundementals </b:Title>
    <b:Year>1988</b:Year>
    <b:Publisher>McGraw-Hill Educatio</b:Publisher>
    <b:RefOrder>1</b:RefOrder>
  </b:Source>
  <b:Source>
    <b:Tag>Sor12</b:Tag>
    <b:SourceType>JournalArticle</b:SourceType>
    <b:Guid>{E813195E-12F7-4C76-9F83-F5EA1FD4C7EC}</b:Guid>
    <b:Title>EFFECT OF EXHAUST GAS RECIRCULATION (EGR) ON NOx </b:Title>
    <b:Year>2012</b:Year>
    <b:Author>
      <b:Author>
        <b:NameList>
          <b:Person>
            <b:Last>Sorathia</b:Last>
            <b:First>HS,</b:First>
            <b:Middle>Rahhod, PP Arvid SS</b:Middle>
          </b:Person>
        </b:NameList>
      </b:Author>
    </b:Author>
    <b:JournalName>International Journal of Advanced Engineering Research and Studies</b:JournalName>
    <b:RefOrder>3</b:RefOrder>
  </b:Source>
</b:Sources>
</file>

<file path=customXml/itemProps1.xml><?xml version="1.0" encoding="utf-8"?>
<ds:datastoreItem xmlns:ds="http://schemas.openxmlformats.org/officeDocument/2006/customXml" ds:itemID="{DB712B94-E1C0-4DA7-BFC9-921BED802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2764</Words>
  <Characters>15759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hine</dc:creator>
  <cp:keywords/>
  <dc:description/>
  <cp:lastModifiedBy>Christopher Hine</cp:lastModifiedBy>
  <cp:revision>2</cp:revision>
  <dcterms:created xsi:type="dcterms:W3CDTF">2018-01-11T15:07:00Z</dcterms:created>
  <dcterms:modified xsi:type="dcterms:W3CDTF">2018-01-11T15:07:00Z</dcterms:modified>
</cp:coreProperties>
</file>