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54D43016"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3D2222">
        <w:rPr>
          <w:rStyle w:val="Strong"/>
          <w:rFonts w:ascii="Arial" w:hAnsi="Arial" w:cs="Arial"/>
          <w:color w:val="1D2125"/>
          <w:sz w:val="32"/>
          <w:szCs w:val="32"/>
        </w:rPr>
        <w:t>:</w:t>
      </w:r>
      <w:r w:rsidR="00F26177">
        <w:rPr>
          <w:rStyle w:val="Strong"/>
          <w:rFonts w:ascii="Arial" w:hAnsi="Arial" w:cs="Arial"/>
          <w:color w:val="1D2125"/>
          <w:sz w:val="32"/>
          <w:szCs w:val="32"/>
        </w:rPr>
        <w:t xml:space="preserve"> </w:t>
      </w:r>
      <w:r w:rsidR="003D2222">
        <w:rPr>
          <w:rStyle w:val="Strong"/>
          <w:rFonts w:ascii="Arial" w:hAnsi="Arial" w:cs="Arial"/>
          <w:color w:val="1D2125"/>
          <w:sz w:val="32"/>
          <w:szCs w:val="32"/>
        </w:rPr>
        <w:t>Abosede Dehinbo</w:t>
      </w:r>
    </w:p>
    <w:p w14:paraId="3F25C99D" w14:textId="2D04AA57"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3D2222">
        <w:rPr>
          <w:rStyle w:val="Strong"/>
          <w:rFonts w:ascii="Arial" w:hAnsi="Arial" w:cs="Arial"/>
          <w:color w:val="1D2125"/>
          <w:sz w:val="32"/>
          <w:szCs w:val="32"/>
        </w:rPr>
        <w:t>: 2313077</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79E19B9C" w14:textId="77777777" w:rsidR="000B241D" w:rsidRDefault="000B241D" w:rsidP="00D51597">
      <w:pPr>
        <w:rPr>
          <w:rFonts w:ascii="Arial" w:hAnsi="Arial" w:cs="Arial"/>
          <w:sz w:val="36"/>
          <w:szCs w:val="36"/>
        </w:rPr>
      </w:pPr>
    </w:p>
    <w:p w14:paraId="44BB302C" w14:textId="77777777" w:rsidR="000B241D" w:rsidRDefault="000B241D" w:rsidP="00D51597">
      <w:pPr>
        <w:rPr>
          <w:rFonts w:ascii="Arial" w:hAnsi="Arial" w:cs="Arial"/>
          <w:sz w:val="36"/>
          <w:szCs w:val="36"/>
        </w:rPr>
      </w:pPr>
    </w:p>
    <w:p w14:paraId="4EBB7E31" w14:textId="77777777" w:rsidR="000B241D" w:rsidRDefault="000B241D" w:rsidP="00D51597">
      <w:pPr>
        <w:rPr>
          <w:rFonts w:ascii="Arial" w:hAnsi="Arial" w:cs="Arial"/>
          <w:sz w:val="36"/>
          <w:szCs w:val="36"/>
        </w:rPr>
      </w:pPr>
    </w:p>
    <w:p w14:paraId="32672472" w14:textId="77777777" w:rsidR="000B241D" w:rsidRDefault="000B241D" w:rsidP="00D51597">
      <w:pPr>
        <w:rPr>
          <w:rFonts w:ascii="Arial" w:hAnsi="Arial" w:cs="Arial"/>
          <w:sz w:val="36"/>
          <w:szCs w:val="36"/>
        </w:rPr>
      </w:pPr>
    </w:p>
    <w:sdt>
      <w:sdtPr>
        <w:rPr>
          <w:rFonts w:asciiTheme="minorHAnsi" w:eastAsiaTheme="minorHAnsi" w:hAnsiTheme="minorHAnsi" w:cstheme="minorBidi"/>
          <w:color w:val="auto"/>
          <w:kern w:val="2"/>
          <w:sz w:val="24"/>
          <w:szCs w:val="24"/>
          <w:lang w:eastAsia="en-US"/>
          <w14:ligatures w14:val="standardContextual"/>
        </w:rPr>
        <w:id w:val="1799573504"/>
        <w:docPartObj>
          <w:docPartGallery w:val="Table of Contents"/>
          <w:docPartUnique/>
        </w:docPartObj>
      </w:sdtPr>
      <w:sdtEndPr>
        <w:rPr>
          <w:rFonts w:ascii="Arial" w:hAnsi="Arial" w:cs="Arial"/>
          <w:b/>
          <w:bCs/>
        </w:rPr>
      </w:sdtEndPr>
      <w:sdtContent>
        <w:p w14:paraId="76E20BA4" w14:textId="59809A09" w:rsidR="00755793" w:rsidRDefault="00755793">
          <w:pPr>
            <w:pStyle w:val="TOCHeading"/>
            <w:rPr>
              <w:color w:val="auto"/>
            </w:rPr>
          </w:pPr>
          <w:r w:rsidRPr="007D087F">
            <w:rPr>
              <w:color w:val="auto"/>
            </w:rPr>
            <w:t>Contents</w:t>
          </w:r>
        </w:p>
        <w:p w14:paraId="7818EE36" w14:textId="77777777" w:rsidR="007D087F" w:rsidRPr="007D087F" w:rsidRDefault="007D087F" w:rsidP="007D087F">
          <w:pPr>
            <w:rPr>
              <w:lang w:eastAsia="en-GB"/>
            </w:rPr>
          </w:pPr>
        </w:p>
        <w:p w14:paraId="7ECFC97B" w14:textId="71903832"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r w:rsidRPr="007D087F">
            <w:rPr>
              <w:rFonts w:ascii="Arial" w:hAnsi="Arial" w:cs="Arial"/>
            </w:rPr>
            <w:fldChar w:fldCharType="begin"/>
          </w:r>
          <w:r w:rsidRPr="007D087F">
            <w:rPr>
              <w:rFonts w:ascii="Arial" w:hAnsi="Arial" w:cs="Arial"/>
            </w:rPr>
            <w:instrText xml:space="preserve"> TOC \o "1-3" \h \z \u </w:instrText>
          </w:r>
          <w:r w:rsidRPr="007D087F">
            <w:rPr>
              <w:rFonts w:ascii="Arial" w:hAnsi="Arial" w:cs="Arial"/>
            </w:rPr>
            <w:fldChar w:fldCharType="separate"/>
          </w:r>
          <w:hyperlink w:anchor="_Toc227606320" w:history="1">
            <w:r w:rsidRPr="007D087F">
              <w:rPr>
                <w:rStyle w:val="Hyperlink"/>
                <w:rFonts w:ascii="Arial" w:hAnsi="Arial" w:cs="Arial"/>
                <w:noProof/>
                <w:color w:val="auto"/>
              </w:rPr>
              <w:t>Introduction</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_Toc227606320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04717EE8" w14:textId="6819A2CA"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1" w:history="1">
            <w:r w:rsidRPr="007D087F">
              <w:rPr>
                <w:rStyle w:val="Hyperlink"/>
                <w:rFonts w:ascii="Arial" w:hAnsi="Arial" w:cs="Arial"/>
                <w:noProof/>
                <w:color w:val="auto"/>
              </w:rPr>
              <w:t>Classification</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_Toc227606321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111E2A47" w14:textId="6A7ACA31"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2" w:history="1">
            <w:r w:rsidRPr="007D087F">
              <w:rPr>
                <w:rStyle w:val="Hyperlink"/>
                <w:rFonts w:ascii="Arial" w:hAnsi="Arial" w:cs="Arial"/>
                <w:noProof/>
                <w:color w:val="auto"/>
              </w:rPr>
              <w:t>Diagnostic Criteria and Processes</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_Toc227606322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4D48AEC6" w14:textId="6AD28F26"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3" w:history="1">
            <w:r w:rsidRPr="007D087F">
              <w:rPr>
                <w:rStyle w:val="Hyperlink"/>
                <w:rFonts w:ascii="Arial" w:hAnsi="Arial" w:cs="Arial"/>
                <w:noProof/>
                <w:color w:val="auto"/>
              </w:rPr>
              <w:t>Treatment and Rehabilitation:</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_Toc227606323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7865B89E" w14:textId="3A1DBB94"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4" w:history="1">
            <w:r w:rsidRPr="007D087F">
              <w:rPr>
                <w:rStyle w:val="Hyperlink"/>
                <w:rFonts w:ascii="Arial" w:eastAsia="Times New Roman" w:hAnsi="Arial" w:cs="Arial"/>
                <w:noProof/>
                <w:color w:val="auto"/>
              </w:rPr>
              <w:t>Effectiveness and Limitations</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_Toc227606324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71688BAB" w14:textId="3F85B590"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5" w:history="1">
            <w:r w:rsidRPr="007D087F">
              <w:rPr>
                <w:rStyle w:val="Hyperlink"/>
                <w:rFonts w:ascii="Arial" w:hAnsi="Arial" w:cs="Arial"/>
                <w:noProof/>
                <w:color w:val="auto"/>
              </w:rPr>
              <w:t>Current Debates and Emerging Issues:</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_Toc227606325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52C30C24" w14:textId="359B904C"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6" w:history="1">
            <w:r w:rsidRPr="007D087F">
              <w:rPr>
                <w:rStyle w:val="Hyperlink"/>
                <w:rFonts w:ascii="Arial" w:hAnsi="Arial" w:cs="Arial"/>
                <w:noProof/>
                <w:color w:val="auto"/>
              </w:rPr>
              <w:t>Recommendations:</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_Toc227606326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1FB5A602" w14:textId="69F30307"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7" w:history="1">
            <w:r w:rsidRPr="007D087F">
              <w:rPr>
                <w:rStyle w:val="Hyperlink"/>
                <w:rFonts w:ascii="Arial" w:hAnsi="Arial" w:cs="Arial"/>
                <w:noProof/>
                <w:color w:val="auto"/>
              </w:rPr>
              <w:t>Conclusion</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_Toc227606327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58E58C7C" w14:textId="2AC81955" w:rsidR="00755793" w:rsidRPr="007D087F" w:rsidRDefault="00755793" w:rsidP="007D087F">
          <w:pPr>
            <w:spacing w:line="360" w:lineRule="auto"/>
            <w:jc w:val="both"/>
            <w:rPr>
              <w:rFonts w:ascii="Arial" w:hAnsi="Arial" w:cs="Arial"/>
            </w:rPr>
          </w:pPr>
          <w:r w:rsidRPr="007D087F">
            <w:rPr>
              <w:rFonts w:ascii="Arial" w:hAnsi="Arial" w:cs="Arial"/>
              <w:b/>
              <w:bCs/>
            </w:rPr>
            <w:fldChar w:fldCharType="end"/>
          </w:r>
        </w:p>
      </w:sdtContent>
    </w:sdt>
    <w:p w14:paraId="7A618D65" w14:textId="77777777" w:rsidR="000B241D" w:rsidRDefault="000B241D" w:rsidP="00877D7F">
      <w:pPr>
        <w:pStyle w:val="Heading1"/>
      </w:pPr>
    </w:p>
    <w:p w14:paraId="6F8BD8DD" w14:textId="77777777" w:rsidR="000B241D" w:rsidRDefault="000B241D" w:rsidP="00D51597">
      <w:pPr>
        <w:rPr>
          <w:rFonts w:ascii="Arial" w:hAnsi="Arial" w:cs="Arial"/>
          <w:sz w:val="36"/>
          <w:szCs w:val="36"/>
        </w:rPr>
      </w:pPr>
    </w:p>
    <w:p w14:paraId="4EDB2842" w14:textId="77777777" w:rsidR="000B241D" w:rsidRDefault="000B241D" w:rsidP="00D51597">
      <w:pPr>
        <w:rPr>
          <w:rFonts w:ascii="Arial" w:hAnsi="Arial" w:cs="Arial"/>
          <w:sz w:val="36"/>
          <w:szCs w:val="36"/>
        </w:rPr>
      </w:pPr>
    </w:p>
    <w:p w14:paraId="6067DC7C" w14:textId="77777777" w:rsidR="000B241D" w:rsidRDefault="000B241D" w:rsidP="00D51597">
      <w:pPr>
        <w:rPr>
          <w:rFonts w:ascii="Arial" w:hAnsi="Arial" w:cs="Arial"/>
          <w:sz w:val="36"/>
          <w:szCs w:val="36"/>
        </w:rPr>
      </w:pPr>
    </w:p>
    <w:p w14:paraId="2601C451" w14:textId="77777777" w:rsidR="000B241D" w:rsidRDefault="000B241D" w:rsidP="00D51597">
      <w:pPr>
        <w:rPr>
          <w:rFonts w:ascii="Arial" w:hAnsi="Arial" w:cs="Arial"/>
          <w:sz w:val="36"/>
          <w:szCs w:val="36"/>
        </w:rPr>
      </w:pPr>
    </w:p>
    <w:p w14:paraId="05662234" w14:textId="77777777" w:rsidR="000B241D" w:rsidRDefault="000B241D" w:rsidP="00D51597">
      <w:pPr>
        <w:rPr>
          <w:rFonts w:ascii="Arial" w:hAnsi="Arial" w:cs="Arial"/>
          <w:sz w:val="36"/>
          <w:szCs w:val="36"/>
        </w:rPr>
      </w:pPr>
    </w:p>
    <w:p w14:paraId="7FB9323D" w14:textId="77777777" w:rsidR="000B241D" w:rsidRDefault="000B241D" w:rsidP="00D51597">
      <w:pPr>
        <w:rPr>
          <w:rFonts w:ascii="Arial" w:hAnsi="Arial" w:cs="Arial"/>
          <w:sz w:val="36"/>
          <w:szCs w:val="36"/>
        </w:rPr>
      </w:pPr>
    </w:p>
    <w:p w14:paraId="0A23CAE1" w14:textId="77777777" w:rsidR="000B241D" w:rsidRDefault="000B241D" w:rsidP="00D51597">
      <w:pPr>
        <w:rPr>
          <w:rFonts w:ascii="Arial" w:hAnsi="Arial" w:cs="Arial"/>
          <w:sz w:val="36"/>
          <w:szCs w:val="36"/>
        </w:rPr>
      </w:pPr>
    </w:p>
    <w:p w14:paraId="792070DA" w14:textId="77777777" w:rsidR="000B241D" w:rsidRDefault="000B241D" w:rsidP="00D51597">
      <w:pPr>
        <w:rPr>
          <w:rFonts w:ascii="Arial" w:hAnsi="Arial" w:cs="Arial"/>
          <w:sz w:val="36"/>
          <w:szCs w:val="36"/>
        </w:rPr>
      </w:pPr>
    </w:p>
    <w:p w14:paraId="6084DB0F" w14:textId="77777777" w:rsidR="000B241D" w:rsidRDefault="000B241D" w:rsidP="00D51597">
      <w:pPr>
        <w:rPr>
          <w:rFonts w:ascii="Arial" w:hAnsi="Arial" w:cs="Arial"/>
          <w:sz w:val="36"/>
          <w:szCs w:val="36"/>
        </w:rPr>
      </w:pPr>
    </w:p>
    <w:p w14:paraId="6FDBB577" w14:textId="77777777" w:rsidR="000B241D" w:rsidRDefault="000B241D" w:rsidP="00D51597">
      <w:pPr>
        <w:rPr>
          <w:rFonts w:ascii="Arial" w:hAnsi="Arial" w:cs="Arial"/>
          <w:sz w:val="36"/>
          <w:szCs w:val="36"/>
        </w:rPr>
      </w:pPr>
    </w:p>
    <w:p w14:paraId="1C786D6B" w14:textId="77777777" w:rsidR="000B241D" w:rsidRDefault="000B241D" w:rsidP="00D51597">
      <w:pPr>
        <w:rPr>
          <w:rFonts w:ascii="Arial" w:hAnsi="Arial" w:cs="Arial"/>
          <w:sz w:val="36"/>
          <w:szCs w:val="36"/>
        </w:rPr>
      </w:pPr>
    </w:p>
    <w:p w14:paraId="503694F5" w14:textId="77777777" w:rsidR="000B241D" w:rsidRDefault="000B241D" w:rsidP="00D51597">
      <w:pPr>
        <w:rPr>
          <w:rFonts w:ascii="Arial" w:hAnsi="Arial" w:cs="Arial"/>
          <w:sz w:val="36"/>
          <w:szCs w:val="36"/>
        </w:rPr>
      </w:pPr>
    </w:p>
    <w:p w14:paraId="2BF0AE46" w14:textId="530A60F6" w:rsidR="00D51597" w:rsidRPr="005D792B" w:rsidRDefault="00D51597" w:rsidP="00503BF9">
      <w:pPr>
        <w:pStyle w:val="Heading1"/>
        <w:spacing w:line="360" w:lineRule="auto"/>
        <w:jc w:val="both"/>
        <w:rPr>
          <w:b/>
          <w:bCs/>
          <w:color w:val="auto"/>
        </w:rPr>
      </w:pPr>
      <w:bookmarkStart w:id="0" w:name="_Toc227606320"/>
      <w:r w:rsidRPr="005D792B">
        <w:rPr>
          <w:b/>
          <w:bCs/>
          <w:color w:val="auto"/>
        </w:rPr>
        <w:t>Introduction</w:t>
      </w:r>
      <w:bookmarkEnd w:id="0"/>
    </w:p>
    <w:p w14:paraId="1DEC40D5" w14:textId="28325040" w:rsidR="000264A1" w:rsidRPr="00D90065" w:rsidRDefault="000E2A21" w:rsidP="00503BF9">
      <w:pPr>
        <w:spacing w:line="360" w:lineRule="auto"/>
        <w:jc w:val="both"/>
        <w:rPr>
          <w:rFonts w:ascii="Arial" w:hAnsi="Arial" w:cs="Arial"/>
        </w:rPr>
      </w:pPr>
      <w:r>
        <w:rPr>
          <w:rFonts w:ascii="Arial" w:hAnsi="Arial" w:cs="Arial"/>
        </w:rPr>
        <w:t>This report</w:t>
      </w:r>
      <w:r w:rsidR="00D322DF">
        <w:rPr>
          <w:rFonts w:ascii="Arial" w:hAnsi="Arial" w:cs="Arial"/>
        </w:rPr>
        <w:t xml:space="preserve"> will highlight</w:t>
      </w:r>
      <w:r w:rsidR="005654FA">
        <w:rPr>
          <w:rFonts w:ascii="Arial" w:hAnsi="Arial" w:cs="Arial"/>
        </w:rPr>
        <w:t xml:space="preserve"> the Developmental</w:t>
      </w:r>
      <w:r w:rsidR="000F3888" w:rsidRPr="00D90065">
        <w:rPr>
          <w:rFonts w:ascii="Arial" w:hAnsi="Arial" w:cs="Arial"/>
        </w:rPr>
        <w:t xml:space="preserve"> Learning Disorder (DLD)</w:t>
      </w:r>
      <w:r w:rsidR="00D322DF">
        <w:rPr>
          <w:rFonts w:ascii="Arial" w:hAnsi="Arial" w:cs="Arial"/>
        </w:rPr>
        <w:t>,</w:t>
      </w:r>
      <w:r w:rsidR="000F3888" w:rsidRPr="00D90065">
        <w:rPr>
          <w:rFonts w:ascii="Arial" w:hAnsi="Arial" w:cs="Arial"/>
        </w:rPr>
        <w:t xml:space="preserve"> with impairment in reading, commonly associated with dyslexia, </w:t>
      </w:r>
      <w:r w:rsidR="005654FA">
        <w:rPr>
          <w:rFonts w:ascii="Arial" w:hAnsi="Arial" w:cs="Arial"/>
        </w:rPr>
        <w:t xml:space="preserve">which </w:t>
      </w:r>
      <w:r w:rsidR="000F3888" w:rsidRPr="00D90065">
        <w:rPr>
          <w:rFonts w:ascii="Arial" w:hAnsi="Arial" w:cs="Arial"/>
        </w:rPr>
        <w:t xml:space="preserve">is a neurodevelopmental </w:t>
      </w:r>
      <w:r w:rsidR="003F2B84">
        <w:rPr>
          <w:rFonts w:ascii="Arial" w:hAnsi="Arial" w:cs="Arial"/>
        </w:rPr>
        <w:t>condition formally acknowledged within the ICD-11 diagnostic framework</w:t>
      </w:r>
      <w:r w:rsidR="000F3888" w:rsidRPr="00D90065">
        <w:rPr>
          <w:rFonts w:ascii="Arial" w:hAnsi="Arial" w:cs="Arial"/>
        </w:rPr>
        <w:t>. It is characterised by persistent difficulties in reading accuracy, fluency, and comprehension that are not consistent with an individual’s chronological age or level of intellectual functioning. These challenges often persist despite adequate educational exposure and targeted intervention, indicating an underlying cognitive processing difficulty rather than a lack of opportunity. This report critically analyses how this condition is classified in ICD-11, evaluates diagnostic processes within the UK context, examines treatment and rehabilitation approaches, and explores contemporary debates, including the growing influence of neurodivergence perspectives. It concludes with recommendations for improving practice and policy within the UK health and education systems.</w:t>
      </w:r>
    </w:p>
    <w:p w14:paraId="432AEE04" w14:textId="77777777" w:rsidR="000264A1" w:rsidRDefault="000264A1" w:rsidP="00503BF9">
      <w:pPr>
        <w:spacing w:line="360" w:lineRule="auto"/>
        <w:jc w:val="both"/>
        <w:rPr>
          <w:rFonts w:ascii="Arial" w:hAnsi="Arial" w:cs="Arial"/>
          <w:sz w:val="36"/>
          <w:szCs w:val="36"/>
        </w:rPr>
      </w:pPr>
    </w:p>
    <w:p w14:paraId="2E2B6BAD" w14:textId="2AB31AF7" w:rsidR="00C83486" w:rsidRPr="005D792B" w:rsidRDefault="008A6D32" w:rsidP="00503BF9">
      <w:pPr>
        <w:pStyle w:val="Heading1"/>
        <w:numPr>
          <w:ilvl w:val="0"/>
          <w:numId w:val="1"/>
        </w:numPr>
        <w:spacing w:line="360" w:lineRule="auto"/>
        <w:jc w:val="both"/>
        <w:rPr>
          <w:b/>
          <w:bCs/>
          <w:color w:val="auto"/>
        </w:rPr>
      </w:pPr>
      <w:bookmarkStart w:id="1" w:name="_Toc227606321"/>
      <w:r w:rsidRPr="005D792B">
        <w:rPr>
          <w:b/>
          <w:bCs/>
          <w:color w:val="auto"/>
        </w:rPr>
        <w:t>Classification</w:t>
      </w:r>
      <w:bookmarkEnd w:id="1"/>
      <w:r w:rsidRPr="005D792B">
        <w:rPr>
          <w:b/>
          <w:bCs/>
          <w:color w:val="auto"/>
        </w:rPr>
        <w:t xml:space="preserve"> </w:t>
      </w:r>
    </w:p>
    <w:p w14:paraId="0868F6B2" w14:textId="77777777" w:rsidR="009A60D1" w:rsidRPr="009A60D1" w:rsidRDefault="009A60D1" w:rsidP="00503BF9">
      <w:pPr>
        <w:spacing w:line="360" w:lineRule="auto"/>
        <w:jc w:val="both"/>
        <w:rPr>
          <w:rFonts w:ascii="Arial" w:hAnsi="Arial" w:cs="Arial"/>
        </w:rPr>
      </w:pPr>
      <w:r w:rsidRPr="009A60D1">
        <w:rPr>
          <w:rFonts w:ascii="Arial" w:hAnsi="Arial" w:cs="Arial"/>
        </w:rPr>
        <w:t>ICD-11 classifies developmental learning disorder with impairment in reading under neurodevelopmental disorders, specifically within the broader category of developmental learning disorders (World Health Organisation, 2019). This classification highlights that such difficulties originate during the developmental period, are persistent, and significantly interfere with academic achievement and everyday functioning. By situating the condition within a neurodevelopmental framework, ICD-11 reinforces the understanding that reading difficulties are rooted in atypical brain development rather than environmental deprivation alone.</w:t>
      </w:r>
    </w:p>
    <w:p w14:paraId="3DCCB5F9" w14:textId="282D4EEB" w:rsidR="009A60D1" w:rsidRPr="009A60D1" w:rsidRDefault="009A60D1" w:rsidP="00503BF9">
      <w:pPr>
        <w:spacing w:line="360" w:lineRule="auto"/>
        <w:jc w:val="both"/>
        <w:rPr>
          <w:rFonts w:ascii="Arial" w:hAnsi="Arial" w:cs="Arial"/>
        </w:rPr>
      </w:pPr>
      <w:r w:rsidRPr="009A60D1">
        <w:rPr>
          <w:rFonts w:ascii="Arial" w:hAnsi="Arial" w:cs="Arial"/>
        </w:rPr>
        <w:t xml:space="preserve">Compared </w:t>
      </w:r>
      <w:r w:rsidR="00724898">
        <w:rPr>
          <w:rFonts w:ascii="Arial" w:hAnsi="Arial" w:cs="Arial"/>
        </w:rPr>
        <w:t xml:space="preserve">with ICD-10, ICD-11 offers greater specificity by distinguishing </w:t>
      </w:r>
      <w:r w:rsidRPr="009A60D1">
        <w:rPr>
          <w:rFonts w:ascii="Arial" w:hAnsi="Arial" w:cs="Arial"/>
        </w:rPr>
        <w:t>impairments in reading, written expression, and mathematics. This increased granularity supports more targeted interventions and facilitates clearer communication among professionals. However, despite these advancements, the classification remains grounded in a categorical model, which has been criticised for oversimplifying the complexity of learning differences (</w:t>
      </w:r>
      <w:proofErr w:type="spellStart"/>
      <w:r w:rsidRPr="009A60D1">
        <w:rPr>
          <w:rFonts w:ascii="Arial" w:hAnsi="Arial" w:cs="Arial"/>
        </w:rPr>
        <w:t>Snowling</w:t>
      </w:r>
      <w:proofErr w:type="spellEnd"/>
      <w:r w:rsidRPr="009A60D1">
        <w:rPr>
          <w:rFonts w:ascii="Arial" w:hAnsi="Arial" w:cs="Arial"/>
        </w:rPr>
        <w:t xml:space="preserve"> and Hulme, 2021). </w:t>
      </w:r>
      <w:proofErr w:type="gramStart"/>
      <w:r w:rsidRPr="009A60D1">
        <w:rPr>
          <w:rFonts w:ascii="Arial" w:hAnsi="Arial" w:cs="Arial"/>
        </w:rPr>
        <w:t>In reality, reading</w:t>
      </w:r>
      <w:proofErr w:type="gramEnd"/>
      <w:r w:rsidRPr="009A60D1">
        <w:rPr>
          <w:rFonts w:ascii="Arial" w:hAnsi="Arial" w:cs="Arial"/>
        </w:rPr>
        <w:t xml:space="preserve"> abilities exist on a continuum, and rigid diagnostic thresholds may fail to capture individuals who experience significant but subclinical difficulties.</w:t>
      </w:r>
    </w:p>
    <w:p w14:paraId="716DEAD8" w14:textId="77777777" w:rsidR="009A60D1" w:rsidRPr="009A60D1" w:rsidRDefault="009A60D1" w:rsidP="00503BF9">
      <w:pPr>
        <w:spacing w:line="360" w:lineRule="auto"/>
        <w:jc w:val="both"/>
        <w:rPr>
          <w:rFonts w:ascii="Arial" w:hAnsi="Arial" w:cs="Arial"/>
        </w:rPr>
      </w:pPr>
      <w:r w:rsidRPr="009A60D1">
        <w:rPr>
          <w:rFonts w:ascii="Arial" w:hAnsi="Arial" w:cs="Arial"/>
        </w:rPr>
        <w:t>Although ICD-11 attempts to incorporate dimensional aspects, such as severity and functional impact, the reliance on fixed criteria can still limit its flexibility in practice. This tension between categorical and dimensional approaches reflects a broader challenge in psychiatric and educational classification systems. Furthermore, the use of the term “disorder” reflects a medicalised perspective that frames the condition as a deficit. While this terminology is useful for legitimising the condition and securing access to support, it may also reinforce negative stereotypes and stigma (Kirby, 2019).</w:t>
      </w:r>
    </w:p>
    <w:p w14:paraId="20D7550F" w14:textId="5A30AB1C" w:rsidR="009A60D1" w:rsidRPr="009A60D1" w:rsidRDefault="00C126CC" w:rsidP="00503BF9">
      <w:pPr>
        <w:spacing w:line="360" w:lineRule="auto"/>
        <w:jc w:val="both"/>
        <w:rPr>
          <w:rFonts w:ascii="Arial" w:hAnsi="Arial" w:cs="Arial"/>
        </w:rPr>
      </w:pPr>
      <w:r w:rsidRPr="00C126CC">
        <w:rPr>
          <w:rFonts w:ascii="Arial" w:hAnsi="Arial" w:cs="Arial"/>
        </w:rPr>
        <w:t>Terms like ‘learning difference’ and ‘neurodevelopmental condition’ are increasingly used in education to support a more inclusive, strengths</w:t>
      </w:r>
      <w:r w:rsidR="00BD5D20">
        <w:rPr>
          <w:rFonts w:ascii="Arial" w:hAnsi="Arial" w:cs="Arial"/>
        </w:rPr>
        <w:t>-based</w:t>
      </w:r>
      <w:r w:rsidRPr="00C126CC">
        <w:rPr>
          <w:rFonts w:ascii="Arial" w:hAnsi="Arial" w:cs="Arial"/>
        </w:rPr>
        <w:t xml:space="preserve"> approach.</w:t>
      </w:r>
      <w:r w:rsidR="009A60D1" w:rsidRPr="009A60D1">
        <w:rPr>
          <w:rFonts w:ascii="Arial" w:hAnsi="Arial" w:cs="Arial"/>
        </w:rPr>
        <w:t xml:space="preserve"> However, these terms are not formally recognised within ICD-11, creating a disconnect between clinical and educational discourse. This divergence raises important questions about how language shapes perceptions, policy, and access to services.</w:t>
      </w:r>
    </w:p>
    <w:p w14:paraId="11306FF9" w14:textId="77777777" w:rsidR="00FB52D3" w:rsidRDefault="00FB52D3" w:rsidP="00503BF9">
      <w:pPr>
        <w:spacing w:line="360" w:lineRule="auto"/>
        <w:jc w:val="both"/>
        <w:rPr>
          <w:rFonts w:ascii="Arial" w:hAnsi="Arial" w:cs="Arial"/>
        </w:rPr>
      </w:pPr>
    </w:p>
    <w:p w14:paraId="5555C9BF" w14:textId="39C7F387" w:rsidR="002B5331" w:rsidRPr="001A6EE7" w:rsidRDefault="009908B4" w:rsidP="00503BF9">
      <w:pPr>
        <w:pStyle w:val="Heading1"/>
        <w:numPr>
          <w:ilvl w:val="0"/>
          <w:numId w:val="3"/>
        </w:numPr>
        <w:spacing w:line="360" w:lineRule="auto"/>
        <w:jc w:val="both"/>
        <w:rPr>
          <w:rFonts w:ascii="Arial" w:hAnsi="Arial" w:cs="Arial"/>
          <w:b/>
          <w:bCs/>
          <w:color w:val="auto"/>
          <w:sz w:val="24"/>
          <w:szCs w:val="24"/>
        </w:rPr>
      </w:pPr>
      <w:bookmarkStart w:id="2" w:name="_Toc227606322"/>
      <w:r w:rsidRPr="001A6EE7">
        <w:rPr>
          <w:rFonts w:ascii="Arial" w:hAnsi="Arial" w:cs="Arial"/>
          <w:b/>
          <w:bCs/>
          <w:color w:val="auto"/>
          <w:sz w:val="24"/>
          <w:szCs w:val="24"/>
        </w:rPr>
        <w:t>Diagnostic</w:t>
      </w:r>
      <w:r w:rsidR="002B5331" w:rsidRPr="001A6EE7">
        <w:rPr>
          <w:rFonts w:ascii="Arial" w:hAnsi="Arial" w:cs="Arial"/>
          <w:b/>
          <w:bCs/>
          <w:color w:val="auto"/>
          <w:sz w:val="24"/>
          <w:szCs w:val="24"/>
        </w:rPr>
        <w:t xml:space="preserve"> Criteria and Processes</w:t>
      </w:r>
      <w:bookmarkEnd w:id="2"/>
    </w:p>
    <w:p w14:paraId="5CFC7A5E" w14:textId="69DAF835" w:rsidR="00CD4045" w:rsidRPr="00CD4045" w:rsidRDefault="00CD4045" w:rsidP="00503BF9">
      <w:pPr>
        <w:spacing w:line="360" w:lineRule="auto"/>
        <w:jc w:val="both"/>
        <w:rPr>
          <w:rFonts w:ascii="Arial" w:hAnsi="Arial" w:cs="Arial"/>
        </w:rPr>
      </w:pPr>
      <w:r w:rsidRPr="00CD4045">
        <w:rPr>
          <w:rFonts w:ascii="Arial" w:hAnsi="Arial" w:cs="Arial"/>
        </w:rPr>
        <w:t xml:space="preserve">The diagnostic criteria for DLD with impairment in reading require persistent and significant difficulties in reading skills, including decoding, fluency, and comprehension, that persist for several months despite targeted interventions (World Health Organisation, 2019). </w:t>
      </w:r>
      <w:r w:rsidR="003F2B84">
        <w:rPr>
          <w:rFonts w:ascii="Arial" w:hAnsi="Arial" w:cs="Arial"/>
        </w:rPr>
        <w:t>Importantly, these</w:t>
      </w:r>
      <w:r w:rsidR="003F2B84" w:rsidRPr="003F2B84">
        <w:rPr>
          <w:rFonts w:ascii="Arial" w:hAnsi="Arial" w:cs="Arial"/>
        </w:rPr>
        <w:t xml:space="preserve"> needs should not be more appropriately attributed to a learning disability, sensory loss, or insufficient access to appropriate educational provision.</w:t>
      </w:r>
      <w:r w:rsidRPr="00CD4045">
        <w:rPr>
          <w:rFonts w:ascii="Arial" w:hAnsi="Arial" w:cs="Arial"/>
        </w:rPr>
        <w:t xml:space="preserve"> This exclusionary approach aims to ensure diagnostic accuracy but can also complicate assessment in practice, particularly in socioeconomically disadvantaged contexts.</w:t>
      </w:r>
    </w:p>
    <w:p w14:paraId="5CEF4C1A" w14:textId="2A701F0E" w:rsidR="00CD4045" w:rsidRPr="00CD4045" w:rsidRDefault="00F66881" w:rsidP="00503BF9">
      <w:pPr>
        <w:spacing w:line="360" w:lineRule="auto"/>
        <w:jc w:val="both"/>
        <w:rPr>
          <w:rFonts w:ascii="Arial" w:hAnsi="Arial" w:cs="Arial"/>
        </w:rPr>
      </w:pPr>
      <w:r w:rsidRPr="00F66881">
        <w:rPr>
          <w:rFonts w:ascii="Arial" w:hAnsi="Arial" w:cs="Arial"/>
        </w:rPr>
        <w:t xml:space="preserve">In the UK, diagnostic assessment is usually carried out through a multidisciplinary process involving an </w:t>
      </w:r>
      <w:r w:rsidR="00D25ABC">
        <w:rPr>
          <w:rFonts w:ascii="Arial" w:hAnsi="Arial" w:cs="Arial"/>
        </w:rPr>
        <w:t>educational psychologist,</w:t>
      </w:r>
      <w:r w:rsidRPr="00F66881">
        <w:rPr>
          <w:rFonts w:ascii="Arial" w:hAnsi="Arial" w:cs="Arial"/>
        </w:rPr>
        <w:t xml:space="preserve"> </w:t>
      </w:r>
      <w:r w:rsidR="00D25ABC">
        <w:rPr>
          <w:rFonts w:ascii="Arial" w:hAnsi="Arial" w:cs="Arial"/>
        </w:rPr>
        <w:t>speech</w:t>
      </w:r>
      <w:r w:rsidRPr="00F66881">
        <w:rPr>
          <w:rFonts w:ascii="Arial" w:hAnsi="Arial" w:cs="Arial"/>
        </w:rPr>
        <w:t xml:space="preserve"> and </w:t>
      </w:r>
      <w:r w:rsidR="00D25ABC">
        <w:rPr>
          <w:rFonts w:ascii="Arial" w:hAnsi="Arial" w:cs="Arial"/>
        </w:rPr>
        <w:t>language therapist,</w:t>
      </w:r>
      <w:r w:rsidRPr="00F66881">
        <w:rPr>
          <w:rFonts w:ascii="Arial" w:hAnsi="Arial" w:cs="Arial"/>
        </w:rPr>
        <w:t xml:space="preserve"> and specialist practitioners within education and health services.</w:t>
      </w:r>
      <w:r w:rsidR="00CD4045" w:rsidRPr="00CD4045">
        <w:rPr>
          <w:rFonts w:ascii="Arial" w:hAnsi="Arial" w:cs="Arial"/>
        </w:rPr>
        <w:t xml:space="preserve"> Standardised assessments, such as the Wechsler Individual Achievement Test and the British Ability Scales, are commonly used to evaluate reading performance relative to cognitive ability (Elliott and Grigorenko, 2018). These tools provide quantifiable data, but they are not without limitations, as they may not fully capture real-world literacy demands or contextual factors.</w:t>
      </w:r>
    </w:p>
    <w:p w14:paraId="6347671F" w14:textId="52D500B0" w:rsidR="00CD4045" w:rsidRPr="00CD4045" w:rsidRDefault="0019497D" w:rsidP="00503BF9">
      <w:pPr>
        <w:spacing w:line="360" w:lineRule="auto"/>
        <w:jc w:val="both"/>
        <w:rPr>
          <w:rFonts w:ascii="Arial" w:hAnsi="Arial" w:cs="Arial"/>
        </w:rPr>
      </w:pPr>
      <w:r w:rsidRPr="0019497D">
        <w:rPr>
          <w:rFonts w:ascii="Arial" w:hAnsi="Arial" w:cs="Arial"/>
        </w:rPr>
        <w:t>A major concern with traditional diagnostic approaches is their dependence on discrepancy</w:t>
      </w:r>
      <w:r w:rsidRPr="0019497D">
        <w:rPr>
          <w:rFonts w:ascii="Arial" w:hAnsi="Arial" w:cs="Arial"/>
        </w:rPr>
        <w:noBreakHyphen/>
        <w:t>based assessment, where reading attainment is evaluated against an individual’s cognitive profile.</w:t>
      </w:r>
      <w:r w:rsidR="00CD4045" w:rsidRPr="00CD4045">
        <w:rPr>
          <w:rFonts w:ascii="Arial" w:hAnsi="Arial" w:cs="Arial"/>
        </w:rPr>
        <w:t xml:space="preserve"> This approach has been widely challenged for lacking empirical validity and for delaying identification until a significant gap has emerged (</w:t>
      </w:r>
      <w:proofErr w:type="spellStart"/>
      <w:r w:rsidR="00CD4045" w:rsidRPr="00CD4045">
        <w:rPr>
          <w:rFonts w:ascii="Arial" w:hAnsi="Arial" w:cs="Arial"/>
        </w:rPr>
        <w:t>Snowling</w:t>
      </w:r>
      <w:proofErr w:type="spellEnd"/>
      <w:r w:rsidR="00CD4045" w:rsidRPr="00CD4045">
        <w:rPr>
          <w:rFonts w:ascii="Arial" w:hAnsi="Arial" w:cs="Arial"/>
        </w:rPr>
        <w:t xml:space="preserve"> and Hulme, 2021). Consequently, many children may not receive support </w:t>
      </w:r>
      <w:r w:rsidR="00BF2CA0">
        <w:rPr>
          <w:rFonts w:ascii="Arial" w:hAnsi="Arial" w:cs="Arial"/>
        </w:rPr>
        <w:t>early,</w:t>
      </w:r>
      <w:r w:rsidR="00CD4045" w:rsidRPr="00CD4045">
        <w:rPr>
          <w:rFonts w:ascii="Arial" w:hAnsi="Arial" w:cs="Arial"/>
        </w:rPr>
        <w:t xml:space="preserve"> when intervention is most effective. Response-to-intervention models have been proposed as a more dynamic alternative, focusing on how individuals respond to structured teaching rather than relying solely on test scores. However, implementation of such models remains inconsistent across the UK.</w:t>
      </w:r>
    </w:p>
    <w:p w14:paraId="454BFCC2" w14:textId="74605D1C" w:rsidR="00CD4045" w:rsidRPr="00CD4045" w:rsidRDefault="00CD4045" w:rsidP="00503BF9">
      <w:pPr>
        <w:spacing w:line="360" w:lineRule="auto"/>
        <w:jc w:val="both"/>
        <w:rPr>
          <w:rFonts w:ascii="Arial" w:hAnsi="Arial" w:cs="Arial"/>
        </w:rPr>
      </w:pPr>
      <w:r w:rsidRPr="00CD4045">
        <w:rPr>
          <w:rFonts w:ascii="Arial" w:hAnsi="Arial" w:cs="Arial"/>
        </w:rPr>
        <w:t xml:space="preserve">Access to diagnostic services is another significant concern. </w:t>
      </w:r>
      <w:r w:rsidR="00D25ABC" w:rsidRPr="00D25ABC">
        <w:rPr>
          <w:rFonts w:ascii="Arial" w:hAnsi="Arial" w:cs="Arial"/>
        </w:rPr>
        <w:t>Ongoing regional disparities in commissioning decisions, workforce capacity, and resource distribution continue to compromise equitable access to diagnostic pathways. Research consistently shows that individuals living in areas with limited provision face markedly longer waits for assessment and, in some cases, are unable to obtain a formal diagnosis</w:t>
      </w:r>
      <w:r w:rsidR="00D25ABC">
        <w:rPr>
          <w:rFonts w:ascii="Arial" w:hAnsi="Arial" w:cs="Arial"/>
        </w:rPr>
        <w:t>.</w:t>
      </w:r>
      <w:r w:rsidR="00D25ABC" w:rsidRPr="00D25ABC">
        <w:rPr>
          <w:rFonts w:ascii="Arial" w:hAnsi="Arial" w:cs="Arial"/>
        </w:rPr>
        <w:t xml:space="preserve"> These patterns raise significant concerns about whether local authorities and NHS providers are fulfilling their statutory responsibilities under the Children and Families Act 2014 and the SEND Code of Practice. They also sit uneasily alongside the NHS Long Term Plan’s commitment to reducing unwarranted variation and improving timely access to neurodevelopmental assessment. Taken together, these inconsistencies point to a wider structural issue in which postcode</w:t>
      </w:r>
      <w:r w:rsidR="00D25ABC">
        <w:rPr>
          <w:rFonts w:ascii="Arial" w:hAnsi="Arial" w:cs="Arial"/>
        </w:rPr>
        <w:t>-based</w:t>
      </w:r>
      <w:r w:rsidR="00D25ABC" w:rsidRPr="00D25ABC">
        <w:rPr>
          <w:rFonts w:ascii="Arial" w:hAnsi="Arial" w:cs="Arial"/>
        </w:rPr>
        <w:t xml:space="preserve"> inequity directly shapes the </w:t>
      </w:r>
      <w:r w:rsidR="00AC46B1">
        <w:rPr>
          <w:rFonts w:ascii="Arial" w:hAnsi="Arial" w:cs="Arial"/>
        </w:rPr>
        <w:t>recognit</w:t>
      </w:r>
      <w:r w:rsidR="00D25ABC" w:rsidRPr="00D25ABC">
        <w:rPr>
          <w:rFonts w:ascii="Arial" w:hAnsi="Arial" w:cs="Arial"/>
        </w:rPr>
        <w:t xml:space="preserve">ion and </w:t>
      </w:r>
      <w:r w:rsidR="00AC46B1">
        <w:rPr>
          <w:rFonts w:ascii="Arial" w:hAnsi="Arial" w:cs="Arial"/>
        </w:rPr>
        <w:t>enablement</w:t>
      </w:r>
      <w:r w:rsidR="00D25ABC" w:rsidRPr="00D25ABC">
        <w:rPr>
          <w:rFonts w:ascii="Arial" w:hAnsi="Arial" w:cs="Arial"/>
        </w:rPr>
        <w:t xml:space="preserve"> of neurodevelopmental </w:t>
      </w:r>
      <w:r w:rsidR="00AC46B1">
        <w:rPr>
          <w:rFonts w:ascii="Arial" w:hAnsi="Arial" w:cs="Arial"/>
        </w:rPr>
        <w:t>requirements</w:t>
      </w:r>
      <w:r w:rsidR="00D25ABC">
        <w:rPr>
          <w:rFonts w:ascii="Arial" w:hAnsi="Arial" w:cs="Arial"/>
        </w:rPr>
        <w:t xml:space="preserve">. </w:t>
      </w:r>
      <w:r w:rsidRPr="00CD4045">
        <w:rPr>
          <w:rFonts w:ascii="Arial" w:hAnsi="Arial" w:cs="Arial"/>
        </w:rPr>
        <w:t>(Department for Education, 2020). This inequity undermines the principle of early intervention and can exacerbate educational disadvantage. Furthermore, the diagnostic process often prioritises deficits, potentially overlooking strengths such as creativity, problem-solving, and verbal reasoning.</w:t>
      </w:r>
    </w:p>
    <w:p w14:paraId="19E7BA25" w14:textId="62DAB4EC" w:rsidR="002B5331" w:rsidRPr="00F707A2" w:rsidRDefault="00CD4045" w:rsidP="00503BF9">
      <w:pPr>
        <w:spacing w:line="360" w:lineRule="auto"/>
        <w:jc w:val="both"/>
        <w:rPr>
          <w:rFonts w:ascii="Arial" w:hAnsi="Arial" w:cs="Arial"/>
        </w:rPr>
      </w:pPr>
      <w:r w:rsidRPr="00CD4045">
        <w:rPr>
          <w:rFonts w:ascii="Arial" w:hAnsi="Arial" w:cs="Arial"/>
        </w:rPr>
        <w:t xml:space="preserve">The biomedical orientation of diagnosis may also neglect broader socio-cultural influences, including language exposure, teaching quality, and socioeconomic status. </w:t>
      </w:r>
      <w:r w:rsidR="00D37EFB" w:rsidRPr="00D37EFB">
        <w:rPr>
          <w:rFonts w:ascii="Arial" w:hAnsi="Arial" w:cs="Arial"/>
        </w:rPr>
        <w:t xml:space="preserve">A more holistic assessment model would integrate contextual and environmental factors alongside cognitive profiling, </w:t>
      </w:r>
      <w:r w:rsidR="00250BED">
        <w:rPr>
          <w:rFonts w:ascii="Arial" w:hAnsi="Arial" w:cs="Arial"/>
        </w:rPr>
        <w:t>facilitating a more comprehensive understanding of the individual’s literacy- related difficulties and their wider impact on daily functioning</w:t>
      </w:r>
      <w:r w:rsidR="00266589">
        <w:rPr>
          <w:rFonts w:ascii="Arial" w:hAnsi="Arial" w:cs="Arial"/>
        </w:rPr>
        <w:t>,</w:t>
      </w:r>
      <w:r w:rsidR="00D37EFB" w:rsidRPr="00D37EFB">
        <w:rPr>
          <w:rFonts w:ascii="Arial" w:hAnsi="Arial" w:cs="Arial"/>
        </w:rPr>
        <w:t xml:space="preserve"> which emphasises the importance of considering wider developmental, educational, and social influences when identifying need</w:t>
      </w:r>
      <w:r w:rsidR="001803C2">
        <w:rPr>
          <w:rFonts w:ascii="Arial" w:hAnsi="Arial" w:cs="Arial"/>
        </w:rPr>
        <w:t>.</w:t>
      </w:r>
    </w:p>
    <w:p w14:paraId="12CBA632" w14:textId="77777777" w:rsidR="008A6D32" w:rsidRPr="00EA7419" w:rsidRDefault="008A6D32" w:rsidP="00503BF9">
      <w:pPr>
        <w:spacing w:line="360" w:lineRule="auto"/>
        <w:jc w:val="both"/>
        <w:rPr>
          <w:rFonts w:ascii="Arial" w:hAnsi="Arial" w:cs="Arial"/>
        </w:rPr>
      </w:pPr>
    </w:p>
    <w:p w14:paraId="23CCEF70" w14:textId="4A222C86" w:rsidR="008A6D32" w:rsidRPr="009B3F87" w:rsidRDefault="008A6D32" w:rsidP="00503BF9">
      <w:pPr>
        <w:pStyle w:val="Heading1"/>
        <w:numPr>
          <w:ilvl w:val="0"/>
          <w:numId w:val="1"/>
        </w:numPr>
        <w:spacing w:line="360" w:lineRule="auto"/>
        <w:jc w:val="both"/>
        <w:rPr>
          <w:b/>
          <w:bCs/>
        </w:rPr>
      </w:pPr>
      <w:bookmarkStart w:id="3" w:name="_Toc227606323"/>
      <w:r w:rsidRPr="009B3F87">
        <w:rPr>
          <w:b/>
          <w:bCs/>
          <w:color w:val="auto"/>
        </w:rPr>
        <w:t xml:space="preserve">Treatment and </w:t>
      </w:r>
      <w:bookmarkEnd w:id="3"/>
      <w:r w:rsidR="00216785" w:rsidRPr="009B3F87">
        <w:rPr>
          <w:b/>
          <w:bCs/>
          <w:color w:val="auto"/>
        </w:rPr>
        <w:t>Rehabilitation</w:t>
      </w:r>
      <w:r w:rsidR="00216785" w:rsidRPr="009B3F87">
        <w:rPr>
          <w:b/>
          <w:bCs/>
        </w:rPr>
        <w:t>:</w:t>
      </w:r>
    </w:p>
    <w:p w14:paraId="4F1C60EE" w14:textId="16549AAA" w:rsidR="00AC4EBB" w:rsidRPr="00AC4EBB" w:rsidRDefault="00902075" w:rsidP="00503BF9">
      <w:pPr>
        <w:pStyle w:val="NormalWeb"/>
        <w:spacing w:line="360" w:lineRule="auto"/>
        <w:jc w:val="both"/>
        <w:rPr>
          <w:rFonts w:ascii="Arial" w:hAnsi="Arial" w:cs="Arial"/>
          <w:color w:val="000000"/>
        </w:rPr>
      </w:pPr>
      <w:r w:rsidRPr="00902075">
        <w:rPr>
          <w:rFonts w:ascii="Arial" w:hAnsi="Arial" w:cs="Arial"/>
          <w:color w:val="000000"/>
        </w:rPr>
        <w:t xml:space="preserve"> </w:t>
      </w:r>
      <w:r w:rsidR="00AC4EBB" w:rsidRPr="00AC4EBB">
        <w:rPr>
          <w:rFonts w:ascii="Arial" w:hAnsi="Arial" w:cs="Arial"/>
          <w:color w:val="000000"/>
        </w:rPr>
        <w:t xml:space="preserve">Treatment </w:t>
      </w:r>
      <w:r w:rsidR="00132279">
        <w:rPr>
          <w:rFonts w:ascii="Arial" w:hAnsi="Arial" w:cs="Arial"/>
          <w:color w:val="000000"/>
        </w:rPr>
        <w:t xml:space="preserve">difficulty with reading </w:t>
      </w:r>
      <w:r w:rsidR="00BF49C1">
        <w:rPr>
          <w:rFonts w:ascii="Arial" w:hAnsi="Arial" w:cs="Arial"/>
          <w:color w:val="000000"/>
        </w:rPr>
        <w:t>acquisition</w:t>
      </w:r>
      <w:r w:rsidR="00AC4EBB" w:rsidRPr="00AC4EBB">
        <w:rPr>
          <w:rFonts w:ascii="Arial" w:hAnsi="Arial" w:cs="Arial"/>
          <w:color w:val="000000"/>
        </w:rPr>
        <w:t xml:space="preserve"> primarily involves educational and behavioural interventions rather than pharmacological approaches. Evidence-based strategies include structured literacy programmes, phonics-based instruction, and multisensory teaching methods (Meeks et al., 2016). These approaches aim to strengthen phonological awareness, decoding skills, and reading fluency through systematic and explicit instruction.</w:t>
      </w:r>
    </w:p>
    <w:p w14:paraId="0EBF7576" w14:textId="039A3112"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Systematic synthetic phonics has been particularly effective, especially when introduced early and delivered intensively (</w:t>
      </w:r>
      <w:proofErr w:type="spellStart"/>
      <w:r w:rsidRPr="00AC4EBB">
        <w:rPr>
          <w:rFonts w:ascii="Arial" w:hAnsi="Arial" w:cs="Arial"/>
          <w:color w:val="000000"/>
        </w:rPr>
        <w:t>Ehri</w:t>
      </w:r>
      <w:proofErr w:type="spellEnd"/>
      <w:r w:rsidRPr="00AC4EBB">
        <w:rPr>
          <w:rFonts w:ascii="Arial" w:hAnsi="Arial" w:cs="Arial"/>
          <w:color w:val="000000"/>
        </w:rPr>
        <w:t>, 2020). Such interventions align with cognitive theories of reading development, emphasising the importance of mapping sounds to letters. In addition to traditional teaching methods</w:t>
      </w:r>
      <w:r w:rsidR="002E6648">
        <w:rPr>
          <w:rFonts w:ascii="Arial" w:hAnsi="Arial" w:cs="Arial"/>
          <w:color w:val="000000"/>
        </w:rPr>
        <w:t>, t</w:t>
      </w:r>
      <w:r w:rsidR="002E6648" w:rsidRPr="002E6648">
        <w:rPr>
          <w:rFonts w:ascii="Arial" w:hAnsi="Arial" w:cs="Arial"/>
          <w:color w:val="000000"/>
        </w:rPr>
        <w:t>echnology</w:t>
      </w:r>
      <w:r w:rsidR="002E6648" w:rsidRPr="002E6648">
        <w:rPr>
          <w:rFonts w:ascii="Arial" w:hAnsi="Arial" w:cs="Arial"/>
          <w:color w:val="000000"/>
        </w:rPr>
        <w:noBreakHyphen/>
        <w:t>based accessibility aids, such as voice</w:t>
      </w:r>
      <w:r w:rsidR="002E6648" w:rsidRPr="002E6648">
        <w:rPr>
          <w:rFonts w:ascii="Arial" w:hAnsi="Arial" w:cs="Arial"/>
          <w:color w:val="000000"/>
        </w:rPr>
        <w:noBreakHyphen/>
        <w:t>output programmes and audiobook formats</w:t>
      </w:r>
      <w:r w:rsidR="002E6648">
        <w:rPr>
          <w:rFonts w:ascii="Arial" w:hAnsi="Arial" w:cs="Arial"/>
          <w:color w:val="000000"/>
        </w:rPr>
        <w:t>,</w:t>
      </w:r>
      <w:r w:rsidRPr="00AC4EBB">
        <w:rPr>
          <w:rFonts w:ascii="Arial" w:hAnsi="Arial" w:cs="Arial"/>
          <w:color w:val="000000"/>
        </w:rPr>
        <w:t xml:space="preserve"> </w:t>
      </w:r>
      <w:r w:rsidR="00487056" w:rsidRPr="00487056">
        <w:rPr>
          <w:rFonts w:ascii="Arial" w:hAnsi="Arial" w:cs="Arial"/>
          <w:color w:val="000000"/>
        </w:rPr>
        <w:t xml:space="preserve">are increasingly </w:t>
      </w:r>
      <w:r w:rsidR="00487056">
        <w:rPr>
          <w:rFonts w:ascii="Arial" w:hAnsi="Arial" w:cs="Arial"/>
          <w:color w:val="000000"/>
        </w:rPr>
        <w:t>used to support</w:t>
      </w:r>
      <w:r w:rsidRPr="00AC4EBB">
        <w:rPr>
          <w:rFonts w:ascii="Arial" w:hAnsi="Arial" w:cs="Arial"/>
          <w:color w:val="000000"/>
        </w:rPr>
        <w:t xml:space="preserve"> access to learning and </w:t>
      </w:r>
      <w:r w:rsidR="00487056">
        <w:rPr>
          <w:rFonts w:ascii="Arial" w:hAnsi="Arial" w:cs="Arial"/>
          <w:color w:val="000000"/>
        </w:rPr>
        <w:t>promote</w:t>
      </w:r>
      <w:r w:rsidRPr="00AC4EBB">
        <w:rPr>
          <w:rFonts w:ascii="Arial" w:hAnsi="Arial" w:cs="Arial"/>
          <w:color w:val="000000"/>
        </w:rPr>
        <w:t xml:space="preserve"> independence.</w:t>
      </w:r>
    </w:p>
    <w:p w14:paraId="6209F207" w14:textId="77777777" w:rsid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ICD-11 does not prescribe specific treatments but emphasises the need for tailored educational support and accommodations. In the UK, Education, Health, and Care Plans (EHCPs) provide a structured framework for delivering individualised support (Department for Education, 2020). These plans may include specialist teaching, additional classroom support, and exam accommodations such as extra time or the use of technology.</w:t>
      </w:r>
    </w:p>
    <w:p w14:paraId="779FC825" w14:textId="376834F6" w:rsidR="00DE3575" w:rsidRPr="00D531CA" w:rsidRDefault="00D531CA" w:rsidP="00503BF9">
      <w:pPr>
        <w:pStyle w:val="NormalWeb"/>
        <w:numPr>
          <w:ilvl w:val="0"/>
          <w:numId w:val="2"/>
        </w:numPr>
        <w:spacing w:line="360" w:lineRule="auto"/>
        <w:jc w:val="both"/>
        <w:rPr>
          <w:rFonts w:ascii="Arial" w:hAnsi="Arial" w:cs="Arial"/>
          <w:b/>
          <w:bCs/>
          <w:color w:val="000000"/>
        </w:rPr>
      </w:pPr>
      <w:r w:rsidRPr="00D531CA">
        <w:rPr>
          <w:rFonts w:ascii="Arial" w:hAnsi="Arial" w:cs="Arial"/>
          <w:b/>
          <w:bCs/>
          <w:color w:val="000000"/>
        </w:rPr>
        <w:t>Effectiveness and Limitations</w:t>
      </w:r>
    </w:p>
    <w:p w14:paraId="3296DF4B" w14:textId="77777777"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Despite these provisions, there are significant limitations. The effectiveness of interventions depends on factors such as timing, intensity, and individual responsiveness. Late identification can reduce the impact of interventions, as difficulties become more entrenched over time (</w:t>
      </w:r>
      <w:proofErr w:type="spellStart"/>
      <w:r w:rsidRPr="00AC4EBB">
        <w:rPr>
          <w:rFonts w:ascii="Arial" w:hAnsi="Arial" w:cs="Arial"/>
          <w:color w:val="000000"/>
        </w:rPr>
        <w:t>Snowling</w:t>
      </w:r>
      <w:proofErr w:type="spellEnd"/>
      <w:r w:rsidRPr="00AC4EBB">
        <w:rPr>
          <w:rFonts w:ascii="Arial" w:hAnsi="Arial" w:cs="Arial"/>
          <w:color w:val="000000"/>
        </w:rPr>
        <w:t>, Hulme, and Nation, 2022). Furthermore, access to high-quality interventions varies widely, often influenced by school resources and local authority funding.</w:t>
      </w:r>
    </w:p>
    <w:p w14:paraId="61011789" w14:textId="77777777"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Another limitation is the narrow focus on literacy skills, which may overlook the emotional and psychological impact of reading difficulties. Individuals with DLD are at increased risk of low self-esteem, anxiety, and disengagement from education (Aro et al., 2022). Without addressing these factors, interventions may have limited long-term effectiveness.</w:t>
      </w:r>
    </w:p>
    <w:p w14:paraId="0F0435DE" w14:textId="4817FAB0" w:rsidR="00AC4EBB" w:rsidRPr="00323196" w:rsidRDefault="00000000" w:rsidP="00503BF9">
      <w:pPr>
        <w:pStyle w:val="NormalWeb"/>
        <w:spacing w:line="360" w:lineRule="auto"/>
        <w:jc w:val="both"/>
        <w:rPr>
          <w:rFonts w:ascii="Arial" w:hAnsi="Arial" w:cs="Arial"/>
          <w:color w:val="000000"/>
        </w:rPr>
      </w:pPr>
      <w:r>
        <w:rPr>
          <w:rFonts w:ascii="Arial" w:hAnsi="Arial" w:cs="Arial"/>
          <w:color w:val="000000"/>
        </w:rPr>
        <w:pict w14:anchorId="58123F89">
          <v:rect id="_x0000_i1025" style="width:0;height:1.5pt" o:hralign="center" o:hrstd="t" o:hr="t" fillcolor="#a0a0a0" stroked="f"/>
        </w:pict>
      </w:r>
    </w:p>
    <w:p w14:paraId="2F934724" w14:textId="77777777"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Research consistently demonstrates that structured literacy interventions can improve reading outcomes, particularly when implemented early (</w:t>
      </w:r>
      <w:proofErr w:type="spellStart"/>
      <w:r w:rsidRPr="00AC4EBB">
        <w:rPr>
          <w:rFonts w:ascii="Arial" w:hAnsi="Arial" w:cs="Arial"/>
          <w:color w:val="000000"/>
        </w:rPr>
        <w:t>Ehri</w:t>
      </w:r>
      <w:proofErr w:type="spellEnd"/>
      <w:r w:rsidRPr="00AC4EBB">
        <w:rPr>
          <w:rFonts w:ascii="Arial" w:hAnsi="Arial" w:cs="Arial"/>
          <w:color w:val="000000"/>
        </w:rPr>
        <w:t>, 2020). However, these improvements are often partial, and many individuals continue to experience difficulties into adulthood. This highlights the need for sustained support rather than short-term intervention programmes.</w:t>
      </w:r>
    </w:p>
    <w:p w14:paraId="401CF11E" w14:textId="5EC37445"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 xml:space="preserve">A further limitation is the predominance of deficit-based approaches, which focus on remediating weaknesses rather than adapting the learning environment. Inclusive frameworks, </w:t>
      </w:r>
      <w:r w:rsidR="002E6648" w:rsidRPr="002E6648">
        <w:rPr>
          <w:rFonts w:ascii="Arial" w:hAnsi="Arial" w:cs="Arial"/>
          <w:color w:val="000000"/>
        </w:rPr>
        <w:t xml:space="preserve">for example, Universal Design for Learning principles, which </w:t>
      </w:r>
      <w:r w:rsidR="002E6648">
        <w:rPr>
          <w:rFonts w:ascii="Arial" w:hAnsi="Arial" w:cs="Arial"/>
          <w:color w:val="000000"/>
        </w:rPr>
        <w:t>deliver</w:t>
      </w:r>
      <w:r w:rsidRPr="00AC4EBB">
        <w:rPr>
          <w:rFonts w:ascii="Arial" w:hAnsi="Arial" w:cs="Arial"/>
          <w:color w:val="000000"/>
        </w:rPr>
        <w:t xml:space="preserve"> </w:t>
      </w:r>
      <w:r w:rsidR="002E6648">
        <w:rPr>
          <w:rFonts w:ascii="Arial" w:hAnsi="Arial" w:cs="Arial"/>
          <w:color w:val="000000"/>
        </w:rPr>
        <w:t xml:space="preserve">a </w:t>
      </w:r>
      <w:r w:rsidRPr="00AC4EBB">
        <w:rPr>
          <w:rFonts w:ascii="Arial" w:hAnsi="Arial" w:cs="Arial"/>
          <w:color w:val="000000"/>
        </w:rPr>
        <w:t>more holistic alternative by creating flexible learning environments that accommodate diverse needs (</w:t>
      </w:r>
      <w:proofErr w:type="spellStart"/>
      <w:r w:rsidRPr="00AC4EBB">
        <w:rPr>
          <w:rFonts w:ascii="Arial" w:hAnsi="Arial" w:cs="Arial"/>
          <w:color w:val="000000"/>
        </w:rPr>
        <w:t>Tümkaya</w:t>
      </w:r>
      <w:proofErr w:type="spellEnd"/>
      <w:r w:rsidRPr="00AC4EBB">
        <w:rPr>
          <w:rFonts w:ascii="Arial" w:hAnsi="Arial" w:cs="Arial"/>
          <w:color w:val="000000"/>
        </w:rPr>
        <w:t xml:space="preserve">, </w:t>
      </w:r>
      <w:proofErr w:type="spellStart"/>
      <w:r w:rsidRPr="00AC4EBB">
        <w:rPr>
          <w:rFonts w:ascii="Arial" w:hAnsi="Arial" w:cs="Arial"/>
          <w:color w:val="000000"/>
        </w:rPr>
        <w:t>Çetinbaş</w:t>
      </w:r>
      <w:proofErr w:type="spellEnd"/>
      <w:r w:rsidRPr="00AC4EBB">
        <w:rPr>
          <w:rFonts w:ascii="Arial" w:hAnsi="Arial" w:cs="Arial"/>
          <w:color w:val="000000"/>
        </w:rPr>
        <w:t>, and Merk, 2024). These approaches reduce reliance on individual diagnoses and promote equity in education.</w:t>
      </w:r>
    </w:p>
    <w:p w14:paraId="315AD8DA" w14:textId="54084AAD"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 xml:space="preserve">Additionally, there is often a lack of coordination between health and education services, resulting in fragmented support. A more integrated approach would facilitate comprehensive care, </w:t>
      </w:r>
      <w:r w:rsidR="00EA4354">
        <w:rPr>
          <w:rFonts w:ascii="Arial" w:hAnsi="Arial" w:cs="Arial"/>
          <w:color w:val="000000"/>
        </w:rPr>
        <w:t>supporting</w:t>
      </w:r>
      <w:r w:rsidR="00060DD2">
        <w:rPr>
          <w:rFonts w:ascii="Arial" w:hAnsi="Arial" w:cs="Arial"/>
          <w:color w:val="000000"/>
        </w:rPr>
        <w:t xml:space="preserve"> </w:t>
      </w:r>
      <w:r w:rsidR="007628E2">
        <w:rPr>
          <w:rFonts w:ascii="Arial" w:hAnsi="Arial" w:cs="Arial"/>
          <w:color w:val="000000"/>
        </w:rPr>
        <w:t xml:space="preserve">both </w:t>
      </w:r>
      <w:r w:rsidR="00C72A40">
        <w:rPr>
          <w:rFonts w:ascii="Arial" w:hAnsi="Arial" w:cs="Arial"/>
          <w:color w:val="000000"/>
        </w:rPr>
        <w:t>learning needs and wider psy</w:t>
      </w:r>
      <w:r w:rsidR="00E16F8A">
        <w:rPr>
          <w:rFonts w:ascii="Arial" w:hAnsi="Arial" w:cs="Arial"/>
          <w:color w:val="000000"/>
        </w:rPr>
        <w:t xml:space="preserve">chosocial factors. </w:t>
      </w:r>
      <w:r w:rsidRPr="00AC4EBB">
        <w:rPr>
          <w:rFonts w:ascii="Arial" w:hAnsi="Arial" w:cs="Arial"/>
          <w:color w:val="000000"/>
        </w:rPr>
        <w:t>Without such integration, individuals may fall through gaps in the system, limiting the overall effectiveness of intervention efforts.</w:t>
      </w:r>
    </w:p>
    <w:p w14:paraId="0D06B3CB" w14:textId="053DEB94" w:rsidR="008A6D32" w:rsidRPr="009B3F87" w:rsidRDefault="008A6D32" w:rsidP="00503BF9">
      <w:pPr>
        <w:pStyle w:val="Heading1"/>
        <w:numPr>
          <w:ilvl w:val="0"/>
          <w:numId w:val="1"/>
        </w:numPr>
        <w:spacing w:line="360" w:lineRule="auto"/>
        <w:jc w:val="both"/>
        <w:rPr>
          <w:rStyle w:val="apple-converted-space"/>
          <w:rFonts w:ascii="Arial" w:hAnsi="Arial" w:cs="Arial"/>
          <w:b/>
          <w:bCs/>
          <w:color w:val="auto"/>
        </w:rPr>
      </w:pPr>
      <w:bookmarkStart w:id="4" w:name="_Toc227606325"/>
      <w:r w:rsidRPr="009B3F87">
        <w:rPr>
          <w:b/>
          <w:bCs/>
          <w:color w:val="auto"/>
        </w:rPr>
        <w:t xml:space="preserve">Current Debates and Emerging </w:t>
      </w:r>
      <w:r w:rsidR="00703756" w:rsidRPr="009B3F87">
        <w:rPr>
          <w:b/>
          <w:bCs/>
          <w:color w:val="auto"/>
        </w:rPr>
        <w:t>Issues:</w:t>
      </w:r>
      <w:bookmarkEnd w:id="4"/>
    </w:p>
    <w:p w14:paraId="08BC42E4" w14:textId="77777777" w:rsidR="00F93BDA" w:rsidRPr="00F93BDA" w:rsidRDefault="00F93BDA" w:rsidP="00503BF9">
      <w:pPr>
        <w:pStyle w:val="NormalWeb"/>
        <w:spacing w:line="360" w:lineRule="auto"/>
        <w:jc w:val="both"/>
        <w:rPr>
          <w:rFonts w:ascii="Arial" w:hAnsi="Arial" w:cs="Arial"/>
          <w:color w:val="000000"/>
        </w:rPr>
      </w:pPr>
      <w:r w:rsidRPr="00F93BDA">
        <w:rPr>
          <w:rFonts w:ascii="Arial" w:hAnsi="Arial" w:cs="Arial"/>
          <w:color w:val="000000"/>
        </w:rPr>
        <w:t>One of the most significant contemporary debates concerns the concept of neurodivergence. This perspective views conditions such as dyslexia as natural variations in cognitive functioning rather than deficits (Armstrong, 2025). Advocates argue that this approach promotes acceptance, reduces stigma, and highlights strengths such as creativity and innovative thinking.</w:t>
      </w:r>
    </w:p>
    <w:p w14:paraId="395EE797" w14:textId="77777777" w:rsidR="00F93BDA" w:rsidRPr="00F93BDA" w:rsidRDefault="00F93BDA" w:rsidP="00503BF9">
      <w:pPr>
        <w:pStyle w:val="NormalWeb"/>
        <w:spacing w:line="360" w:lineRule="auto"/>
        <w:jc w:val="both"/>
        <w:rPr>
          <w:rFonts w:ascii="Arial" w:hAnsi="Arial" w:cs="Arial"/>
          <w:color w:val="000000"/>
        </w:rPr>
      </w:pPr>
      <w:r w:rsidRPr="00F93BDA">
        <w:rPr>
          <w:rFonts w:ascii="Arial" w:hAnsi="Arial" w:cs="Arial"/>
          <w:color w:val="000000"/>
        </w:rPr>
        <w:t>However, this perspective also raises practical challenges. The removal of the “disorder” label may undermine access to support services, which are often tied to formal diagnoses (Kirby, 2020). This creates a tension between promoting inclusivity and maintaining eligibility for resources. Balancing these priorities remains a key challenge for policymakers and practitioners.</w:t>
      </w:r>
    </w:p>
    <w:p w14:paraId="08E75FA1" w14:textId="1325E10B" w:rsidR="00F93BDA" w:rsidRPr="00F93BDA" w:rsidRDefault="00F93BDA" w:rsidP="00503BF9">
      <w:pPr>
        <w:pStyle w:val="NormalWeb"/>
        <w:spacing w:line="360" w:lineRule="auto"/>
        <w:jc w:val="both"/>
        <w:rPr>
          <w:rFonts w:ascii="Arial" w:hAnsi="Arial" w:cs="Arial"/>
          <w:color w:val="000000"/>
        </w:rPr>
      </w:pPr>
      <w:r w:rsidRPr="00F93BDA">
        <w:rPr>
          <w:rFonts w:ascii="Arial" w:hAnsi="Arial" w:cs="Arial"/>
          <w:color w:val="000000"/>
        </w:rPr>
        <w:t xml:space="preserve">Another debate centres on the validity of diagnostic categories. Some researchers argue that learning difficulties exist on a continuum and that categorical distinctions are artificial (Elliott and Grigorenko, 2024). This critique has implications for classification systems such as ICD-11, which rely on defined thresholds. Moving towards a more dimensional model could improve </w:t>
      </w:r>
      <w:proofErr w:type="gramStart"/>
      <w:r w:rsidR="00060DD2" w:rsidRPr="00F93BDA">
        <w:rPr>
          <w:rFonts w:ascii="Arial" w:hAnsi="Arial" w:cs="Arial"/>
          <w:color w:val="000000"/>
        </w:rPr>
        <w:t>accuracy</w:t>
      </w:r>
      <w:r w:rsidR="00D700F0">
        <w:rPr>
          <w:rFonts w:ascii="Arial" w:hAnsi="Arial" w:cs="Arial"/>
          <w:color w:val="000000"/>
        </w:rPr>
        <w:t>,</w:t>
      </w:r>
      <w:r w:rsidR="00060DD2">
        <w:rPr>
          <w:rFonts w:ascii="Arial" w:hAnsi="Arial" w:cs="Arial"/>
          <w:color w:val="000000"/>
        </w:rPr>
        <w:t xml:space="preserve"> but</w:t>
      </w:r>
      <w:proofErr w:type="gramEnd"/>
      <w:r w:rsidRPr="00F93BDA">
        <w:rPr>
          <w:rFonts w:ascii="Arial" w:hAnsi="Arial" w:cs="Arial"/>
          <w:color w:val="000000"/>
        </w:rPr>
        <w:t xml:space="preserve"> may complicate service provision.</w:t>
      </w:r>
    </w:p>
    <w:p w14:paraId="2F4C59D0" w14:textId="77777777" w:rsidR="00F93BDA" w:rsidRPr="00F93BDA" w:rsidRDefault="00F93BDA" w:rsidP="00503BF9">
      <w:pPr>
        <w:pStyle w:val="NormalWeb"/>
        <w:spacing w:line="360" w:lineRule="auto"/>
        <w:jc w:val="both"/>
        <w:rPr>
          <w:rFonts w:ascii="Arial" w:hAnsi="Arial" w:cs="Arial"/>
          <w:color w:val="000000"/>
        </w:rPr>
      </w:pPr>
      <w:r w:rsidRPr="00F93BDA">
        <w:rPr>
          <w:rFonts w:ascii="Arial" w:hAnsi="Arial" w:cs="Arial"/>
          <w:color w:val="000000"/>
        </w:rPr>
        <w:t>Advances in neuroscience have also contributed to understanding reading difficulties, identifying differences in brain activation patterns (Rocha et al., 2024). While this evidence supports the biological basis of the condition, it also raises ethical concerns regarding labelling and intervention. The use of neuroimaging in diagnosis, for example, remains controversial due to issues of accessibility, cost, and interpretation.</w:t>
      </w:r>
    </w:p>
    <w:p w14:paraId="1F1E4E7E" w14:textId="77777777" w:rsidR="00F93BDA" w:rsidRPr="00F93BDA" w:rsidRDefault="00F93BDA" w:rsidP="00503BF9">
      <w:pPr>
        <w:pStyle w:val="NormalWeb"/>
        <w:spacing w:line="360" w:lineRule="auto"/>
        <w:jc w:val="both"/>
        <w:rPr>
          <w:rFonts w:ascii="Arial" w:hAnsi="Arial" w:cs="Arial"/>
          <w:color w:val="000000"/>
        </w:rPr>
      </w:pPr>
      <w:r w:rsidRPr="00F93BDA">
        <w:rPr>
          <w:rFonts w:ascii="Arial" w:hAnsi="Arial" w:cs="Arial"/>
          <w:color w:val="000000"/>
        </w:rPr>
        <w:t>In the UK, policy developments increasingly emphasise inclusive education and early intervention. However, funding constraints and systemic inequalities continue to limit progress (Department for Education, 2024). These challenges highlight the need for sustained investment and strategic planning.</w:t>
      </w:r>
    </w:p>
    <w:p w14:paraId="499F834D" w14:textId="77777777" w:rsidR="00DB081B" w:rsidRPr="008A6D32" w:rsidRDefault="00DB081B" w:rsidP="00503BF9">
      <w:pPr>
        <w:pStyle w:val="NormalWeb"/>
        <w:spacing w:line="360" w:lineRule="auto"/>
        <w:jc w:val="both"/>
        <w:rPr>
          <w:rFonts w:ascii="Arial" w:hAnsi="Arial" w:cs="Arial"/>
          <w:b/>
          <w:bCs/>
          <w:color w:val="000000"/>
        </w:rPr>
      </w:pPr>
    </w:p>
    <w:p w14:paraId="663F265C" w14:textId="39EBA6AE" w:rsidR="008A6D32" w:rsidRPr="009B3F87" w:rsidRDefault="00DD6CE6" w:rsidP="00503BF9">
      <w:pPr>
        <w:pStyle w:val="Heading1"/>
        <w:numPr>
          <w:ilvl w:val="0"/>
          <w:numId w:val="1"/>
        </w:numPr>
        <w:spacing w:line="360" w:lineRule="auto"/>
        <w:jc w:val="both"/>
        <w:rPr>
          <w:b/>
          <w:bCs/>
          <w:color w:val="auto"/>
        </w:rPr>
      </w:pPr>
      <w:bookmarkStart w:id="5" w:name="_Toc227606326"/>
      <w:r w:rsidRPr="009B3F87">
        <w:rPr>
          <w:b/>
          <w:bCs/>
          <w:color w:val="auto"/>
        </w:rPr>
        <w:t>Recommendations:</w:t>
      </w:r>
      <w:bookmarkEnd w:id="5"/>
    </w:p>
    <w:p w14:paraId="147CE720" w14:textId="77777777" w:rsidR="00B827DC" w:rsidRPr="00B827DC" w:rsidRDefault="00B827DC" w:rsidP="00503BF9">
      <w:pPr>
        <w:pStyle w:val="NormalWeb"/>
        <w:spacing w:line="360" w:lineRule="auto"/>
        <w:jc w:val="both"/>
        <w:rPr>
          <w:rFonts w:ascii="Arial" w:hAnsi="Arial" w:cs="Arial"/>
          <w:color w:val="000000"/>
        </w:rPr>
      </w:pPr>
      <w:r w:rsidRPr="00B827DC">
        <w:rPr>
          <w:rFonts w:ascii="Arial" w:hAnsi="Arial" w:cs="Arial"/>
          <w:color w:val="000000"/>
        </w:rPr>
        <w:t>Several recommendations can enhance current practice and policy. Firstly, ICD-11 could adopt more neutral terminology, such as “condition” or “difference,” to reduce stigma while maintaining clinical clarity. Integrating dimensional elements alongside categorical classification would better reflect the variability of reading difficulties.</w:t>
      </w:r>
    </w:p>
    <w:p w14:paraId="16BB6B27" w14:textId="77777777" w:rsidR="00B827DC" w:rsidRPr="00B827DC" w:rsidRDefault="00B827DC" w:rsidP="00503BF9">
      <w:pPr>
        <w:pStyle w:val="NormalWeb"/>
        <w:spacing w:line="360" w:lineRule="auto"/>
        <w:jc w:val="both"/>
        <w:rPr>
          <w:rFonts w:ascii="Arial" w:hAnsi="Arial" w:cs="Arial"/>
          <w:color w:val="000000"/>
        </w:rPr>
      </w:pPr>
      <w:r w:rsidRPr="00B827DC">
        <w:rPr>
          <w:rFonts w:ascii="Arial" w:hAnsi="Arial" w:cs="Arial"/>
          <w:color w:val="000000"/>
        </w:rPr>
        <w:t>Secondly, diagnostic processes should prioritise early identification through universal screening in primary education. This would reduce reliance on formal diagnoses and enable timely intervention. Greater consistency in assessment practices across the UK is essential to address regional disparities.</w:t>
      </w:r>
    </w:p>
    <w:p w14:paraId="2F0A774F" w14:textId="77777777" w:rsidR="00B827DC" w:rsidRPr="00B827DC" w:rsidRDefault="00B827DC" w:rsidP="00503BF9">
      <w:pPr>
        <w:pStyle w:val="NormalWeb"/>
        <w:spacing w:line="360" w:lineRule="auto"/>
        <w:jc w:val="both"/>
        <w:rPr>
          <w:rFonts w:ascii="Arial" w:hAnsi="Arial" w:cs="Arial"/>
          <w:color w:val="000000"/>
        </w:rPr>
      </w:pPr>
      <w:r w:rsidRPr="00B827DC">
        <w:rPr>
          <w:rFonts w:ascii="Arial" w:hAnsi="Arial" w:cs="Arial"/>
          <w:color w:val="000000"/>
        </w:rPr>
        <w:t>Thirdly, treatment approaches should be holistic, incorporating academic, emotional, and social support. Collaboration between health, education, and social care professionals is crucial for delivering comprehensive and coordinated care (Langdon et al., 2025).</w:t>
      </w:r>
    </w:p>
    <w:p w14:paraId="3F8FD7C2" w14:textId="77777777" w:rsidR="00B827DC" w:rsidRPr="00B827DC" w:rsidRDefault="00B827DC" w:rsidP="00503BF9">
      <w:pPr>
        <w:pStyle w:val="NormalWeb"/>
        <w:spacing w:line="360" w:lineRule="auto"/>
        <w:jc w:val="both"/>
        <w:rPr>
          <w:rFonts w:ascii="Arial" w:hAnsi="Arial" w:cs="Arial"/>
          <w:color w:val="000000"/>
        </w:rPr>
      </w:pPr>
      <w:r w:rsidRPr="00B827DC">
        <w:rPr>
          <w:rFonts w:ascii="Arial" w:hAnsi="Arial" w:cs="Arial"/>
          <w:color w:val="000000"/>
        </w:rPr>
        <w:t>Fourthly, policy should promote inclusive education by embedding evidence-based teaching strategies within mainstream classrooms. Increased funding for training and resources would improve the quality and consistency of support.</w:t>
      </w:r>
    </w:p>
    <w:p w14:paraId="0C5500F3" w14:textId="77777777" w:rsidR="00B827DC" w:rsidRPr="00B827DC" w:rsidRDefault="00B827DC" w:rsidP="00503BF9">
      <w:pPr>
        <w:pStyle w:val="NormalWeb"/>
        <w:spacing w:line="360" w:lineRule="auto"/>
        <w:jc w:val="both"/>
        <w:rPr>
          <w:rFonts w:ascii="Arial" w:hAnsi="Arial" w:cs="Arial"/>
          <w:color w:val="000000"/>
        </w:rPr>
      </w:pPr>
      <w:r w:rsidRPr="00B827DC">
        <w:rPr>
          <w:rFonts w:ascii="Arial" w:hAnsi="Arial" w:cs="Arial"/>
          <w:color w:val="000000"/>
        </w:rPr>
        <w:t>Finally, further research is needed to examine long-term outcomes and evaluate different intervention models. Involving individuals with lived experience in research and policy development would ensure that services are responsive and effective (</w:t>
      </w:r>
      <w:proofErr w:type="spellStart"/>
      <w:r w:rsidRPr="00B827DC">
        <w:rPr>
          <w:rFonts w:ascii="Arial" w:hAnsi="Arial" w:cs="Arial"/>
          <w:color w:val="000000"/>
        </w:rPr>
        <w:t>Morsanyi</w:t>
      </w:r>
      <w:proofErr w:type="spellEnd"/>
      <w:r w:rsidRPr="00B827DC">
        <w:rPr>
          <w:rFonts w:ascii="Arial" w:hAnsi="Arial" w:cs="Arial"/>
          <w:color w:val="000000"/>
        </w:rPr>
        <w:t xml:space="preserve"> et al., 2026).</w:t>
      </w:r>
    </w:p>
    <w:p w14:paraId="1AECE137" w14:textId="77777777" w:rsidR="008A6D32" w:rsidRPr="008A6D32" w:rsidRDefault="008A6D32" w:rsidP="00503BF9">
      <w:pPr>
        <w:pStyle w:val="NormalWeb"/>
        <w:spacing w:line="360" w:lineRule="auto"/>
        <w:jc w:val="both"/>
        <w:rPr>
          <w:rFonts w:ascii="Arial" w:hAnsi="Arial" w:cs="Arial"/>
          <w:color w:val="000000"/>
        </w:rPr>
      </w:pPr>
    </w:p>
    <w:p w14:paraId="75C42BB4" w14:textId="71763F0B" w:rsidR="008A6D32" w:rsidRPr="00E72C2A" w:rsidRDefault="008A6D32" w:rsidP="00503BF9">
      <w:pPr>
        <w:pStyle w:val="Heading1"/>
        <w:numPr>
          <w:ilvl w:val="0"/>
          <w:numId w:val="1"/>
        </w:numPr>
        <w:spacing w:line="360" w:lineRule="auto"/>
        <w:jc w:val="both"/>
        <w:rPr>
          <w:b/>
          <w:bCs/>
          <w:color w:val="auto"/>
        </w:rPr>
      </w:pPr>
      <w:bookmarkStart w:id="6" w:name="_Toc227606327"/>
      <w:r w:rsidRPr="00E72C2A">
        <w:rPr>
          <w:b/>
          <w:bCs/>
          <w:color w:val="auto"/>
        </w:rPr>
        <w:t>Conclusion</w:t>
      </w:r>
      <w:bookmarkEnd w:id="6"/>
    </w:p>
    <w:p w14:paraId="21A9DC51" w14:textId="6325CF79" w:rsidR="006A0214" w:rsidRPr="006A0214" w:rsidRDefault="00C95295" w:rsidP="00503BF9">
      <w:pPr>
        <w:pStyle w:val="NormalWeb"/>
        <w:spacing w:line="360" w:lineRule="auto"/>
        <w:jc w:val="both"/>
        <w:rPr>
          <w:rFonts w:ascii="Arial" w:hAnsi="Arial" w:cs="Arial"/>
          <w:color w:val="000000"/>
        </w:rPr>
      </w:pPr>
      <w:r>
        <w:rPr>
          <w:rFonts w:ascii="Arial" w:hAnsi="Arial" w:cs="Arial"/>
          <w:color w:val="000000"/>
        </w:rPr>
        <w:t>A developmental</w:t>
      </w:r>
      <w:r w:rsidR="006A0214" w:rsidRPr="006A0214">
        <w:rPr>
          <w:rFonts w:ascii="Arial" w:hAnsi="Arial" w:cs="Arial"/>
          <w:color w:val="000000"/>
        </w:rPr>
        <w:t xml:space="preserve"> learning disorder with impairment in reading is a complex condition currently framed within a medicalised classification system in ICD-11. While this framework provides diagnostic clarity and facilitates access to support, it also raises concerns regarding stigma and the limitations of categorical approaches. Diagnostic processes in the UK are comprehensive but inconsistent, with significant inequities in access.</w:t>
      </w:r>
    </w:p>
    <w:p w14:paraId="0C75E23A" w14:textId="77777777" w:rsidR="006A0214" w:rsidRPr="006A0214" w:rsidRDefault="006A0214" w:rsidP="00503BF9">
      <w:pPr>
        <w:pStyle w:val="NormalWeb"/>
        <w:spacing w:line="360" w:lineRule="auto"/>
        <w:jc w:val="both"/>
        <w:rPr>
          <w:rFonts w:ascii="Arial" w:hAnsi="Arial" w:cs="Arial"/>
          <w:color w:val="000000"/>
        </w:rPr>
      </w:pPr>
      <w:r w:rsidRPr="006A0214">
        <w:rPr>
          <w:rFonts w:ascii="Arial" w:hAnsi="Arial" w:cs="Arial"/>
          <w:color w:val="000000"/>
        </w:rPr>
        <w:t>Interventions, primarily educational in nature, can be effective but are not universally available or sufficient to address all aspects of the condition. Emerging debates around neurodivergence challenge traditional deficit-based models and encourage more inclusive, strengths-based perspectives.</w:t>
      </w:r>
    </w:p>
    <w:p w14:paraId="45A36524" w14:textId="155FE728" w:rsidR="008A6D32" w:rsidRPr="008A6D32" w:rsidRDefault="006A0214" w:rsidP="00503BF9">
      <w:pPr>
        <w:pStyle w:val="NormalWeb"/>
        <w:spacing w:line="360" w:lineRule="auto"/>
        <w:jc w:val="both"/>
        <w:rPr>
          <w:rFonts w:ascii="Arial" w:hAnsi="Arial" w:cs="Arial"/>
          <w:color w:val="000000"/>
        </w:rPr>
      </w:pPr>
      <w:r w:rsidRPr="006A0214">
        <w:rPr>
          <w:rFonts w:ascii="Arial" w:hAnsi="Arial" w:cs="Arial"/>
          <w:color w:val="000000"/>
        </w:rPr>
        <w:t xml:space="preserve">Improving outcomes requires a shift towards holistic, integrated, and person-centred approaches. By refining classification systems, enhancing early identification, and promoting inclusive practices, policy and practice can better support individuals with reading </w:t>
      </w:r>
      <w:r w:rsidR="0049788C">
        <w:rPr>
          <w:rFonts w:ascii="Arial" w:hAnsi="Arial" w:cs="Arial"/>
          <w:color w:val="000000"/>
        </w:rPr>
        <w:t>difficulties.</w:t>
      </w:r>
      <w:r w:rsidRPr="006A0214">
        <w:rPr>
          <w:rFonts w:ascii="Arial" w:hAnsi="Arial" w:cs="Arial"/>
          <w:color w:val="000000"/>
        </w:rPr>
        <w:t xml:space="preserve"> </w:t>
      </w:r>
      <w:r w:rsidR="0049788C" w:rsidRPr="0049788C">
        <w:rPr>
          <w:rFonts w:ascii="Arial" w:hAnsi="Arial" w:cs="Arial"/>
          <w:color w:val="000000"/>
        </w:rPr>
        <w:t>empowering them to achieve their full capacity and maximise their outcomes</w:t>
      </w:r>
      <w:r w:rsidR="0049788C">
        <w:rPr>
          <w:rFonts w:ascii="Arial" w:hAnsi="Arial" w:cs="Arial"/>
          <w:color w:val="000000"/>
        </w:rPr>
        <w:t>.</w:t>
      </w:r>
    </w:p>
    <w:p w14:paraId="4F7597D5" w14:textId="77777777" w:rsidR="008A6D32" w:rsidRPr="008A6D32" w:rsidRDefault="008A6D32" w:rsidP="00503BF9">
      <w:pPr>
        <w:pStyle w:val="NormalWeb"/>
        <w:spacing w:line="360" w:lineRule="auto"/>
        <w:jc w:val="both"/>
        <w:rPr>
          <w:rFonts w:ascii="Arial" w:hAnsi="Arial" w:cs="Arial"/>
          <w:color w:val="000000"/>
        </w:rPr>
      </w:pPr>
    </w:p>
    <w:p w14:paraId="7AD2E81E" w14:textId="77777777" w:rsidR="008A6D32" w:rsidRPr="008A6D32" w:rsidRDefault="008A6D32" w:rsidP="00503BF9">
      <w:pPr>
        <w:pStyle w:val="NormalWeb"/>
        <w:spacing w:line="360" w:lineRule="auto"/>
        <w:jc w:val="both"/>
        <w:rPr>
          <w:rFonts w:ascii="Arial" w:hAnsi="Arial" w:cs="Arial"/>
          <w:color w:val="000000"/>
        </w:rPr>
      </w:pPr>
    </w:p>
    <w:p w14:paraId="464E4062" w14:textId="02CAC658" w:rsidR="008A6D32" w:rsidRPr="00E72C2A" w:rsidRDefault="008A6D32" w:rsidP="00503BF9">
      <w:pPr>
        <w:pStyle w:val="NormalWeb"/>
        <w:spacing w:line="360" w:lineRule="auto"/>
        <w:jc w:val="both"/>
        <w:rPr>
          <w:rFonts w:asciiTheme="majorHAnsi" w:hAnsiTheme="majorHAnsi" w:cs="Arial"/>
          <w:b/>
          <w:bCs/>
          <w:sz w:val="40"/>
          <w:szCs w:val="40"/>
        </w:rPr>
      </w:pPr>
      <w:r w:rsidRPr="00E72C2A">
        <w:rPr>
          <w:rFonts w:asciiTheme="majorHAnsi" w:hAnsiTheme="majorHAnsi" w:cs="Arial"/>
          <w:b/>
          <w:bCs/>
          <w:sz w:val="40"/>
          <w:szCs w:val="40"/>
        </w:rPr>
        <w:t xml:space="preserve">References </w:t>
      </w:r>
    </w:p>
    <w:p w14:paraId="41393BD6" w14:textId="77777777" w:rsidR="008A6D32" w:rsidRPr="008A6D32" w:rsidRDefault="008A6D32" w:rsidP="00503BF9">
      <w:pPr>
        <w:pStyle w:val="NormalWeb"/>
        <w:spacing w:line="360" w:lineRule="auto"/>
        <w:jc w:val="both"/>
        <w:rPr>
          <w:rFonts w:ascii="Arial" w:hAnsi="Arial" w:cs="Arial"/>
          <w:color w:val="000000"/>
        </w:rPr>
      </w:pPr>
    </w:p>
    <w:p w14:paraId="0A3BAFF8" w14:textId="677F32B8" w:rsidR="00084BB2" w:rsidRPr="005833F7" w:rsidRDefault="00D44470" w:rsidP="00503BF9">
      <w:pPr>
        <w:spacing w:line="360" w:lineRule="auto"/>
        <w:jc w:val="both"/>
        <w:rPr>
          <w:rFonts w:ascii="Arial" w:hAnsi="Arial" w:cs="Arial"/>
        </w:rPr>
      </w:pPr>
      <w:r w:rsidRPr="005833F7">
        <w:rPr>
          <w:rFonts w:ascii="Arial" w:hAnsi="Arial" w:cs="Arial"/>
        </w:rPr>
        <w:t>Armstrong, T. (2025)</w:t>
      </w:r>
      <w:r w:rsidR="00D62D05" w:rsidRPr="005833F7">
        <w:rPr>
          <w:rFonts w:ascii="Arial" w:hAnsi="Arial" w:cs="Arial"/>
        </w:rPr>
        <w:t>.</w:t>
      </w:r>
      <w:r w:rsidRPr="005833F7">
        <w:rPr>
          <w:rFonts w:ascii="Arial" w:hAnsi="Arial" w:cs="Arial"/>
        </w:rPr>
        <w:t xml:space="preserve"> </w:t>
      </w:r>
      <w:r w:rsidRPr="00A03DBB">
        <w:rPr>
          <w:rFonts w:ascii="Arial" w:hAnsi="Arial" w:cs="Arial"/>
          <w:i/>
          <w:iCs/>
        </w:rPr>
        <w:t>The Power of Neurodiversity: Unleashing the Advantages of Your Neurodivergent Brain</w:t>
      </w:r>
      <w:r w:rsidRPr="005833F7">
        <w:rPr>
          <w:rFonts w:ascii="Arial" w:hAnsi="Arial" w:cs="Arial"/>
        </w:rPr>
        <w:t xml:space="preserve">. 2nd </w:t>
      </w:r>
      <w:proofErr w:type="spellStart"/>
      <w:r w:rsidRPr="005833F7">
        <w:rPr>
          <w:rFonts w:ascii="Arial" w:hAnsi="Arial" w:cs="Arial"/>
        </w:rPr>
        <w:t>edn</w:t>
      </w:r>
      <w:proofErr w:type="spellEnd"/>
      <w:r w:rsidRPr="005833F7">
        <w:rPr>
          <w:rFonts w:ascii="Arial" w:hAnsi="Arial" w:cs="Arial"/>
        </w:rPr>
        <w:t xml:space="preserve">. London: Hachette Books. Available at: </w:t>
      </w:r>
      <w:hyperlink r:id="rId9" w:history="1">
        <w:r w:rsidRPr="005833F7">
          <w:rPr>
            <w:rStyle w:val="Hyperlink"/>
            <w:rFonts w:ascii="Arial" w:hAnsi="Arial" w:cs="Arial"/>
            <w:color w:val="auto"/>
          </w:rPr>
          <w:t>https://www.hachette.co.uk/titles/thomas-armstrong-2/the-power-of-neurodiversity/9780306836367/</w:t>
        </w:r>
      </w:hyperlink>
      <w:r w:rsidRPr="005833F7">
        <w:rPr>
          <w:rFonts w:ascii="Arial" w:hAnsi="Arial" w:cs="Arial"/>
        </w:rPr>
        <w:t xml:space="preserve"> </w:t>
      </w:r>
      <w:r w:rsidRPr="005833F7">
        <w:rPr>
          <w:rFonts w:ascii="Segoe UI Symbol" w:hAnsi="Segoe UI Symbol" w:cs="Segoe UI Symbol"/>
        </w:rPr>
        <w:t>⁠</w:t>
      </w:r>
      <w:r w:rsidRPr="005833F7">
        <w:rPr>
          <w:rFonts w:ascii="Arial" w:hAnsi="Arial" w:cs="Arial"/>
        </w:rPr>
        <w:t xml:space="preserve"> (Accessed: 15 April 2026</w:t>
      </w:r>
      <w:r w:rsidR="00274480" w:rsidRPr="005833F7">
        <w:rPr>
          <w:rFonts w:ascii="Arial" w:hAnsi="Arial" w:cs="Arial"/>
        </w:rPr>
        <w:t>).</w:t>
      </w:r>
    </w:p>
    <w:p w14:paraId="0D11E33B" w14:textId="70BD5EA5" w:rsidR="00084BB2" w:rsidRPr="005833F7" w:rsidRDefault="00C1012B" w:rsidP="00503BF9">
      <w:pPr>
        <w:spacing w:line="360" w:lineRule="auto"/>
        <w:jc w:val="both"/>
        <w:rPr>
          <w:rFonts w:ascii="Arial" w:hAnsi="Arial" w:cs="Arial"/>
        </w:rPr>
      </w:pPr>
      <w:r w:rsidRPr="005833F7">
        <w:rPr>
          <w:rFonts w:ascii="Arial" w:hAnsi="Arial" w:cs="Arial"/>
        </w:rPr>
        <w:t xml:space="preserve"> </w:t>
      </w:r>
      <w:r w:rsidR="00A9360B" w:rsidRPr="005833F7">
        <w:rPr>
          <w:rFonts w:ascii="Arial" w:hAnsi="Arial" w:cs="Arial"/>
        </w:rPr>
        <w:t xml:space="preserve">Aro, T., Eklund, K., Eloranta, A.-K., Ahonen, </w:t>
      </w:r>
      <w:r w:rsidR="00AE6FA8">
        <w:rPr>
          <w:rFonts w:ascii="Arial" w:hAnsi="Arial" w:cs="Arial"/>
        </w:rPr>
        <w:t>T.,</w:t>
      </w:r>
      <w:r w:rsidR="00A9360B" w:rsidRPr="005833F7">
        <w:rPr>
          <w:rFonts w:ascii="Arial" w:hAnsi="Arial" w:cs="Arial"/>
        </w:rPr>
        <w:t xml:space="preserve"> and Rescorla, L. </w:t>
      </w:r>
      <w:r w:rsidR="0049788C">
        <w:rPr>
          <w:rFonts w:ascii="Arial" w:hAnsi="Arial" w:cs="Arial"/>
        </w:rPr>
        <w:t>(2022).</w:t>
      </w:r>
      <w:r w:rsidR="00A9360B" w:rsidRPr="005833F7">
        <w:rPr>
          <w:rFonts w:ascii="Arial" w:hAnsi="Arial" w:cs="Arial"/>
        </w:rPr>
        <w:t xml:space="preserve"> </w:t>
      </w:r>
      <w:r w:rsidR="00125874" w:rsidRPr="005833F7">
        <w:rPr>
          <w:rFonts w:ascii="Arial" w:hAnsi="Arial" w:cs="Arial"/>
        </w:rPr>
        <w:t>“</w:t>
      </w:r>
      <w:r w:rsidR="00125874" w:rsidRPr="00D26A80">
        <w:rPr>
          <w:rFonts w:ascii="Arial" w:hAnsi="Arial" w:cs="Arial"/>
          <w:i/>
          <w:iCs/>
        </w:rPr>
        <w:t>Learning</w:t>
      </w:r>
      <w:r w:rsidR="00A9360B" w:rsidRPr="00D26A80">
        <w:rPr>
          <w:rFonts w:ascii="Arial" w:hAnsi="Arial" w:cs="Arial"/>
          <w:i/>
          <w:iCs/>
        </w:rPr>
        <w:t xml:space="preserve"> disabilities elevate children’s risk for </w:t>
      </w:r>
      <w:r w:rsidR="0049788C">
        <w:rPr>
          <w:rFonts w:ascii="Arial" w:hAnsi="Arial" w:cs="Arial"/>
          <w:i/>
          <w:iCs/>
        </w:rPr>
        <w:t>behavioural-emotional</w:t>
      </w:r>
      <w:r w:rsidR="00A9360B" w:rsidRPr="00D26A80">
        <w:rPr>
          <w:rFonts w:ascii="Arial" w:hAnsi="Arial" w:cs="Arial"/>
          <w:i/>
          <w:iCs/>
        </w:rPr>
        <w:t xml:space="preserve"> problems</w:t>
      </w:r>
      <w:r w:rsidR="00A9360B" w:rsidRPr="005833F7">
        <w:rPr>
          <w:rFonts w:ascii="Arial" w:hAnsi="Arial" w:cs="Arial"/>
        </w:rPr>
        <w:t xml:space="preserve">: </w:t>
      </w:r>
      <w:r w:rsidR="00A9360B" w:rsidRPr="00020A9A">
        <w:rPr>
          <w:rFonts w:ascii="Arial" w:hAnsi="Arial" w:cs="Arial"/>
          <w:i/>
          <w:iCs/>
        </w:rPr>
        <w:t xml:space="preserve">Differences between LD types, genders, and </w:t>
      </w:r>
      <w:r w:rsidR="00E74224" w:rsidRPr="00020A9A">
        <w:rPr>
          <w:rFonts w:ascii="Arial" w:hAnsi="Arial" w:cs="Arial"/>
          <w:i/>
          <w:iCs/>
        </w:rPr>
        <w:t>contexts</w:t>
      </w:r>
      <w:r w:rsidR="00E74224">
        <w:rPr>
          <w:rFonts w:ascii="Arial" w:hAnsi="Arial" w:cs="Arial"/>
        </w:rPr>
        <w:t>.”</w:t>
      </w:r>
      <w:r w:rsidR="00A9360B" w:rsidRPr="005833F7">
        <w:rPr>
          <w:rFonts w:ascii="Arial" w:hAnsi="Arial" w:cs="Arial"/>
        </w:rPr>
        <w:t xml:space="preserve"> Journal of Learning Disabilities, 55(6), pp. 465–481. Available at: </w:t>
      </w:r>
      <w:hyperlink r:id="rId10" w:history="1">
        <w:r w:rsidR="00125874" w:rsidRPr="005833F7">
          <w:rPr>
            <w:rStyle w:val="Hyperlink"/>
            <w:rFonts w:ascii="Arial" w:hAnsi="Arial" w:cs="Arial"/>
            <w:color w:val="auto"/>
          </w:rPr>
          <w:t>https://doi.org/10.1177/00222194211056297</w:t>
        </w:r>
      </w:hyperlink>
      <w:r w:rsidR="00125874" w:rsidRPr="005833F7">
        <w:rPr>
          <w:rFonts w:ascii="Arial" w:hAnsi="Arial" w:cs="Arial"/>
        </w:rPr>
        <w:t xml:space="preserve"> </w:t>
      </w:r>
      <w:r w:rsidR="00A9360B" w:rsidRPr="005833F7">
        <w:rPr>
          <w:rFonts w:ascii="Segoe UI Symbol" w:hAnsi="Segoe UI Symbol" w:cs="Segoe UI Symbol"/>
        </w:rPr>
        <w:t>⁠</w:t>
      </w:r>
      <w:r w:rsidR="00A9360B" w:rsidRPr="005833F7">
        <w:rPr>
          <w:rFonts w:ascii="Arial" w:hAnsi="Arial" w:cs="Arial"/>
        </w:rPr>
        <w:t xml:space="preserve"> (Accessed: 15 April 2026).</w:t>
      </w:r>
    </w:p>
    <w:p w14:paraId="0F2580CA" w14:textId="64FB2708" w:rsidR="00006771" w:rsidRPr="005833F7" w:rsidRDefault="001959FD" w:rsidP="00503BF9">
      <w:pPr>
        <w:spacing w:line="360" w:lineRule="auto"/>
        <w:jc w:val="both"/>
        <w:rPr>
          <w:rFonts w:ascii="Arial" w:hAnsi="Arial" w:cs="Arial"/>
        </w:rPr>
      </w:pPr>
      <w:r w:rsidRPr="005833F7">
        <w:rPr>
          <w:rFonts w:ascii="Arial" w:hAnsi="Arial" w:cs="Arial"/>
        </w:rPr>
        <w:t>Department for Education (20</w:t>
      </w:r>
      <w:r w:rsidR="00925CBB" w:rsidRPr="005833F7">
        <w:rPr>
          <w:rFonts w:ascii="Arial" w:hAnsi="Arial" w:cs="Arial"/>
        </w:rPr>
        <w:t>24</w:t>
      </w:r>
      <w:r w:rsidRPr="005833F7">
        <w:rPr>
          <w:rFonts w:ascii="Arial" w:hAnsi="Arial" w:cs="Arial"/>
        </w:rPr>
        <w:t xml:space="preserve">) </w:t>
      </w:r>
      <w:r w:rsidRPr="00AE6FA8">
        <w:rPr>
          <w:rFonts w:ascii="Arial" w:hAnsi="Arial" w:cs="Arial"/>
          <w:i/>
          <w:iCs/>
        </w:rPr>
        <w:t>Special educational needs and disability code of practice</w:t>
      </w:r>
      <w:r w:rsidRPr="005833F7">
        <w:rPr>
          <w:rFonts w:ascii="Arial" w:hAnsi="Arial" w:cs="Arial"/>
          <w:i/>
          <w:iCs/>
        </w:rPr>
        <w:t>: 0 to 25 years</w:t>
      </w:r>
      <w:r w:rsidRPr="005833F7">
        <w:rPr>
          <w:rFonts w:ascii="Arial" w:hAnsi="Arial" w:cs="Arial"/>
        </w:rPr>
        <w:t xml:space="preserve">. Available </w:t>
      </w:r>
      <w:r w:rsidRPr="00A03DBB">
        <w:rPr>
          <w:rFonts w:ascii="Arial" w:hAnsi="Arial" w:cs="Arial"/>
          <w:u w:val="single"/>
        </w:rPr>
        <w:t>at:</w:t>
      </w:r>
      <w:r w:rsidR="00F4105B" w:rsidRPr="00A03DBB">
        <w:rPr>
          <w:rFonts w:ascii="Arial" w:hAnsi="Arial" w:cs="Arial"/>
          <w:u w:val="single"/>
        </w:rPr>
        <w:t xml:space="preserve"> </w:t>
      </w:r>
      <w:hyperlink r:id="rId11" w:tgtFrame="_new" w:history="1">
        <w:r w:rsidRPr="00A03DBB">
          <w:rPr>
            <w:rStyle w:val="Hyperlink"/>
            <w:rFonts w:ascii="Arial" w:hAnsi="Arial" w:cs="Arial"/>
            <w:color w:val="auto"/>
          </w:rPr>
          <w:t>SEND code of practice (0 to 25 years)</w:t>
        </w:r>
      </w:hyperlink>
      <w:r w:rsidRPr="005833F7">
        <w:rPr>
          <w:rFonts w:ascii="Arial" w:hAnsi="Arial" w:cs="Arial"/>
        </w:rPr>
        <w:t xml:space="preserve"> (Accessed: 15 April 2026)</w:t>
      </w:r>
      <w:r w:rsidR="00925CBB" w:rsidRPr="005833F7">
        <w:rPr>
          <w:rFonts w:ascii="Arial" w:hAnsi="Arial" w:cs="Arial"/>
        </w:rPr>
        <w:t>.</w:t>
      </w:r>
    </w:p>
    <w:p w14:paraId="603C0F41" w14:textId="4F8A267E" w:rsidR="008E50AD" w:rsidRPr="005833F7" w:rsidRDefault="008E50AD" w:rsidP="00503BF9">
      <w:pPr>
        <w:spacing w:line="360" w:lineRule="auto"/>
        <w:jc w:val="both"/>
        <w:rPr>
          <w:rFonts w:ascii="Arial" w:hAnsi="Arial" w:cs="Arial"/>
        </w:rPr>
      </w:pPr>
      <w:r w:rsidRPr="005833F7">
        <w:rPr>
          <w:rFonts w:ascii="Arial" w:hAnsi="Arial" w:cs="Arial"/>
        </w:rPr>
        <w:t>Ehri, L.C. (2020) ‘</w:t>
      </w:r>
      <w:r w:rsidRPr="00461B33">
        <w:rPr>
          <w:rFonts w:ascii="Arial" w:hAnsi="Arial" w:cs="Arial"/>
          <w:i/>
          <w:iCs/>
        </w:rPr>
        <w:t>The science of learning to read words: A case for systematic phonics instruction</w:t>
      </w:r>
      <w:r w:rsidRPr="005833F7">
        <w:rPr>
          <w:rFonts w:ascii="Arial" w:hAnsi="Arial" w:cs="Arial"/>
        </w:rPr>
        <w:t xml:space="preserve">,’ </w:t>
      </w:r>
      <w:r w:rsidRPr="005833F7">
        <w:rPr>
          <w:rFonts w:ascii="Arial" w:hAnsi="Arial" w:cs="Arial"/>
          <w:i/>
          <w:iCs/>
        </w:rPr>
        <w:t>Reading Research Quarterly</w:t>
      </w:r>
      <w:r w:rsidRPr="005833F7">
        <w:rPr>
          <w:rFonts w:ascii="Arial" w:hAnsi="Arial" w:cs="Arial"/>
        </w:rPr>
        <w:t xml:space="preserve">, 55(S1), pp. S45–S60. Available at: </w:t>
      </w:r>
      <w:hyperlink r:id="rId12" w:tgtFrame="_new" w:history="1">
        <w:r w:rsidRPr="005833F7">
          <w:rPr>
            <w:rStyle w:val="Hyperlink"/>
            <w:rFonts w:ascii="Arial" w:hAnsi="Arial" w:cs="Arial"/>
            <w:color w:val="auto"/>
          </w:rPr>
          <w:t>https://doi.org/10.1002/rrq.334</w:t>
        </w:r>
      </w:hyperlink>
      <w:r w:rsidRPr="005833F7">
        <w:rPr>
          <w:rFonts w:ascii="Arial" w:hAnsi="Arial" w:cs="Arial"/>
        </w:rPr>
        <w:t xml:space="preserve"> (Accessed: 15 April 2026).</w:t>
      </w:r>
    </w:p>
    <w:p w14:paraId="57CAC01F" w14:textId="7B94FEA3" w:rsidR="00084BB2" w:rsidRPr="005833F7" w:rsidRDefault="001E26EB" w:rsidP="00503BF9">
      <w:pPr>
        <w:spacing w:line="360" w:lineRule="auto"/>
        <w:jc w:val="both"/>
        <w:rPr>
          <w:rFonts w:ascii="Arial" w:hAnsi="Arial" w:cs="Arial"/>
        </w:rPr>
      </w:pPr>
      <w:r w:rsidRPr="005833F7">
        <w:rPr>
          <w:rFonts w:ascii="Arial" w:hAnsi="Arial" w:cs="Arial"/>
        </w:rPr>
        <w:t>Elliott, J.G. and Grigorenko, E.L. (2024)</w:t>
      </w:r>
      <w:r w:rsidR="00AC26E7" w:rsidRPr="005833F7">
        <w:rPr>
          <w:rFonts w:ascii="Arial" w:hAnsi="Arial" w:cs="Arial"/>
        </w:rPr>
        <w:t>.</w:t>
      </w:r>
      <w:r w:rsidRPr="005833F7">
        <w:rPr>
          <w:rFonts w:ascii="Arial" w:hAnsi="Arial" w:cs="Arial"/>
        </w:rPr>
        <w:t xml:space="preserve"> </w:t>
      </w:r>
      <w:r w:rsidRPr="005833F7">
        <w:rPr>
          <w:rFonts w:ascii="Arial" w:hAnsi="Arial" w:cs="Arial"/>
          <w:i/>
          <w:iCs/>
        </w:rPr>
        <w:t>The dyslexia debate revisited</w:t>
      </w:r>
      <w:r w:rsidRPr="005833F7">
        <w:rPr>
          <w:rFonts w:ascii="Arial" w:hAnsi="Arial" w:cs="Arial"/>
        </w:rPr>
        <w:t xml:space="preserve">. Cambridge: Cambridge University Press. Available at: </w:t>
      </w:r>
      <w:hyperlink r:id="rId13" w:tgtFrame="_new" w:history="1">
        <w:r w:rsidRPr="005833F7">
          <w:rPr>
            <w:rStyle w:val="Hyperlink"/>
            <w:rFonts w:ascii="Arial" w:hAnsi="Arial" w:cs="Arial"/>
            <w:color w:val="auto"/>
          </w:rPr>
          <w:t>https://doi.org/10.1017/9781009083140</w:t>
        </w:r>
      </w:hyperlink>
      <w:r w:rsidRPr="005833F7">
        <w:rPr>
          <w:rFonts w:ascii="Arial" w:hAnsi="Arial" w:cs="Arial"/>
        </w:rPr>
        <w:t xml:space="preserve"> (Accessed: 15 April 2026).</w:t>
      </w:r>
    </w:p>
    <w:p w14:paraId="6C4EF899" w14:textId="64E95F80" w:rsidR="00084BB2" w:rsidRPr="005833F7" w:rsidRDefault="001A09B1" w:rsidP="00503BF9">
      <w:pPr>
        <w:spacing w:line="360" w:lineRule="auto"/>
        <w:jc w:val="both"/>
        <w:rPr>
          <w:rFonts w:ascii="Arial" w:hAnsi="Arial" w:cs="Arial"/>
        </w:rPr>
      </w:pPr>
      <w:r w:rsidRPr="005833F7">
        <w:rPr>
          <w:rFonts w:ascii="Arial" w:hAnsi="Arial" w:cs="Arial"/>
        </w:rPr>
        <w:t>Kirby, P. (2020) ‘</w:t>
      </w:r>
      <w:r w:rsidRPr="0093055C">
        <w:rPr>
          <w:rFonts w:ascii="Arial" w:hAnsi="Arial" w:cs="Arial"/>
          <w:i/>
          <w:iCs/>
        </w:rPr>
        <w:t xml:space="preserve">Dyslexia debated, then and now: A historical perspective on the dyslexia </w:t>
      </w:r>
      <w:r w:rsidR="005E1BFC" w:rsidRPr="0093055C">
        <w:rPr>
          <w:rFonts w:ascii="Arial" w:hAnsi="Arial" w:cs="Arial"/>
          <w:i/>
          <w:iCs/>
        </w:rPr>
        <w:t>debate</w:t>
      </w:r>
      <w:r w:rsidR="005E1BFC" w:rsidRPr="005833F7">
        <w:rPr>
          <w:rFonts w:ascii="Arial" w:hAnsi="Arial" w:cs="Arial"/>
        </w:rPr>
        <w:t>,’</w:t>
      </w:r>
      <w:r w:rsidRPr="005833F7">
        <w:rPr>
          <w:rFonts w:ascii="Arial" w:hAnsi="Arial" w:cs="Arial"/>
        </w:rPr>
        <w:t xml:space="preserve"> </w:t>
      </w:r>
      <w:r w:rsidRPr="005833F7">
        <w:rPr>
          <w:rFonts w:ascii="Arial" w:hAnsi="Arial" w:cs="Arial"/>
          <w:i/>
          <w:iCs/>
        </w:rPr>
        <w:t>Oxford Review of Education</w:t>
      </w:r>
      <w:r w:rsidRPr="005833F7">
        <w:rPr>
          <w:rFonts w:ascii="Arial" w:hAnsi="Arial" w:cs="Arial"/>
        </w:rPr>
        <w:t xml:space="preserve">, 46(4), pp. 472–486. Available at: </w:t>
      </w:r>
      <w:hyperlink r:id="rId14" w:tgtFrame="_new" w:history="1">
        <w:r w:rsidRPr="005833F7">
          <w:rPr>
            <w:rStyle w:val="Hyperlink"/>
            <w:rFonts w:ascii="Arial" w:hAnsi="Arial" w:cs="Arial"/>
            <w:color w:val="auto"/>
          </w:rPr>
          <w:t>https://doi.org/10.1080/03054985.2020.1747418</w:t>
        </w:r>
      </w:hyperlink>
      <w:r w:rsidRPr="005833F7">
        <w:rPr>
          <w:rFonts w:ascii="Arial" w:hAnsi="Arial" w:cs="Arial"/>
        </w:rPr>
        <w:t xml:space="preserve"> (Accessed: 15 April 2026).</w:t>
      </w:r>
    </w:p>
    <w:p w14:paraId="045B4134" w14:textId="40B1FEBF" w:rsidR="00A568F5" w:rsidRPr="005833F7" w:rsidRDefault="00817CC3" w:rsidP="00503BF9">
      <w:pPr>
        <w:spacing w:line="360" w:lineRule="auto"/>
        <w:jc w:val="both"/>
        <w:rPr>
          <w:rFonts w:ascii="Arial" w:hAnsi="Arial" w:cs="Arial"/>
        </w:rPr>
      </w:pPr>
      <w:r w:rsidRPr="005833F7">
        <w:rPr>
          <w:rFonts w:ascii="Arial" w:hAnsi="Arial" w:cs="Arial"/>
        </w:rPr>
        <w:t xml:space="preserve">Meeks, L., Stephenson, J., Kemp, </w:t>
      </w:r>
      <w:r w:rsidR="00551947" w:rsidRPr="005833F7">
        <w:rPr>
          <w:rFonts w:ascii="Arial" w:hAnsi="Arial" w:cs="Arial"/>
        </w:rPr>
        <w:t>C.,</w:t>
      </w:r>
      <w:r w:rsidRPr="005833F7">
        <w:rPr>
          <w:rFonts w:ascii="Arial" w:hAnsi="Arial" w:cs="Arial"/>
        </w:rPr>
        <w:t xml:space="preserve"> and Madelaine, A. (2016). </w:t>
      </w:r>
      <w:r w:rsidRPr="0093055C">
        <w:rPr>
          <w:rFonts w:ascii="Arial" w:hAnsi="Arial" w:cs="Arial"/>
          <w:i/>
          <w:iCs/>
        </w:rPr>
        <w:t>‘How well prepared are pre-service teachers to teach early reading</w:t>
      </w:r>
      <w:r w:rsidRPr="005833F7">
        <w:rPr>
          <w:rFonts w:ascii="Arial" w:hAnsi="Arial" w:cs="Arial"/>
        </w:rPr>
        <w:t xml:space="preserve">? A systematic review of the literature, </w:t>
      </w:r>
      <w:r w:rsidRPr="005833F7">
        <w:rPr>
          <w:rFonts w:ascii="Arial" w:hAnsi="Arial" w:cs="Arial"/>
          <w:i/>
          <w:iCs/>
        </w:rPr>
        <w:t>Australian Journal of Learning Difficulties</w:t>
      </w:r>
      <w:r w:rsidRPr="005833F7">
        <w:rPr>
          <w:rFonts w:ascii="Arial" w:hAnsi="Arial" w:cs="Arial"/>
        </w:rPr>
        <w:t xml:space="preserve">, 21(2), pp. 69–98. Available at: </w:t>
      </w:r>
      <w:hyperlink r:id="rId15" w:tgtFrame="_new" w:history="1">
        <w:r w:rsidRPr="005833F7">
          <w:rPr>
            <w:rStyle w:val="Hyperlink"/>
            <w:rFonts w:ascii="Arial" w:hAnsi="Arial" w:cs="Arial"/>
            <w:color w:val="auto"/>
          </w:rPr>
          <w:t>https://doi.org/10.1080/19404158.2017.1287103</w:t>
        </w:r>
      </w:hyperlink>
      <w:r w:rsidRPr="005833F7">
        <w:rPr>
          <w:rFonts w:ascii="Arial" w:hAnsi="Arial" w:cs="Arial"/>
        </w:rPr>
        <w:t xml:space="preserve"> (Accessed: 15 April 2026).</w:t>
      </w:r>
    </w:p>
    <w:p w14:paraId="50EE5A2B" w14:textId="02C00FAD" w:rsidR="007F0DAD" w:rsidRPr="005833F7" w:rsidRDefault="007F0DAD" w:rsidP="00503BF9">
      <w:pPr>
        <w:spacing w:line="360" w:lineRule="auto"/>
        <w:jc w:val="both"/>
        <w:rPr>
          <w:rFonts w:ascii="Arial" w:hAnsi="Arial" w:cs="Arial"/>
        </w:rPr>
      </w:pPr>
      <w:r w:rsidRPr="005833F7">
        <w:rPr>
          <w:rFonts w:ascii="Arial" w:hAnsi="Arial" w:cs="Arial"/>
        </w:rPr>
        <w:t xml:space="preserve">Langdon, P.E., </w:t>
      </w:r>
      <w:proofErr w:type="spellStart"/>
      <w:r w:rsidRPr="005833F7">
        <w:rPr>
          <w:rFonts w:ascii="Arial" w:hAnsi="Arial" w:cs="Arial"/>
        </w:rPr>
        <w:t>Stenfert</w:t>
      </w:r>
      <w:proofErr w:type="spellEnd"/>
      <w:r w:rsidRPr="005833F7">
        <w:rPr>
          <w:rFonts w:ascii="Arial" w:hAnsi="Arial" w:cs="Arial"/>
        </w:rPr>
        <w:t xml:space="preserve"> Kroese, B., Murphy, G.H., Unwin, G., Rose, J., Hewitt, O., and Cooper, V. (2025) ‘</w:t>
      </w:r>
      <w:r w:rsidRPr="00626663">
        <w:rPr>
          <w:rFonts w:ascii="Arial" w:hAnsi="Arial" w:cs="Arial"/>
          <w:i/>
          <w:iCs/>
        </w:rPr>
        <w:t>Empowering voices: Inclusive research for people with learning disabilities</w:t>
      </w:r>
      <w:r w:rsidRPr="005833F7">
        <w:rPr>
          <w:rFonts w:ascii="Arial" w:hAnsi="Arial" w:cs="Arial"/>
        </w:rPr>
        <w:t xml:space="preserve">.’ </w:t>
      </w:r>
      <w:r w:rsidRPr="005833F7">
        <w:rPr>
          <w:rFonts w:ascii="Arial" w:hAnsi="Arial" w:cs="Arial"/>
          <w:i/>
          <w:iCs/>
        </w:rPr>
        <w:t>The Psychologist</w:t>
      </w:r>
      <w:r w:rsidRPr="005833F7">
        <w:rPr>
          <w:rFonts w:ascii="Arial" w:hAnsi="Arial" w:cs="Arial"/>
        </w:rPr>
        <w:t xml:space="preserve">, 14 March. Available at: </w:t>
      </w:r>
      <w:hyperlink r:id="rId16" w:tgtFrame="_new" w:history="1">
        <w:r w:rsidRPr="005833F7">
          <w:rPr>
            <w:rStyle w:val="Hyperlink"/>
            <w:rFonts w:ascii="Arial" w:hAnsi="Arial" w:cs="Arial"/>
            <w:color w:val="auto"/>
          </w:rPr>
          <w:t>https://www.bps.org.uk/psychologist/empowering-voices-inclusive-research-people-learning-disabilities</w:t>
        </w:r>
      </w:hyperlink>
      <w:r w:rsidRPr="005833F7">
        <w:rPr>
          <w:rFonts w:ascii="Arial" w:hAnsi="Arial" w:cs="Arial"/>
        </w:rPr>
        <w:t xml:space="preserve"> (Accessed: 15 April 2026).</w:t>
      </w:r>
    </w:p>
    <w:p w14:paraId="577597C1" w14:textId="450C69B0" w:rsidR="00FB0770" w:rsidRPr="005833F7" w:rsidRDefault="00FB0770" w:rsidP="00503BF9">
      <w:pPr>
        <w:spacing w:line="360" w:lineRule="auto"/>
        <w:jc w:val="both"/>
        <w:rPr>
          <w:rFonts w:ascii="Arial" w:hAnsi="Arial" w:cs="Arial"/>
        </w:rPr>
      </w:pPr>
      <w:proofErr w:type="spellStart"/>
      <w:r w:rsidRPr="005833F7">
        <w:rPr>
          <w:rFonts w:ascii="Arial" w:hAnsi="Arial" w:cs="Arial"/>
        </w:rPr>
        <w:t>Morsanyi</w:t>
      </w:r>
      <w:proofErr w:type="spellEnd"/>
      <w:r w:rsidRPr="005833F7">
        <w:rPr>
          <w:rFonts w:ascii="Arial" w:hAnsi="Arial" w:cs="Arial"/>
        </w:rPr>
        <w:t xml:space="preserve">, K., </w:t>
      </w:r>
      <w:proofErr w:type="spellStart"/>
      <w:r w:rsidRPr="005833F7">
        <w:rPr>
          <w:rFonts w:ascii="Arial" w:hAnsi="Arial" w:cs="Arial"/>
        </w:rPr>
        <w:t>Paracchini</w:t>
      </w:r>
      <w:proofErr w:type="spellEnd"/>
      <w:r w:rsidRPr="005833F7">
        <w:rPr>
          <w:rFonts w:ascii="Arial" w:hAnsi="Arial" w:cs="Arial"/>
        </w:rPr>
        <w:t xml:space="preserve">, S., Krishnan, S. </w:t>
      </w:r>
      <w:r w:rsidRPr="005833F7">
        <w:rPr>
          <w:rFonts w:ascii="Arial" w:hAnsi="Arial" w:cs="Arial"/>
          <w:i/>
          <w:iCs/>
        </w:rPr>
        <w:t>et al.</w:t>
      </w:r>
      <w:r w:rsidRPr="005833F7">
        <w:rPr>
          <w:rFonts w:ascii="Arial" w:hAnsi="Arial" w:cs="Arial"/>
        </w:rPr>
        <w:t xml:space="preserve"> (2026) ‘</w:t>
      </w:r>
      <w:r w:rsidRPr="00626663">
        <w:rPr>
          <w:rFonts w:ascii="Arial" w:hAnsi="Arial" w:cs="Arial"/>
          <w:i/>
          <w:iCs/>
        </w:rPr>
        <w:t xml:space="preserve">Toward an improved understanding of dyslexia: Reflections on a new consensus definition and its </w:t>
      </w:r>
      <w:r w:rsidR="00F64099" w:rsidRPr="00626663">
        <w:rPr>
          <w:rFonts w:ascii="Arial" w:hAnsi="Arial" w:cs="Arial"/>
          <w:i/>
          <w:iCs/>
        </w:rPr>
        <w:t>implications,</w:t>
      </w:r>
      <w:r w:rsidR="00F64099" w:rsidRPr="005833F7">
        <w:rPr>
          <w:rFonts w:ascii="Arial" w:hAnsi="Arial" w:cs="Arial"/>
        </w:rPr>
        <w:t>’</w:t>
      </w:r>
      <w:r w:rsidRPr="005833F7">
        <w:rPr>
          <w:rFonts w:ascii="Arial" w:hAnsi="Arial" w:cs="Arial"/>
        </w:rPr>
        <w:t xml:space="preserve"> </w:t>
      </w:r>
      <w:r w:rsidRPr="005833F7">
        <w:rPr>
          <w:rFonts w:ascii="Arial" w:hAnsi="Arial" w:cs="Arial"/>
          <w:i/>
          <w:iCs/>
        </w:rPr>
        <w:t>Dyslexia</w:t>
      </w:r>
      <w:r w:rsidRPr="005833F7">
        <w:rPr>
          <w:rFonts w:ascii="Arial" w:hAnsi="Arial" w:cs="Arial"/>
        </w:rPr>
        <w:t xml:space="preserve">, 32(1), p. e70022. Available at: </w:t>
      </w:r>
      <w:hyperlink r:id="rId17" w:tgtFrame="_new" w:history="1">
        <w:r w:rsidRPr="005833F7">
          <w:rPr>
            <w:rStyle w:val="Hyperlink"/>
            <w:rFonts w:ascii="Arial" w:hAnsi="Arial" w:cs="Arial"/>
            <w:color w:val="auto"/>
          </w:rPr>
          <w:t>https://doi.org/10.1002/dys.70022</w:t>
        </w:r>
      </w:hyperlink>
      <w:r w:rsidRPr="005833F7">
        <w:rPr>
          <w:rFonts w:ascii="Arial" w:hAnsi="Arial" w:cs="Arial"/>
        </w:rPr>
        <w:t xml:space="preserve"> (Accessed: 15 April 2026).</w:t>
      </w:r>
    </w:p>
    <w:p w14:paraId="241E7DE3" w14:textId="7EE88625" w:rsidR="00D70F68" w:rsidRPr="005833F7" w:rsidRDefault="00CC74E7" w:rsidP="00503BF9">
      <w:pPr>
        <w:spacing w:line="360" w:lineRule="auto"/>
        <w:jc w:val="both"/>
        <w:rPr>
          <w:rFonts w:ascii="Arial" w:hAnsi="Arial" w:cs="Arial"/>
        </w:rPr>
      </w:pPr>
      <w:r w:rsidRPr="005833F7">
        <w:rPr>
          <w:rFonts w:ascii="Arial" w:hAnsi="Arial" w:cs="Arial"/>
        </w:rPr>
        <w:t xml:space="preserve">Rocha, S., Ní </w:t>
      </w:r>
      <w:proofErr w:type="spellStart"/>
      <w:r w:rsidRPr="005833F7">
        <w:rPr>
          <w:rFonts w:ascii="Arial" w:hAnsi="Arial" w:cs="Arial"/>
        </w:rPr>
        <w:t>Choisdealbha</w:t>
      </w:r>
      <w:proofErr w:type="spellEnd"/>
      <w:r w:rsidRPr="005833F7">
        <w:rPr>
          <w:rFonts w:ascii="Arial" w:hAnsi="Arial" w:cs="Arial"/>
        </w:rPr>
        <w:t xml:space="preserve">, A., </w:t>
      </w:r>
      <w:proofErr w:type="spellStart"/>
      <w:r w:rsidRPr="005833F7">
        <w:rPr>
          <w:rFonts w:ascii="Arial" w:hAnsi="Arial" w:cs="Arial"/>
        </w:rPr>
        <w:t>Attaheri</w:t>
      </w:r>
      <w:proofErr w:type="spellEnd"/>
      <w:r w:rsidRPr="005833F7">
        <w:rPr>
          <w:rFonts w:ascii="Arial" w:hAnsi="Arial" w:cs="Arial"/>
        </w:rPr>
        <w:t xml:space="preserve">, A., Mead, N., Olawole-Scott, H., Grey, C., Williams, I., Gibbon, S., </w:t>
      </w:r>
      <w:proofErr w:type="spellStart"/>
      <w:r w:rsidRPr="005833F7">
        <w:rPr>
          <w:rFonts w:ascii="Arial" w:hAnsi="Arial" w:cs="Arial"/>
        </w:rPr>
        <w:t>Boutris</w:t>
      </w:r>
      <w:proofErr w:type="spellEnd"/>
      <w:r w:rsidRPr="005833F7">
        <w:rPr>
          <w:rFonts w:ascii="Arial" w:hAnsi="Arial" w:cs="Arial"/>
        </w:rPr>
        <w:t xml:space="preserve">, P., Brusini, P., Brough, C., Alfaro, </w:t>
      </w:r>
      <w:r w:rsidR="005E1BFC" w:rsidRPr="005833F7">
        <w:rPr>
          <w:rFonts w:ascii="Arial" w:hAnsi="Arial" w:cs="Arial"/>
        </w:rPr>
        <w:t>M.,</w:t>
      </w:r>
      <w:r w:rsidRPr="005833F7">
        <w:rPr>
          <w:rFonts w:ascii="Arial" w:hAnsi="Arial" w:cs="Arial"/>
        </w:rPr>
        <w:t xml:space="preserve"> and Usha Goswami </w:t>
      </w:r>
      <w:r w:rsidR="005E1BFC" w:rsidRPr="005833F7">
        <w:rPr>
          <w:rFonts w:ascii="Arial" w:hAnsi="Arial" w:cs="Arial"/>
        </w:rPr>
        <w:t>(2024).</w:t>
      </w:r>
      <w:r w:rsidRPr="005833F7">
        <w:rPr>
          <w:rFonts w:ascii="Arial" w:hAnsi="Arial" w:cs="Arial"/>
        </w:rPr>
        <w:t xml:space="preserve"> </w:t>
      </w:r>
      <w:r w:rsidR="005E1BFC" w:rsidRPr="005833F7">
        <w:rPr>
          <w:rFonts w:ascii="Arial" w:hAnsi="Arial" w:cs="Arial"/>
        </w:rPr>
        <w:t>“</w:t>
      </w:r>
      <w:r w:rsidR="005E1BFC" w:rsidRPr="00626663">
        <w:rPr>
          <w:rFonts w:ascii="Arial" w:hAnsi="Arial" w:cs="Arial"/>
          <w:i/>
          <w:iCs/>
        </w:rPr>
        <w:t>Language</w:t>
      </w:r>
      <w:r w:rsidRPr="00626663">
        <w:rPr>
          <w:rFonts w:ascii="Arial" w:hAnsi="Arial" w:cs="Arial"/>
          <w:i/>
          <w:iCs/>
        </w:rPr>
        <w:t xml:space="preserve"> acquisition in the longitudinal</w:t>
      </w:r>
      <w:r w:rsidRPr="005833F7">
        <w:rPr>
          <w:rFonts w:ascii="Arial" w:hAnsi="Arial" w:cs="Arial"/>
        </w:rPr>
        <w:t xml:space="preserve"> Cambridge UK </w:t>
      </w:r>
      <w:proofErr w:type="spellStart"/>
      <w:r w:rsidRPr="005833F7">
        <w:rPr>
          <w:rFonts w:ascii="Arial" w:hAnsi="Arial" w:cs="Arial"/>
        </w:rPr>
        <w:t>BabyRhythm</w:t>
      </w:r>
      <w:proofErr w:type="spellEnd"/>
      <w:r w:rsidRPr="005833F7">
        <w:rPr>
          <w:rFonts w:ascii="Arial" w:hAnsi="Arial" w:cs="Arial"/>
        </w:rPr>
        <w:t xml:space="preserve"> </w:t>
      </w:r>
      <w:r w:rsidR="007F0DAD" w:rsidRPr="005833F7">
        <w:rPr>
          <w:rFonts w:ascii="Arial" w:hAnsi="Arial" w:cs="Arial"/>
        </w:rPr>
        <w:t>cohort,”</w:t>
      </w:r>
      <w:r w:rsidRPr="005833F7">
        <w:rPr>
          <w:rFonts w:ascii="Arial" w:hAnsi="Arial" w:cs="Arial"/>
        </w:rPr>
        <w:t xml:space="preserve"> </w:t>
      </w:r>
      <w:r w:rsidRPr="005833F7">
        <w:rPr>
          <w:rFonts w:ascii="Arial" w:hAnsi="Arial" w:cs="Arial"/>
          <w:i/>
          <w:iCs/>
        </w:rPr>
        <w:t>Collabra: Psychology</w:t>
      </w:r>
      <w:r w:rsidRPr="005833F7">
        <w:rPr>
          <w:rFonts w:ascii="Arial" w:hAnsi="Arial" w:cs="Arial"/>
        </w:rPr>
        <w:t xml:space="preserve">, 10(1), p. 92998. Available at: </w:t>
      </w:r>
      <w:hyperlink r:id="rId18" w:tgtFrame="_new" w:history="1">
        <w:r w:rsidRPr="005833F7">
          <w:rPr>
            <w:rStyle w:val="Hyperlink"/>
            <w:rFonts w:ascii="Arial" w:hAnsi="Arial" w:cs="Arial"/>
            <w:color w:val="auto"/>
          </w:rPr>
          <w:t>https://doi.org/10.1525/collabra.92998</w:t>
        </w:r>
      </w:hyperlink>
      <w:r w:rsidRPr="005833F7">
        <w:rPr>
          <w:rFonts w:ascii="Arial" w:hAnsi="Arial" w:cs="Arial"/>
        </w:rPr>
        <w:t xml:space="preserve"> (Accessed: 15 April 2026).</w:t>
      </w:r>
    </w:p>
    <w:p w14:paraId="2B64E302" w14:textId="4A814B72" w:rsidR="00084BB2" w:rsidRPr="005833F7" w:rsidRDefault="00721A75" w:rsidP="00503BF9">
      <w:pPr>
        <w:spacing w:line="360" w:lineRule="auto"/>
        <w:jc w:val="both"/>
        <w:rPr>
          <w:rFonts w:ascii="Arial" w:hAnsi="Arial" w:cs="Arial"/>
        </w:rPr>
      </w:pPr>
      <w:proofErr w:type="spellStart"/>
      <w:r w:rsidRPr="005833F7">
        <w:rPr>
          <w:rFonts w:ascii="Arial" w:hAnsi="Arial" w:cs="Arial"/>
        </w:rPr>
        <w:t>Snowling</w:t>
      </w:r>
      <w:proofErr w:type="spellEnd"/>
      <w:r w:rsidRPr="005833F7">
        <w:rPr>
          <w:rFonts w:ascii="Arial" w:hAnsi="Arial" w:cs="Arial"/>
        </w:rPr>
        <w:t xml:space="preserve">, M.J. (2019). </w:t>
      </w:r>
      <w:r w:rsidRPr="005833F7">
        <w:rPr>
          <w:rFonts w:ascii="Arial" w:hAnsi="Arial" w:cs="Arial"/>
          <w:i/>
          <w:iCs/>
        </w:rPr>
        <w:t>Dyslexia</w:t>
      </w:r>
      <w:r w:rsidRPr="00D04302">
        <w:rPr>
          <w:rFonts w:ascii="Arial" w:hAnsi="Arial" w:cs="Arial"/>
        </w:rPr>
        <w:t>: A very short introduction.</w:t>
      </w:r>
      <w:r w:rsidRPr="005833F7">
        <w:rPr>
          <w:rFonts w:ascii="Arial" w:hAnsi="Arial" w:cs="Arial"/>
        </w:rPr>
        <w:t xml:space="preserve"> Oxford: Oxford University Press. Available at: </w:t>
      </w:r>
      <w:hyperlink r:id="rId19" w:history="1">
        <w:r w:rsidR="00204E0D" w:rsidRPr="005833F7">
          <w:rPr>
            <w:rStyle w:val="Hyperlink"/>
            <w:rFonts w:ascii="Arial" w:hAnsi="Arial" w:cs="Arial"/>
            <w:color w:val="auto"/>
          </w:rPr>
          <w:t>https://doi.org/10.1093/actrade/9780198818304.001.0001</w:t>
        </w:r>
      </w:hyperlink>
      <w:r w:rsidR="00204E0D" w:rsidRPr="005833F7">
        <w:rPr>
          <w:rFonts w:ascii="Arial" w:hAnsi="Arial" w:cs="Arial"/>
        </w:rPr>
        <w:t xml:space="preserve"> (</w:t>
      </w:r>
      <w:r w:rsidRPr="005833F7">
        <w:rPr>
          <w:rFonts w:ascii="Arial" w:hAnsi="Arial" w:cs="Arial"/>
        </w:rPr>
        <w:t>Accessed: 15 April 2026).</w:t>
      </w:r>
    </w:p>
    <w:p w14:paraId="2AC32A32" w14:textId="661620B8" w:rsidR="00107551" w:rsidRPr="005833F7" w:rsidRDefault="002575AB" w:rsidP="00503BF9">
      <w:pPr>
        <w:spacing w:line="360" w:lineRule="auto"/>
        <w:jc w:val="both"/>
        <w:rPr>
          <w:rFonts w:ascii="Arial" w:hAnsi="Arial" w:cs="Arial"/>
        </w:rPr>
      </w:pPr>
      <w:proofErr w:type="spellStart"/>
      <w:r w:rsidRPr="005833F7">
        <w:rPr>
          <w:rFonts w:ascii="Arial" w:hAnsi="Arial" w:cs="Arial"/>
        </w:rPr>
        <w:t>Snowling</w:t>
      </w:r>
      <w:proofErr w:type="spellEnd"/>
      <w:r w:rsidRPr="005833F7">
        <w:rPr>
          <w:rFonts w:ascii="Arial" w:hAnsi="Arial" w:cs="Arial"/>
        </w:rPr>
        <w:t xml:space="preserve">, M.J., Hulme, </w:t>
      </w:r>
      <w:r w:rsidR="00E44B6F" w:rsidRPr="005833F7">
        <w:rPr>
          <w:rFonts w:ascii="Arial" w:hAnsi="Arial" w:cs="Arial"/>
        </w:rPr>
        <w:t>C.,</w:t>
      </w:r>
      <w:r w:rsidRPr="005833F7">
        <w:rPr>
          <w:rFonts w:ascii="Arial" w:hAnsi="Arial" w:cs="Arial"/>
        </w:rPr>
        <w:t xml:space="preserve"> and Nation, K. (eds.) (2022) </w:t>
      </w:r>
      <w:r w:rsidRPr="005833F7">
        <w:rPr>
          <w:rFonts w:ascii="Arial" w:hAnsi="Arial" w:cs="Arial"/>
          <w:i/>
          <w:iCs/>
        </w:rPr>
        <w:t>The science of reading: A handbook</w:t>
      </w:r>
      <w:r w:rsidRPr="005833F7">
        <w:rPr>
          <w:rFonts w:ascii="Arial" w:hAnsi="Arial" w:cs="Arial"/>
        </w:rPr>
        <w:t xml:space="preserve">. Hoboken, NJ: John Wiley &amp; Sons. Available at: </w:t>
      </w:r>
      <w:hyperlink r:id="rId20" w:history="1">
        <w:r w:rsidR="00E44B6F" w:rsidRPr="005833F7">
          <w:rPr>
            <w:rStyle w:val="Hyperlink"/>
            <w:rFonts w:ascii="Arial" w:hAnsi="Arial" w:cs="Arial"/>
            <w:color w:val="auto"/>
          </w:rPr>
          <w:t>https://doi.org/10.1002/9781119705130</w:t>
        </w:r>
      </w:hyperlink>
      <w:r w:rsidR="00E44B6F" w:rsidRPr="005833F7">
        <w:rPr>
          <w:rFonts w:ascii="Arial" w:hAnsi="Arial" w:cs="Arial"/>
        </w:rPr>
        <w:t xml:space="preserve"> </w:t>
      </w:r>
      <w:r w:rsidRPr="005833F7">
        <w:rPr>
          <w:rFonts w:ascii="Arial" w:hAnsi="Arial" w:cs="Arial"/>
        </w:rPr>
        <w:t xml:space="preserve"> (Accessed: 15 April 2026).</w:t>
      </w:r>
    </w:p>
    <w:p w14:paraId="094A19E6" w14:textId="0581BD63" w:rsidR="00084BB2" w:rsidRPr="005833F7" w:rsidRDefault="005E1BFC" w:rsidP="00503BF9">
      <w:pPr>
        <w:spacing w:line="360" w:lineRule="auto"/>
        <w:jc w:val="both"/>
        <w:rPr>
          <w:rFonts w:ascii="Arial" w:hAnsi="Arial" w:cs="Arial"/>
        </w:rPr>
      </w:pPr>
      <w:proofErr w:type="spellStart"/>
      <w:r w:rsidRPr="005833F7">
        <w:rPr>
          <w:rFonts w:ascii="Arial" w:hAnsi="Arial" w:cs="Arial"/>
        </w:rPr>
        <w:t>Tümkaya</w:t>
      </w:r>
      <w:proofErr w:type="spellEnd"/>
      <w:r w:rsidRPr="005833F7">
        <w:rPr>
          <w:rFonts w:ascii="Arial" w:hAnsi="Arial" w:cs="Arial"/>
        </w:rPr>
        <w:t xml:space="preserve">, G.S., </w:t>
      </w:r>
      <w:proofErr w:type="spellStart"/>
      <w:r w:rsidRPr="005833F7">
        <w:rPr>
          <w:rFonts w:ascii="Arial" w:hAnsi="Arial" w:cs="Arial"/>
        </w:rPr>
        <w:t>Çetinbaş</w:t>
      </w:r>
      <w:proofErr w:type="spellEnd"/>
      <w:r w:rsidRPr="005833F7">
        <w:rPr>
          <w:rFonts w:ascii="Arial" w:hAnsi="Arial" w:cs="Arial"/>
        </w:rPr>
        <w:t xml:space="preserve">, </w:t>
      </w:r>
      <w:r w:rsidR="00F64099" w:rsidRPr="005833F7">
        <w:rPr>
          <w:rFonts w:ascii="Arial" w:hAnsi="Arial" w:cs="Arial"/>
        </w:rPr>
        <w:t>E.,</w:t>
      </w:r>
      <w:r w:rsidRPr="005833F7">
        <w:rPr>
          <w:rFonts w:ascii="Arial" w:hAnsi="Arial" w:cs="Arial"/>
        </w:rPr>
        <w:t xml:space="preserve"> and Merk, R. (2024) ‘</w:t>
      </w:r>
      <w:r w:rsidRPr="00D04302">
        <w:rPr>
          <w:rFonts w:ascii="Arial" w:hAnsi="Arial" w:cs="Arial"/>
          <w:i/>
          <w:iCs/>
        </w:rPr>
        <w:t>Historical development of inclusive education</w:t>
      </w:r>
      <w:r w:rsidRPr="005833F7">
        <w:rPr>
          <w:rFonts w:ascii="Arial" w:hAnsi="Arial" w:cs="Arial"/>
        </w:rPr>
        <w:t xml:space="preserve"> in the </w:t>
      </w:r>
      <w:r w:rsidR="00F64099" w:rsidRPr="005833F7">
        <w:rPr>
          <w:rFonts w:ascii="Arial" w:hAnsi="Arial" w:cs="Arial"/>
        </w:rPr>
        <w:t>UK,’</w:t>
      </w:r>
      <w:r w:rsidRPr="005833F7">
        <w:rPr>
          <w:rFonts w:ascii="Arial" w:hAnsi="Arial" w:cs="Arial"/>
        </w:rPr>
        <w:t xml:space="preserve"> </w:t>
      </w:r>
      <w:r w:rsidRPr="005833F7">
        <w:rPr>
          <w:rFonts w:ascii="Arial" w:hAnsi="Arial" w:cs="Arial"/>
          <w:i/>
          <w:iCs/>
        </w:rPr>
        <w:t>International Journal of Educational Spectrum</w:t>
      </w:r>
      <w:r w:rsidRPr="005833F7">
        <w:rPr>
          <w:rFonts w:ascii="Arial" w:hAnsi="Arial" w:cs="Arial"/>
        </w:rPr>
        <w:t xml:space="preserve">, 6(2), pp. 147–162. Available at: </w:t>
      </w:r>
      <w:hyperlink r:id="rId21" w:tgtFrame="_new" w:history="1">
        <w:r w:rsidRPr="005833F7">
          <w:rPr>
            <w:rStyle w:val="Hyperlink"/>
            <w:rFonts w:ascii="Arial" w:hAnsi="Arial" w:cs="Arial"/>
            <w:color w:val="auto"/>
          </w:rPr>
          <w:t>https://doi.org/10.47806/ijesacademic.1426110</w:t>
        </w:r>
      </w:hyperlink>
      <w:r w:rsidRPr="005833F7">
        <w:rPr>
          <w:rFonts w:ascii="Arial" w:hAnsi="Arial" w:cs="Arial"/>
        </w:rPr>
        <w:t xml:space="preserve"> (Accessed: 15 April 2026).</w:t>
      </w:r>
    </w:p>
    <w:p w14:paraId="70F20687" w14:textId="275A66C9" w:rsidR="00AB26CB" w:rsidRPr="005833F7" w:rsidRDefault="00AB26CB" w:rsidP="00503BF9">
      <w:pPr>
        <w:spacing w:line="360" w:lineRule="auto"/>
        <w:jc w:val="both"/>
        <w:rPr>
          <w:rFonts w:ascii="Arial" w:hAnsi="Arial" w:cs="Arial"/>
        </w:rPr>
      </w:pPr>
      <w:r w:rsidRPr="005833F7">
        <w:rPr>
          <w:rFonts w:ascii="Arial" w:hAnsi="Arial" w:cs="Arial"/>
        </w:rPr>
        <w:t xml:space="preserve">World Health Organisation (2019). </w:t>
      </w:r>
      <w:r w:rsidRPr="005833F7">
        <w:rPr>
          <w:rFonts w:ascii="Arial" w:hAnsi="Arial" w:cs="Arial"/>
          <w:i/>
          <w:iCs/>
        </w:rPr>
        <w:t>ICD-11 for mortality and morbidity statistics</w:t>
      </w:r>
      <w:r w:rsidRPr="005833F7">
        <w:rPr>
          <w:rFonts w:ascii="Arial" w:hAnsi="Arial" w:cs="Arial"/>
        </w:rPr>
        <w:t xml:space="preserve">. Geneva: World Health Organisation. Available at: </w:t>
      </w:r>
      <w:hyperlink r:id="rId22" w:tgtFrame="_new" w:history="1">
        <w:r w:rsidRPr="005833F7">
          <w:rPr>
            <w:rStyle w:val="Hyperlink"/>
            <w:rFonts w:ascii="Arial" w:hAnsi="Arial" w:cs="Arial"/>
            <w:color w:val="auto"/>
          </w:rPr>
          <w:t>https://icd.who.int/</w:t>
        </w:r>
      </w:hyperlink>
      <w:r w:rsidRPr="005833F7">
        <w:rPr>
          <w:rFonts w:ascii="Arial" w:hAnsi="Arial" w:cs="Arial"/>
        </w:rPr>
        <w:t xml:space="preserve"> (Accessed: 15 April 2026).</w:t>
      </w:r>
    </w:p>
    <w:p w14:paraId="05A27A6F" w14:textId="77777777" w:rsidR="00084BB2" w:rsidRPr="005833F7" w:rsidRDefault="00084BB2" w:rsidP="00503BF9">
      <w:pPr>
        <w:spacing w:line="360" w:lineRule="auto"/>
        <w:jc w:val="both"/>
        <w:rPr>
          <w:rFonts w:ascii="Arial" w:hAnsi="Arial" w:cs="Arial"/>
        </w:rPr>
      </w:pPr>
    </w:p>
    <w:p w14:paraId="6E41165F" w14:textId="77777777" w:rsidR="000264A1" w:rsidRPr="00455E26" w:rsidRDefault="000264A1" w:rsidP="000264A1">
      <w:pPr>
        <w:rPr>
          <w:rFonts w:ascii="Arial" w:hAnsi="Arial" w:cs="Arial"/>
        </w:rPr>
      </w:pPr>
    </w:p>
    <w:p w14:paraId="07786E37" w14:textId="77777777" w:rsidR="000264A1" w:rsidRPr="00455E26" w:rsidRDefault="000264A1" w:rsidP="000264A1">
      <w:pPr>
        <w:rPr>
          <w:rFonts w:ascii="Arial" w:hAnsi="Arial" w:cs="Arial"/>
        </w:rPr>
      </w:pPr>
    </w:p>
    <w:sectPr w:rsidR="000264A1" w:rsidRPr="00455E26">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F006C" w14:textId="77777777" w:rsidR="00C47C74" w:rsidRDefault="00C47C74" w:rsidP="000264A1">
      <w:pPr>
        <w:spacing w:after="0" w:line="240" w:lineRule="auto"/>
      </w:pPr>
      <w:r>
        <w:separator/>
      </w:r>
    </w:p>
  </w:endnote>
  <w:endnote w:type="continuationSeparator" w:id="0">
    <w:p w14:paraId="23038B1B" w14:textId="77777777" w:rsidR="00C47C74" w:rsidRDefault="00C47C74"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7F90B" w14:textId="77777777" w:rsidR="00C47C74" w:rsidRDefault="00C47C74" w:rsidP="000264A1">
      <w:pPr>
        <w:spacing w:after="0" w:line="240" w:lineRule="auto"/>
      </w:pPr>
      <w:r>
        <w:separator/>
      </w:r>
    </w:p>
  </w:footnote>
  <w:footnote w:type="continuationSeparator" w:id="0">
    <w:p w14:paraId="5D6E2801" w14:textId="77777777" w:rsidR="00C47C74" w:rsidRDefault="00C47C74"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F07EE"/>
    <w:multiLevelType w:val="hybridMultilevel"/>
    <w:tmpl w:val="43B85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D03D1B"/>
    <w:multiLevelType w:val="hybridMultilevel"/>
    <w:tmpl w:val="EAFEC13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87F6E9E"/>
    <w:multiLevelType w:val="hybridMultilevel"/>
    <w:tmpl w:val="FF9837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0972198">
    <w:abstractNumId w:val="0"/>
  </w:num>
  <w:num w:numId="2" w16cid:durableId="1530797464">
    <w:abstractNumId w:val="2"/>
  </w:num>
  <w:num w:numId="3" w16cid:durableId="653682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6771"/>
    <w:rsid w:val="0001552E"/>
    <w:rsid w:val="00020A9A"/>
    <w:rsid w:val="000264A1"/>
    <w:rsid w:val="0002722D"/>
    <w:rsid w:val="0002766E"/>
    <w:rsid w:val="00060DD2"/>
    <w:rsid w:val="00060FB4"/>
    <w:rsid w:val="000626FF"/>
    <w:rsid w:val="00071700"/>
    <w:rsid w:val="00084BB2"/>
    <w:rsid w:val="000B235A"/>
    <w:rsid w:val="000B241D"/>
    <w:rsid w:val="000C44CE"/>
    <w:rsid w:val="000D1B56"/>
    <w:rsid w:val="000E2A21"/>
    <w:rsid w:val="000F0EDD"/>
    <w:rsid w:val="000F27F8"/>
    <w:rsid w:val="000F3888"/>
    <w:rsid w:val="000F72A2"/>
    <w:rsid w:val="000F7F5D"/>
    <w:rsid w:val="00102C16"/>
    <w:rsid w:val="00103E75"/>
    <w:rsid w:val="00107551"/>
    <w:rsid w:val="0011613B"/>
    <w:rsid w:val="0012209C"/>
    <w:rsid w:val="00125874"/>
    <w:rsid w:val="00131907"/>
    <w:rsid w:val="00132279"/>
    <w:rsid w:val="00140411"/>
    <w:rsid w:val="00151EA3"/>
    <w:rsid w:val="001803C2"/>
    <w:rsid w:val="00186775"/>
    <w:rsid w:val="00187718"/>
    <w:rsid w:val="0019497D"/>
    <w:rsid w:val="001959FD"/>
    <w:rsid w:val="001A09B1"/>
    <w:rsid w:val="001A6EE7"/>
    <w:rsid w:val="001D6650"/>
    <w:rsid w:val="001E26EB"/>
    <w:rsid w:val="001E6D11"/>
    <w:rsid w:val="001F1DA0"/>
    <w:rsid w:val="00204E0D"/>
    <w:rsid w:val="00207F24"/>
    <w:rsid w:val="00210DC4"/>
    <w:rsid w:val="00216785"/>
    <w:rsid w:val="00242078"/>
    <w:rsid w:val="0024718F"/>
    <w:rsid w:val="00250BED"/>
    <w:rsid w:val="00255458"/>
    <w:rsid w:val="002575AB"/>
    <w:rsid w:val="0026267F"/>
    <w:rsid w:val="00266589"/>
    <w:rsid w:val="002717C4"/>
    <w:rsid w:val="00274480"/>
    <w:rsid w:val="002B5331"/>
    <w:rsid w:val="002D27D3"/>
    <w:rsid w:val="002D3DC9"/>
    <w:rsid w:val="002E6332"/>
    <w:rsid w:val="002E6368"/>
    <w:rsid w:val="002E6648"/>
    <w:rsid w:val="003107A7"/>
    <w:rsid w:val="00323196"/>
    <w:rsid w:val="00325BE5"/>
    <w:rsid w:val="0033570D"/>
    <w:rsid w:val="00350E33"/>
    <w:rsid w:val="0038593C"/>
    <w:rsid w:val="003A2377"/>
    <w:rsid w:val="003B3614"/>
    <w:rsid w:val="003C7616"/>
    <w:rsid w:val="003D0339"/>
    <w:rsid w:val="003D2222"/>
    <w:rsid w:val="003F2B84"/>
    <w:rsid w:val="004100F0"/>
    <w:rsid w:val="004549BE"/>
    <w:rsid w:val="00455E26"/>
    <w:rsid w:val="00461B33"/>
    <w:rsid w:val="00463705"/>
    <w:rsid w:val="00480314"/>
    <w:rsid w:val="00487056"/>
    <w:rsid w:val="00491A77"/>
    <w:rsid w:val="0049788C"/>
    <w:rsid w:val="004D5120"/>
    <w:rsid w:val="00503BF9"/>
    <w:rsid w:val="005215E5"/>
    <w:rsid w:val="005225B5"/>
    <w:rsid w:val="00534407"/>
    <w:rsid w:val="00542B84"/>
    <w:rsid w:val="00543AD0"/>
    <w:rsid w:val="00551947"/>
    <w:rsid w:val="00556503"/>
    <w:rsid w:val="005654FA"/>
    <w:rsid w:val="005833F7"/>
    <w:rsid w:val="00594E80"/>
    <w:rsid w:val="00596E2F"/>
    <w:rsid w:val="005A1ABF"/>
    <w:rsid w:val="005A481C"/>
    <w:rsid w:val="005A55F0"/>
    <w:rsid w:val="005B0E54"/>
    <w:rsid w:val="005D4ADF"/>
    <w:rsid w:val="005D792B"/>
    <w:rsid w:val="005E1BFC"/>
    <w:rsid w:val="005F7795"/>
    <w:rsid w:val="00626663"/>
    <w:rsid w:val="00637171"/>
    <w:rsid w:val="00650FE4"/>
    <w:rsid w:val="0067453F"/>
    <w:rsid w:val="00696839"/>
    <w:rsid w:val="006A0214"/>
    <w:rsid w:val="006C532C"/>
    <w:rsid w:val="006D3A69"/>
    <w:rsid w:val="00703756"/>
    <w:rsid w:val="00711C16"/>
    <w:rsid w:val="00717163"/>
    <w:rsid w:val="00721A75"/>
    <w:rsid w:val="00722ABC"/>
    <w:rsid w:val="00724898"/>
    <w:rsid w:val="007470FF"/>
    <w:rsid w:val="00755793"/>
    <w:rsid w:val="007628E2"/>
    <w:rsid w:val="007B1A20"/>
    <w:rsid w:val="007D087F"/>
    <w:rsid w:val="007D3D1F"/>
    <w:rsid w:val="007F0DAD"/>
    <w:rsid w:val="007F2C98"/>
    <w:rsid w:val="007F55A5"/>
    <w:rsid w:val="00817CC3"/>
    <w:rsid w:val="00843325"/>
    <w:rsid w:val="00865FCF"/>
    <w:rsid w:val="00876ED0"/>
    <w:rsid w:val="00877D7F"/>
    <w:rsid w:val="00881253"/>
    <w:rsid w:val="008839CF"/>
    <w:rsid w:val="00891D5B"/>
    <w:rsid w:val="008A3AF4"/>
    <w:rsid w:val="008A6D32"/>
    <w:rsid w:val="008B4F5F"/>
    <w:rsid w:val="008C43CF"/>
    <w:rsid w:val="008D00AB"/>
    <w:rsid w:val="008E3FE3"/>
    <w:rsid w:val="008E50AD"/>
    <w:rsid w:val="00902075"/>
    <w:rsid w:val="00925CBB"/>
    <w:rsid w:val="0093055C"/>
    <w:rsid w:val="009326DD"/>
    <w:rsid w:val="00944E5A"/>
    <w:rsid w:val="00982C0B"/>
    <w:rsid w:val="009908B4"/>
    <w:rsid w:val="009A31DD"/>
    <w:rsid w:val="009A60D1"/>
    <w:rsid w:val="009B3F87"/>
    <w:rsid w:val="009D0692"/>
    <w:rsid w:val="009D0984"/>
    <w:rsid w:val="00A03DBB"/>
    <w:rsid w:val="00A11132"/>
    <w:rsid w:val="00A20469"/>
    <w:rsid w:val="00A568F5"/>
    <w:rsid w:val="00A608A4"/>
    <w:rsid w:val="00A6149A"/>
    <w:rsid w:val="00A62103"/>
    <w:rsid w:val="00A67EAC"/>
    <w:rsid w:val="00A9360B"/>
    <w:rsid w:val="00AB26CB"/>
    <w:rsid w:val="00AC26E7"/>
    <w:rsid w:val="00AC46B1"/>
    <w:rsid w:val="00AC4806"/>
    <w:rsid w:val="00AC4EBB"/>
    <w:rsid w:val="00AD2026"/>
    <w:rsid w:val="00AE6FA8"/>
    <w:rsid w:val="00B07798"/>
    <w:rsid w:val="00B17222"/>
    <w:rsid w:val="00B20279"/>
    <w:rsid w:val="00B405DD"/>
    <w:rsid w:val="00B415CD"/>
    <w:rsid w:val="00B827DC"/>
    <w:rsid w:val="00B84EC2"/>
    <w:rsid w:val="00BD4E51"/>
    <w:rsid w:val="00BD5D20"/>
    <w:rsid w:val="00BF2CA0"/>
    <w:rsid w:val="00BF49C1"/>
    <w:rsid w:val="00C1012B"/>
    <w:rsid w:val="00C126CC"/>
    <w:rsid w:val="00C13BC6"/>
    <w:rsid w:val="00C3487B"/>
    <w:rsid w:val="00C47C74"/>
    <w:rsid w:val="00C72A40"/>
    <w:rsid w:val="00C83486"/>
    <w:rsid w:val="00C95295"/>
    <w:rsid w:val="00CA100A"/>
    <w:rsid w:val="00CB399D"/>
    <w:rsid w:val="00CC5476"/>
    <w:rsid w:val="00CC74E7"/>
    <w:rsid w:val="00CD4045"/>
    <w:rsid w:val="00D04302"/>
    <w:rsid w:val="00D20EF4"/>
    <w:rsid w:val="00D25ABC"/>
    <w:rsid w:val="00D26A80"/>
    <w:rsid w:val="00D26C77"/>
    <w:rsid w:val="00D322DF"/>
    <w:rsid w:val="00D33BD6"/>
    <w:rsid w:val="00D37591"/>
    <w:rsid w:val="00D37EFB"/>
    <w:rsid w:val="00D44470"/>
    <w:rsid w:val="00D51597"/>
    <w:rsid w:val="00D5221F"/>
    <w:rsid w:val="00D531CA"/>
    <w:rsid w:val="00D62D05"/>
    <w:rsid w:val="00D63801"/>
    <w:rsid w:val="00D700F0"/>
    <w:rsid w:val="00D70F68"/>
    <w:rsid w:val="00D90065"/>
    <w:rsid w:val="00D9327A"/>
    <w:rsid w:val="00DA4B4F"/>
    <w:rsid w:val="00DB081B"/>
    <w:rsid w:val="00DD6CE6"/>
    <w:rsid w:val="00DE3575"/>
    <w:rsid w:val="00E16F8A"/>
    <w:rsid w:val="00E25E9C"/>
    <w:rsid w:val="00E41B28"/>
    <w:rsid w:val="00E44AC0"/>
    <w:rsid w:val="00E44B6F"/>
    <w:rsid w:val="00E46F2F"/>
    <w:rsid w:val="00E51FE9"/>
    <w:rsid w:val="00E65913"/>
    <w:rsid w:val="00E72C2A"/>
    <w:rsid w:val="00E74224"/>
    <w:rsid w:val="00EA0D6E"/>
    <w:rsid w:val="00EA4354"/>
    <w:rsid w:val="00EA7419"/>
    <w:rsid w:val="00EC7FD7"/>
    <w:rsid w:val="00F031E6"/>
    <w:rsid w:val="00F03FEB"/>
    <w:rsid w:val="00F07886"/>
    <w:rsid w:val="00F26177"/>
    <w:rsid w:val="00F4105B"/>
    <w:rsid w:val="00F47F4C"/>
    <w:rsid w:val="00F5417E"/>
    <w:rsid w:val="00F57495"/>
    <w:rsid w:val="00F64099"/>
    <w:rsid w:val="00F65101"/>
    <w:rsid w:val="00F66881"/>
    <w:rsid w:val="00F707A2"/>
    <w:rsid w:val="00F73E18"/>
    <w:rsid w:val="00F8494E"/>
    <w:rsid w:val="00F86BBC"/>
    <w:rsid w:val="00F93BDA"/>
    <w:rsid w:val="00FA3EB8"/>
    <w:rsid w:val="00FA7CCD"/>
    <w:rsid w:val="00FB0770"/>
    <w:rsid w:val="00FB52D3"/>
    <w:rsid w:val="00FC4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D44470"/>
    <w:rPr>
      <w:color w:val="467886" w:themeColor="hyperlink"/>
      <w:u w:val="single"/>
    </w:rPr>
  </w:style>
  <w:style w:type="character" w:styleId="UnresolvedMention">
    <w:name w:val="Unresolved Mention"/>
    <w:basedOn w:val="DefaultParagraphFont"/>
    <w:uiPriority w:val="99"/>
    <w:semiHidden/>
    <w:unhideWhenUsed/>
    <w:rsid w:val="00D44470"/>
    <w:rPr>
      <w:color w:val="605E5C"/>
      <w:shd w:val="clear" w:color="auto" w:fill="E1DFDD"/>
    </w:rPr>
  </w:style>
  <w:style w:type="paragraph" w:styleId="TOCHeading">
    <w:name w:val="TOC Heading"/>
    <w:basedOn w:val="Heading1"/>
    <w:next w:val="Normal"/>
    <w:uiPriority w:val="39"/>
    <w:unhideWhenUsed/>
    <w:qFormat/>
    <w:rsid w:val="00CB399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B39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7/9781009083140" TargetMode="External"/><Relationship Id="rId18" Type="http://schemas.openxmlformats.org/officeDocument/2006/relationships/hyperlink" Target="https://doi.org/10.1525/collabra.9299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47806/ijesacademic.1426110" TargetMode="External"/><Relationship Id="rId7" Type="http://schemas.openxmlformats.org/officeDocument/2006/relationships/endnotes" Target="endnotes.xml"/><Relationship Id="rId12" Type="http://schemas.openxmlformats.org/officeDocument/2006/relationships/hyperlink" Target="https://doi.org/10.1002/rrq.334" TargetMode="External"/><Relationship Id="rId17" Type="http://schemas.openxmlformats.org/officeDocument/2006/relationships/hyperlink" Target="https://doi.org/10.1002/dys.700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ps.org.uk/psychologist/empowering-voices-inclusive-research-people-learning-disabilities" TargetMode="External"/><Relationship Id="rId20" Type="http://schemas.openxmlformats.org/officeDocument/2006/relationships/hyperlink" Target="https://doi.org/10.1002/97811197051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nd-code-of-practice-0-to-25?utm_source=chatgpt.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80/19404158.2017.1287103" TargetMode="External"/><Relationship Id="rId23" Type="http://schemas.openxmlformats.org/officeDocument/2006/relationships/footer" Target="footer1.xml"/><Relationship Id="rId10" Type="http://schemas.openxmlformats.org/officeDocument/2006/relationships/hyperlink" Target="https://doi.org/10.1177/00222194211056297" TargetMode="External"/><Relationship Id="rId19" Type="http://schemas.openxmlformats.org/officeDocument/2006/relationships/hyperlink" Target="https://doi.org/10.1093/actrade/9780198818304.001.0001" TargetMode="External"/><Relationship Id="rId4" Type="http://schemas.openxmlformats.org/officeDocument/2006/relationships/settings" Target="settings.xml"/><Relationship Id="rId9" Type="http://schemas.openxmlformats.org/officeDocument/2006/relationships/hyperlink" Target="https://www.hachette.co.uk/titles/thomas-armstrong-2/the-power-of-neurodiversity/9780306836367/" TargetMode="External"/><Relationship Id="rId14" Type="http://schemas.openxmlformats.org/officeDocument/2006/relationships/hyperlink" Target="https://doi.org/10.1080/03054985.2020.1747418" TargetMode="External"/><Relationship Id="rId22" Type="http://schemas.openxmlformats.org/officeDocument/2006/relationships/hyperlink" Target="https://icd.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B12C9-85B1-4545-9C48-047450748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3102</Words>
  <Characters>17685</Characters>
  <Application>Microsoft Office Word</Application>
  <DocSecurity>0</DocSecurity>
  <Lines>147</Lines>
  <Paragraphs>41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vt:lpstr>Introduction</vt:lpstr>
      <vt:lpstr>Classification </vt:lpstr>
      <vt:lpstr>Diagnostic Criteria and Processes</vt:lpstr>
      <vt:lpstr>Treatment and Rehabilitation:</vt:lpstr>
      <vt:lpstr>Current Debates and Emerging Issues:</vt:lpstr>
      <vt:lpstr>Recommendations:</vt:lpstr>
      <vt:lpstr>Conclusion</vt:lpstr>
    </vt:vector>
  </TitlesOfParts>
  <Company/>
  <LinksUpToDate>false</LinksUpToDate>
  <CharactersWithSpaces>20746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abosede dehinbo</cp:lastModifiedBy>
  <cp:revision>3</cp:revision>
  <dcterms:created xsi:type="dcterms:W3CDTF">2026-04-20T20:46:00Z</dcterms:created>
  <dcterms:modified xsi:type="dcterms:W3CDTF">2026-04-20T20:46:00Z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6fb0816d-9aef-4e62-a18b-a3898e0df684</vt:lpwstr>
  </property>
</Properties>
</file>