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52003" w14:textId="08691F02" w:rsidR="00DA686D" w:rsidRDefault="00DA686D">
      <w:r>
        <w:t>Reward for performance and contribution- Donna Macdonald 2513460</w:t>
      </w:r>
    </w:p>
    <w:p w14:paraId="3702D37E" w14:textId="77777777" w:rsidR="00DA686D" w:rsidRDefault="00DA686D"/>
    <w:p w14:paraId="5BABDDE7" w14:textId="4E5394AC" w:rsidR="00DA686D" w:rsidRDefault="00DA686D">
      <w:r>
        <w:t>Word count-</w:t>
      </w:r>
      <w:r w:rsidR="005E4688">
        <w:t>4372</w:t>
      </w:r>
    </w:p>
    <w:p w14:paraId="21F10AD1" w14:textId="77777777" w:rsidR="00DA686D" w:rsidRDefault="00DA686D"/>
    <w:p w14:paraId="44691F3C" w14:textId="7F5114E8" w:rsidR="00DA686D" w:rsidRPr="00DA686D" w:rsidRDefault="00AE796C" w:rsidP="00DA686D">
      <w:pPr>
        <w:rPr>
          <w:b/>
          <w:bCs/>
        </w:rPr>
      </w:pPr>
      <w:r>
        <w:rPr>
          <w:b/>
          <w:bCs/>
        </w:rPr>
        <w:t xml:space="preserve">AC </w:t>
      </w:r>
      <w:r w:rsidR="00DA686D" w:rsidRPr="00DA686D">
        <w:rPr>
          <w:b/>
          <w:bCs/>
        </w:rPr>
        <w:t>1.1 Explain the principles of reward and its importance to organisational culture and performance management</w:t>
      </w:r>
    </w:p>
    <w:p w14:paraId="0FE01385" w14:textId="6B5843F7" w:rsidR="00DA686D" w:rsidRPr="00DA686D" w:rsidRDefault="00DA686D" w:rsidP="00DA686D">
      <w:r w:rsidRPr="00DA686D">
        <w:t xml:space="preserve">Reward refers to the financial and </w:t>
      </w:r>
      <w:r w:rsidR="00AE796C" w:rsidRPr="00DA686D">
        <w:t>non-financial</w:t>
      </w:r>
      <w:r w:rsidRPr="00DA686D">
        <w:t xml:space="preserve"> returns employees receive in exchange for their contribution to an organisation. In practice, reward is best understood through the concept of total reward, which includes pay, benefits, recognition, development opportunities, and the working environment (Armstrong and Taylor, 2023). The core principle of reward is that it should attract, retain and motivate employees while supporting organisational objectives and behaviours.</w:t>
      </w:r>
    </w:p>
    <w:p w14:paraId="22599D2D" w14:textId="77777777" w:rsidR="00DA686D" w:rsidRPr="00DA686D" w:rsidRDefault="00DA686D" w:rsidP="00DA686D">
      <w:r w:rsidRPr="00DA686D">
        <w:t>One key principle of reward is fairness. This includes internal equity, where roles of equal value are rewarded consistently, and external equity, where pay levels are competitive with the wider labour market. Perceptions of unfairness can quickly damage trust and engagement, particularly if employees believe reward decisions favour certain groups. Transparency and consistency are therefore essential principles, as they help employees understand how reward decisions are made and what is expected of them (CIPD, 2023a).</w:t>
      </w:r>
    </w:p>
    <w:p w14:paraId="62EF823D" w14:textId="77777777" w:rsidR="00DA686D" w:rsidRPr="00DA686D" w:rsidRDefault="00DA686D" w:rsidP="00DA686D">
      <w:r w:rsidRPr="00DA686D">
        <w:t xml:space="preserve">Reward plays a critical role in shaping organisational culture because it signals what the organisation values. Where reward is linked clearly to positive behaviours, performance, and contribution, employees are more likely to align their actions with organisational goals. Conversely, where reward is poorly designed or disconnected from performance, it can reinforce negative behaviours or disengagement. For </w:t>
      </w:r>
      <w:proofErr w:type="spellStart"/>
      <w:r w:rsidRPr="00DA686D">
        <w:t>GreenFriendlyEco</w:t>
      </w:r>
      <w:proofErr w:type="spellEnd"/>
      <w:r w:rsidRPr="00DA686D">
        <w:t>, the absence of an incentive scheme and the perception that senior staff benefit from special pension arrangements risk creating a culture of resentment and low trust.</w:t>
      </w:r>
    </w:p>
    <w:p w14:paraId="19645586" w14:textId="57550E4A" w:rsidR="00DA686D" w:rsidRPr="00DA686D" w:rsidRDefault="00DA686D" w:rsidP="00DA686D">
      <w:r w:rsidRPr="00DA686D">
        <w:t xml:space="preserve">Reward is also closely linked to performance management. Effective reward systems support performance management by reinforcing goal achievement, encouraging continuous improvement, and recognising effort and results. Performance related reward should complement feedback, development, and clear objectives rather than operate in isolation (Armstrong and Taylor, 2023). In </w:t>
      </w:r>
      <w:proofErr w:type="spellStart"/>
      <w:r w:rsidRPr="00DA686D">
        <w:t>GreenFriendlyEco’s</w:t>
      </w:r>
      <w:proofErr w:type="spellEnd"/>
      <w:r w:rsidRPr="00DA686D">
        <w:t xml:space="preserve"> case, the use of measured day work without any performance linked reward limits the organisation’s ability to motivate higher levels of contribution and address ongoing performance issues. A </w:t>
      </w:r>
      <w:r w:rsidR="00AE796C" w:rsidRPr="00DA686D">
        <w:t>well-designed</w:t>
      </w:r>
      <w:r w:rsidRPr="00DA686D">
        <w:t xml:space="preserve"> reward approach would help reinforce performance expectations and support a shift towards a more positive and accountable culture.</w:t>
      </w:r>
      <w:r w:rsidR="00483AAB">
        <w:t xml:space="preserve"> </w:t>
      </w:r>
      <w:r w:rsidR="00483AAB" w:rsidRPr="00483AAB">
        <w:t xml:space="preserve">Strategic reward emphasises the importance of aligning reward practices with organisational goals to support long term performance and sustainability. CIPD </w:t>
      </w:r>
      <w:r w:rsidR="00483AAB" w:rsidRPr="00483AAB">
        <w:lastRenderedPageBreak/>
        <w:t xml:space="preserve">guidance highlights that reward strategies should reinforce organisational priorities and contribute to a positive employee experience, rather than focusing solely on pay outcomes (CIPD, 2024). In the context of </w:t>
      </w:r>
      <w:proofErr w:type="spellStart"/>
      <w:r w:rsidR="00483AAB" w:rsidRPr="00483AAB">
        <w:t>GreenFriendlyEco</w:t>
      </w:r>
      <w:proofErr w:type="spellEnd"/>
      <w:r w:rsidR="00483AAB" w:rsidRPr="00483AAB">
        <w:t>, adopting a more strategic approach to reward would help ensure that reward decisions support performance management objectives, reinforce desired behaviours, and contribute to addressing cultural and engagement challenges.</w:t>
      </w:r>
    </w:p>
    <w:p w14:paraId="3931B6B8" w14:textId="79A9C4A7" w:rsidR="00DA686D" w:rsidRPr="00DA686D" w:rsidRDefault="00DA686D" w:rsidP="00DA686D"/>
    <w:p w14:paraId="433B7DCC" w14:textId="58FA5552" w:rsidR="00DA686D" w:rsidRPr="00DA686D" w:rsidRDefault="00AE796C" w:rsidP="00DA686D">
      <w:pPr>
        <w:rPr>
          <w:b/>
          <w:bCs/>
        </w:rPr>
      </w:pPr>
      <w:r>
        <w:rPr>
          <w:b/>
          <w:bCs/>
        </w:rPr>
        <w:t xml:space="preserve">AC </w:t>
      </w:r>
      <w:r w:rsidR="00DA686D" w:rsidRPr="00DA686D">
        <w:rPr>
          <w:b/>
          <w:bCs/>
        </w:rPr>
        <w:t>1.2 Assess the contribution of extrinsic and intrinsic rewards to improving employee contribution and sustained organisational performance</w:t>
      </w:r>
    </w:p>
    <w:p w14:paraId="5C55C37D" w14:textId="77777777" w:rsidR="00DA686D" w:rsidRPr="00DA686D" w:rsidRDefault="00DA686D" w:rsidP="00DA686D">
      <w:r w:rsidRPr="00DA686D">
        <w:t>Extrinsic and intrinsic rewards both contribute to employee motivation and performance, but they operate in different ways and offer different benefits. Extrinsic rewards include tangible rewards such as pay, bonuses, and benefits, while intrinsic rewards relate to internal satisfaction such as achievement, recognition, autonomy, and personal development (CIPD, 2023b).</w:t>
      </w:r>
    </w:p>
    <w:p w14:paraId="61397E15" w14:textId="77777777" w:rsidR="00DA686D" w:rsidRPr="00DA686D" w:rsidRDefault="00DA686D" w:rsidP="00DA686D">
      <w:r w:rsidRPr="00DA686D">
        <w:t xml:space="preserve">Extrinsic rewards can be effective in encouraging effort and improving short term performance, particularly where there is a clear link between performance and reward. Expectancy theory suggests that employees are more likely to exert effort when they believe it will lead to good performance and valued outcomes (Vroom, 1964). For example, a fair and achievable bonus scheme could help </w:t>
      </w:r>
      <w:proofErr w:type="spellStart"/>
      <w:r w:rsidRPr="00DA686D">
        <w:t>GreenFriendlyEco</w:t>
      </w:r>
      <w:proofErr w:type="spellEnd"/>
      <w:r w:rsidRPr="00DA686D">
        <w:t xml:space="preserve"> improve productivity and retention, particularly in a competitive labour market. However, extrinsic rewards can also have limitations. If perceived as unfair or unattainable, they may reduce motivation and damage trust. There is also a risk that employees focus narrowly on rewarded outcomes at the expense of teamwork, quality, or safety.</w:t>
      </w:r>
    </w:p>
    <w:p w14:paraId="75A6C624" w14:textId="77777777" w:rsidR="00DA686D" w:rsidRDefault="00DA686D" w:rsidP="00DA686D">
      <w:r w:rsidRPr="00DA686D">
        <w:t xml:space="preserve">Intrinsic rewards play a significant role in supporting sustained performance and engagement. </w:t>
      </w:r>
      <w:proofErr w:type="spellStart"/>
      <w:r w:rsidRPr="00DA686D">
        <w:t>Self determination</w:t>
      </w:r>
      <w:proofErr w:type="spellEnd"/>
      <w:r w:rsidRPr="00DA686D">
        <w:t xml:space="preserve"> theory emphasises the importance of autonomy, competence, and relatedness in maintaining long term motivation (Deci and Ryan, 2000). Recognition, meaningful work, and opportunities to develop skills can improve commitment and discretionary effort, particularly in environments where morale is low. For </w:t>
      </w:r>
      <w:proofErr w:type="spellStart"/>
      <w:r w:rsidRPr="00DA686D">
        <w:t>GreenFriendlyEco</w:t>
      </w:r>
      <w:proofErr w:type="spellEnd"/>
      <w:r w:rsidRPr="00DA686D">
        <w:t>, where negative culture and disengagement have been identified, intrinsic rewards such as recognition schemes and development opportunities may be especially important in rebuilding trust and motivation.</w:t>
      </w:r>
    </w:p>
    <w:p w14:paraId="79EDD2ED" w14:textId="309CBC12" w:rsidR="005F0EB9" w:rsidRDefault="005F0EB9" w:rsidP="00DA686D">
      <w:r w:rsidRPr="005F0EB9">
        <w:t xml:space="preserve">While intrinsic rewards play a key role in sustaining motivation, they are most effective when supported by a fair extrinsic reward foundation. Research indicates that where pay is perceived as inadequate or unfair, intrinsic motivators lose their effectiveness because employees remain focused on financial security rather than engagement or development (CIPD, 2023a). This highlights the importance of addressing basic reward expectations before relying on intrinsic rewards alone. For </w:t>
      </w:r>
      <w:proofErr w:type="spellStart"/>
      <w:r w:rsidRPr="005F0EB9">
        <w:t>GreenFriendlyEco</w:t>
      </w:r>
      <w:proofErr w:type="spellEnd"/>
      <w:r w:rsidRPr="005F0EB9">
        <w:t xml:space="preserve">, this suggests that efforts to strengthen recognition and development must sit alongside </w:t>
      </w:r>
      <w:r w:rsidRPr="005F0EB9">
        <w:lastRenderedPageBreak/>
        <w:t>improvements to base pay fairness and benefit transparency if they are to drive sustained improvements in employee contribution and organisational performance.</w:t>
      </w:r>
    </w:p>
    <w:p w14:paraId="44241C68" w14:textId="39E42D40" w:rsidR="003E5AA6" w:rsidRPr="00DA686D" w:rsidRDefault="00FD102B" w:rsidP="00DA686D">
      <w:r w:rsidRPr="00FD102B">
        <w:t xml:space="preserve">Equity theory further highlights the role of perceived fairness in shaping employee motivation and contribution. Employees assess the balance between their inputs and rewards relative to others, and where inequity is perceived, motivation and performance are likely to decline (Adams, 1965). In organisations where reward arrangements are seen as uneven or opaque, employees may reduce effort or disengage altogether. For </w:t>
      </w:r>
      <w:proofErr w:type="spellStart"/>
      <w:r w:rsidRPr="00FD102B">
        <w:t>GreenFriendlyEco</w:t>
      </w:r>
      <w:proofErr w:type="spellEnd"/>
      <w:r w:rsidRPr="00FD102B">
        <w:t>, concerns about differential treatment, such as perceived preferential reward arrangements for senior staff, risk undermining sustained employee contribution. Addressing equity perceptions is therefore essential in supporting long term organisational performance.</w:t>
      </w:r>
    </w:p>
    <w:p w14:paraId="1A0C3D1B" w14:textId="77777777" w:rsidR="00DA686D" w:rsidRDefault="00DA686D" w:rsidP="00DA686D">
      <w:r w:rsidRPr="00DA686D">
        <w:t xml:space="preserve">In practice, sustained organisational performance is best supported by a balanced approach that combines extrinsic and intrinsic rewards. Herzberg’s two factor theory suggests that pay and benefits act as hygiene factors that prevent dissatisfaction, while intrinsic factors such as achievement and recognition drive motivation and engagement (Herzberg et al., 1959). Applying this to </w:t>
      </w:r>
      <w:proofErr w:type="spellStart"/>
      <w:r w:rsidRPr="00DA686D">
        <w:t>GreenFriendlyEco</w:t>
      </w:r>
      <w:proofErr w:type="spellEnd"/>
      <w:r w:rsidRPr="00DA686D">
        <w:t xml:space="preserve">, addressing basic reward fairness and competitiveness is necessary to stabilise the workforce, but </w:t>
      </w:r>
      <w:proofErr w:type="gramStart"/>
      <w:r w:rsidRPr="00DA686D">
        <w:t>long term</w:t>
      </w:r>
      <w:proofErr w:type="gramEnd"/>
      <w:r w:rsidRPr="00DA686D">
        <w:t xml:space="preserve"> performance improvements will depend on strengthening intrinsic rewards that support positive behaviours and cultural change.</w:t>
      </w:r>
    </w:p>
    <w:p w14:paraId="61168ACB" w14:textId="77777777" w:rsidR="007B0ABE" w:rsidRDefault="007B0ABE" w:rsidP="00DA686D"/>
    <w:p w14:paraId="5443878B" w14:textId="3E30D64F" w:rsidR="004D3AB1" w:rsidRPr="004D3AB1" w:rsidRDefault="00AE796C" w:rsidP="004D3AB1">
      <w:pPr>
        <w:rPr>
          <w:b/>
          <w:bCs/>
        </w:rPr>
      </w:pPr>
      <w:r>
        <w:rPr>
          <w:b/>
          <w:bCs/>
        </w:rPr>
        <w:t xml:space="preserve">AC </w:t>
      </w:r>
      <w:r w:rsidR="004D3AB1" w:rsidRPr="004D3AB1">
        <w:rPr>
          <w:b/>
          <w:bCs/>
        </w:rPr>
        <w:t xml:space="preserve">2.1 Explain the differences between types of </w:t>
      </w:r>
      <w:proofErr w:type="gramStart"/>
      <w:r w:rsidR="004D3AB1" w:rsidRPr="004D3AB1">
        <w:rPr>
          <w:b/>
          <w:bCs/>
        </w:rPr>
        <w:t>grade</w:t>
      </w:r>
      <w:proofErr w:type="gramEnd"/>
      <w:r w:rsidR="004D3AB1" w:rsidRPr="004D3AB1">
        <w:rPr>
          <w:b/>
          <w:bCs/>
        </w:rPr>
        <w:t xml:space="preserve"> and pay structures </w:t>
      </w:r>
    </w:p>
    <w:p w14:paraId="3DB3CED7" w14:textId="77777777" w:rsidR="004D3AB1" w:rsidRPr="004D3AB1" w:rsidRDefault="004D3AB1" w:rsidP="004D3AB1">
      <w:r w:rsidRPr="004D3AB1">
        <w:t>Pay and grade structures provide a framework for determining how roles are valued and rewarded within an organisation. They support consistency, fairness, and control over pay progression while helping employees understand how their pay relates to their role and career development (Armstrong and Taylor, 2023). Organisations typically choose a structure based on their size, workforce composition, and strategic priorities.</w:t>
      </w:r>
    </w:p>
    <w:p w14:paraId="3612E4CC" w14:textId="77777777" w:rsidR="004D3AB1" w:rsidRDefault="004D3AB1" w:rsidP="004D3AB1">
      <w:r w:rsidRPr="004D3AB1">
        <w:t>Traditional multi graded pay structures involve a series of narrow grades with defined pay ranges. These structures offer a high level of control and clarity, making them suitable for organisations with clearly defined roles and hierarchical progression. However, they can be inflexible and may encourage grade inflation or excessive focus on promotion rather than skill development. In contrast, broad graded structures reduce the number of grades and widen pay ranges, allowing greater flexibility and career movement within grades. While this supports development and reduces administrative burden, it relies heavily on effective performance management to ensure pay decisions are fair and consistent (CIPD, 2023a).</w:t>
      </w:r>
    </w:p>
    <w:p w14:paraId="252A1A33" w14:textId="32EC275E" w:rsidR="00D457D3" w:rsidRDefault="00D457D3" w:rsidP="00D457D3">
      <w:r w:rsidRPr="00D457D3">
        <w:t xml:space="preserve">Pay structures also differ in the level of control they provide </w:t>
      </w:r>
      <w:proofErr w:type="gramStart"/>
      <w:r w:rsidRPr="00D457D3">
        <w:t>over pay</w:t>
      </w:r>
      <w:proofErr w:type="gramEnd"/>
      <w:r w:rsidR="006F269F">
        <w:t>,</w:t>
      </w:r>
      <w:r w:rsidRPr="00D457D3">
        <w:t xml:space="preserve"> progression and reward costs. Narrow graded structures typically rely on incremental progression, which </w:t>
      </w:r>
      <w:r w:rsidRPr="00D457D3">
        <w:lastRenderedPageBreak/>
        <w:t>can support perceived fairness but may limit flexibility and increase payroll drift over time. Broader structures place greater emphasis on managerial judgement and performance management capability, as pay progression is less automatic and more discretionary (Armstrong and Taylor, 2023). While this flexibility can support skill development and role growth, it increases the importance of clear governance and consistent decision making to avoid bias and pay inequality. Selecting an appropriate structure therefore requires balancing flexibility with transparency and control.</w:t>
      </w:r>
    </w:p>
    <w:p w14:paraId="2CB32566" w14:textId="77777777" w:rsidR="00DC1CB4" w:rsidRDefault="00DC1CB4" w:rsidP="00D457D3"/>
    <w:p w14:paraId="7A4442BB" w14:textId="70DD9041" w:rsidR="00D20B4C" w:rsidRPr="00D20B4C" w:rsidRDefault="00D20B4C" w:rsidP="00D20B4C">
      <w:r>
        <w:t>I</w:t>
      </w:r>
      <w:r w:rsidRPr="00D20B4C">
        <w:t xml:space="preserve">n contrast, informal pay structures such as spot rates or individual job grades offer greater flexibility but carry higher risks. Spot rates involve paying market rates for specific roles without a structured grading framework, which can be useful in responding quickly to labour shortages but may lead to inconsistency and perceptions of unfairness. Individual job grades similarly lack alignment across the organisation and can make it difficult to demonstrate internal equity over time (CIPD, 2023c). </w:t>
      </w:r>
    </w:p>
    <w:p w14:paraId="1669D581" w14:textId="77777777" w:rsidR="00DC1CB4" w:rsidRPr="00D457D3" w:rsidRDefault="00DC1CB4" w:rsidP="00D457D3"/>
    <w:p w14:paraId="20DC4563" w14:textId="77777777" w:rsidR="00D457D3" w:rsidRPr="004D3AB1" w:rsidRDefault="00D457D3" w:rsidP="004D3AB1"/>
    <w:p w14:paraId="0DE04605" w14:textId="77777777" w:rsidR="004D3AB1" w:rsidRPr="004D3AB1" w:rsidRDefault="004D3AB1" w:rsidP="004D3AB1">
      <w:r w:rsidRPr="004D3AB1">
        <w:t>Broad banded structures offer even wider pay ranges and fewer bands. These are often used in organisations seeking flexibility and agility, particularly where roles evolve rapidly. The main risk with broad banding is loss of transparency, which can lead to perceptions of unfairness if pay decisions are not well governed. Job family structures take a different approach by grouping roles by function or discipline, with separate pay ranges for each family. This can be effective where specialist skills are critical, as it allows market rates to be reflected more accurately across different job types.</w:t>
      </w:r>
    </w:p>
    <w:p w14:paraId="6FEAF479" w14:textId="77777777" w:rsidR="004D3AB1" w:rsidRPr="004D3AB1" w:rsidRDefault="004D3AB1" w:rsidP="004D3AB1">
      <w:r w:rsidRPr="004D3AB1">
        <w:t xml:space="preserve">For </w:t>
      </w:r>
      <w:proofErr w:type="spellStart"/>
      <w:r w:rsidRPr="004D3AB1">
        <w:t>GreenFriendlyEco</w:t>
      </w:r>
      <w:proofErr w:type="spellEnd"/>
      <w:r w:rsidRPr="004D3AB1">
        <w:t xml:space="preserve">, which operates in a manufacturing environment with a mix of operational, technical, and administrative roles, the current reliance on measured day work suggests limited structure and progression clarity. Introducing a clearer grade and pay structure, such as a job family or broad graded approach, could support internal equity, improve transparency, and reduce dissatisfaction around pay fairness. This would also provide a stronger foundation for linking reward to contribution and development, rather than relying solely on </w:t>
      </w:r>
      <w:proofErr w:type="gramStart"/>
      <w:r w:rsidRPr="004D3AB1">
        <w:t>time based</w:t>
      </w:r>
      <w:proofErr w:type="gramEnd"/>
      <w:r w:rsidRPr="004D3AB1">
        <w:t xml:space="preserve"> pay.</w:t>
      </w:r>
    </w:p>
    <w:p w14:paraId="23B1AAD0" w14:textId="368F84DA" w:rsidR="004D3AB1" w:rsidRPr="004D3AB1" w:rsidRDefault="004D3AB1" w:rsidP="004D3AB1"/>
    <w:p w14:paraId="2B3028C1" w14:textId="77777777" w:rsidR="00AE796C" w:rsidRDefault="00AE796C" w:rsidP="004D3AB1">
      <w:pPr>
        <w:rPr>
          <w:b/>
          <w:bCs/>
        </w:rPr>
      </w:pPr>
    </w:p>
    <w:p w14:paraId="78CB7424" w14:textId="77777777" w:rsidR="00AE796C" w:rsidRDefault="00AE796C" w:rsidP="004D3AB1">
      <w:pPr>
        <w:rPr>
          <w:b/>
          <w:bCs/>
        </w:rPr>
      </w:pPr>
    </w:p>
    <w:p w14:paraId="41F2FA40" w14:textId="77777777" w:rsidR="00AE796C" w:rsidRDefault="00AE796C" w:rsidP="004D3AB1">
      <w:pPr>
        <w:rPr>
          <w:b/>
          <w:bCs/>
        </w:rPr>
      </w:pPr>
    </w:p>
    <w:p w14:paraId="78A02C27" w14:textId="77777777" w:rsidR="00AE796C" w:rsidRDefault="00AE796C" w:rsidP="004D3AB1">
      <w:pPr>
        <w:rPr>
          <w:b/>
          <w:bCs/>
        </w:rPr>
      </w:pPr>
    </w:p>
    <w:p w14:paraId="60E4AAFE" w14:textId="77777777" w:rsidR="006F269F" w:rsidRDefault="006F269F" w:rsidP="004D3AB1">
      <w:pPr>
        <w:rPr>
          <w:b/>
          <w:bCs/>
        </w:rPr>
      </w:pPr>
    </w:p>
    <w:p w14:paraId="71F2B3EB" w14:textId="28AF1C7D" w:rsidR="004D3AB1" w:rsidRPr="004D3AB1" w:rsidRDefault="00AE796C" w:rsidP="004D3AB1">
      <w:pPr>
        <w:rPr>
          <w:b/>
          <w:bCs/>
        </w:rPr>
      </w:pPr>
      <w:r>
        <w:rPr>
          <w:b/>
          <w:bCs/>
        </w:rPr>
        <w:t xml:space="preserve">AC </w:t>
      </w:r>
      <w:r w:rsidR="004D3AB1" w:rsidRPr="004D3AB1">
        <w:rPr>
          <w:b/>
          <w:bCs/>
        </w:rPr>
        <w:t xml:space="preserve">2.2 Explain how contingent rewards can impact individual, team and organisational performance </w:t>
      </w:r>
    </w:p>
    <w:p w14:paraId="06ED2DB8" w14:textId="50AF8C55" w:rsidR="004D3AB1" w:rsidRPr="004D3AB1" w:rsidRDefault="004D3AB1" w:rsidP="004D3AB1">
      <w:r w:rsidRPr="004D3AB1">
        <w:t xml:space="preserve">Contingent rewards are variable rewards that depend on performance, contribution, or achievement of specific objectives. Common examples include performance related pay, contribution related pay, </w:t>
      </w:r>
      <w:r w:rsidR="00AE796C" w:rsidRPr="004D3AB1">
        <w:t>skill-based</w:t>
      </w:r>
      <w:r w:rsidRPr="004D3AB1">
        <w:t xml:space="preserve"> pay, and team bonuses. When designed effectively, contingent rewards can support motivation, productivity, and alignment with organisational goals (CIPD, 2023b).</w:t>
      </w:r>
    </w:p>
    <w:p w14:paraId="53FF9C52" w14:textId="77777777" w:rsidR="004D3AB1" w:rsidRDefault="004D3AB1" w:rsidP="004D3AB1">
      <w:r w:rsidRPr="004D3AB1">
        <w:t>At an individual level, contingent rewards can increase motivation by strengthening the perceived link between effort and reward. Expectancy theory suggests employees are more likely to perform well when they believe their effort will lead to valued outcomes (Vroom, 1964). For example, individual performance bonuses can encourage higher output or quality where goals are clear and achievable. However, if targets are unclear or perceived as unfair, contingent rewards can damage morale and trust, particularly in environments where baseline engagement is already low.</w:t>
      </w:r>
    </w:p>
    <w:p w14:paraId="4D8800BB" w14:textId="77777777" w:rsidR="008B63D0" w:rsidRDefault="008B63D0" w:rsidP="008B63D0">
      <w:r w:rsidRPr="008B63D0">
        <w:t>The impact of contingent rewards is also influenced by how performance is measured and communicated. If performance criteria are unclear or outside employee control, contingent rewards can create frustration rather than motivation. Research suggests that employees are more likely to respond positively to contingent pay where measures are perceived as objective, achievable, and linked to meaningful outcomes (CIPD, 2023b). This highlights the importance of strong performance management processes to underpin contingent reward systems. Without these foundations, contingent rewards may reinforce disengagement or mistrust, particularly in organisations already experiencing cultural challenges.</w:t>
      </w:r>
    </w:p>
    <w:p w14:paraId="452AF116" w14:textId="77777777" w:rsidR="009D40F9" w:rsidRDefault="009D40F9" w:rsidP="008B63D0"/>
    <w:p w14:paraId="255ABC01" w14:textId="55327070" w:rsidR="009D40F9" w:rsidRPr="008B63D0" w:rsidRDefault="00D47FFB" w:rsidP="008B63D0">
      <w:r w:rsidRPr="00D47FFB">
        <w:t xml:space="preserve">Bonuses are a commonly used form of contingent reward and can be effective when they are clearly linked to performance outcomes that employees can influence. CIPD guidance notes that bonus schemes are most effective where performance measures are transparent, achievable, and aligned with organisational priorities (CIPD, 2023e). In operational environments, poorly designed bonus schemes can lead to unintended behaviours, such as prioritising speed over quality or safety. </w:t>
      </w:r>
    </w:p>
    <w:p w14:paraId="024EDBC2" w14:textId="77777777" w:rsidR="008B63D0" w:rsidRPr="004D3AB1" w:rsidRDefault="008B63D0" w:rsidP="004D3AB1"/>
    <w:p w14:paraId="101CE3A3" w14:textId="633C6619" w:rsidR="004D3AB1" w:rsidRPr="004D3AB1" w:rsidRDefault="004D3AB1" w:rsidP="004D3AB1">
      <w:r w:rsidRPr="004D3AB1">
        <w:t xml:space="preserve">At a team level, contingent rewards can either enhance collaboration or create conflict, depending on design. Team based bonuses can encourage shared responsibility and cooperation, particularly where outcomes depend on collective effort. </w:t>
      </w:r>
      <w:r w:rsidR="006F344E">
        <w:t xml:space="preserve">In </w:t>
      </w:r>
      <w:r w:rsidR="003F2935">
        <w:t xml:space="preserve">contrast, </w:t>
      </w:r>
      <w:r w:rsidR="003F2935" w:rsidRPr="004D3AB1">
        <w:t>poorly</w:t>
      </w:r>
      <w:r w:rsidRPr="004D3AB1">
        <w:t xml:space="preserve"> designed individual incentives can discourage knowledge sharing or create unhealthy competition. In manufacturing contexts such as </w:t>
      </w:r>
      <w:proofErr w:type="spellStart"/>
      <w:r w:rsidRPr="004D3AB1">
        <w:t>GreenFriendlyEco</w:t>
      </w:r>
      <w:proofErr w:type="spellEnd"/>
      <w:r w:rsidRPr="004D3AB1">
        <w:t xml:space="preserve">, </w:t>
      </w:r>
      <w:proofErr w:type="gramStart"/>
      <w:r w:rsidRPr="004D3AB1">
        <w:t xml:space="preserve">team </w:t>
      </w:r>
      <w:r w:rsidRPr="004D3AB1">
        <w:lastRenderedPageBreak/>
        <w:t>based</w:t>
      </w:r>
      <w:proofErr w:type="gramEnd"/>
      <w:r w:rsidRPr="004D3AB1">
        <w:t xml:space="preserve"> rewards linked to quality, safety, and productivity may help balance performance improvement with operational risk management.</w:t>
      </w:r>
    </w:p>
    <w:p w14:paraId="3F55A2A1" w14:textId="66087582" w:rsidR="004D3AB1" w:rsidRPr="004D3AB1" w:rsidRDefault="004D3AB1" w:rsidP="004D3AB1">
      <w:r w:rsidRPr="004D3AB1">
        <w:t xml:space="preserve">At an organisational level, contingent rewards can support strategic objectives by reinforcing desired behaviours and outcomes. However, organisations must manage cost, pay volatility, and the risk of unintended consequences, such as gaming or short termism (Armstrong and Taylor, 2023). For </w:t>
      </w:r>
      <w:proofErr w:type="spellStart"/>
      <w:r w:rsidRPr="004D3AB1">
        <w:t>GreenFriendlyEco</w:t>
      </w:r>
      <w:proofErr w:type="spellEnd"/>
      <w:r w:rsidRPr="004D3AB1">
        <w:t>, introducing a modest and well governed contingent reward scheme could help address disengagement and turnover, provided it is aligned with clear performance measures and supported by transparent communication.</w:t>
      </w:r>
    </w:p>
    <w:p w14:paraId="32E76585" w14:textId="77777777" w:rsidR="00587399" w:rsidRDefault="00587399" w:rsidP="00DA686D"/>
    <w:p w14:paraId="1A93C2E4" w14:textId="77777777" w:rsidR="004D3AB1" w:rsidRDefault="004D3AB1" w:rsidP="00DA686D"/>
    <w:p w14:paraId="109F6F10" w14:textId="0D0CE5F6" w:rsidR="002C2530" w:rsidRPr="002C2530" w:rsidRDefault="00AE796C" w:rsidP="002C2530">
      <w:pPr>
        <w:rPr>
          <w:b/>
          <w:bCs/>
        </w:rPr>
      </w:pPr>
      <w:r>
        <w:rPr>
          <w:b/>
          <w:bCs/>
        </w:rPr>
        <w:t xml:space="preserve">AC </w:t>
      </w:r>
      <w:r w:rsidR="002C2530" w:rsidRPr="002C2530">
        <w:rPr>
          <w:b/>
          <w:bCs/>
        </w:rPr>
        <w:t xml:space="preserve">2.3 Explain the merits of different types of benefits offered by organisations </w:t>
      </w:r>
    </w:p>
    <w:p w14:paraId="4F747F78" w14:textId="77777777" w:rsidR="002C2530" w:rsidRDefault="002C2530" w:rsidP="002C2530">
      <w:r w:rsidRPr="002C2530">
        <w:t>Employee benefits form a key part of the total reward package and can play an important role in attracting, retaining, and engaging employees. Benefits also support employee wellbeing and provide a way for organisations to demonstrate their commitment to their workforce beyond base pay (Armstrong and Taylor, 2023). The effectiveness of benefits depends on how well they align with employee needs, organisational values, and cost constraints.</w:t>
      </w:r>
    </w:p>
    <w:p w14:paraId="4EA90822" w14:textId="42C5F635" w:rsidR="00376596" w:rsidRPr="002C2530" w:rsidRDefault="00376596" w:rsidP="002C2530">
      <w:r w:rsidRPr="00376596">
        <w:t xml:space="preserve">Benefits also allow organisations to tailor reward in a way that recognises diverse employee needs. Flexible or voluntary benefits can increase perceived value without significantly increasing cost, as employees can choose benefits that best suit their circumstances (Armstrong and Taylor, 2023). This approach can improve engagement while supporting cost control, particularly in organisations with limited scope for large pay increases. For </w:t>
      </w:r>
      <w:proofErr w:type="spellStart"/>
      <w:r w:rsidRPr="00376596">
        <w:t>GreenFriendlyEco</w:t>
      </w:r>
      <w:proofErr w:type="spellEnd"/>
      <w:r w:rsidRPr="00376596">
        <w:t>, introducing a more flexible benefits approach could help address varied employee expectations across operational and administrative roles, while reinforcing fairness and inclusivity within the reward package.</w:t>
      </w:r>
    </w:p>
    <w:p w14:paraId="434B0EF3" w14:textId="77777777" w:rsidR="002C2530" w:rsidRPr="002C2530" w:rsidRDefault="002C2530" w:rsidP="002C2530">
      <w:r w:rsidRPr="002C2530">
        <w:t xml:space="preserve">Pension provision is one of the most significant benefits offered by organisations and is closely linked to long term financial security. A fair and transparent pension scheme can support retention and build trust, particularly when applied consistently across the workforce. In </w:t>
      </w:r>
      <w:proofErr w:type="spellStart"/>
      <w:r w:rsidRPr="002C2530">
        <w:t>GreenFriendlyEco</w:t>
      </w:r>
      <w:proofErr w:type="spellEnd"/>
      <w:r w:rsidRPr="002C2530">
        <w:t xml:space="preserve">, perceptions of “special schemes” for senior </w:t>
      </w:r>
      <w:proofErr w:type="gramStart"/>
      <w:r w:rsidRPr="002C2530">
        <w:t>employees</w:t>
      </w:r>
      <w:proofErr w:type="gramEnd"/>
      <w:r w:rsidRPr="002C2530">
        <w:t xml:space="preserve"> risk damaging morale and perceptions of fairness. Reviewing pension arrangements to improve transparency and consistency would help address these concerns and reinforce principles of equity (CIPD, 2023a).</w:t>
      </w:r>
    </w:p>
    <w:p w14:paraId="31895519" w14:textId="6E810578" w:rsidR="002C2530" w:rsidRPr="002C2530" w:rsidRDefault="002C2530" w:rsidP="002C2530">
      <w:r w:rsidRPr="002C2530">
        <w:t xml:space="preserve">Health and wellbeing benefits, such as employee assistance programmes, occupational health support, and healthcare plans, can support both employee wellbeing and organisational performance. These benefits can reduce absence, </w:t>
      </w:r>
      <w:r w:rsidRPr="002C2530">
        <w:lastRenderedPageBreak/>
        <w:t>improve productivity, and signal that the organisation values employee health. In a manufacturing environment, where physical and mental demands may be higher, access to wellbeing support is particularly relevant and can contribute to a more supportive workplace culture.</w:t>
      </w:r>
      <w:r w:rsidR="00574E9B">
        <w:t xml:space="preserve"> </w:t>
      </w:r>
      <w:r w:rsidR="006251F9" w:rsidRPr="006251F9">
        <w:t>CIPD research highlights that wellbeing focused benefits can support lower absence levels, improved employee engagement, and more sustainable performance outcomes when embedded within a broader reward strategy (CIPD, 2023d).</w:t>
      </w:r>
    </w:p>
    <w:p w14:paraId="1828BDC2" w14:textId="79F8B455" w:rsidR="002C2530" w:rsidRDefault="002C2530" w:rsidP="002C2530">
      <w:r w:rsidRPr="002C2530">
        <w:t xml:space="preserve">Enhanced sick pay and income protection schemes also provide security for employees during periods of ill health. These benefits can improve engagement and reduce presenteeism by allowing employees to recover fully rather than attending work while unwell. Training and development benefits, including funded qualifications or skills training, contribute to both individual growth and organisational capability. </w:t>
      </w:r>
    </w:p>
    <w:p w14:paraId="36B74FB0" w14:textId="77777777" w:rsidR="00F11456" w:rsidRPr="002C2530" w:rsidRDefault="00F11456" w:rsidP="002C2530"/>
    <w:p w14:paraId="6E0470C0" w14:textId="478F00B8" w:rsidR="002C2530" w:rsidRPr="002C2530" w:rsidRDefault="00AE796C" w:rsidP="002C2530">
      <w:pPr>
        <w:rPr>
          <w:b/>
          <w:bCs/>
        </w:rPr>
      </w:pPr>
      <w:r>
        <w:rPr>
          <w:b/>
          <w:bCs/>
        </w:rPr>
        <w:t xml:space="preserve">AC </w:t>
      </w:r>
      <w:r w:rsidR="002C2530" w:rsidRPr="002C2530">
        <w:rPr>
          <w:b/>
          <w:bCs/>
        </w:rPr>
        <w:t xml:space="preserve">2.4 Explain the merits of different types of recognition schemes offered by organisations </w:t>
      </w:r>
    </w:p>
    <w:p w14:paraId="3B665536" w14:textId="77777777" w:rsidR="002C2530" w:rsidRDefault="002C2530" w:rsidP="002C2530">
      <w:r w:rsidRPr="002C2530">
        <w:t xml:space="preserve">Recognition schemes are a </w:t>
      </w:r>
      <w:proofErr w:type="spellStart"/>
      <w:proofErr w:type="gramStart"/>
      <w:r w:rsidRPr="002C2530">
        <w:t>non financial</w:t>
      </w:r>
      <w:proofErr w:type="spellEnd"/>
      <w:proofErr w:type="gramEnd"/>
      <w:r w:rsidRPr="002C2530">
        <w:t xml:space="preserve"> form of reward that acknowledge employee effort, behaviours, and achievements. Effective recognition can strengthen engagement, reinforce desired behaviours, and support a positive organisational culture (CIPD, 2023b). Recognition is particularly valuable in organisations facing morale and culture challenges, as it can deliver visible impact at relatively low cost.</w:t>
      </w:r>
    </w:p>
    <w:p w14:paraId="4BC19F2D" w14:textId="5DD06C51" w:rsidR="00AC1592" w:rsidRPr="002C2530" w:rsidRDefault="00AC1592" w:rsidP="002C2530">
      <w:r w:rsidRPr="00AC1592">
        <w:t xml:space="preserve">Recognition schemes are most effective when they are aligned with organisational values and everyday behaviours rather than solely exceptional performance. Consistent recognition of positive behaviours reinforces expectations and helps embed desired cultural norms over time (CIPD, 2023b). Where recognition is inconsistent or perceived as tokenistic, its impact is reduced. For </w:t>
      </w:r>
      <w:proofErr w:type="spellStart"/>
      <w:r w:rsidRPr="00AC1592">
        <w:t>GreenFriendlyEco</w:t>
      </w:r>
      <w:proofErr w:type="spellEnd"/>
      <w:r w:rsidRPr="00AC1592">
        <w:t>, aligning recognition to behaviours such as teamwork, safety, and continuous improvement would help support cultural change and strengthen the link between reward and organisational priorities.</w:t>
      </w:r>
    </w:p>
    <w:p w14:paraId="5FDFBBFA" w14:textId="77777777" w:rsidR="002C2530" w:rsidRPr="002C2530" w:rsidRDefault="002C2530" w:rsidP="002C2530">
      <w:r w:rsidRPr="002C2530">
        <w:t xml:space="preserve">Informal recognition schemes focus on frequent, immediate acknowledgement from managers and peers. Examples include verbal praise, thank you messages, or small discretionary awards. These schemes are easy to implement and can quickly improve employee morale when used consistently. For </w:t>
      </w:r>
      <w:proofErr w:type="spellStart"/>
      <w:r w:rsidRPr="002C2530">
        <w:t>GreenFriendlyEco</w:t>
      </w:r>
      <w:proofErr w:type="spellEnd"/>
      <w:r w:rsidRPr="002C2530">
        <w:t>, informal recognition could help address feelings of being undervalued and start to rebuild trust in management.</w:t>
      </w:r>
    </w:p>
    <w:p w14:paraId="253B4AFA" w14:textId="7522C852" w:rsidR="002C2530" w:rsidRDefault="002C2530" w:rsidP="002C2530">
      <w:r w:rsidRPr="002C2530">
        <w:t xml:space="preserve">Formal recognition schemes involve structured processes such as monthly awards, </w:t>
      </w:r>
      <w:proofErr w:type="gramStart"/>
      <w:r w:rsidRPr="002C2530">
        <w:t>nomination based</w:t>
      </w:r>
      <w:proofErr w:type="gramEnd"/>
      <w:r w:rsidRPr="002C2530">
        <w:t xml:space="preserve"> schemes, or organisation wide recognition aligned to company values. These schemes help ensure consistency and visibility, reinforcing behaviours that support organisational goals. When linked to clear criteria, formal recognition can </w:t>
      </w:r>
      <w:r w:rsidRPr="002C2530">
        <w:lastRenderedPageBreak/>
        <w:t>also support fairness and transparency. However, they require clear governance to avoid perceptions of favouritism.</w:t>
      </w:r>
      <w:r w:rsidR="007D1163">
        <w:t xml:space="preserve"> </w:t>
      </w:r>
      <w:r w:rsidR="007D1163" w:rsidRPr="007D1163">
        <w:t xml:space="preserve">Recognition may involve both </w:t>
      </w:r>
      <w:proofErr w:type="gramStart"/>
      <w:r w:rsidR="007D1163" w:rsidRPr="007D1163">
        <w:t>non cash</w:t>
      </w:r>
      <w:proofErr w:type="gramEnd"/>
      <w:r w:rsidR="007D1163" w:rsidRPr="007D1163">
        <w:t xml:space="preserve"> rewards, such as public acknowledgement or development opportunities, and modest </w:t>
      </w:r>
      <w:proofErr w:type="gramStart"/>
      <w:r w:rsidR="007D1163" w:rsidRPr="007D1163">
        <w:t>cash based</w:t>
      </w:r>
      <w:proofErr w:type="gramEnd"/>
      <w:r w:rsidR="007D1163" w:rsidRPr="007D1163">
        <w:t xml:space="preserve"> awards, including vouchers or small bonuses. CIPD guidance suggests that </w:t>
      </w:r>
      <w:proofErr w:type="gramStart"/>
      <w:r w:rsidR="007D1163" w:rsidRPr="007D1163">
        <w:t>non cash</w:t>
      </w:r>
      <w:proofErr w:type="gramEnd"/>
      <w:r w:rsidR="007D1163" w:rsidRPr="007D1163">
        <w:t xml:space="preserve"> recognition is often highly valued when it feels timely and meaningful, while limited cash awards can reinforce appreciation when used consistently and transparently (CIPD, 2023b).</w:t>
      </w:r>
    </w:p>
    <w:p w14:paraId="593D3230" w14:textId="77777777" w:rsidR="00BB765D" w:rsidRPr="002C2530" w:rsidRDefault="00BB765D" w:rsidP="002C2530"/>
    <w:p w14:paraId="4E36BDB3" w14:textId="33DDBA8E" w:rsidR="00A64020" w:rsidRPr="00A64020" w:rsidRDefault="00AE796C" w:rsidP="00A64020">
      <w:pPr>
        <w:rPr>
          <w:b/>
          <w:bCs/>
        </w:rPr>
      </w:pPr>
      <w:r>
        <w:rPr>
          <w:b/>
          <w:bCs/>
        </w:rPr>
        <w:t xml:space="preserve">AC </w:t>
      </w:r>
      <w:r w:rsidR="00A64020" w:rsidRPr="00A64020">
        <w:rPr>
          <w:b/>
          <w:bCs/>
        </w:rPr>
        <w:t xml:space="preserve">3.1 Assess the business context of the reward environment </w:t>
      </w:r>
    </w:p>
    <w:p w14:paraId="25184F93" w14:textId="77777777" w:rsidR="00A64020" w:rsidRPr="00A64020" w:rsidRDefault="00A64020" w:rsidP="00A64020">
      <w:r w:rsidRPr="00A64020">
        <w:t xml:space="preserve">The reward environment within an organisation is shaped by a combination of external market forces and internal organisational factors. Assessing this context is essential to ensure reward decisions are appropriate, sustainable, and aligned with business needs (Armstrong and Taylor, 2023). For </w:t>
      </w:r>
      <w:proofErr w:type="spellStart"/>
      <w:r w:rsidRPr="00A64020">
        <w:t>GreenFriendlyEco</w:t>
      </w:r>
      <w:proofErr w:type="spellEnd"/>
      <w:r w:rsidRPr="00A64020">
        <w:t>, both external and internal factors are contributing to pressure on its current reward approach.</w:t>
      </w:r>
    </w:p>
    <w:p w14:paraId="30B1822F" w14:textId="77777777" w:rsidR="00A64020" w:rsidRDefault="00A64020" w:rsidP="00A64020">
      <w:r w:rsidRPr="00A64020">
        <w:t xml:space="preserve">Externally, labour market conditions play a significant role in shaping reward expectations. The UK labour market has experienced ongoing skills shortages in certain sectors, alongside increased employee expectations around pay, security, and benefits. Data from the Office for National Statistics shows continued pay pressures linked to cost of living concerns, which can heighten dissatisfaction where pay is perceived as uncompetitive or stagnant (ONS, 2023). For </w:t>
      </w:r>
      <w:proofErr w:type="spellStart"/>
      <w:r w:rsidRPr="00A64020">
        <w:t>GreenFriendlyEco</w:t>
      </w:r>
      <w:proofErr w:type="spellEnd"/>
      <w:r w:rsidRPr="00A64020">
        <w:t>, operating in a competitive manufacturing labour market, the absence of incentives and limited reward differentiation may be contributing to higher turnover as employees seek better reward packages elsewhere.</w:t>
      </w:r>
    </w:p>
    <w:p w14:paraId="4AA36DE9" w14:textId="250647D6" w:rsidR="00CB3042" w:rsidRPr="00A64020" w:rsidRDefault="004F4127" w:rsidP="00A64020">
      <w:r w:rsidRPr="004F4127">
        <w:t xml:space="preserve">Recent labour market analysis highlights that many UK employers continue to face recruitment and retention challenges, particularly in sectors requiring technical or operational skills. CIPD labour market outlook research reports ongoing difficulties filling vacancies and increased competition for labour, contributing to upward pressure on pay and benefits (CIPD, 2024a). For </w:t>
      </w:r>
      <w:proofErr w:type="spellStart"/>
      <w:r w:rsidRPr="004F4127">
        <w:t>GreenFriendlyEco</w:t>
      </w:r>
      <w:proofErr w:type="spellEnd"/>
      <w:r w:rsidRPr="004F4127">
        <w:t>, these conditions strengthen the case for reviewing reward structures to remain competitive while supporting workforce stability.</w:t>
      </w:r>
    </w:p>
    <w:p w14:paraId="24DC1F5D" w14:textId="77777777" w:rsidR="00A64020" w:rsidRPr="00A64020" w:rsidRDefault="00A64020" w:rsidP="00A64020">
      <w:r w:rsidRPr="00A64020">
        <w:t xml:space="preserve">Economic conditions also influence the reward environment. Inflationary pressures increase employee focus on pay security and benefits, while organisations must balance reward affordability with financial sustainability (Bank of England, 2023). This creates tension between cost control and the need to retain skilled workers. For </w:t>
      </w:r>
      <w:proofErr w:type="spellStart"/>
      <w:r w:rsidRPr="00A64020">
        <w:t>GreenFriendlyEco</w:t>
      </w:r>
      <w:proofErr w:type="spellEnd"/>
      <w:r w:rsidRPr="00A64020">
        <w:t>, any reward changes must therefore be carefully designed to manage cost while addressing retention and engagement risks.</w:t>
      </w:r>
    </w:p>
    <w:p w14:paraId="2BAC07E8" w14:textId="77777777" w:rsidR="00A64020" w:rsidRPr="00A64020" w:rsidRDefault="00A64020" w:rsidP="00A64020">
      <w:r w:rsidRPr="00A64020">
        <w:lastRenderedPageBreak/>
        <w:t xml:space="preserve">Internally, organisational culture and employee relations are key contextual drivers. </w:t>
      </w:r>
      <w:proofErr w:type="spellStart"/>
      <w:r w:rsidRPr="00A64020">
        <w:t>GreenFriendlyEco</w:t>
      </w:r>
      <w:proofErr w:type="spellEnd"/>
      <w:r w:rsidRPr="00A64020">
        <w:t xml:space="preserve"> is experiencing negative culture and performance issues, alongside concerns about fairness due to perceived differences in pension provision for senior staff. Research consistently shows that perceptions of unfairness in reward can damage trust, engagement, and discretionary effort (CIPD, 2023a). The current reward approach, which relies on measured day work without incentives or recognition, offers limited support for motivating higher contribution or addressing underperformance.</w:t>
      </w:r>
    </w:p>
    <w:p w14:paraId="01B80FF3" w14:textId="77777777" w:rsidR="00A64020" w:rsidRPr="00A64020" w:rsidRDefault="00A64020" w:rsidP="00A64020">
      <w:r w:rsidRPr="00A64020">
        <w:t xml:space="preserve">The organisation’s performance management maturity is also relevant. Without meaningful links between performance outcomes and reward, it becomes difficult to reinforce expectations or recognise contribution. This weakens the psychological contract and limits the effectiveness of performance management processes. Assessing the business context suggests that </w:t>
      </w:r>
      <w:proofErr w:type="spellStart"/>
      <w:r w:rsidRPr="00A64020">
        <w:t>GreenFriendlyEco</w:t>
      </w:r>
      <w:proofErr w:type="spellEnd"/>
      <w:r w:rsidRPr="00A64020">
        <w:t xml:space="preserve"> requires a more transparent, balanced reward approach that reflects market conditions, restores fairness perceptions, and supports cultural and performance improvement, while remaining financially realistic.</w:t>
      </w:r>
    </w:p>
    <w:p w14:paraId="0D488764" w14:textId="463CFEE4" w:rsidR="00A64020" w:rsidRPr="00A64020" w:rsidRDefault="00A64020" w:rsidP="00A64020"/>
    <w:p w14:paraId="327EBDF4" w14:textId="5F5C42BF" w:rsidR="00A64020" w:rsidRPr="00A64020" w:rsidRDefault="00AE796C" w:rsidP="00A64020">
      <w:pPr>
        <w:rPr>
          <w:b/>
          <w:bCs/>
        </w:rPr>
      </w:pPr>
      <w:r>
        <w:rPr>
          <w:b/>
          <w:bCs/>
        </w:rPr>
        <w:t xml:space="preserve">AC </w:t>
      </w:r>
      <w:r w:rsidR="00A64020" w:rsidRPr="00A64020">
        <w:rPr>
          <w:b/>
          <w:bCs/>
        </w:rPr>
        <w:t xml:space="preserve">3.2 Evaluate the most appropriate ways in which benchmarking data can be gathered and measured to develop insight </w:t>
      </w:r>
    </w:p>
    <w:p w14:paraId="434A1412" w14:textId="77777777" w:rsidR="00A64020" w:rsidRPr="00A64020" w:rsidRDefault="00A64020" w:rsidP="00A64020">
      <w:r w:rsidRPr="00A64020">
        <w:t>Benchmarking data provides organisations with insight into how their reward practices compare with market norms and competitors. Evaluating the most appropriate ways to gather and measure this data is essential to ensure reward decisions are evidence based, relevant, and reliable (CIPD, 2023b). Different benchmarking methods offer varying strengths and limitations, and no single approach is sufficient in isolation.</w:t>
      </w:r>
    </w:p>
    <w:p w14:paraId="0BF0CA5A" w14:textId="77777777" w:rsidR="00A64020" w:rsidRPr="00A64020" w:rsidRDefault="00A64020" w:rsidP="00A64020">
      <w:r w:rsidRPr="00A64020">
        <w:t xml:space="preserve">Salary surveys are one of the </w:t>
      </w:r>
      <w:proofErr w:type="gramStart"/>
      <w:r w:rsidRPr="00A64020">
        <w:t>most commonly used</w:t>
      </w:r>
      <w:proofErr w:type="gramEnd"/>
      <w:r w:rsidRPr="00A64020">
        <w:t xml:space="preserve"> benchmarking tools. Professionally conducted surveys provide comparative pay data by role, sector, and region. Their main strength lies in offering structured and up to date market insight. However, their usefulness depends on accurate role matching and sample size. For </w:t>
      </w:r>
      <w:proofErr w:type="spellStart"/>
      <w:r w:rsidRPr="00A64020">
        <w:t>GreenFriendlyEco</w:t>
      </w:r>
      <w:proofErr w:type="spellEnd"/>
      <w:r w:rsidRPr="00A64020">
        <w:t>, selecting sector specific manufacturing surveys would improve relevance, but surveys alone may not reflect the organisation’s unique job designs or reward priorities.</w:t>
      </w:r>
    </w:p>
    <w:p w14:paraId="2F8F855C" w14:textId="77777777" w:rsidR="00A64020" w:rsidRPr="00A64020" w:rsidRDefault="00A64020" w:rsidP="00A64020">
      <w:r w:rsidRPr="00A64020">
        <w:t>Government published data, such as earnings and labour market statistics from the Office for National Statistics, offers a reliable and transparent source of benchmarking information. This data is valuable for understanding broader pay trends, regional differences, and median earnings. However, it is less precise for specific roles and does not account for organisation specific factors. As such, it is best used as a contextual benchmark rather than a direct pricing tool.</w:t>
      </w:r>
    </w:p>
    <w:p w14:paraId="2FFBE9C6" w14:textId="77777777" w:rsidR="00A64020" w:rsidRPr="00A64020" w:rsidRDefault="00A64020" w:rsidP="00A64020">
      <w:r w:rsidRPr="00A64020">
        <w:t xml:space="preserve">Internal benchmarking is another important method. Analysing payroll data, turnover rates, absence levels, and progression patterns can reveal internal pay inequalities and </w:t>
      </w:r>
      <w:r w:rsidRPr="00A64020">
        <w:lastRenderedPageBreak/>
        <w:t xml:space="preserve">reward outcomes. This method supports internal equity and helps identify inconsistencies, but it does not provide insight into external competitiveness. For </w:t>
      </w:r>
      <w:proofErr w:type="spellStart"/>
      <w:r w:rsidRPr="00A64020">
        <w:t>GreenFriendlyEco</w:t>
      </w:r>
      <w:proofErr w:type="spellEnd"/>
      <w:r w:rsidRPr="00A64020">
        <w:t>, internal data would be particularly useful in assessing fairness concerns linked to pensions and progression.</w:t>
      </w:r>
    </w:p>
    <w:p w14:paraId="6E44121D" w14:textId="4BB22DF0" w:rsidR="00A64020" w:rsidRDefault="00A64020" w:rsidP="00A64020">
      <w:r w:rsidRPr="00A64020">
        <w:t xml:space="preserve">Job advertisements and market pricing tools can supplement formal surveys by providing real time data on pay expectations. While this data can be volatile and less rigorous, it can highlight emerging market pressures. Evaluating these methods suggests that </w:t>
      </w:r>
      <w:proofErr w:type="spellStart"/>
      <w:r w:rsidRPr="00A64020">
        <w:t>GreenFriendlyEco</w:t>
      </w:r>
      <w:proofErr w:type="spellEnd"/>
      <w:r w:rsidRPr="00A64020">
        <w:t xml:space="preserve"> should adopt a triangulated approach, combining external surveys, national data, and internal analysis to develop a balanced and credible reward insight base.</w:t>
      </w:r>
      <w:r w:rsidR="004B4C6E">
        <w:t xml:space="preserve"> </w:t>
      </w:r>
    </w:p>
    <w:p w14:paraId="4ACB1F3D" w14:textId="334FDCB8" w:rsidR="004B4C6E" w:rsidRPr="00A64020" w:rsidRDefault="004B4C6E" w:rsidP="00A64020">
      <w:r w:rsidRPr="004B4C6E">
        <w:t xml:space="preserve">Evaluating benchmarking data requires consideration of its validity, reliability, and applicability. Validity relates to how accurately the data reflects the roles being benchmarked, while reliability depends on consistent data collection methods and sufficient sample sizes. Applicability considers how relevant the data is to the organisation’s sector, location, and workforce profile. CIPD guidance on job evaluation and market pricing emphasises that benchmarking data should be interpreted alongside internal evidence, rather than applied mechanistically (CIPD, 2024b). For </w:t>
      </w:r>
      <w:proofErr w:type="spellStart"/>
      <w:r w:rsidRPr="004B4C6E">
        <w:t>GreenFriendlyEco</w:t>
      </w:r>
      <w:proofErr w:type="spellEnd"/>
      <w:r w:rsidRPr="004B4C6E">
        <w:t>, this approach would support informed reward decisions that balance market competitiveness with internal fairness.</w:t>
      </w:r>
    </w:p>
    <w:p w14:paraId="224D9A24" w14:textId="77777777" w:rsidR="004D3AB1" w:rsidRDefault="004D3AB1" w:rsidP="00DA686D"/>
    <w:p w14:paraId="623063EC" w14:textId="74A2B883" w:rsidR="002B4F4A" w:rsidRPr="002B4F4A" w:rsidRDefault="00AE796C" w:rsidP="002B4F4A">
      <w:pPr>
        <w:rPr>
          <w:b/>
          <w:bCs/>
        </w:rPr>
      </w:pPr>
      <w:r>
        <w:rPr>
          <w:b/>
          <w:bCs/>
        </w:rPr>
        <w:t xml:space="preserve">AC </w:t>
      </w:r>
      <w:r w:rsidR="002B4F4A" w:rsidRPr="002B4F4A">
        <w:rPr>
          <w:b/>
          <w:bCs/>
        </w:rPr>
        <w:t xml:space="preserve">3.3 Explain approaches to job evaluation </w:t>
      </w:r>
    </w:p>
    <w:p w14:paraId="75764A38" w14:textId="77777777" w:rsidR="002B4F4A" w:rsidRPr="002B4F4A" w:rsidRDefault="002B4F4A" w:rsidP="002B4F4A">
      <w:r w:rsidRPr="002B4F4A">
        <w:t>Job evaluation is a systematic process used to determine the relative value of jobs within an organisation. Its primary purpose is to support internal pay equity by ensuring that roles of equal value receive comparable reward, regardless of who performs them (Armstrong and Taylor, 2023). Job evaluation focuses on the job itself rather than individual performance and forms a key foundation for fair and defensible pay structures.</w:t>
      </w:r>
    </w:p>
    <w:p w14:paraId="560A3F5A" w14:textId="77777777" w:rsidR="002B4F4A" w:rsidRPr="002B4F4A" w:rsidRDefault="002B4F4A" w:rsidP="002B4F4A">
      <w:r w:rsidRPr="002B4F4A">
        <w:t>There are both informal and formal approaches to job evaluation. Informal job evaluation relies on managerial judgement and comparison, often used in smaller organisations or where roles are loosely defined. While this approach is quick and low cost, it carries a higher risk of bias and inconsistency, which can undermine perceptions of fairness. In contrast, formal job evaluation uses structured methods and defined criteria, offering greater transparency and consistency.</w:t>
      </w:r>
    </w:p>
    <w:p w14:paraId="622D4705" w14:textId="77777777" w:rsidR="002B4F4A" w:rsidRDefault="002B4F4A" w:rsidP="002B4F4A">
      <w:r w:rsidRPr="002B4F4A">
        <w:t xml:space="preserve">Formal approaches are commonly divided into non analytical and analytical methods. Non analytical methods include job ranking and job classification. Job ranking involves placing jobs in order of perceived value, while job classification assigns jobs to </w:t>
      </w:r>
      <w:proofErr w:type="spellStart"/>
      <w:proofErr w:type="gramStart"/>
      <w:r w:rsidRPr="002B4F4A">
        <w:t xml:space="preserve">pre </w:t>
      </w:r>
      <w:r w:rsidRPr="002B4F4A">
        <w:lastRenderedPageBreak/>
        <w:t>defined</w:t>
      </w:r>
      <w:proofErr w:type="spellEnd"/>
      <w:proofErr w:type="gramEnd"/>
      <w:r w:rsidRPr="002B4F4A">
        <w:t xml:space="preserve"> grade descriptions. These methods are relatively straightforward but lack detail and can oversimplify complex roles.</w:t>
      </w:r>
    </w:p>
    <w:p w14:paraId="5E1ECF9E" w14:textId="0F94D98C" w:rsidR="00B858EE" w:rsidRPr="00B858EE" w:rsidRDefault="00B858EE" w:rsidP="00B858EE">
      <w:r w:rsidRPr="00B858EE">
        <w:t xml:space="preserve">Levelling is another approach used to group roles into broad levels based on factors such as scope, responsibility, and impact, often without applying a full </w:t>
      </w:r>
      <w:proofErr w:type="gramStart"/>
      <w:r w:rsidRPr="00B858EE">
        <w:t>points based</w:t>
      </w:r>
      <w:proofErr w:type="gramEnd"/>
      <w:r w:rsidRPr="00B858EE">
        <w:t xml:space="preserve"> evaluation scheme. ACAS guidance highlights that all job evaluation approaches require careful design and regular review to minimise bias and ensure fairness, particularly where evaluation outcomes inform pay decisions (ACAS, 2022). Without appropriate governance, job evaluation processes can reinforce existing inequalities rather than address them.</w:t>
      </w:r>
    </w:p>
    <w:p w14:paraId="55364B1E" w14:textId="77777777" w:rsidR="00671F5F" w:rsidRPr="002B4F4A" w:rsidRDefault="00671F5F" w:rsidP="002B4F4A"/>
    <w:p w14:paraId="7E0A7729" w14:textId="77777777" w:rsidR="002B4F4A" w:rsidRPr="002B4F4A" w:rsidRDefault="002B4F4A" w:rsidP="002B4F4A">
      <w:r w:rsidRPr="002B4F4A">
        <w:t>Analytical approaches are more robust and are widely regarded as best practice. Point factor schemes assess jobs against a set of weighted factors such as skills, responsibility, effort, and working conditions. This method allows jobs to be evaluated systematically and consistently, making it particularly valuable for supporting equal pay compliance. Job matching is another analytical approach, where roles are compared to benchmark jobs within a recognised evaluation framework.</w:t>
      </w:r>
    </w:p>
    <w:p w14:paraId="728A52C2" w14:textId="77777777" w:rsidR="002B4F4A" w:rsidRPr="002B4F4A" w:rsidRDefault="002B4F4A" w:rsidP="002B4F4A">
      <w:r w:rsidRPr="002B4F4A">
        <w:t xml:space="preserve">For </w:t>
      </w:r>
      <w:proofErr w:type="spellStart"/>
      <w:r w:rsidRPr="002B4F4A">
        <w:t>GreenFriendlyEco</w:t>
      </w:r>
      <w:proofErr w:type="spellEnd"/>
      <w:r w:rsidRPr="002B4F4A">
        <w:t>, the absence of a clear job evaluation approach limits its ability to demonstrate internal equity or justify pay differences. Introducing a formal analytical job evaluation method would support the development of a fair grade structure, improve transparency, and reduce the risk of reward related disputes.</w:t>
      </w:r>
    </w:p>
    <w:p w14:paraId="3F95C7D9" w14:textId="2D0B5AB4" w:rsidR="002B4F4A" w:rsidRPr="002B4F4A" w:rsidRDefault="002B4F4A" w:rsidP="002B4F4A"/>
    <w:p w14:paraId="7020B4E8" w14:textId="28991D08" w:rsidR="002B4F4A" w:rsidRPr="002B4F4A" w:rsidRDefault="00AE796C" w:rsidP="002B4F4A">
      <w:pPr>
        <w:rPr>
          <w:b/>
          <w:bCs/>
        </w:rPr>
      </w:pPr>
      <w:r>
        <w:rPr>
          <w:b/>
          <w:bCs/>
        </w:rPr>
        <w:t xml:space="preserve">AC </w:t>
      </w:r>
      <w:r w:rsidR="002B4F4A" w:rsidRPr="002B4F4A">
        <w:rPr>
          <w:b/>
          <w:bCs/>
        </w:rPr>
        <w:t xml:space="preserve">3.4 Explain the legislative requirements that impact reward practice </w:t>
      </w:r>
    </w:p>
    <w:p w14:paraId="31C929C2" w14:textId="77777777" w:rsidR="002B4F4A" w:rsidRPr="002B4F4A" w:rsidRDefault="002B4F4A" w:rsidP="002B4F4A">
      <w:r w:rsidRPr="002B4F4A">
        <w:t>Reward practice in the UK is shaped by a range of legislative requirements designed to protect employee rights and ensure fair treatment. Organisations must understand and comply with these requirements when designing and implementing reward systems, as failure to do so can result in legal, financial, and reputational risk (CIPD, 2023a).</w:t>
      </w:r>
    </w:p>
    <w:p w14:paraId="0D53CC86" w14:textId="77777777" w:rsidR="002B4F4A" w:rsidRDefault="002B4F4A" w:rsidP="002B4F4A">
      <w:r w:rsidRPr="002B4F4A">
        <w:t xml:space="preserve">National Minimum Wage and National Living Wage legislation sets legal minimum pay rates that organisations must meet based on age and employment status. Employers are required to ensure employees are paid at or above the appropriate rate for all hours worked. This includes accounting for overtime, deductions, and working time arrangements. For organisations such as </w:t>
      </w:r>
      <w:proofErr w:type="spellStart"/>
      <w:r w:rsidRPr="002B4F4A">
        <w:t>GreenFriendlyEco</w:t>
      </w:r>
      <w:proofErr w:type="spellEnd"/>
      <w:r w:rsidRPr="002B4F4A">
        <w:t>, which rely on measured day work, careful monitoring is required to ensure compliance across different working patterns (Gov.uk, 2023).</w:t>
      </w:r>
    </w:p>
    <w:p w14:paraId="38AF492D" w14:textId="77777777" w:rsidR="005F17BF" w:rsidRPr="005F17BF" w:rsidRDefault="005F17BF" w:rsidP="005F17BF">
      <w:r w:rsidRPr="005F17BF">
        <w:t xml:space="preserve">Reward practice must also comply with working time and pay transparency requirements, which influence how reward is structured and communicated. The Working Time Regulations set limits on working hours and establish entitlements to paid annual leave, which must be reflected accurately in pay calculations. Failure to </w:t>
      </w:r>
      <w:r w:rsidRPr="005F17BF">
        <w:lastRenderedPageBreak/>
        <w:t xml:space="preserve">account for working time correctly can result in underpayment risks, particularly where overtime or variable working patterns exist. In addition, transparent communication around pay components supports employee understanding and trust. For </w:t>
      </w:r>
      <w:proofErr w:type="spellStart"/>
      <w:r w:rsidRPr="005F17BF">
        <w:t>GreenFriendlyEco</w:t>
      </w:r>
      <w:proofErr w:type="spellEnd"/>
      <w:r w:rsidRPr="005F17BF">
        <w:t>, ensuring that reward calculations reflect contracted hours, additional hours worked, and statutory entitlements is essential to maintaining legal compliance and employee confidence in reward processes.</w:t>
      </w:r>
    </w:p>
    <w:p w14:paraId="095DB47C" w14:textId="77777777" w:rsidR="005F17BF" w:rsidRPr="002B4F4A" w:rsidRDefault="005F17BF" w:rsidP="002B4F4A"/>
    <w:p w14:paraId="62D9EA5F" w14:textId="24E81FE2" w:rsidR="002B4F4A" w:rsidRPr="002B4F4A" w:rsidRDefault="002B4F4A" w:rsidP="002B4F4A">
      <w:r w:rsidRPr="002B4F4A">
        <w:t>Equality legislation also has significant implications for reward practice. Under the Equality Act 2010, organisations must provide equal pay for equal work and avoid direct or indirect discrimination in pay, benefits, and reward decisions. Job evaluation can provide an important defence in equal pay claims when carried out properly and applied consistently (ACAS, 2022). Transparent pay structures and objective criteria are essential to meeting these obligations.</w:t>
      </w:r>
      <w:r w:rsidR="00D3645D">
        <w:t xml:space="preserve"> </w:t>
      </w:r>
      <w:r w:rsidR="00A80C79" w:rsidRPr="00A80C79">
        <w:t>CIPD guidance highlights that robust job evaluation, transparent pay structures, and ongoing monitoring are central to supporting equal pay compliance and reducing the risk of discrimination claims within reward systems (CIPD, 2023f).</w:t>
      </w:r>
    </w:p>
    <w:p w14:paraId="5D013978" w14:textId="57867ACA" w:rsidR="002B4F4A" w:rsidRPr="002B4F4A" w:rsidRDefault="002B4F4A" w:rsidP="002B4F4A">
      <w:r w:rsidRPr="002B4F4A">
        <w:t xml:space="preserve">Employers are also required to provide itemised pay statements, which must include details of gross pay, deductions, and net pay. For workers paid by reference to time worked, payslips must clearly show the number of hours paid. </w:t>
      </w:r>
      <w:r w:rsidR="00D3645D" w:rsidRPr="00D3645D">
        <w:t>These requirements support transparency and employee understanding of pay, helping employees to verify that they are being paid correctly and lawfully. ACAS guidance emphasises that clear and accurate payslips are essential in building trust in reward processes and reducing disputes relating to pay and working hours (ACAS, 2023).</w:t>
      </w:r>
    </w:p>
    <w:p w14:paraId="13068D35" w14:textId="71245756" w:rsidR="002B4F4A" w:rsidRPr="002B4F4A" w:rsidRDefault="002B4F4A" w:rsidP="002B4F4A">
      <w:r w:rsidRPr="002B4F4A">
        <w:t xml:space="preserve">Gender pay gap reporting legislation applies to organisations with 250 or more employees and requires annual publication of pay gap data. While this may or may not apply to </w:t>
      </w:r>
      <w:proofErr w:type="spellStart"/>
      <w:r w:rsidRPr="002B4F4A">
        <w:t>GreenFriendlyEco</w:t>
      </w:r>
      <w:proofErr w:type="spellEnd"/>
      <w:r w:rsidRPr="002B4F4A">
        <w:t xml:space="preserve"> depending on size, understanding these requirements is important as expectations around pay transparency continue to grow.</w:t>
      </w:r>
      <w:r w:rsidR="008E6B2D">
        <w:t xml:space="preserve"> T</w:t>
      </w:r>
      <w:r w:rsidRPr="002B4F4A">
        <w:t>hese legislative requirements reinforce the need for lawful, fair, and governed reward practices.</w:t>
      </w:r>
      <w:r w:rsidR="005D6DFD">
        <w:t xml:space="preserve"> </w:t>
      </w:r>
      <w:r w:rsidR="005D6DFD" w:rsidRPr="005D6DFD">
        <w:t>In addition to gender pay gap reporting, wider executive pay reporting requirements, such as CEO pay ratio disclosures, shape expectations around pay transparency in larger organisations, even where they do not apply directly (CIPD, 2023a).</w:t>
      </w:r>
    </w:p>
    <w:p w14:paraId="1C34F45E" w14:textId="77777777" w:rsidR="00C23B66" w:rsidRDefault="00C23B66" w:rsidP="00FB33D0"/>
    <w:p w14:paraId="7C89A1D3" w14:textId="77777777" w:rsidR="00BB765D" w:rsidRDefault="00BB765D" w:rsidP="00892FAC">
      <w:pPr>
        <w:rPr>
          <w:b/>
          <w:bCs/>
        </w:rPr>
      </w:pPr>
    </w:p>
    <w:p w14:paraId="1E4D4084" w14:textId="77777777" w:rsidR="00BB765D" w:rsidRDefault="00BB765D" w:rsidP="00892FAC">
      <w:pPr>
        <w:rPr>
          <w:b/>
          <w:bCs/>
        </w:rPr>
      </w:pPr>
    </w:p>
    <w:p w14:paraId="5CA2CAA8" w14:textId="77777777" w:rsidR="00BB765D" w:rsidRDefault="00BB765D" w:rsidP="00892FAC">
      <w:pPr>
        <w:rPr>
          <w:b/>
          <w:bCs/>
        </w:rPr>
      </w:pPr>
    </w:p>
    <w:p w14:paraId="3E2860EF" w14:textId="77777777" w:rsidR="00BB765D" w:rsidRDefault="00BB765D" w:rsidP="00892FAC">
      <w:pPr>
        <w:rPr>
          <w:b/>
          <w:bCs/>
        </w:rPr>
      </w:pPr>
    </w:p>
    <w:p w14:paraId="3A2CD577" w14:textId="6C456B0A" w:rsidR="00892FAC" w:rsidRPr="00892FAC" w:rsidRDefault="00892FAC" w:rsidP="00892FAC">
      <w:pPr>
        <w:rPr>
          <w:b/>
          <w:bCs/>
        </w:rPr>
      </w:pPr>
      <w:r w:rsidRPr="00892FAC">
        <w:rPr>
          <w:b/>
          <w:bCs/>
        </w:rPr>
        <w:lastRenderedPageBreak/>
        <w:t>References</w:t>
      </w:r>
    </w:p>
    <w:p w14:paraId="650602E1" w14:textId="77777777" w:rsidR="00892FAC" w:rsidRPr="00892FAC" w:rsidRDefault="00892FAC" w:rsidP="00892FAC">
      <w:pPr>
        <w:rPr>
          <w:b/>
          <w:bCs/>
        </w:rPr>
      </w:pPr>
      <w:r w:rsidRPr="00892FAC">
        <w:rPr>
          <w:b/>
          <w:bCs/>
        </w:rPr>
        <w:t xml:space="preserve">ACAS (2022) </w:t>
      </w:r>
      <w:r w:rsidRPr="00892FAC">
        <w:rPr>
          <w:b/>
          <w:bCs/>
          <w:i/>
          <w:iCs/>
        </w:rPr>
        <w:t>Job evaluation</w:t>
      </w:r>
      <w:r w:rsidRPr="00892FAC">
        <w:rPr>
          <w:b/>
          <w:bCs/>
        </w:rPr>
        <w:t xml:space="preserve">. Available at: </w:t>
      </w:r>
      <w:hyperlink r:id="rId4" w:tgtFrame="_new" w:history="1">
        <w:r w:rsidRPr="00892FAC">
          <w:rPr>
            <w:rStyle w:val="Hyperlink"/>
            <w:b/>
            <w:bCs/>
          </w:rPr>
          <w:t>https://www.acas.org.uk/job-evaluation</w:t>
        </w:r>
      </w:hyperlink>
      <w:r w:rsidRPr="00892FAC">
        <w:rPr>
          <w:b/>
          <w:bCs/>
        </w:rPr>
        <w:br/>
        <w:t>Accessed: 21 January 2026.</w:t>
      </w:r>
    </w:p>
    <w:p w14:paraId="32A96AF9" w14:textId="77777777" w:rsidR="00892FAC" w:rsidRPr="00892FAC" w:rsidRDefault="00892FAC" w:rsidP="00892FAC">
      <w:pPr>
        <w:rPr>
          <w:b/>
          <w:bCs/>
        </w:rPr>
      </w:pPr>
      <w:r w:rsidRPr="00892FAC">
        <w:rPr>
          <w:b/>
          <w:bCs/>
        </w:rPr>
        <w:t xml:space="preserve">ACAS (2023) </w:t>
      </w:r>
      <w:r w:rsidRPr="00892FAC">
        <w:rPr>
          <w:b/>
          <w:bCs/>
          <w:i/>
          <w:iCs/>
        </w:rPr>
        <w:t>Payslips</w:t>
      </w:r>
      <w:r w:rsidRPr="00892FAC">
        <w:rPr>
          <w:b/>
          <w:bCs/>
        </w:rPr>
        <w:t xml:space="preserve">. Available at: </w:t>
      </w:r>
      <w:hyperlink r:id="rId5" w:tgtFrame="_new" w:history="1">
        <w:r w:rsidRPr="00892FAC">
          <w:rPr>
            <w:rStyle w:val="Hyperlink"/>
            <w:b/>
            <w:bCs/>
          </w:rPr>
          <w:t>https://www.acas.org.uk/payslips</w:t>
        </w:r>
      </w:hyperlink>
      <w:r w:rsidRPr="00892FAC">
        <w:rPr>
          <w:b/>
          <w:bCs/>
        </w:rPr>
        <w:br/>
        <w:t>Accessed: 26 January 2026.</w:t>
      </w:r>
    </w:p>
    <w:p w14:paraId="2879A840" w14:textId="77777777" w:rsidR="00892FAC" w:rsidRPr="00892FAC" w:rsidRDefault="00892FAC" w:rsidP="00892FAC">
      <w:pPr>
        <w:rPr>
          <w:b/>
          <w:bCs/>
        </w:rPr>
      </w:pPr>
      <w:r w:rsidRPr="00892FAC">
        <w:rPr>
          <w:b/>
          <w:bCs/>
        </w:rPr>
        <w:t>Adams, J. S. (1965) ‘Inequity in social exchange’, in Berkowitz, L. (ed</w:t>
      </w:r>
      <w:r w:rsidRPr="0000221D">
        <w:rPr>
          <w:b/>
          <w:bCs/>
          <w:i/>
          <w:iCs/>
        </w:rPr>
        <w:t>.) Advances in experimental social psychology.</w:t>
      </w:r>
      <w:r w:rsidRPr="00892FAC">
        <w:rPr>
          <w:b/>
          <w:bCs/>
        </w:rPr>
        <w:t xml:space="preserve"> Vol. 2. New York: Academic Press, pp. 267–299.</w:t>
      </w:r>
    </w:p>
    <w:p w14:paraId="5E387843" w14:textId="77777777" w:rsidR="00892FAC" w:rsidRPr="00892FAC" w:rsidRDefault="00892FAC" w:rsidP="00892FAC">
      <w:pPr>
        <w:rPr>
          <w:b/>
          <w:bCs/>
        </w:rPr>
      </w:pPr>
      <w:r w:rsidRPr="00892FAC">
        <w:rPr>
          <w:b/>
          <w:bCs/>
        </w:rPr>
        <w:t xml:space="preserve">Armstrong, M. and Taylor, S. (2023) </w:t>
      </w:r>
      <w:r w:rsidRPr="00892FAC">
        <w:rPr>
          <w:b/>
          <w:bCs/>
          <w:i/>
          <w:iCs/>
        </w:rPr>
        <w:t>Armstrong’s handbook of human resource management practice</w:t>
      </w:r>
      <w:r w:rsidRPr="00892FAC">
        <w:rPr>
          <w:b/>
          <w:bCs/>
        </w:rPr>
        <w:t xml:space="preserve">. 16th </w:t>
      </w:r>
      <w:proofErr w:type="spellStart"/>
      <w:r w:rsidRPr="00892FAC">
        <w:rPr>
          <w:b/>
          <w:bCs/>
        </w:rPr>
        <w:t>edn</w:t>
      </w:r>
      <w:proofErr w:type="spellEnd"/>
      <w:r w:rsidRPr="00892FAC">
        <w:rPr>
          <w:b/>
          <w:bCs/>
        </w:rPr>
        <w:t>. London: Kogan Page.</w:t>
      </w:r>
    </w:p>
    <w:p w14:paraId="376A9A73" w14:textId="77777777" w:rsidR="00892FAC" w:rsidRPr="00892FAC" w:rsidRDefault="00892FAC" w:rsidP="00892FAC">
      <w:pPr>
        <w:rPr>
          <w:b/>
          <w:bCs/>
        </w:rPr>
      </w:pPr>
      <w:r w:rsidRPr="00892FAC">
        <w:rPr>
          <w:b/>
          <w:bCs/>
        </w:rPr>
        <w:t xml:space="preserve">Bank of England (2023) </w:t>
      </w:r>
      <w:r w:rsidRPr="00892FAC">
        <w:rPr>
          <w:b/>
          <w:bCs/>
          <w:i/>
          <w:iCs/>
        </w:rPr>
        <w:t>Inflation and interest rates</w:t>
      </w:r>
      <w:r w:rsidRPr="00892FAC">
        <w:rPr>
          <w:b/>
          <w:bCs/>
        </w:rPr>
        <w:t xml:space="preserve">. Available at: </w:t>
      </w:r>
      <w:hyperlink r:id="rId6" w:tgtFrame="_new" w:history="1">
        <w:r w:rsidRPr="00892FAC">
          <w:rPr>
            <w:rStyle w:val="Hyperlink"/>
            <w:b/>
            <w:bCs/>
          </w:rPr>
          <w:t>https://www.bankofengland.co.uk/monetary-policy/inflation</w:t>
        </w:r>
      </w:hyperlink>
      <w:r w:rsidRPr="00892FAC">
        <w:rPr>
          <w:b/>
          <w:bCs/>
        </w:rPr>
        <w:br/>
        <w:t>Accessed: 30 January 2026.</w:t>
      </w:r>
    </w:p>
    <w:p w14:paraId="0FB40E23" w14:textId="77777777" w:rsidR="00892FAC" w:rsidRPr="00892FAC" w:rsidRDefault="00892FAC" w:rsidP="00892FAC">
      <w:pPr>
        <w:rPr>
          <w:b/>
          <w:bCs/>
        </w:rPr>
      </w:pPr>
      <w:r w:rsidRPr="00892FAC">
        <w:rPr>
          <w:b/>
          <w:bCs/>
        </w:rPr>
        <w:t xml:space="preserve">CIPD (2023a) </w:t>
      </w:r>
      <w:r w:rsidRPr="00892FAC">
        <w:rPr>
          <w:b/>
          <w:bCs/>
          <w:i/>
          <w:iCs/>
        </w:rPr>
        <w:t>Reward management: an introduction</w:t>
      </w:r>
      <w:r w:rsidRPr="00892FAC">
        <w:rPr>
          <w:b/>
          <w:bCs/>
        </w:rPr>
        <w:t xml:space="preserve">. Available at: </w:t>
      </w:r>
      <w:hyperlink r:id="rId7" w:tgtFrame="_new" w:history="1">
        <w:r w:rsidRPr="00892FAC">
          <w:rPr>
            <w:rStyle w:val="Hyperlink"/>
            <w:b/>
            <w:bCs/>
          </w:rPr>
          <w:t>https://www.cipd.org/uk/knowledge/factsheets/reward-management-factsheet</w:t>
        </w:r>
      </w:hyperlink>
      <w:r w:rsidRPr="00892FAC">
        <w:rPr>
          <w:b/>
          <w:bCs/>
        </w:rPr>
        <w:br/>
        <w:t>Accessed: 25 January 2026.</w:t>
      </w:r>
    </w:p>
    <w:p w14:paraId="098F1ED3" w14:textId="77777777" w:rsidR="00892FAC" w:rsidRPr="00892FAC" w:rsidRDefault="00892FAC" w:rsidP="00892FAC">
      <w:pPr>
        <w:rPr>
          <w:b/>
          <w:bCs/>
        </w:rPr>
      </w:pPr>
      <w:r w:rsidRPr="00892FAC">
        <w:rPr>
          <w:b/>
          <w:bCs/>
        </w:rPr>
        <w:t xml:space="preserve">CIPD (2023b) </w:t>
      </w:r>
      <w:r w:rsidRPr="00892FAC">
        <w:rPr>
          <w:b/>
          <w:bCs/>
          <w:i/>
          <w:iCs/>
        </w:rPr>
        <w:t>Incentives and recognition</w:t>
      </w:r>
      <w:r w:rsidRPr="00892FAC">
        <w:rPr>
          <w:b/>
          <w:bCs/>
        </w:rPr>
        <w:t xml:space="preserve">. Available at: </w:t>
      </w:r>
      <w:hyperlink r:id="rId8" w:tgtFrame="_new" w:history="1">
        <w:r w:rsidRPr="00892FAC">
          <w:rPr>
            <w:rStyle w:val="Hyperlink"/>
            <w:b/>
            <w:bCs/>
          </w:rPr>
          <w:t>https://www.cipd.org/uk/knowledge/evidence-reviews/incentives-and-recognition</w:t>
        </w:r>
      </w:hyperlink>
      <w:r w:rsidRPr="00892FAC">
        <w:rPr>
          <w:b/>
          <w:bCs/>
        </w:rPr>
        <w:br/>
        <w:t>Accessed: 27 January 2026.</w:t>
      </w:r>
    </w:p>
    <w:p w14:paraId="529E2A6A" w14:textId="77777777" w:rsidR="00892FAC" w:rsidRPr="00892FAC" w:rsidRDefault="00892FAC" w:rsidP="00892FAC">
      <w:pPr>
        <w:rPr>
          <w:b/>
          <w:bCs/>
        </w:rPr>
      </w:pPr>
      <w:r w:rsidRPr="00892FAC">
        <w:rPr>
          <w:b/>
          <w:bCs/>
        </w:rPr>
        <w:t xml:space="preserve">CIPD (2023c) </w:t>
      </w:r>
      <w:r w:rsidRPr="00892FAC">
        <w:rPr>
          <w:b/>
          <w:bCs/>
          <w:i/>
          <w:iCs/>
        </w:rPr>
        <w:t>Pay structures and progression</w:t>
      </w:r>
      <w:r w:rsidRPr="00892FAC">
        <w:rPr>
          <w:b/>
          <w:bCs/>
        </w:rPr>
        <w:t xml:space="preserve">. Available at: </w:t>
      </w:r>
      <w:hyperlink r:id="rId9" w:tgtFrame="_new" w:history="1">
        <w:r w:rsidRPr="00892FAC">
          <w:rPr>
            <w:rStyle w:val="Hyperlink"/>
            <w:b/>
            <w:bCs/>
          </w:rPr>
          <w:t>https://www.cipd.org/uk/knowledge/factsheets/pay-structures-progression-factsheet</w:t>
        </w:r>
      </w:hyperlink>
      <w:r w:rsidRPr="00892FAC">
        <w:rPr>
          <w:b/>
          <w:bCs/>
        </w:rPr>
        <w:br/>
        <w:t>Accessed: 28 January 2026.</w:t>
      </w:r>
    </w:p>
    <w:p w14:paraId="18CE1354" w14:textId="77777777" w:rsidR="00892FAC" w:rsidRPr="00892FAC" w:rsidRDefault="00892FAC" w:rsidP="00892FAC">
      <w:pPr>
        <w:rPr>
          <w:b/>
          <w:bCs/>
        </w:rPr>
      </w:pPr>
      <w:r w:rsidRPr="00892FAC">
        <w:rPr>
          <w:b/>
          <w:bCs/>
        </w:rPr>
        <w:t xml:space="preserve">CIPD (2023d) </w:t>
      </w:r>
      <w:r w:rsidRPr="00892FAC">
        <w:rPr>
          <w:b/>
          <w:bCs/>
          <w:i/>
          <w:iCs/>
        </w:rPr>
        <w:t>Employee benefits</w:t>
      </w:r>
      <w:r w:rsidRPr="00892FAC">
        <w:rPr>
          <w:b/>
          <w:bCs/>
        </w:rPr>
        <w:t>. Available at: https://www.cipd.org/uk/knowledge/factsheets/employee-benefits-factsheet</w:t>
      </w:r>
      <w:r w:rsidRPr="00892FAC">
        <w:rPr>
          <w:b/>
          <w:bCs/>
        </w:rPr>
        <w:br/>
        <w:t>Accessed: 24 January 2026.</w:t>
      </w:r>
    </w:p>
    <w:p w14:paraId="34C849CB" w14:textId="77777777" w:rsidR="00892FAC" w:rsidRPr="00892FAC" w:rsidRDefault="00892FAC" w:rsidP="00892FAC">
      <w:pPr>
        <w:rPr>
          <w:b/>
          <w:bCs/>
        </w:rPr>
      </w:pPr>
      <w:r w:rsidRPr="00892FAC">
        <w:rPr>
          <w:b/>
          <w:bCs/>
        </w:rPr>
        <w:t xml:space="preserve">CIPD (2023e) </w:t>
      </w:r>
      <w:r w:rsidRPr="00892FAC">
        <w:rPr>
          <w:b/>
          <w:bCs/>
          <w:i/>
          <w:iCs/>
        </w:rPr>
        <w:t>Bonuses</w:t>
      </w:r>
      <w:r w:rsidRPr="00892FAC">
        <w:rPr>
          <w:b/>
          <w:bCs/>
        </w:rPr>
        <w:t xml:space="preserve">. Available at: </w:t>
      </w:r>
      <w:hyperlink r:id="rId10" w:tgtFrame="_new" w:history="1">
        <w:r w:rsidRPr="00892FAC">
          <w:rPr>
            <w:rStyle w:val="Hyperlink"/>
            <w:b/>
            <w:bCs/>
          </w:rPr>
          <w:t>https://www.cipd.org/uk/knowledge/factsheets/bonuses-factsheet</w:t>
        </w:r>
      </w:hyperlink>
      <w:r w:rsidRPr="00892FAC">
        <w:rPr>
          <w:b/>
          <w:bCs/>
        </w:rPr>
        <w:br/>
        <w:t>Accessed: 27 January 2026.</w:t>
      </w:r>
    </w:p>
    <w:p w14:paraId="02C3C724" w14:textId="77777777" w:rsidR="00892FAC" w:rsidRPr="00892FAC" w:rsidRDefault="00892FAC" w:rsidP="00892FAC">
      <w:pPr>
        <w:rPr>
          <w:b/>
          <w:bCs/>
        </w:rPr>
      </w:pPr>
      <w:r w:rsidRPr="00892FAC">
        <w:rPr>
          <w:b/>
          <w:bCs/>
        </w:rPr>
        <w:t xml:space="preserve">CIPD (2023f) </w:t>
      </w:r>
      <w:r w:rsidRPr="00892FAC">
        <w:rPr>
          <w:b/>
          <w:bCs/>
          <w:i/>
          <w:iCs/>
        </w:rPr>
        <w:t>Equal pay</w:t>
      </w:r>
      <w:r w:rsidRPr="00892FAC">
        <w:rPr>
          <w:b/>
          <w:bCs/>
        </w:rPr>
        <w:t>. Available at: https://www.cipd.org/uk/knowledge/factsheets/equal-pay-factsheet</w:t>
      </w:r>
      <w:r w:rsidRPr="00892FAC">
        <w:rPr>
          <w:b/>
          <w:bCs/>
        </w:rPr>
        <w:br/>
        <w:t>Accessed: 28 January 2026.</w:t>
      </w:r>
    </w:p>
    <w:p w14:paraId="2BBB741D" w14:textId="77777777" w:rsidR="00892FAC" w:rsidRPr="00892FAC" w:rsidRDefault="00892FAC" w:rsidP="00892FAC">
      <w:pPr>
        <w:rPr>
          <w:b/>
          <w:bCs/>
        </w:rPr>
      </w:pPr>
      <w:r w:rsidRPr="00892FAC">
        <w:rPr>
          <w:b/>
          <w:bCs/>
        </w:rPr>
        <w:t xml:space="preserve">CIPD (2024) </w:t>
      </w:r>
      <w:r w:rsidRPr="00892FAC">
        <w:rPr>
          <w:b/>
          <w:bCs/>
          <w:i/>
          <w:iCs/>
        </w:rPr>
        <w:t>Strategic reward and total reward</w:t>
      </w:r>
      <w:r w:rsidRPr="00892FAC">
        <w:rPr>
          <w:b/>
          <w:bCs/>
        </w:rPr>
        <w:t xml:space="preserve">. Available at: </w:t>
      </w:r>
      <w:hyperlink r:id="rId11" w:tgtFrame="_new" w:history="1">
        <w:r w:rsidRPr="00892FAC">
          <w:rPr>
            <w:rStyle w:val="Hyperlink"/>
            <w:b/>
            <w:bCs/>
          </w:rPr>
          <w:t>https://www.cipd.co.uk/knowledge/strategy/reward/strategic-total-factsheet</w:t>
        </w:r>
      </w:hyperlink>
      <w:r w:rsidRPr="00892FAC">
        <w:rPr>
          <w:b/>
          <w:bCs/>
        </w:rPr>
        <w:br/>
        <w:t>Accessed: 23 January 2026.</w:t>
      </w:r>
    </w:p>
    <w:p w14:paraId="516253AE" w14:textId="77777777" w:rsidR="00892FAC" w:rsidRPr="00892FAC" w:rsidRDefault="00892FAC" w:rsidP="00892FAC">
      <w:pPr>
        <w:rPr>
          <w:b/>
          <w:bCs/>
        </w:rPr>
      </w:pPr>
      <w:r w:rsidRPr="00892FAC">
        <w:rPr>
          <w:b/>
          <w:bCs/>
        </w:rPr>
        <w:lastRenderedPageBreak/>
        <w:t xml:space="preserve">CIPD (2024a) </w:t>
      </w:r>
      <w:r w:rsidRPr="00892FAC">
        <w:rPr>
          <w:b/>
          <w:bCs/>
          <w:i/>
          <w:iCs/>
        </w:rPr>
        <w:t>Labour market outlook: views from employers</w:t>
      </w:r>
      <w:r w:rsidRPr="00892FAC">
        <w:rPr>
          <w:b/>
          <w:bCs/>
        </w:rPr>
        <w:t xml:space="preserve">. Available at: </w:t>
      </w:r>
      <w:hyperlink r:id="rId12" w:tgtFrame="_new" w:history="1">
        <w:r w:rsidRPr="00892FAC">
          <w:rPr>
            <w:rStyle w:val="Hyperlink"/>
            <w:b/>
            <w:bCs/>
          </w:rPr>
          <w:t>https://www.cipd.org/uk/knowledge/reports/labour-market-outlook</w:t>
        </w:r>
      </w:hyperlink>
      <w:r w:rsidRPr="00892FAC">
        <w:rPr>
          <w:b/>
          <w:bCs/>
        </w:rPr>
        <w:br/>
        <w:t>Accessed: 22 January 2026.</w:t>
      </w:r>
    </w:p>
    <w:p w14:paraId="44310E35" w14:textId="77777777" w:rsidR="00892FAC" w:rsidRPr="00892FAC" w:rsidRDefault="00892FAC" w:rsidP="00892FAC">
      <w:pPr>
        <w:rPr>
          <w:b/>
          <w:bCs/>
        </w:rPr>
      </w:pPr>
      <w:r w:rsidRPr="00892FAC">
        <w:rPr>
          <w:b/>
          <w:bCs/>
        </w:rPr>
        <w:t xml:space="preserve">CIPD (2024b) </w:t>
      </w:r>
      <w:r w:rsidRPr="00892FAC">
        <w:rPr>
          <w:b/>
          <w:bCs/>
          <w:i/>
          <w:iCs/>
        </w:rPr>
        <w:t>Job evaluation and market pricing</w:t>
      </w:r>
      <w:r w:rsidRPr="00892FAC">
        <w:rPr>
          <w:b/>
          <w:bCs/>
        </w:rPr>
        <w:t>. Available at: https://www.cipd.org/uk/knowledge/fundamentals/people/reward/job-evaluation-market-pricing</w:t>
      </w:r>
      <w:r w:rsidRPr="00892FAC">
        <w:rPr>
          <w:b/>
          <w:bCs/>
        </w:rPr>
        <w:br/>
        <w:t>Accessed: 30 January 2026.</w:t>
      </w:r>
    </w:p>
    <w:p w14:paraId="28FAD27C" w14:textId="77777777" w:rsidR="00892FAC" w:rsidRPr="00892FAC" w:rsidRDefault="00892FAC" w:rsidP="00892FAC">
      <w:pPr>
        <w:rPr>
          <w:b/>
          <w:bCs/>
        </w:rPr>
      </w:pPr>
      <w:r w:rsidRPr="00892FAC">
        <w:rPr>
          <w:b/>
          <w:bCs/>
        </w:rPr>
        <w:t xml:space="preserve">Deci, E. L. and Ryan, R. M. (2000) ‘The “what” and “why” of goal pursuits: human needs and the self-determination of behaviour’, </w:t>
      </w:r>
      <w:r w:rsidRPr="00892FAC">
        <w:rPr>
          <w:b/>
          <w:bCs/>
          <w:i/>
          <w:iCs/>
        </w:rPr>
        <w:t>Psychological Inquiry</w:t>
      </w:r>
      <w:r w:rsidRPr="00892FAC">
        <w:rPr>
          <w:b/>
          <w:bCs/>
        </w:rPr>
        <w:t>, 11(4), pp. 227–268.</w:t>
      </w:r>
    </w:p>
    <w:p w14:paraId="3969A09C" w14:textId="77777777" w:rsidR="00892FAC" w:rsidRPr="00892FAC" w:rsidRDefault="00892FAC" w:rsidP="00892FAC">
      <w:pPr>
        <w:rPr>
          <w:b/>
          <w:bCs/>
        </w:rPr>
      </w:pPr>
      <w:r w:rsidRPr="00892FAC">
        <w:rPr>
          <w:b/>
          <w:bCs/>
        </w:rPr>
        <w:t xml:space="preserve">Gov.uk (2023) </w:t>
      </w:r>
      <w:r w:rsidRPr="00892FAC">
        <w:rPr>
          <w:b/>
          <w:bCs/>
          <w:i/>
          <w:iCs/>
        </w:rPr>
        <w:t>National Minimum Wage and National Living Wage</w:t>
      </w:r>
      <w:r w:rsidRPr="00892FAC">
        <w:rPr>
          <w:b/>
          <w:bCs/>
        </w:rPr>
        <w:t xml:space="preserve">. Available at: </w:t>
      </w:r>
      <w:hyperlink r:id="rId13" w:tgtFrame="_new" w:history="1">
        <w:r w:rsidRPr="00892FAC">
          <w:rPr>
            <w:rStyle w:val="Hyperlink"/>
            <w:b/>
            <w:bCs/>
          </w:rPr>
          <w:t>https://www.gov.uk/national-minimum-wage-rates</w:t>
        </w:r>
      </w:hyperlink>
      <w:r w:rsidRPr="00892FAC">
        <w:rPr>
          <w:b/>
          <w:bCs/>
        </w:rPr>
        <w:br/>
        <w:t>Accessed: 31 January 2026.</w:t>
      </w:r>
    </w:p>
    <w:p w14:paraId="2443580A" w14:textId="77777777" w:rsidR="00892FAC" w:rsidRPr="00892FAC" w:rsidRDefault="00892FAC" w:rsidP="00892FAC">
      <w:pPr>
        <w:rPr>
          <w:b/>
          <w:bCs/>
        </w:rPr>
      </w:pPr>
      <w:r w:rsidRPr="00892FAC">
        <w:rPr>
          <w:b/>
          <w:bCs/>
        </w:rPr>
        <w:t xml:space="preserve">Herzberg, F., Mausner, B. and Snyderman, B. (1959) </w:t>
      </w:r>
      <w:r w:rsidRPr="00892FAC">
        <w:rPr>
          <w:b/>
          <w:bCs/>
          <w:i/>
          <w:iCs/>
        </w:rPr>
        <w:t>The motivation to work</w:t>
      </w:r>
      <w:r w:rsidRPr="00892FAC">
        <w:rPr>
          <w:b/>
          <w:bCs/>
        </w:rPr>
        <w:t>. New York: Wiley.</w:t>
      </w:r>
    </w:p>
    <w:p w14:paraId="46954988" w14:textId="77777777" w:rsidR="00892FAC" w:rsidRPr="00892FAC" w:rsidRDefault="00892FAC" w:rsidP="00892FAC">
      <w:pPr>
        <w:rPr>
          <w:b/>
          <w:bCs/>
        </w:rPr>
      </w:pPr>
      <w:r w:rsidRPr="00892FAC">
        <w:rPr>
          <w:b/>
          <w:bCs/>
        </w:rPr>
        <w:t xml:space="preserve">Office for National Statistics (2023) </w:t>
      </w:r>
      <w:r w:rsidRPr="00892FAC">
        <w:rPr>
          <w:b/>
          <w:bCs/>
          <w:i/>
          <w:iCs/>
        </w:rPr>
        <w:t>Average weekly earnings in Great Britain</w:t>
      </w:r>
      <w:r w:rsidRPr="00892FAC">
        <w:rPr>
          <w:b/>
          <w:bCs/>
        </w:rPr>
        <w:t xml:space="preserve">. Available at: </w:t>
      </w:r>
      <w:hyperlink r:id="rId14" w:tgtFrame="_new" w:history="1">
        <w:r w:rsidRPr="00892FAC">
          <w:rPr>
            <w:rStyle w:val="Hyperlink"/>
            <w:b/>
            <w:bCs/>
          </w:rPr>
          <w:t>https://www.ons.gov.uk/employmentandlabourmarket/peopleinwork/earningsandworkinghours</w:t>
        </w:r>
      </w:hyperlink>
      <w:r w:rsidRPr="00892FAC">
        <w:rPr>
          <w:b/>
          <w:bCs/>
        </w:rPr>
        <w:br/>
        <w:t>Accessed: 29 January 2026.</w:t>
      </w:r>
    </w:p>
    <w:p w14:paraId="6832AE56" w14:textId="77777777" w:rsidR="00892FAC" w:rsidRPr="00892FAC" w:rsidRDefault="00892FAC" w:rsidP="00892FAC">
      <w:pPr>
        <w:rPr>
          <w:b/>
          <w:bCs/>
        </w:rPr>
      </w:pPr>
      <w:r w:rsidRPr="00892FAC">
        <w:rPr>
          <w:b/>
          <w:bCs/>
        </w:rPr>
        <w:t xml:space="preserve">Vroom, V. H. (1964) </w:t>
      </w:r>
      <w:r w:rsidRPr="00892FAC">
        <w:rPr>
          <w:b/>
          <w:bCs/>
          <w:i/>
          <w:iCs/>
        </w:rPr>
        <w:t>Work and motivation</w:t>
      </w:r>
      <w:r w:rsidRPr="00892FAC">
        <w:rPr>
          <w:b/>
          <w:bCs/>
        </w:rPr>
        <w:t>. New York: Wiley.</w:t>
      </w:r>
    </w:p>
    <w:p w14:paraId="42F2C351" w14:textId="77777777" w:rsidR="00FB33D0" w:rsidRPr="00DA686D" w:rsidRDefault="00FB33D0" w:rsidP="00DA686D"/>
    <w:p w14:paraId="163E0C47" w14:textId="77777777" w:rsidR="00DA686D" w:rsidRDefault="00DA686D"/>
    <w:sectPr w:rsidR="00DA68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86D"/>
    <w:rsid w:val="0000221D"/>
    <w:rsid w:val="00086D1E"/>
    <w:rsid w:val="000B6A87"/>
    <w:rsid w:val="000C688B"/>
    <w:rsid w:val="000D0099"/>
    <w:rsid w:val="002B4F4A"/>
    <w:rsid w:val="002C2530"/>
    <w:rsid w:val="00376596"/>
    <w:rsid w:val="0039593F"/>
    <w:rsid w:val="003C7C3B"/>
    <w:rsid w:val="003E5AA6"/>
    <w:rsid w:val="003F2935"/>
    <w:rsid w:val="00421BC8"/>
    <w:rsid w:val="00483AAB"/>
    <w:rsid w:val="004B4C6E"/>
    <w:rsid w:val="004D3AB1"/>
    <w:rsid w:val="004F4127"/>
    <w:rsid w:val="00552258"/>
    <w:rsid w:val="00574E9B"/>
    <w:rsid w:val="00587399"/>
    <w:rsid w:val="005D6DFD"/>
    <w:rsid w:val="005E4688"/>
    <w:rsid w:val="005F0EB9"/>
    <w:rsid w:val="005F17BF"/>
    <w:rsid w:val="00621273"/>
    <w:rsid w:val="006251F9"/>
    <w:rsid w:val="00671F5F"/>
    <w:rsid w:val="006F269F"/>
    <w:rsid w:val="006F344E"/>
    <w:rsid w:val="007B0ABE"/>
    <w:rsid w:val="007D1163"/>
    <w:rsid w:val="00833FDB"/>
    <w:rsid w:val="00892FAC"/>
    <w:rsid w:val="008B63D0"/>
    <w:rsid w:val="008E6B2D"/>
    <w:rsid w:val="009D40F9"/>
    <w:rsid w:val="00A4417F"/>
    <w:rsid w:val="00A64020"/>
    <w:rsid w:val="00A80C79"/>
    <w:rsid w:val="00AC1592"/>
    <w:rsid w:val="00AE796C"/>
    <w:rsid w:val="00B858EE"/>
    <w:rsid w:val="00BB765D"/>
    <w:rsid w:val="00C23B66"/>
    <w:rsid w:val="00C47FB7"/>
    <w:rsid w:val="00CB3042"/>
    <w:rsid w:val="00CC12C5"/>
    <w:rsid w:val="00D07F61"/>
    <w:rsid w:val="00D20B4C"/>
    <w:rsid w:val="00D3645D"/>
    <w:rsid w:val="00D457D3"/>
    <w:rsid w:val="00D47FFB"/>
    <w:rsid w:val="00DA686D"/>
    <w:rsid w:val="00DC1CB4"/>
    <w:rsid w:val="00DD425F"/>
    <w:rsid w:val="00E25140"/>
    <w:rsid w:val="00F11456"/>
    <w:rsid w:val="00FB33D0"/>
    <w:rsid w:val="00FD0F9B"/>
    <w:rsid w:val="00FD1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A789A"/>
  <w15:chartTrackingRefBased/>
  <w15:docId w15:val="{1EB04261-413F-4B5C-AF80-5065971EC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68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68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68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68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68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68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68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68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68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8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68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68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68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68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68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68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68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686D"/>
    <w:rPr>
      <w:rFonts w:eastAsiaTheme="majorEastAsia" w:cstheme="majorBidi"/>
      <w:color w:val="272727" w:themeColor="text1" w:themeTint="D8"/>
    </w:rPr>
  </w:style>
  <w:style w:type="paragraph" w:styleId="Title">
    <w:name w:val="Title"/>
    <w:basedOn w:val="Normal"/>
    <w:next w:val="Normal"/>
    <w:link w:val="TitleChar"/>
    <w:uiPriority w:val="10"/>
    <w:qFormat/>
    <w:rsid w:val="00DA68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68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68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68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686D"/>
    <w:pPr>
      <w:spacing w:before="160"/>
      <w:jc w:val="center"/>
    </w:pPr>
    <w:rPr>
      <w:i/>
      <w:iCs/>
      <w:color w:val="404040" w:themeColor="text1" w:themeTint="BF"/>
    </w:rPr>
  </w:style>
  <w:style w:type="character" w:customStyle="1" w:styleId="QuoteChar">
    <w:name w:val="Quote Char"/>
    <w:basedOn w:val="DefaultParagraphFont"/>
    <w:link w:val="Quote"/>
    <w:uiPriority w:val="29"/>
    <w:rsid w:val="00DA686D"/>
    <w:rPr>
      <w:i/>
      <w:iCs/>
      <w:color w:val="404040" w:themeColor="text1" w:themeTint="BF"/>
    </w:rPr>
  </w:style>
  <w:style w:type="paragraph" w:styleId="ListParagraph">
    <w:name w:val="List Paragraph"/>
    <w:basedOn w:val="Normal"/>
    <w:uiPriority w:val="34"/>
    <w:qFormat/>
    <w:rsid w:val="00DA686D"/>
    <w:pPr>
      <w:ind w:left="720"/>
      <w:contextualSpacing/>
    </w:pPr>
  </w:style>
  <w:style w:type="character" w:styleId="IntenseEmphasis">
    <w:name w:val="Intense Emphasis"/>
    <w:basedOn w:val="DefaultParagraphFont"/>
    <w:uiPriority w:val="21"/>
    <w:qFormat/>
    <w:rsid w:val="00DA686D"/>
    <w:rPr>
      <w:i/>
      <w:iCs/>
      <w:color w:val="0F4761" w:themeColor="accent1" w:themeShade="BF"/>
    </w:rPr>
  </w:style>
  <w:style w:type="paragraph" w:styleId="IntenseQuote">
    <w:name w:val="Intense Quote"/>
    <w:basedOn w:val="Normal"/>
    <w:next w:val="Normal"/>
    <w:link w:val="IntenseQuoteChar"/>
    <w:uiPriority w:val="30"/>
    <w:qFormat/>
    <w:rsid w:val="00DA68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686D"/>
    <w:rPr>
      <w:i/>
      <w:iCs/>
      <w:color w:val="0F4761" w:themeColor="accent1" w:themeShade="BF"/>
    </w:rPr>
  </w:style>
  <w:style w:type="character" w:styleId="IntenseReference">
    <w:name w:val="Intense Reference"/>
    <w:basedOn w:val="DefaultParagraphFont"/>
    <w:uiPriority w:val="32"/>
    <w:qFormat/>
    <w:rsid w:val="00DA686D"/>
    <w:rPr>
      <w:b/>
      <w:bCs/>
      <w:smallCaps/>
      <w:color w:val="0F4761" w:themeColor="accent1" w:themeShade="BF"/>
      <w:spacing w:val="5"/>
    </w:rPr>
  </w:style>
  <w:style w:type="character" w:styleId="Hyperlink">
    <w:name w:val="Hyperlink"/>
    <w:basedOn w:val="DefaultParagraphFont"/>
    <w:uiPriority w:val="99"/>
    <w:unhideWhenUsed/>
    <w:rsid w:val="00FB33D0"/>
    <w:rPr>
      <w:color w:val="467886" w:themeColor="hyperlink"/>
      <w:u w:val="single"/>
    </w:rPr>
  </w:style>
  <w:style w:type="character" w:styleId="UnresolvedMention">
    <w:name w:val="Unresolved Mention"/>
    <w:basedOn w:val="DefaultParagraphFont"/>
    <w:uiPriority w:val="99"/>
    <w:semiHidden/>
    <w:unhideWhenUsed/>
    <w:rsid w:val="00FB33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evidence-reviews/incentives-and-recognition" TargetMode="External"/><Relationship Id="rId13" Type="http://schemas.openxmlformats.org/officeDocument/2006/relationships/hyperlink" Target="https://www.gov.uk/national-minimum-wage-rates?utm_source=chatgpt.com" TargetMode="External"/><Relationship Id="rId3" Type="http://schemas.openxmlformats.org/officeDocument/2006/relationships/webSettings" Target="webSettings.xml"/><Relationship Id="rId7" Type="http://schemas.openxmlformats.org/officeDocument/2006/relationships/hyperlink" Target="https://www.cipd.org/uk/knowledge/factsheets/reward-management-factsheet" TargetMode="External"/><Relationship Id="rId12" Type="http://schemas.openxmlformats.org/officeDocument/2006/relationships/hyperlink" Target="https://www.cipd.org/uk/knowledge/reports/labour-market-outlook"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ankofengland.co.uk/monetary-policy/inflation" TargetMode="External"/><Relationship Id="rId11" Type="http://schemas.openxmlformats.org/officeDocument/2006/relationships/hyperlink" Target="https://www.cipd.co.uk/knowledge/strategy/reward/strategic-total-factsheet" TargetMode="External"/><Relationship Id="rId5" Type="http://schemas.openxmlformats.org/officeDocument/2006/relationships/hyperlink" Target="https://www.acas.org.uk/payslips?utm_source=chatgpt.com" TargetMode="External"/><Relationship Id="rId15" Type="http://schemas.openxmlformats.org/officeDocument/2006/relationships/fontTable" Target="fontTable.xml"/><Relationship Id="rId10" Type="http://schemas.openxmlformats.org/officeDocument/2006/relationships/hyperlink" Target="https://www.cipd.org/uk/knowledge/factsheets/bonuses-factsheet" TargetMode="External"/><Relationship Id="rId4" Type="http://schemas.openxmlformats.org/officeDocument/2006/relationships/hyperlink" Target="https://www.acas.org.uk/job-evaluation" TargetMode="External"/><Relationship Id="rId9" Type="http://schemas.openxmlformats.org/officeDocument/2006/relationships/hyperlink" Target="https://www.cipd.org/uk/knowledge/factsheets/pay-structures-progression-factsheet" TargetMode="External"/><Relationship Id="rId14" Type="http://schemas.openxmlformats.org/officeDocument/2006/relationships/hyperlink" Target="https://www.ons.gov.uk/employmentandlabourmarket/peopleinwork/earningsandworkinghou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82</TotalTime>
  <Pages>14</Pages>
  <Words>5346</Words>
  <Characters>30474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Macdonald</dc:creator>
  <cp:keywords/>
  <dc:description/>
  <cp:lastModifiedBy>Donna Macdonald</cp:lastModifiedBy>
  <cp:revision>56</cp:revision>
  <dcterms:created xsi:type="dcterms:W3CDTF">2026-01-21T18:41:00Z</dcterms:created>
  <dcterms:modified xsi:type="dcterms:W3CDTF">2026-02-02T12:15:00Z</dcterms:modified>
</cp:coreProperties>
</file>