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A6F8E" w14:textId="6B30E5A3" w:rsidR="000711A1" w:rsidRPr="00C91617" w:rsidRDefault="005A3E6F" w:rsidP="00073C11">
      <w:pPr>
        <w:pStyle w:val="paragraph"/>
        <w:spacing w:before="0" w:beforeAutospacing="0" w:after="0" w:afterAutospacing="0"/>
        <w:textAlignment w:val="baseline"/>
        <w:rPr>
          <w:rStyle w:val="normaltextrun"/>
          <w:rFonts w:ascii="Arial" w:hAnsi="Arial" w:cs="Arial"/>
          <w:color w:val="000000"/>
          <w:sz w:val="44"/>
          <w:szCs w:val="44"/>
        </w:rPr>
      </w:pPr>
      <w:r>
        <w:rPr>
          <w:rStyle w:val="normaltextrun"/>
          <w:rFonts w:ascii="Arial" w:hAnsi="Arial" w:cs="Arial"/>
          <w:color w:val="000000"/>
          <w:sz w:val="44"/>
          <w:szCs w:val="44"/>
        </w:rPr>
        <w:t>Financial Management and Planning</w:t>
      </w:r>
    </w:p>
    <w:p w14:paraId="40E9FB73" w14:textId="1F0F2D41"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p>
    <w:p w14:paraId="2862C8D5" w14:textId="77777777" w:rsidR="00073C11" w:rsidRPr="00C91617" w:rsidRDefault="00073C11" w:rsidP="00073C11">
      <w:pPr>
        <w:pStyle w:val="paragraph"/>
        <w:spacing w:before="0" w:beforeAutospacing="0" w:after="0" w:afterAutospacing="0"/>
        <w:textAlignment w:val="baseline"/>
        <w:rPr>
          <w:rStyle w:val="normaltextrun"/>
          <w:rFonts w:ascii="Arial" w:hAnsi="Arial" w:cs="Arial"/>
          <w:color w:val="000000"/>
          <w:sz w:val="28"/>
          <w:szCs w:val="28"/>
        </w:rPr>
      </w:pPr>
    </w:p>
    <w:p w14:paraId="6C3FD69C" w14:textId="0EB5E1A5" w:rsidR="000711A1"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r w:rsidRPr="00C91617">
        <w:rPr>
          <w:rStyle w:val="normaltextrun"/>
          <w:rFonts w:ascii="Arial" w:hAnsi="Arial" w:cs="Arial"/>
          <w:color w:val="000000"/>
          <w:sz w:val="28"/>
          <w:szCs w:val="28"/>
        </w:rPr>
        <w:t xml:space="preserve">Assignment </w:t>
      </w:r>
      <w:r w:rsidR="005A3E6F">
        <w:rPr>
          <w:rStyle w:val="normaltextrun"/>
          <w:rFonts w:ascii="Arial" w:hAnsi="Arial" w:cs="Arial"/>
          <w:color w:val="000000"/>
          <w:sz w:val="28"/>
          <w:szCs w:val="28"/>
        </w:rPr>
        <w:t>1</w:t>
      </w:r>
      <w:r w:rsidRPr="00C91617">
        <w:rPr>
          <w:rStyle w:val="normaltextrun"/>
          <w:rFonts w:ascii="Arial" w:hAnsi="Arial" w:cs="Arial"/>
          <w:color w:val="000000"/>
          <w:sz w:val="28"/>
          <w:szCs w:val="28"/>
        </w:rPr>
        <w:t>:</w:t>
      </w:r>
      <w:r w:rsidR="00486DFA" w:rsidRPr="00C91617">
        <w:rPr>
          <w:rStyle w:val="normaltextrun"/>
          <w:rFonts w:ascii="Arial" w:hAnsi="Arial" w:cs="Arial"/>
          <w:color w:val="000000"/>
          <w:sz w:val="28"/>
          <w:szCs w:val="28"/>
        </w:rPr>
        <w:tab/>
      </w:r>
      <w:r w:rsidR="00910D61">
        <w:rPr>
          <w:rStyle w:val="normaltextrun"/>
          <w:rFonts w:ascii="Arial" w:hAnsi="Arial" w:cs="Arial"/>
          <w:color w:val="000000"/>
          <w:sz w:val="28"/>
          <w:szCs w:val="28"/>
        </w:rPr>
        <w:t>Essay</w:t>
      </w:r>
      <w:r w:rsidR="00824E58">
        <w:rPr>
          <w:rStyle w:val="normaltextrun"/>
          <w:rFonts w:ascii="Arial" w:hAnsi="Arial" w:cs="Arial"/>
          <w:color w:val="000000"/>
          <w:sz w:val="28"/>
          <w:szCs w:val="28"/>
        </w:rPr>
        <w:t xml:space="preserve"> (</w:t>
      </w:r>
      <w:r w:rsidR="005A3E6F">
        <w:rPr>
          <w:rStyle w:val="normaltextrun"/>
          <w:rFonts w:ascii="Arial" w:hAnsi="Arial" w:cs="Arial"/>
          <w:color w:val="000000"/>
          <w:sz w:val="28"/>
          <w:szCs w:val="28"/>
        </w:rPr>
        <w:t>30</w:t>
      </w:r>
      <w:r w:rsidR="00824E58">
        <w:rPr>
          <w:rStyle w:val="normaltextrun"/>
          <w:rFonts w:ascii="Arial" w:hAnsi="Arial" w:cs="Arial"/>
          <w:color w:val="000000"/>
          <w:sz w:val="28"/>
          <w:szCs w:val="28"/>
        </w:rPr>
        <w:t>00 words</w:t>
      </w:r>
      <w:r w:rsidR="00714A3F">
        <w:rPr>
          <w:rStyle w:val="normaltextrun"/>
          <w:rFonts w:ascii="Arial" w:hAnsi="Arial" w:cs="Arial"/>
          <w:color w:val="000000"/>
          <w:sz w:val="28"/>
          <w:szCs w:val="28"/>
        </w:rPr>
        <w:t xml:space="preserve"> / 50%</w:t>
      </w:r>
      <w:r w:rsidR="00824E58">
        <w:rPr>
          <w:rStyle w:val="normaltextrun"/>
          <w:rFonts w:ascii="Arial" w:hAnsi="Arial" w:cs="Arial"/>
          <w:color w:val="000000"/>
          <w:sz w:val="28"/>
          <w:szCs w:val="28"/>
        </w:rPr>
        <w:t>)</w:t>
      </w:r>
    </w:p>
    <w:p w14:paraId="684957DB"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p>
    <w:p w14:paraId="346C4BA1"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p>
    <w:p w14:paraId="272404BA" w14:textId="045FA612" w:rsidR="000711A1"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r w:rsidRPr="00C91617">
        <w:rPr>
          <w:rStyle w:val="normaltextrun"/>
          <w:rFonts w:ascii="Arial" w:hAnsi="Arial" w:cs="Arial"/>
          <w:color w:val="000000"/>
          <w:sz w:val="28"/>
          <w:szCs w:val="28"/>
        </w:rPr>
        <w:t>Module Code:</w:t>
      </w:r>
      <w:r w:rsidR="00486DFA" w:rsidRPr="00C91617">
        <w:rPr>
          <w:rStyle w:val="normaltextrun"/>
          <w:rFonts w:ascii="Arial" w:hAnsi="Arial" w:cs="Arial"/>
          <w:color w:val="000000"/>
          <w:sz w:val="28"/>
          <w:szCs w:val="28"/>
        </w:rPr>
        <w:tab/>
      </w:r>
      <w:r w:rsidR="000711A1" w:rsidRPr="00C91617">
        <w:rPr>
          <w:rStyle w:val="normaltextrun"/>
          <w:rFonts w:ascii="Arial" w:hAnsi="Arial" w:cs="Arial"/>
          <w:color w:val="000000"/>
          <w:sz w:val="28"/>
          <w:szCs w:val="28"/>
        </w:rPr>
        <w:t>ACPA 700</w:t>
      </w:r>
      <w:r w:rsidR="005A3E6F">
        <w:rPr>
          <w:rStyle w:val="normaltextrun"/>
          <w:rFonts w:ascii="Arial" w:hAnsi="Arial" w:cs="Arial"/>
          <w:color w:val="000000"/>
          <w:sz w:val="28"/>
          <w:szCs w:val="28"/>
        </w:rPr>
        <w:t>2</w:t>
      </w:r>
    </w:p>
    <w:p w14:paraId="04FEC938"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p>
    <w:p w14:paraId="64E26978"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p>
    <w:p w14:paraId="3A916089" w14:textId="3DB0FD42" w:rsidR="000711A1"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r w:rsidRPr="00C91617">
        <w:rPr>
          <w:rStyle w:val="normaltextrun"/>
          <w:rFonts w:ascii="Arial" w:hAnsi="Arial" w:cs="Arial"/>
          <w:color w:val="000000"/>
          <w:sz w:val="28"/>
          <w:szCs w:val="28"/>
        </w:rPr>
        <w:t>Supervisor:</w:t>
      </w:r>
      <w:r w:rsidR="00486DFA" w:rsidRPr="00C91617">
        <w:rPr>
          <w:rStyle w:val="normaltextrun"/>
          <w:rFonts w:ascii="Arial" w:hAnsi="Arial" w:cs="Arial"/>
          <w:color w:val="000000"/>
          <w:sz w:val="28"/>
          <w:szCs w:val="28"/>
        </w:rPr>
        <w:tab/>
      </w:r>
      <w:r w:rsidR="00486DFA" w:rsidRPr="00C91617">
        <w:rPr>
          <w:rStyle w:val="normaltextrun"/>
          <w:rFonts w:ascii="Arial" w:hAnsi="Arial" w:cs="Arial"/>
          <w:color w:val="000000"/>
          <w:sz w:val="28"/>
          <w:szCs w:val="28"/>
        </w:rPr>
        <w:tab/>
      </w:r>
      <w:r w:rsidR="005A3E6F">
        <w:rPr>
          <w:rStyle w:val="normaltextrun"/>
          <w:rFonts w:ascii="Arial" w:hAnsi="Arial" w:cs="Arial"/>
          <w:color w:val="000000"/>
          <w:sz w:val="28"/>
          <w:szCs w:val="28"/>
        </w:rPr>
        <w:t>Howard Davies</w:t>
      </w:r>
    </w:p>
    <w:p w14:paraId="4E16EC51"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5C4F9C97" w14:textId="2DB60112" w:rsidR="000711A1" w:rsidRPr="00C91617" w:rsidRDefault="000711A1" w:rsidP="00073C11">
      <w:pPr>
        <w:pStyle w:val="paragraph"/>
        <w:spacing w:before="0" w:beforeAutospacing="0" w:after="0" w:afterAutospacing="0"/>
        <w:textAlignment w:val="baseline"/>
        <w:rPr>
          <w:rStyle w:val="normaltextrun"/>
          <w:rFonts w:ascii="Arial" w:hAnsi="Arial" w:cs="Arial"/>
          <w:color w:val="000000"/>
          <w:sz w:val="22"/>
          <w:szCs w:val="22"/>
        </w:rPr>
      </w:pPr>
    </w:p>
    <w:p w14:paraId="2395D101" w14:textId="77777777" w:rsidR="00702963" w:rsidRDefault="00702963" w:rsidP="00073C11">
      <w:pPr>
        <w:pStyle w:val="paragraph"/>
        <w:spacing w:before="0" w:beforeAutospacing="0" w:after="0" w:afterAutospacing="0"/>
        <w:textAlignment w:val="baseline"/>
        <w:rPr>
          <w:rStyle w:val="normaltextrun"/>
          <w:rFonts w:ascii="Arial" w:hAnsi="Arial" w:cs="Arial"/>
          <w:color w:val="000000"/>
          <w:sz w:val="44"/>
          <w:szCs w:val="44"/>
        </w:rPr>
      </w:pPr>
    </w:p>
    <w:p w14:paraId="4E042F5E" w14:textId="0F05B80E" w:rsidR="005A3E6F" w:rsidRPr="00702963" w:rsidRDefault="005A3E6F" w:rsidP="00073C11">
      <w:pPr>
        <w:pStyle w:val="paragraph"/>
        <w:spacing w:before="0" w:beforeAutospacing="0" w:after="0" w:afterAutospacing="0"/>
        <w:textAlignment w:val="baseline"/>
        <w:rPr>
          <w:rStyle w:val="normaltextrun"/>
          <w:rFonts w:ascii="Arial" w:hAnsi="Arial" w:cs="Arial"/>
          <w:color w:val="000000"/>
          <w:sz w:val="28"/>
          <w:szCs w:val="28"/>
        </w:rPr>
      </w:pPr>
      <w:r w:rsidRPr="00702963">
        <w:rPr>
          <w:rStyle w:val="normaltextrun"/>
          <w:rFonts w:ascii="Arial" w:hAnsi="Arial" w:cs="Arial"/>
          <w:color w:val="000000"/>
          <w:sz w:val="28"/>
          <w:szCs w:val="28"/>
        </w:rPr>
        <w:t>Business review of another business utilising their published Financial Statements</w:t>
      </w:r>
    </w:p>
    <w:p w14:paraId="77FF79C5" w14:textId="7F220113" w:rsidR="00910D61" w:rsidRDefault="00910D61" w:rsidP="00073C11">
      <w:pPr>
        <w:pStyle w:val="paragraph"/>
        <w:spacing w:before="0" w:beforeAutospacing="0" w:after="0" w:afterAutospacing="0"/>
        <w:textAlignment w:val="baseline"/>
        <w:rPr>
          <w:rStyle w:val="normaltextrun"/>
          <w:rFonts w:ascii="Arial" w:hAnsi="Arial" w:cs="Arial"/>
          <w:color w:val="000000"/>
          <w:sz w:val="44"/>
          <w:szCs w:val="44"/>
        </w:rPr>
      </w:pPr>
    </w:p>
    <w:p w14:paraId="54E75627" w14:textId="49E0F241" w:rsidR="00702963" w:rsidRDefault="00702963" w:rsidP="00073C11">
      <w:pPr>
        <w:pStyle w:val="paragraph"/>
        <w:spacing w:before="0" w:beforeAutospacing="0" w:after="0" w:afterAutospacing="0"/>
        <w:textAlignment w:val="baseline"/>
        <w:rPr>
          <w:rStyle w:val="normaltextrun"/>
          <w:rFonts w:ascii="Arial" w:hAnsi="Arial" w:cs="Arial"/>
          <w:color w:val="000000"/>
          <w:sz w:val="44"/>
          <w:szCs w:val="44"/>
        </w:rPr>
      </w:pPr>
    </w:p>
    <w:p w14:paraId="55BA8A85" w14:textId="77777777" w:rsidR="00702963" w:rsidRDefault="00702963" w:rsidP="00073C11">
      <w:pPr>
        <w:pStyle w:val="paragraph"/>
        <w:spacing w:before="0" w:beforeAutospacing="0" w:after="0" w:afterAutospacing="0"/>
        <w:textAlignment w:val="baseline"/>
        <w:rPr>
          <w:rStyle w:val="normaltextrun"/>
          <w:rFonts w:ascii="Arial" w:hAnsi="Arial" w:cs="Arial"/>
          <w:color w:val="000000"/>
          <w:sz w:val="44"/>
          <w:szCs w:val="44"/>
        </w:rPr>
      </w:pPr>
    </w:p>
    <w:p w14:paraId="2DA005FE" w14:textId="77777777" w:rsidR="00D14102" w:rsidRDefault="00D14102" w:rsidP="00073C11">
      <w:pPr>
        <w:pStyle w:val="paragraph"/>
        <w:spacing w:before="0" w:beforeAutospacing="0" w:after="0" w:afterAutospacing="0"/>
        <w:textAlignment w:val="baseline"/>
        <w:rPr>
          <w:rStyle w:val="normaltextrun"/>
          <w:rFonts w:ascii="Arial" w:hAnsi="Arial" w:cs="Arial"/>
          <w:color w:val="000000"/>
          <w:sz w:val="44"/>
          <w:szCs w:val="44"/>
        </w:rPr>
      </w:pPr>
    </w:p>
    <w:p w14:paraId="4CB34620" w14:textId="27657856" w:rsidR="00702963" w:rsidRPr="00702963" w:rsidRDefault="00702963" w:rsidP="00073C11">
      <w:pPr>
        <w:pStyle w:val="paragraph"/>
        <w:spacing w:before="0" w:beforeAutospacing="0" w:after="0" w:afterAutospacing="0"/>
        <w:textAlignment w:val="baseline"/>
        <w:rPr>
          <w:rStyle w:val="normaltextrun"/>
          <w:rFonts w:ascii="Arial" w:hAnsi="Arial" w:cs="Arial"/>
          <w:color w:val="000000"/>
          <w:sz w:val="44"/>
          <w:szCs w:val="44"/>
          <w:u w:val="single"/>
        </w:rPr>
      </w:pPr>
      <w:proofErr w:type="spellStart"/>
      <w:r w:rsidRPr="00702963">
        <w:rPr>
          <w:rStyle w:val="normaltextrun"/>
          <w:rFonts w:ascii="Arial" w:hAnsi="Arial" w:cs="Arial"/>
          <w:color w:val="000000"/>
          <w:sz w:val="44"/>
          <w:szCs w:val="44"/>
          <w:u w:val="single"/>
        </w:rPr>
        <w:t>T</w:t>
      </w:r>
      <w:r w:rsidRPr="00702963">
        <w:rPr>
          <w:rStyle w:val="normaltextrun"/>
          <w:rFonts w:ascii="Arial" w:hAnsi="Arial" w:cs="Arial"/>
          <w:color w:val="44546A" w:themeColor="text2"/>
          <w:sz w:val="44"/>
          <w:szCs w:val="44"/>
          <w:u w:val="single"/>
        </w:rPr>
        <w:t>West</w:t>
      </w:r>
      <w:r w:rsidRPr="00702963">
        <w:rPr>
          <w:rStyle w:val="normaltextrun"/>
          <w:rFonts w:ascii="Arial" w:hAnsi="Arial" w:cs="Arial"/>
          <w:color w:val="000000"/>
          <w:sz w:val="44"/>
          <w:szCs w:val="44"/>
          <w:u w:val="single"/>
        </w:rPr>
        <w:t>la</w:t>
      </w:r>
      <w:proofErr w:type="spellEnd"/>
      <w:r w:rsidRPr="00702963">
        <w:rPr>
          <w:rStyle w:val="normaltextrun"/>
          <w:rFonts w:ascii="Arial" w:hAnsi="Arial" w:cs="Arial"/>
          <w:color w:val="000000"/>
          <w:sz w:val="44"/>
          <w:szCs w:val="44"/>
          <w:u w:val="single"/>
        </w:rPr>
        <w:t xml:space="preserve"> Electric Vehicles Limited </w:t>
      </w:r>
    </w:p>
    <w:p w14:paraId="5F67B95D" w14:textId="77777777" w:rsidR="00702963" w:rsidRDefault="00702963" w:rsidP="00073C11">
      <w:pPr>
        <w:pStyle w:val="paragraph"/>
        <w:spacing w:before="0" w:beforeAutospacing="0" w:after="0" w:afterAutospacing="0"/>
        <w:textAlignment w:val="baseline"/>
        <w:rPr>
          <w:rStyle w:val="normaltextrun"/>
          <w:rFonts w:ascii="Arial" w:hAnsi="Arial" w:cs="Arial"/>
          <w:color w:val="000000"/>
          <w:sz w:val="44"/>
          <w:szCs w:val="44"/>
        </w:rPr>
      </w:pPr>
    </w:p>
    <w:p w14:paraId="569028FE" w14:textId="21642384" w:rsidR="005A3E6F" w:rsidRPr="00C91617" w:rsidRDefault="00702963" w:rsidP="00073C11">
      <w:pPr>
        <w:pStyle w:val="paragraph"/>
        <w:spacing w:before="0" w:beforeAutospacing="0" w:after="0" w:afterAutospacing="0"/>
        <w:textAlignment w:val="baseline"/>
        <w:rPr>
          <w:rStyle w:val="normaltextrun"/>
          <w:rFonts w:ascii="Arial" w:hAnsi="Arial" w:cs="Arial"/>
          <w:color w:val="000000"/>
          <w:sz w:val="44"/>
          <w:szCs w:val="44"/>
        </w:rPr>
      </w:pPr>
      <w:r>
        <w:rPr>
          <w:rStyle w:val="normaltextrun"/>
          <w:rFonts w:ascii="Arial" w:hAnsi="Arial" w:cs="Arial"/>
          <w:color w:val="000000"/>
          <w:sz w:val="44"/>
          <w:szCs w:val="44"/>
        </w:rPr>
        <w:t xml:space="preserve">Report, </w:t>
      </w:r>
      <w:proofErr w:type="gramStart"/>
      <w:r>
        <w:rPr>
          <w:rStyle w:val="normaltextrun"/>
          <w:rFonts w:ascii="Arial" w:hAnsi="Arial" w:cs="Arial"/>
          <w:color w:val="000000"/>
          <w:sz w:val="44"/>
          <w:szCs w:val="44"/>
        </w:rPr>
        <w:t>conclusions</w:t>
      </w:r>
      <w:proofErr w:type="gramEnd"/>
      <w:r>
        <w:rPr>
          <w:rStyle w:val="normaltextrun"/>
          <w:rFonts w:ascii="Arial" w:hAnsi="Arial" w:cs="Arial"/>
          <w:color w:val="000000"/>
          <w:sz w:val="44"/>
          <w:szCs w:val="44"/>
        </w:rPr>
        <w:t xml:space="preserve"> and recommendations </w:t>
      </w:r>
      <w:r w:rsidR="00D14102">
        <w:rPr>
          <w:rStyle w:val="normaltextrun"/>
          <w:rFonts w:ascii="Arial" w:hAnsi="Arial" w:cs="Arial"/>
          <w:color w:val="000000"/>
          <w:sz w:val="44"/>
          <w:szCs w:val="44"/>
        </w:rPr>
        <w:t xml:space="preserve">on potential electric vehicle joint venture with </w:t>
      </w:r>
      <w:r w:rsidR="005A3E6F">
        <w:rPr>
          <w:rStyle w:val="normaltextrun"/>
          <w:rFonts w:ascii="Arial" w:hAnsi="Arial" w:cs="Arial"/>
          <w:color w:val="000000"/>
          <w:sz w:val="44"/>
          <w:szCs w:val="44"/>
        </w:rPr>
        <w:t>Mc</w:t>
      </w:r>
      <w:r w:rsidR="00D14102">
        <w:rPr>
          <w:rStyle w:val="normaltextrun"/>
          <w:rFonts w:ascii="Arial" w:hAnsi="Arial" w:cs="Arial"/>
          <w:color w:val="000000"/>
          <w:sz w:val="44"/>
          <w:szCs w:val="44"/>
        </w:rPr>
        <w:t>L</w:t>
      </w:r>
      <w:r w:rsidR="005A3E6F">
        <w:rPr>
          <w:rStyle w:val="normaltextrun"/>
          <w:rFonts w:ascii="Arial" w:hAnsi="Arial" w:cs="Arial"/>
          <w:color w:val="000000"/>
          <w:sz w:val="44"/>
          <w:szCs w:val="44"/>
        </w:rPr>
        <w:t xml:space="preserve">aren </w:t>
      </w:r>
      <w:r w:rsidR="00D14102">
        <w:rPr>
          <w:rStyle w:val="normaltextrun"/>
          <w:rFonts w:ascii="Arial" w:hAnsi="Arial" w:cs="Arial"/>
          <w:color w:val="000000"/>
          <w:sz w:val="44"/>
          <w:szCs w:val="44"/>
        </w:rPr>
        <w:t>Holdings</w:t>
      </w:r>
      <w:r w:rsidR="00714A3F">
        <w:rPr>
          <w:rStyle w:val="normaltextrun"/>
          <w:rFonts w:ascii="Arial" w:hAnsi="Arial" w:cs="Arial"/>
          <w:color w:val="000000"/>
          <w:sz w:val="44"/>
          <w:szCs w:val="44"/>
        </w:rPr>
        <w:t xml:space="preserve"> Limited</w:t>
      </w:r>
    </w:p>
    <w:p w14:paraId="0C42856B" w14:textId="6F05173C"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31594FEF" w14:textId="4A5C5678"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36DA6C5F" w14:textId="747C3F2B"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781F6F6F" w14:textId="0B176549" w:rsidR="00BE2CDC"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1B955CF1" w14:textId="4C1B3E99" w:rsidR="00C36AD7" w:rsidRDefault="00C36AD7" w:rsidP="00073C11">
      <w:pPr>
        <w:pStyle w:val="paragraph"/>
        <w:spacing w:before="0" w:beforeAutospacing="0" w:after="0" w:afterAutospacing="0"/>
        <w:textAlignment w:val="baseline"/>
        <w:rPr>
          <w:rStyle w:val="normaltextrun"/>
          <w:rFonts w:ascii="Arial" w:hAnsi="Arial" w:cs="Arial"/>
          <w:color w:val="000000"/>
          <w:sz w:val="22"/>
          <w:szCs w:val="22"/>
        </w:rPr>
      </w:pPr>
    </w:p>
    <w:p w14:paraId="4C3D6480" w14:textId="77777777" w:rsidR="00C36AD7" w:rsidRPr="00C91617" w:rsidRDefault="00C36AD7" w:rsidP="00073C11">
      <w:pPr>
        <w:pStyle w:val="paragraph"/>
        <w:spacing w:before="0" w:beforeAutospacing="0" w:after="0" w:afterAutospacing="0"/>
        <w:textAlignment w:val="baseline"/>
        <w:rPr>
          <w:rStyle w:val="normaltextrun"/>
          <w:rFonts w:ascii="Arial" w:hAnsi="Arial" w:cs="Arial"/>
          <w:color w:val="000000"/>
          <w:sz w:val="22"/>
          <w:szCs w:val="22"/>
        </w:rPr>
      </w:pPr>
    </w:p>
    <w:p w14:paraId="32F95D8D"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591A405B" w14:textId="5F23D64C" w:rsidR="000711A1" w:rsidRPr="00C91617" w:rsidRDefault="000711A1" w:rsidP="00073C11">
      <w:pPr>
        <w:pStyle w:val="paragraph"/>
        <w:spacing w:before="0" w:beforeAutospacing="0" w:after="0" w:afterAutospacing="0"/>
        <w:textAlignment w:val="baseline"/>
        <w:rPr>
          <w:rStyle w:val="normaltextrun"/>
          <w:rFonts w:ascii="Arial" w:hAnsi="Arial" w:cs="Arial"/>
          <w:color w:val="000000"/>
          <w:sz w:val="22"/>
          <w:szCs w:val="22"/>
        </w:rPr>
      </w:pPr>
    </w:p>
    <w:p w14:paraId="7CE10962" w14:textId="58917545" w:rsidR="000711A1" w:rsidRPr="00C91617" w:rsidRDefault="005A3E6F" w:rsidP="00073C11">
      <w:pPr>
        <w:pStyle w:val="paragraph"/>
        <w:spacing w:before="0" w:beforeAutospacing="0" w:after="0" w:afterAutospacing="0"/>
        <w:textAlignment w:val="baseline"/>
        <w:rPr>
          <w:rStyle w:val="normaltextrun"/>
          <w:rFonts w:ascii="Arial" w:hAnsi="Arial" w:cs="Arial"/>
          <w:color w:val="000000"/>
          <w:sz w:val="28"/>
          <w:szCs w:val="28"/>
        </w:rPr>
      </w:pPr>
      <w:r>
        <w:rPr>
          <w:rStyle w:val="normaltextrun"/>
          <w:rFonts w:ascii="Arial" w:hAnsi="Arial" w:cs="Arial"/>
          <w:color w:val="000000"/>
          <w:sz w:val="28"/>
          <w:szCs w:val="28"/>
        </w:rPr>
        <w:t>6</w:t>
      </w:r>
      <w:r w:rsidR="00BE2CDC" w:rsidRPr="00C91617">
        <w:rPr>
          <w:rStyle w:val="normaltextrun"/>
          <w:rFonts w:ascii="Arial" w:hAnsi="Arial" w:cs="Arial"/>
          <w:color w:val="000000"/>
          <w:sz w:val="28"/>
          <w:szCs w:val="28"/>
          <w:vertAlign w:val="superscript"/>
        </w:rPr>
        <w:t>t</w:t>
      </w:r>
      <w:r w:rsidR="00910D61">
        <w:rPr>
          <w:rStyle w:val="normaltextrun"/>
          <w:rFonts w:ascii="Arial" w:hAnsi="Arial" w:cs="Arial"/>
          <w:color w:val="000000"/>
          <w:sz w:val="28"/>
          <w:szCs w:val="28"/>
          <w:vertAlign w:val="superscript"/>
        </w:rPr>
        <w:t>h</w:t>
      </w:r>
      <w:r w:rsidR="00BE2CDC" w:rsidRPr="00C91617">
        <w:rPr>
          <w:rStyle w:val="normaltextrun"/>
          <w:rFonts w:ascii="Arial" w:hAnsi="Arial" w:cs="Arial"/>
          <w:color w:val="000000"/>
          <w:sz w:val="28"/>
          <w:szCs w:val="28"/>
        </w:rPr>
        <w:t xml:space="preserve"> </w:t>
      </w:r>
      <w:r>
        <w:rPr>
          <w:rStyle w:val="normaltextrun"/>
          <w:rFonts w:ascii="Arial" w:hAnsi="Arial" w:cs="Arial"/>
          <w:color w:val="000000"/>
          <w:sz w:val="28"/>
          <w:szCs w:val="28"/>
        </w:rPr>
        <w:t>June</w:t>
      </w:r>
      <w:r w:rsidR="00BE2CDC" w:rsidRPr="00C91617">
        <w:rPr>
          <w:rStyle w:val="normaltextrun"/>
          <w:rFonts w:ascii="Arial" w:hAnsi="Arial" w:cs="Arial"/>
          <w:color w:val="000000"/>
          <w:sz w:val="28"/>
          <w:szCs w:val="28"/>
        </w:rPr>
        <w:t xml:space="preserve"> 2022</w:t>
      </w:r>
    </w:p>
    <w:p w14:paraId="652CEA7A"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p>
    <w:p w14:paraId="0D70B4B4" w14:textId="072C34CC" w:rsidR="000711A1" w:rsidRPr="00C91617" w:rsidRDefault="000711A1" w:rsidP="00073C11">
      <w:pPr>
        <w:pStyle w:val="paragraph"/>
        <w:spacing w:before="0" w:beforeAutospacing="0" w:after="0" w:afterAutospacing="0"/>
        <w:textAlignment w:val="baseline"/>
        <w:rPr>
          <w:rStyle w:val="normaltextrun"/>
          <w:rFonts w:ascii="Arial" w:hAnsi="Arial" w:cs="Arial"/>
          <w:color w:val="000000"/>
          <w:sz w:val="28"/>
          <w:szCs w:val="28"/>
        </w:rPr>
      </w:pPr>
      <w:r w:rsidRPr="00C91617">
        <w:rPr>
          <w:rStyle w:val="normaltextrun"/>
          <w:rFonts w:ascii="Arial" w:hAnsi="Arial" w:cs="Arial"/>
          <w:color w:val="000000"/>
          <w:sz w:val="28"/>
          <w:szCs w:val="28"/>
        </w:rPr>
        <w:t>S</w:t>
      </w:r>
      <w:r w:rsidR="00BE2CDC" w:rsidRPr="00C91617">
        <w:rPr>
          <w:rStyle w:val="normaltextrun"/>
          <w:rFonts w:ascii="Arial" w:hAnsi="Arial" w:cs="Arial"/>
          <w:color w:val="000000"/>
          <w:sz w:val="28"/>
          <w:szCs w:val="28"/>
        </w:rPr>
        <w:t>teve West</w:t>
      </w:r>
    </w:p>
    <w:p w14:paraId="45F22DDB"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p>
    <w:p w14:paraId="1D2086D1" w14:textId="3B70F278" w:rsidR="000711A1" w:rsidRPr="00C91617" w:rsidRDefault="000711A1" w:rsidP="00073C11">
      <w:pPr>
        <w:pStyle w:val="paragraph"/>
        <w:spacing w:before="0" w:beforeAutospacing="0" w:after="0" w:afterAutospacing="0"/>
        <w:textAlignment w:val="baseline"/>
        <w:rPr>
          <w:rStyle w:val="normaltextrun"/>
          <w:rFonts w:ascii="Arial" w:hAnsi="Arial" w:cs="Arial"/>
          <w:color w:val="000000"/>
          <w:sz w:val="28"/>
          <w:szCs w:val="28"/>
        </w:rPr>
      </w:pPr>
      <w:r w:rsidRPr="00C91617">
        <w:rPr>
          <w:rStyle w:val="normaltextrun"/>
          <w:rFonts w:ascii="Arial" w:hAnsi="Arial" w:cs="Arial"/>
          <w:color w:val="000000"/>
          <w:sz w:val="28"/>
          <w:szCs w:val="28"/>
        </w:rPr>
        <w:t>S</w:t>
      </w:r>
      <w:r w:rsidR="00BE2CDC" w:rsidRPr="00C91617">
        <w:rPr>
          <w:rStyle w:val="normaltextrun"/>
          <w:rFonts w:ascii="Arial" w:hAnsi="Arial" w:cs="Arial"/>
          <w:color w:val="000000"/>
          <w:sz w:val="28"/>
          <w:szCs w:val="28"/>
        </w:rPr>
        <w:t>tudent</w:t>
      </w:r>
      <w:r w:rsidRPr="00C91617">
        <w:rPr>
          <w:rStyle w:val="normaltextrun"/>
          <w:rFonts w:ascii="Arial" w:hAnsi="Arial" w:cs="Arial"/>
          <w:color w:val="000000"/>
          <w:sz w:val="28"/>
          <w:szCs w:val="28"/>
        </w:rPr>
        <w:t xml:space="preserve"> ID:</w:t>
      </w:r>
      <w:r w:rsidR="00BE2CDC" w:rsidRPr="00C91617">
        <w:rPr>
          <w:rStyle w:val="normaltextrun"/>
          <w:rFonts w:ascii="Arial" w:hAnsi="Arial" w:cs="Arial"/>
          <w:color w:val="000000"/>
          <w:sz w:val="28"/>
          <w:szCs w:val="28"/>
        </w:rPr>
        <w:t xml:space="preserve"> 2030244</w:t>
      </w:r>
    </w:p>
    <w:p w14:paraId="1C610EB2" w14:textId="00D16436" w:rsidR="000711A1" w:rsidRDefault="000711A1" w:rsidP="000711A1">
      <w:pPr>
        <w:pStyle w:val="paragraph"/>
        <w:spacing w:before="0" w:beforeAutospacing="0" w:after="0" w:afterAutospacing="0"/>
        <w:jc w:val="both"/>
        <w:textAlignment w:val="baseline"/>
        <w:rPr>
          <w:rStyle w:val="normaltextrun"/>
          <w:rFonts w:ascii="Arial" w:hAnsi="Arial" w:cs="Arial"/>
          <w:color w:val="000000"/>
          <w:sz w:val="22"/>
          <w:szCs w:val="22"/>
          <w:u w:val="single"/>
        </w:rPr>
      </w:pPr>
    </w:p>
    <w:p w14:paraId="7BFE2366" w14:textId="5FA0F5F4" w:rsidR="00516371" w:rsidRDefault="00516371" w:rsidP="000711A1">
      <w:pPr>
        <w:pStyle w:val="paragraph"/>
        <w:spacing w:before="0" w:beforeAutospacing="0" w:after="0" w:afterAutospacing="0"/>
        <w:jc w:val="both"/>
        <w:textAlignment w:val="baseline"/>
        <w:rPr>
          <w:rStyle w:val="normaltextrun"/>
          <w:rFonts w:ascii="Arial" w:hAnsi="Arial" w:cs="Arial"/>
          <w:color w:val="000000"/>
          <w:sz w:val="22"/>
          <w:szCs w:val="22"/>
          <w:u w:val="single"/>
        </w:rPr>
      </w:pPr>
    </w:p>
    <w:p w14:paraId="52EDA11E" w14:textId="69A51F83" w:rsidR="00ED386D" w:rsidRDefault="00ED386D">
      <w:pPr>
        <w:rPr>
          <w:rStyle w:val="normaltextrun"/>
          <w:rFonts w:ascii="Arial" w:eastAsia="Times New Roman" w:hAnsi="Arial" w:cs="Arial"/>
          <w:color w:val="000000"/>
          <w:u w:val="single"/>
          <w:lang w:eastAsia="en-GB"/>
        </w:rPr>
      </w:pPr>
      <w:r>
        <w:rPr>
          <w:rStyle w:val="normaltextrun"/>
          <w:rFonts w:ascii="Arial" w:hAnsi="Arial" w:cs="Arial"/>
          <w:color w:val="000000"/>
          <w:u w:val="single"/>
        </w:rPr>
        <w:br w:type="page"/>
      </w:r>
    </w:p>
    <w:sdt>
      <w:sdtPr>
        <w:id w:val="-30114595"/>
        <w:docPartObj>
          <w:docPartGallery w:val="Table of Contents"/>
          <w:docPartUnique/>
        </w:docPartObj>
      </w:sdtPr>
      <w:sdtEndPr>
        <w:rPr>
          <w:b/>
          <w:bCs/>
          <w:noProof/>
        </w:rPr>
      </w:sdtEndPr>
      <w:sdtContent>
        <w:p w14:paraId="50BBEFA4" w14:textId="43802B2E" w:rsidR="00D80599" w:rsidRPr="00ED386D" w:rsidRDefault="00D80599" w:rsidP="001859AF">
          <w:pPr>
            <w:rPr>
              <w:b/>
              <w:bCs/>
              <w:u w:val="single"/>
            </w:rPr>
          </w:pPr>
          <w:r w:rsidRPr="00ED386D">
            <w:rPr>
              <w:b/>
              <w:bCs/>
              <w:u w:val="single"/>
            </w:rPr>
            <w:t>Contents</w:t>
          </w:r>
        </w:p>
        <w:p w14:paraId="7D6096F8" w14:textId="122B3FED" w:rsidR="00CF2B1C" w:rsidRDefault="00802329">
          <w:pPr>
            <w:pStyle w:val="TOC1"/>
            <w:rPr>
              <w:rFonts w:eastAsiaTheme="minorEastAsia"/>
              <w:noProof/>
              <w:lang w:eastAsia="en-GB"/>
            </w:rPr>
          </w:pPr>
          <w:r w:rsidRPr="00C91617">
            <w:rPr>
              <w:rFonts w:ascii="Arial" w:hAnsi="Arial" w:cs="Arial"/>
            </w:rPr>
            <w:fldChar w:fldCharType="begin"/>
          </w:r>
          <w:r w:rsidRPr="00C91617">
            <w:rPr>
              <w:rFonts w:ascii="Arial" w:hAnsi="Arial" w:cs="Arial"/>
            </w:rPr>
            <w:instrText xml:space="preserve"> TOC \o "1-3" \h \z \u </w:instrText>
          </w:r>
          <w:r w:rsidRPr="00C91617">
            <w:rPr>
              <w:rFonts w:ascii="Arial" w:hAnsi="Arial" w:cs="Arial"/>
            </w:rPr>
            <w:fldChar w:fldCharType="separate"/>
          </w:r>
          <w:hyperlink w:anchor="_Toc105350457" w:history="1">
            <w:r w:rsidR="00CF2B1C" w:rsidRPr="00D4279B">
              <w:rPr>
                <w:rStyle w:val="Hyperlink"/>
                <w:noProof/>
              </w:rPr>
              <w:t>Executive Summary</w:t>
            </w:r>
            <w:r w:rsidR="00CF2B1C">
              <w:rPr>
                <w:noProof/>
                <w:webHidden/>
              </w:rPr>
              <w:tab/>
            </w:r>
            <w:r w:rsidR="00CF2B1C">
              <w:rPr>
                <w:noProof/>
                <w:webHidden/>
              </w:rPr>
              <w:fldChar w:fldCharType="begin"/>
            </w:r>
            <w:r w:rsidR="00CF2B1C">
              <w:rPr>
                <w:noProof/>
                <w:webHidden/>
              </w:rPr>
              <w:instrText xml:space="preserve"> PAGEREF _Toc105350457 \h </w:instrText>
            </w:r>
            <w:r w:rsidR="00CF2B1C">
              <w:rPr>
                <w:noProof/>
                <w:webHidden/>
              </w:rPr>
            </w:r>
            <w:r w:rsidR="00CF2B1C">
              <w:rPr>
                <w:noProof/>
                <w:webHidden/>
              </w:rPr>
              <w:fldChar w:fldCharType="separate"/>
            </w:r>
            <w:r w:rsidR="00CF2B1C">
              <w:rPr>
                <w:noProof/>
                <w:webHidden/>
              </w:rPr>
              <w:t>3</w:t>
            </w:r>
            <w:r w:rsidR="00CF2B1C">
              <w:rPr>
                <w:noProof/>
                <w:webHidden/>
              </w:rPr>
              <w:fldChar w:fldCharType="end"/>
            </w:r>
          </w:hyperlink>
        </w:p>
        <w:p w14:paraId="7D8C98DB" w14:textId="46E029F2" w:rsidR="00CF2B1C" w:rsidRDefault="00CF2B1C">
          <w:pPr>
            <w:pStyle w:val="TOC1"/>
            <w:rPr>
              <w:rFonts w:eastAsiaTheme="minorEastAsia"/>
              <w:noProof/>
              <w:lang w:eastAsia="en-GB"/>
            </w:rPr>
          </w:pPr>
          <w:hyperlink w:anchor="_Toc105350458" w:history="1">
            <w:r w:rsidRPr="00D4279B">
              <w:rPr>
                <w:rStyle w:val="Hyperlink"/>
                <w:noProof/>
              </w:rPr>
              <w:t>Introduction</w:t>
            </w:r>
            <w:r>
              <w:rPr>
                <w:noProof/>
                <w:webHidden/>
              </w:rPr>
              <w:tab/>
            </w:r>
            <w:r>
              <w:rPr>
                <w:noProof/>
                <w:webHidden/>
              </w:rPr>
              <w:fldChar w:fldCharType="begin"/>
            </w:r>
            <w:r>
              <w:rPr>
                <w:noProof/>
                <w:webHidden/>
              </w:rPr>
              <w:instrText xml:space="preserve"> PAGEREF _Toc105350458 \h </w:instrText>
            </w:r>
            <w:r>
              <w:rPr>
                <w:noProof/>
                <w:webHidden/>
              </w:rPr>
            </w:r>
            <w:r>
              <w:rPr>
                <w:noProof/>
                <w:webHidden/>
              </w:rPr>
              <w:fldChar w:fldCharType="separate"/>
            </w:r>
            <w:r>
              <w:rPr>
                <w:noProof/>
                <w:webHidden/>
              </w:rPr>
              <w:t>4</w:t>
            </w:r>
            <w:r>
              <w:rPr>
                <w:noProof/>
                <w:webHidden/>
              </w:rPr>
              <w:fldChar w:fldCharType="end"/>
            </w:r>
          </w:hyperlink>
        </w:p>
        <w:p w14:paraId="15D11800" w14:textId="748AC6DE" w:rsidR="00CF2B1C" w:rsidRDefault="00CF2B1C">
          <w:pPr>
            <w:pStyle w:val="TOC1"/>
            <w:rPr>
              <w:rFonts w:eastAsiaTheme="minorEastAsia"/>
              <w:noProof/>
              <w:lang w:eastAsia="en-GB"/>
            </w:rPr>
          </w:pPr>
          <w:hyperlink w:anchor="_Toc105350459" w:history="1">
            <w:r w:rsidRPr="00D4279B">
              <w:rPr>
                <w:rStyle w:val="Hyperlink"/>
                <w:noProof/>
              </w:rPr>
              <w:t>Use and Limitation of Ratios</w:t>
            </w:r>
            <w:r>
              <w:rPr>
                <w:noProof/>
                <w:webHidden/>
              </w:rPr>
              <w:tab/>
            </w:r>
            <w:r>
              <w:rPr>
                <w:noProof/>
                <w:webHidden/>
              </w:rPr>
              <w:fldChar w:fldCharType="begin"/>
            </w:r>
            <w:r>
              <w:rPr>
                <w:noProof/>
                <w:webHidden/>
              </w:rPr>
              <w:instrText xml:space="preserve"> PAGEREF _Toc105350459 \h </w:instrText>
            </w:r>
            <w:r>
              <w:rPr>
                <w:noProof/>
                <w:webHidden/>
              </w:rPr>
            </w:r>
            <w:r>
              <w:rPr>
                <w:noProof/>
                <w:webHidden/>
              </w:rPr>
              <w:fldChar w:fldCharType="separate"/>
            </w:r>
            <w:r>
              <w:rPr>
                <w:noProof/>
                <w:webHidden/>
              </w:rPr>
              <w:t>5</w:t>
            </w:r>
            <w:r>
              <w:rPr>
                <w:noProof/>
                <w:webHidden/>
              </w:rPr>
              <w:fldChar w:fldCharType="end"/>
            </w:r>
          </w:hyperlink>
        </w:p>
        <w:p w14:paraId="11927705" w14:textId="5664634B" w:rsidR="00CF2B1C" w:rsidRDefault="00CF2B1C">
          <w:pPr>
            <w:pStyle w:val="TOC1"/>
            <w:rPr>
              <w:rFonts w:eastAsiaTheme="minorEastAsia"/>
              <w:noProof/>
              <w:lang w:eastAsia="en-GB"/>
            </w:rPr>
          </w:pPr>
          <w:hyperlink w:anchor="_Toc105350460" w:history="1">
            <w:r w:rsidRPr="00D4279B">
              <w:rPr>
                <w:rStyle w:val="Hyperlink"/>
                <w:noProof/>
              </w:rPr>
              <w:t>Ratio Analysis</w:t>
            </w:r>
            <w:r>
              <w:rPr>
                <w:noProof/>
                <w:webHidden/>
              </w:rPr>
              <w:tab/>
            </w:r>
            <w:r>
              <w:rPr>
                <w:noProof/>
                <w:webHidden/>
              </w:rPr>
              <w:fldChar w:fldCharType="begin"/>
            </w:r>
            <w:r>
              <w:rPr>
                <w:noProof/>
                <w:webHidden/>
              </w:rPr>
              <w:instrText xml:space="preserve"> PAGEREF _Toc105350460 \h </w:instrText>
            </w:r>
            <w:r>
              <w:rPr>
                <w:noProof/>
                <w:webHidden/>
              </w:rPr>
            </w:r>
            <w:r>
              <w:rPr>
                <w:noProof/>
                <w:webHidden/>
              </w:rPr>
              <w:fldChar w:fldCharType="separate"/>
            </w:r>
            <w:r>
              <w:rPr>
                <w:noProof/>
                <w:webHidden/>
              </w:rPr>
              <w:t>7</w:t>
            </w:r>
            <w:r>
              <w:rPr>
                <w:noProof/>
                <w:webHidden/>
              </w:rPr>
              <w:fldChar w:fldCharType="end"/>
            </w:r>
          </w:hyperlink>
        </w:p>
        <w:p w14:paraId="3AECA514" w14:textId="27E8FB67" w:rsidR="00CF2B1C" w:rsidRDefault="00CF2B1C">
          <w:pPr>
            <w:pStyle w:val="TOC2"/>
            <w:tabs>
              <w:tab w:val="right" w:leader="dot" w:pos="9016"/>
            </w:tabs>
            <w:rPr>
              <w:rFonts w:eastAsiaTheme="minorEastAsia"/>
              <w:noProof/>
              <w:lang w:eastAsia="en-GB"/>
            </w:rPr>
          </w:pPr>
          <w:hyperlink w:anchor="_Toc105350461" w:history="1">
            <w:r w:rsidRPr="00D4279B">
              <w:rPr>
                <w:rStyle w:val="Hyperlink"/>
                <w:noProof/>
              </w:rPr>
              <w:t>Table 1. Ratio Analysis Calculated from Annual Reports</w:t>
            </w:r>
            <w:r>
              <w:rPr>
                <w:noProof/>
                <w:webHidden/>
              </w:rPr>
              <w:tab/>
            </w:r>
            <w:r>
              <w:rPr>
                <w:noProof/>
                <w:webHidden/>
              </w:rPr>
              <w:fldChar w:fldCharType="begin"/>
            </w:r>
            <w:r>
              <w:rPr>
                <w:noProof/>
                <w:webHidden/>
              </w:rPr>
              <w:instrText xml:space="preserve"> PAGEREF _Toc105350461 \h </w:instrText>
            </w:r>
            <w:r>
              <w:rPr>
                <w:noProof/>
                <w:webHidden/>
              </w:rPr>
            </w:r>
            <w:r>
              <w:rPr>
                <w:noProof/>
                <w:webHidden/>
              </w:rPr>
              <w:fldChar w:fldCharType="separate"/>
            </w:r>
            <w:r>
              <w:rPr>
                <w:noProof/>
                <w:webHidden/>
              </w:rPr>
              <w:t>7</w:t>
            </w:r>
            <w:r>
              <w:rPr>
                <w:noProof/>
                <w:webHidden/>
              </w:rPr>
              <w:fldChar w:fldCharType="end"/>
            </w:r>
          </w:hyperlink>
        </w:p>
        <w:p w14:paraId="2385B4D4" w14:textId="1702982D" w:rsidR="00CF2B1C" w:rsidRDefault="00CF2B1C">
          <w:pPr>
            <w:pStyle w:val="TOC1"/>
            <w:rPr>
              <w:rFonts w:eastAsiaTheme="minorEastAsia"/>
              <w:noProof/>
              <w:lang w:eastAsia="en-GB"/>
            </w:rPr>
          </w:pPr>
          <w:hyperlink w:anchor="_Toc105350462" w:history="1">
            <w:r w:rsidRPr="00D4279B">
              <w:rPr>
                <w:rStyle w:val="Hyperlink"/>
                <w:noProof/>
              </w:rPr>
              <w:t>Summary of Findings</w:t>
            </w:r>
            <w:r>
              <w:rPr>
                <w:noProof/>
                <w:webHidden/>
              </w:rPr>
              <w:tab/>
            </w:r>
            <w:r>
              <w:rPr>
                <w:noProof/>
                <w:webHidden/>
              </w:rPr>
              <w:fldChar w:fldCharType="begin"/>
            </w:r>
            <w:r>
              <w:rPr>
                <w:noProof/>
                <w:webHidden/>
              </w:rPr>
              <w:instrText xml:space="preserve"> PAGEREF _Toc105350462 \h </w:instrText>
            </w:r>
            <w:r>
              <w:rPr>
                <w:noProof/>
                <w:webHidden/>
              </w:rPr>
            </w:r>
            <w:r>
              <w:rPr>
                <w:noProof/>
                <w:webHidden/>
              </w:rPr>
              <w:fldChar w:fldCharType="separate"/>
            </w:r>
            <w:r>
              <w:rPr>
                <w:noProof/>
                <w:webHidden/>
              </w:rPr>
              <w:t>9</w:t>
            </w:r>
            <w:r>
              <w:rPr>
                <w:noProof/>
                <w:webHidden/>
              </w:rPr>
              <w:fldChar w:fldCharType="end"/>
            </w:r>
          </w:hyperlink>
        </w:p>
        <w:p w14:paraId="5B76E435" w14:textId="7F57A45C" w:rsidR="00CF2B1C" w:rsidRDefault="00CF2B1C">
          <w:pPr>
            <w:pStyle w:val="TOC1"/>
            <w:rPr>
              <w:rFonts w:eastAsiaTheme="minorEastAsia"/>
              <w:noProof/>
              <w:lang w:eastAsia="en-GB"/>
            </w:rPr>
          </w:pPr>
          <w:hyperlink w:anchor="_Toc105350463" w:history="1">
            <w:r w:rsidRPr="00D4279B">
              <w:rPr>
                <w:rStyle w:val="Hyperlink"/>
                <w:noProof/>
              </w:rPr>
              <w:t>Conclusion and Recommendations</w:t>
            </w:r>
            <w:r>
              <w:rPr>
                <w:noProof/>
                <w:webHidden/>
              </w:rPr>
              <w:tab/>
            </w:r>
            <w:r>
              <w:rPr>
                <w:noProof/>
                <w:webHidden/>
              </w:rPr>
              <w:fldChar w:fldCharType="begin"/>
            </w:r>
            <w:r>
              <w:rPr>
                <w:noProof/>
                <w:webHidden/>
              </w:rPr>
              <w:instrText xml:space="preserve"> PAGEREF _Toc105350463 \h </w:instrText>
            </w:r>
            <w:r>
              <w:rPr>
                <w:noProof/>
                <w:webHidden/>
              </w:rPr>
            </w:r>
            <w:r>
              <w:rPr>
                <w:noProof/>
                <w:webHidden/>
              </w:rPr>
              <w:fldChar w:fldCharType="separate"/>
            </w:r>
            <w:r>
              <w:rPr>
                <w:noProof/>
                <w:webHidden/>
              </w:rPr>
              <w:t>11</w:t>
            </w:r>
            <w:r>
              <w:rPr>
                <w:noProof/>
                <w:webHidden/>
              </w:rPr>
              <w:fldChar w:fldCharType="end"/>
            </w:r>
          </w:hyperlink>
        </w:p>
        <w:p w14:paraId="7B1DB21F" w14:textId="75AD9C04" w:rsidR="00CF2B1C" w:rsidRDefault="00CF2B1C">
          <w:pPr>
            <w:pStyle w:val="TOC1"/>
            <w:rPr>
              <w:rFonts w:eastAsiaTheme="minorEastAsia"/>
              <w:noProof/>
              <w:lang w:eastAsia="en-GB"/>
            </w:rPr>
          </w:pPr>
          <w:hyperlink w:anchor="_Toc105350464" w:history="1">
            <w:r w:rsidRPr="00D4279B">
              <w:rPr>
                <w:rStyle w:val="Hyperlink"/>
                <w:noProof/>
              </w:rPr>
              <w:t>References</w:t>
            </w:r>
            <w:r>
              <w:rPr>
                <w:noProof/>
                <w:webHidden/>
              </w:rPr>
              <w:tab/>
            </w:r>
            <w:r>
              <w:rPr>
                <w:noProof/>
                <w:webHidden/>
              </w:rPr>
              <w:fldChar w:fldCharType="begin"/>
            </w:r>
            <w:r>
              <w:rPr>
                <w:noProof/>
                <w:webHidden/>
              </w:rPr>
              <w:instrText xml:space="preserve"> PAGEREF _Toc105350464 \h </w:instrText>
            </w:r>
            <w:r>
              <w:rPr>
                <w:noProof/>
                <w:webHidden/>
              </w:rPr>
            </w:r>
            <w:r>
              <w:rPr>
                <w:noProof/>
                <w:webHidden/>
              </w:rPr>
              <w:fldChar w:fldCharType="separate"/>
            </w:r>
            <w:r>
              <w:rPr>
                <w:noProof/>
                <w:webHidden/>
              </w:rPr>
              <w:t>12</w:t>
            </w:r>
            <w:r>
              <w:rPr>
                <w:noProof/>
                <w:webHidden/>
              </w:rPr>
              <w:fldChar w:fldCharType="end"/>
            </w:r>
          </w:hyperlink>
        </w:p>
        <w:p w14:paraId="3D474C8B" w14:textId="420ECB48" w:rsidR="00CF2B1C" w:rsidRDefault="00CF2B1C">
          <w:pPr>
            <w:pStyle w:val="TOC1"/>
            <w:rPr>
              <w:rFonts w:eastAsiaTheme="minorEastAsia"/>
              <w:noProof/>
              <w:lang w:eastAsia="en-GB"/>
            </w:rPr>
          </w:pPr>
          <w:hyperlink w:anchor="_Toc105350465" w:history="1">
            <w:r w:rsidRPr="00D4279B">
              <w:rPr>
                <w:rStyle w:val="Hyperlink"/>
                <w:noProof/>
              </w:rPr>
              <w:t>Appendices</w:t>
            </w:r>
            <w:r>
              <w:rPr>
                <w:noProof/>
                <w:webHidden/>
              </w:rPr>
              <w:tab/>
            </w:r>
            <w:r>
              <w:rPr>
                <w:noProof/>
                <w:webHidden/>
              </w:rPr>
              <w:fldChar w:fldCharType="begin"/>
            </w:r>
            <w:r>
              <w:rPr>
                <w:noProof/>
                <w:webHidden/>
              </w:rPr>
              <w:instrText xml:space="preserve"> PAGEREF _Toc105350465 \h </w:instrText>
            </w:r>
            <w:r>
              <w:rPr>
                <w:noProof/>
                <w:webHidden/>
              </w:rPr>
            </w:r>
            <w:r>
              <w:rPr>
                <w:noProof/>
                <w:webHidden/>
              </w:rPr>
              <w:fldChar w:fldCharType="separate"/>
            </w:r>
            <w:r>
              <w:rPr>
                <w:noProof/>
                <w:webHidden/>
              </w:rPr>
              <w:t>13</w:t>
            </w:r>
            <w:r>
              <w:rPr>
                <w:noProof/>
                <w:webHidden/>
              </w:rPr>
              <w:fldChar w:fldCharType="end"/>
            </w:r>
          </w:hyperlink>
        </w:p>
        <w:p w14:paraId="73503EF1" w14:textId="4DC4987D" w:rsidR="00CF2B1C" w:rsidRDefault="00CF2B1C">
          <w:pPr>
            <w:pStyle w:val="TOC2"/>
            <w:tabs>
              <w:tab w:val="right" w:leader="dot" w:pos="9016"/>
            </w:tabs>
            <w:rPr>
              <w:rFonts w:eastAsiaTheme="minorEastAsia"/>
              <w:noProof/>
              <w:lang w:eastAsia="en-GB"/>
            </w:rPr>
          </w:pPr>
          <w:hyperlink w:anchor="_Toc105350466" w:history="1">
            <w:r w:rsidRPr="00D4279B">
              <w:rPr>
                <w:rStyle w:val="Hyperlink"/>
                <w:noProof/>
                <w:position w:val="2"/>
              </w:rPr>
              <w:t>Ratio Calculations </w:t>
            </w:r>
            <w:r w:rsidRPr="00D4279B">
              <w:rPr>
                <w:rStyle w:val="Hyperlink"/>
                <w:noProof/>
                <w:lang w:val="en-US"/>
              </w:rPr>
              <w:t>​</w:t>
            </w:r>
            <w:r>
              <w:rPr>
                <w:noProof/>
                <w:webHidden/>
              </w:rPr>
              <w:tab/>
            </w:r>
            <w:r>
              <w:rPr>
                <w:noProof/>
                <w:webHidden/>
              </w:rPr>
              <w:fldChar w:fldCharType="begin"/>
            </w:r>
            <w:r>
              <w:rPr>
                <w:noProof/>
                <w:webHidden/>
              </w:rPr>
              <w:instrText xml:space="preserve"> PAGEREF _Toc105350466 \h </w:instrText>
            </w:r>
            <w:r>
              <w:rPr>
                <w:noProof/>
                <w:webHidden/>
              </w:rPr>
            </w:r>
            <w:r>
              <w:rPr>
                <w:noProof/>
                <w:webHidden/>
              </w:rPr>
              <w:fldChar w:fldCharType="separate"/>
            </w:r>
            <w:r>
              <w:rPr>
                <w:noProof/>
                <w:webHidden/>
              </w:rPr>
              <w:t>13</w:t>
            </w:r>
            <w:r>
              <w:rPr>
                <w:noProof/>
                <w:webHidden/>
              </w:rPr>
              <w:fldChar w:fldCharType="end"/>
            </w:r>
          </w:hyperlink>
        </w:p>
        <w:p w14:paraId="54E55313" w14:textId="688BAA92" w:rsidR="00D80599" w:rsidRPr="00C91617" w:rsidRDefault="00802329">
          <w:pPr>
            <w:rPr>
              <w:rFonts w:ascii="Arial" w:hAnsi="Arial" w:cs="Arial"/>
            </w:rPr>
          </w:pPr>
          <w:r w:rsidRPr="00C91617">
            <w:rPr>
              <w:rFonts w:ascii="Arial" w:hAnsi="Arial" w:cs="Arial"/>
              <w:b/>
              <w:bCs/>
              <w:noProof/>
              <w:lang w:val="en-US"/>
            </w:rPr>
            <w:fldChar w:fldCharType="end"/>
          </w:r>
        </w:p>
      </w:sdtContent>
    </w:sdt>
    <w:p w14:paraId="31E32C0F" w14:textId="2F05302B" w:rsidR="000770B5" w:rsidRPr="00C91617" w:rsidRDefault="000770B5">
      <w:pPr>
        <w:rPr>
          <w:rStyle w:val="eop"/>
          <w:rFonts w:ascii="Arial" w:eastAsia="Times New Roman" w:hAnsi="Arial" w:cs="Arial"/>
          <w:color w:val="FF0000"/>
          <w:lang w:eastAsia="en-GB"/>
        </w:rPr>
      </w:pPr>
      <w:r w:rsidRPr="00C91617">
        <w:rPr>
          <w:rStyle w:val="eop"/>
          <w:rFonts w:ascii="Arial" w:hAnsi="Arial" w:cs="Arial"/>
          <w:color w:val="FF0000"/>
        </w:rPr>
        <w:br w:type="page"/>
      </w:r>
    </w:p>
    <w:p w14:paraId="670A5BC3" w14:textId="06CBF979" w:rsidR="00D80599" w:rsidRPr="008F328D" w:rsidRDefault="00714A3F" w:rsidP="00E008D9">
      <w:pPr>
        <w:pStyle w:val="Heading1"/>
        <w:rPr>
          <w:rStyle w:val="normaltextrun"/>
        </w:rPr>
      </w:pPr>
      <w:bookmarkStart w:id="0" w:name="_Toc105350457"/>
      <w:r w:rsidRPr="008F328D">
        <w:rPr>
          <w:rStyle w:val="normaltextrun"/>
        </w:rPr>
        <w:lastRenderedPageBreak/>
        <w:t>Executive Summary</w:t>
      </w:r>
      <w:bookmarkEnd w:id="0"/>
    </w:p>
    <w:p w14:paraId="543AB9AB" w14:textId="77777777" w:rsidR="00F816D8" w:rsidRDefault="00F816D8" w:rsidP="008F3B9E"/>
    <w:p w14:paraId="3CAC7EBF" w14:textId="6FE943D6" w:rsidR="00261838" w:rsidRDefault="00261838" w:rsidP="008F3B9E">
      <w:r>
        <w:t xml:space="preserve">McLaren Holdings Limited </w:t>
      </w:r>
      <w:r w:rsidR="00ED386D">
        <w:t>have been</w:t>
      </w:r>
      <w:r>
        <w:t xml:space="preserve"> identified as a potential joint venture partner </w:t>
      </w:r>
      <w:r w:rsidR="008B1A4E">
        <w:t xml:space="preserve">for </w:t>
      </w:r>
      <w:proofErr w:type="spellStart"/>
      <w:r w:rsidR="008B1A4E">
        <w:t>TWestla</w:t>
      </w:r>
      <w:proofErr w:type="spellEnd"/>
      <w:r w:rsidR="008B1A4E">
        <w:t xml:space="preserve"> Limited to jointly develop a</w:t>
      </w:r>
      <w:r w:rsidR="00ED386D">
        <w:t xml:space="preserve"> luxury</w:t>
      </w:r>
      <w:r w:rsidR="008B1A4E">
        <w:t xml:space="preserve"> electric s</w:t>
      </w:r>
      <w:r w:rsidR="00ED386D">
        <w:t>uper</w:t>
      </w:r>
      <w:r w:rsidR="008B1A4E">
        <w:t xml:space="preserve">car. </w:t>
      </w:r>
      <w:r w:rsidR="00ED386D">
        <w:t>McLaren’s</w:t>
      </w:r>
      <w:r w:rsidR="008B1A4E">
        <w:t xml:space="preserve"> suitability a</w:t>
      </w:r>
      <w:r w:rsidR="00ED386D">
        <w:t>s a</w:t>
      </w:r>
      <w:r w:rsidR="008B1A4E">
        <w:t xml:space="preserve"> potential joint venture partner </w:t>
      </w:r>
      <w:r w:rsidR="00ED386D">
        <w:t>has been assessed by completing a</w:t>
      </w:r>
      <w:r>
        <w:t xml:space="preserve"> financial analysis.</w:t>
      </w:r>
      <w:r w:rsidR="008B1A4E">
        <w:t xml:space="preserve"> Published financial reports </w:t>
      </w:r>
      <w:r w:rsidR="009D71A9">
        <w:t>have formed the basis of this assessment along with recently reported developments.</w:t>
      </w:r>
    </w:p>
    <w:p w14:paraId="55D9237C" w14:textId="1E7449D4" w:rsidR="008F3B9E" w:rsidRDefault="00261838" w:rsidP="008F3B9E">
      <w:r>
        <w:t>Following this analysis, i</w:t>
      </w:r>
      <w:r w:rsidR="009932A8">
        <w:t xml:space="preserve">t is recommended that </w:t>
      </w:r>
      <w:proofErr w:type="spellStart"/>
      <w:r w:rsidR="009932A8">
        <w:t>TWestla</w:t>
      </w:r>
      <w:proofErr w:type="spellEnd"/>
      <w:r w:rsidR="009932A8">
        <w:t xml:space="preserve"> Electric Vehicles does not enter a joint venture with McLaren Holdings Limited and instead seeks an alternative partner.</w:t>
      </w:r>
    </w:p>
    <w:p w14:paraId="2809391C" w14:textId="344F9C77" w:rsidR="00B6678B" w:rsidRDefault="009932A8" w:rsidP="008F3B9E">
      <w:r>
        <w:t>This is primarily based on McLaren’s historically poor financial management performance</w:t>
      </w:r>
      <w:r w:rsidR="00B6678B">
        <w:t xml:space="preserve"> and</w:t>
      </w:r>
      <w:r>
        <w:t xml:space="preserve"> their uncertain </w:t>
      </w:r>
      <w:r w:rsidR="00B6678B">
        <w:t xml:space="preserve">outlook for 2023 and beyond. It is also influenced by the </w:t>
      </w:r>
      <w:r w:rsidR="00ED386D">
        <w:t xml:space="preserve">many changes to their </w:t>
      </w:r>
      <w:r w:rsidR="00B6678B">
        <w:t xml:space="preserve">capital structure </w:t>
      </w:r>
      <w:r w:rsidR="00ED386D">
        <w:t xml:space="preserve">and the </w:t>
      </w:r>
      <w:r w:rsidR="00B6678B">
        <w:t>makeup of their shareholder base</w:t>
      </w:r>
      <w:r w:rsidR="00780FB6">
        <w:t>,</w:t>
      </w:r>
      <w:r w:rsidR="00B6678B">
        <w:t xml:space="preserve"> which carries potential geopolitical risks.</w:t>
      </w:r>
    </w:p>
    <w:p w14:paraId="007F6EFE" w14:textId="43AD497A" w:rsidR="009932A8" w:rsidRDefault="00B6678B" w:rsidP="008F3B9E">
      <w:r>
        <w:t>Other factors taken into consideration include the significantly weakened links with the McLaren Racing Team that have up until now underpinned their credibility in the luxury supercar sector</w:t>
      </w:r>
      <w:r w:rsidR="00780FB6">
        <w:t>;</w:t>
      </w:r>
      <w:r>
        <w:t xml:space="preserve"> the recent sale of the Applied division that </w:t>
      </w:r>
      <w:r w:rsidR="008F328D">
        <w:t>has been the main technological driver in the business</w:t>
      </w:r>
      <w:r w:rsidR="00780FB6">
        <w:t>;</w:t>
      </w:r>
      <w:r w:rsidR="008F328D">
        <w:t xml:space="preserve"> and the </w:t>
      </w:r>
      <w:r w:rsidR="00C527F9">
        <w:t xml:space="preserve">need to </w:t>
      </w:r>
      <w:proofErr w:type="gramStart"/>
      <w:r w:rsidR="00C527F9">
        <w:t>enter into</w:t>
      </w:r>
      <w:proofErr w:type="gramEnd"/>
      <w:r w:rsidR="00C527F9">
        <w:t xml:space="preserve"> a </w:t>
      </w:r>
      <w:r w:rsidR="008F328D">
        <w:t xml:space="preserve">sale and leaseback </w:t>
      </w:r>
      <w:r w:rsidR="00C527F9">
        <w:t xml:space="preserve">arrangements </w:t>
      </w:r>
      <w:r w:rsidR="008F328D">
        <w:t xml:space="preserve">of the headquarters </w:t>
      </w:r>
      <w:r w:rsidR="00643355">
        <w:t>to</w:t>
      </w:r>
      <w:r w:rsidR="008F328D">
        <w:t xml:space="preserve"> raise cash for survival.</w:t>
      </w:r>
    </w:p>
    <w:p w14:paraId="3700E445" w14:textId="5853AD72" w:rsidR="00657C6E" w:rsidRDefault="00657C6E" w:rsidP="008F3B9E">
      <w:r>
        <w:t xml:space="preserve">These measures are a good indication of </w:t>
      </w:r>
      <w:r w:rsidR="00C527F9">
        <w:t xml:space="preserve">the </w:t>
      </w:r>
      <w:r>
        <w:t>past, present and future challenges experienced by the business</w:t>
      </w:r>
      <w:r w:rsidR="00C527F9">
        <w:t xml:space="preserve"> which are by no means behind them</w:t>
      </w:r>
      <w:r w:rsidR="00643355">
        <w:t xml:space="preserve">. </w:t>
      </w:r>
    </w:p>
    <w:p w14:paraId="1EC049E6" w14:textId="05E7D80B" w:rsidR="008F328D" w:rsidRDefault="008F328D" w:rsidP="008F3B9E">
      <w:r>
        <w:t>McLaren have not yet recovered from the Covid</w:t>
      </w:r>
      <w:r w:rsidR="00780FB6">
        <w:t>-</w:t>
      </w:r>
      <w:r>
        <w:t xml:space="preserve">19 pandemic and </w:t>
      </w:r>
      <w:r w:rsidR="00C527F9">
        <w:t xml:space="preserve">the </w:t>
      </w:r>
      <w:r>
        <w:t>ongoing difficulties in the</w:t>
      </w:r>
      <w:r w:rsidR="00C527F9">
        <w:t xml:space="preserve"> global</w:t>
      </w:r>
      <w:r>
        <w:t xml:space="preserve"> supply chain </w:t>
      </w:r>
      <w:r w:rsidR="00C527F9">
        <w:t xml:space="preserve">that are adversely affecting all manufacturing industries – but especially the automotive sector - </w:t>
      </w:r>
      <w:r>
        <w:t xml:space="preserve">are expected to limit sales growth </w:t>
      </w:r>
      <w:r w:rsidR="00C527F9">
        <w:t xml:space="preserve">well into 2023 </w:t>
      </w:r>
      <w:r>
        <w:t>and cause further financial difficulties going forward.</w:t>
      </w:r>
    </w:p>
    <w:p w14:paraId="7682E1A1" w14:textId="24774F39" w:rsidR="008F3B9E" w:rsidRDefault="00780FB6">
      <w:r>
        <w:t xml:space="preserve">These risk factors have been assessed and the </w:t>
      </w:r>
      <w:r w:rsidR="00643355">
        <w:t>conclusion</w:t>
      </w:r>
      <w:r>
        <w:t>s</w:t>
      </w:r>
      <w:r w:rsidR="00643355">
        <w:t xml:space="preserve"> that the business is </w:t>
      </w:r>
      <w:r w:rsidR="00C527F9">
        <w:t xml:space="preserve">too </w:t>
      </w:r>
      <w:r w:rsidR="00643355">
        <w:t>‘high risk</w:t>
      </w:r>
      <w:r w:rsidR="00C527F9">
        <w:t>’,</w:t>
      </w:r>
      <w:r w:rsidR="00643355">
        <w:t xml:space="preserve"> and </w:t>
      </w:r>
      <w:r w:rsidR="00757791">
        <w:t>its</w:t>
      </w:r>
      <w:r w:rsidR="00643355">
        <w:t xml:space="preserve"> future survival is not assured</w:t>
      </w:r>
      <w:r>
        <w:t xml:space="preserve"> have been reached</w:t>
      </w:r>
      <w:r w:rsidR="00643355">
        <w:t>, hence the recommendation not to proceed with McLaren and to seek an alternative partner.</w:t>
      </w:r>
      <w:r w:rsidR="008F3B9E">
        <w:br w:type="page"/>
      </w:r>
    </w:p>
    <w:p w14:paraId="04D919E2" w14:textId="15351EB6" w:rsidR="00775091" w:rsidRPr="00BC4509" w:rsidRDefault="00714A3F" w:rsidP="00E008D9">
      <w:pPr>
        <w:pStyle w:val="Heading1"/>
        <w:rPr>
          <w:rStyle w:val="normaltextrun"/>
        </w:rPr>
      </w:pPr>
      <w:bookmarkStart w:id="1" w:name="_Toc105350458"/>
      <w:r w:rsidRPr="00BC4509">
        <w:rPr>
          <w:rStyle w:val="normaltextrun"/>
        </w:rPr>
        <w:lastRenderedPageBreak/>
        <w:t>Introduction</w:t>
      </w:r>
      <w:bookmarkEnd w:id="1"/>
    </w:p>
    <w:p w14:paraId="5EA5D038" w14:textId="0A6BCF01" w:rsidR="00EC6DAD" w:rsidRDefault="00EC6DAD" w:rsidP="00AB14AC">
      <w:pPr>
        <w:pStyle w:val="paragraph"/>
        <w:spacing w:before="0" w:beforeAutospacing="0" w:after="0" w:afterAutospacing="0"/>
        <w:textAlignment w:val="baseline"/>
        <w:rPr>
          <w:rFonts w:ascii="Arial" w:hAnsi="Arial" w:cs="Arial"/>
          <w:sz w:val="20"/>
          <w:szCs w:val="20"/>
        </w:rPr>
      </w:pPr>
    </w:p>
    <w:p w14:paraId="1F09516E" w14:textId="77777777" w:rsidR="008F328D" w:rsidRDefault="008F328D" w:rsidP="00AB14AC">
      <w:pPr>
        <w:pStyle w:val="paragraph"/>
        <w:spacing w:before="0" w:beforeAutospacing="0" w:after="0" w:afterAutospacing="0"/>
        <w:textAlignment w:val="baseline"/>
        <w:rPr>
          <w:rFonts w:ascii="Arial" w:hAnsi="Arial" w:cs="Arial"/>
          <w:sz w:val="20"/>
          <w:szCs w:val="20"/>
        </w:rPr>
      </w:pPr>
    </w:p>
    <w:p w14:paraId="0AFC0937" w14:textId="231B9C60" w:rsidR="00261838" w:rsidRDefault="00261838" w:rsidP="00261838">
      <w:r>
        <w:t xml:space="preserve">The board of </w:t>
      </w:r>
      <w:proofErr w:type="spellStart"/>
      <w:r>
        <w:t>TWestla</w:t>
      </w:r>
      <w:proofErr w:type="spellEnd"/>
      <w:r>
        <w:t xml:space="preserve"> Electric Vehicles Limited want to add two versions of an electric luxury </w:t>
      </w:r>
      <w:r w:rsidR="00814A96">
        <w:t>sports</w:t>
      </w:r>
      <w:r>
        <w:t xml:space="preserve"> car to their product range and are seeking a joint venture partner to co-develop a suitable vehicle. </w:t>
      </w:r>
      <w:proofErr w:type="spellStart"/>
      <w:r>
        <w:t>TWestla</w:t>
      </w:r>
      <w:proofErr w:type="spellEnd"/>
      <w:r>
        <w:t xml:space="preserve"> currently offer a limited range of high-quality electric cars aimed at </w:t>
      </w:r>
      <w:r w:rsidR="00814A96">
        <w:t>retail</w:t>
      </w:r>
      <w:r>
        <w:t xml:space="preserve"> and business</w:t>
      </w:r>
      <w:r w:rsidR="00814A96">
        <w:t xml:space="preserve"> customers</w:t>
      </w:r>
      <w:r>
        <w:t xml:space="preserve"> at £50K to £80K price </w:t>
      </w:r>
      <w:r>
        <w:t>points and</w:t>
      </w:r>
      <w:r>
        <w:t xml:space="preserve"> believe that adding two high profile luxury sports cars priced at c£125K and c£160K will add to the brand appeal of the whole range and complete their offering.</w:t>
      </w:r>
    </w:p>
    <w:p w14:paraId="0E8AF91E" w14:textId="20325617" w:rsidR="00261838" w:rsidRDefault="005173C2" w:rsidP="00AB14AC">
      <w:pPr>
        <w:pStyle w:val="paragraph"/>
        <w:spacing w:before="0" w:beforeAutospacing="0" w:after="0" w:afterAutospacing="0"/>
        <w:textAlignment w:val="baseline"/>
        <w:rPr>
          <w:rFonts w:ascii="Arial" w:hAnsi="Arial" w:cs="Arial"/>
          <w:sz w:val="20"/>
          <w:szCs w:val="20"/>
        </w:rPr>
      </w:pPr>
      <w:proofErr w:type="spellStart"/>
      <w:r>
        <w:rPr>
          <w:rFonts w:ascii="Arial" w:hAnsi="Arial" w:cs="Arial"/>
          <w:sz w:val="20"/>
          <w:szCs w:val="20"/>
        </w:rPr>
        <w:t>TWestla</w:t>
      </w:r>
      <w:proofErr w:type="spellEnd"/>
      <w:r>
        <w:rPr>
          <w:rFonts w:ascii="Arial" w:hAnsi="Arial" w:cs="Arial"/>
          <w:sz w:val="20"/>
          <w:szCs w:val="20"/>
        </w:rPr>
        <w:t xml:space="preserve"> has developed significant intellectual property relating to electric vehicles but has not </w:t>
      </w:r>
      <w:r w:rsidR="00814A96">
        <w:rPr>
          <w:rFonts w:ascii="Arial" w:hAnsi="Arial" w:cs="Arial"/>
          <w:sz w:val="20"/>
          <w:szCs w:val="20"/>
        </w:rPr>
        <w:t xml:space="preserve">gained experience of </w:t>
      </w:r>
      <w:r>
        <w:rPr>
          <w:rFonts w:ascii="Arial" w:hAnsi="Arial" w:cs="Arial"/>
          <w:sz w:val="20"/>
          <w:szCs w:val="20"/>
        </w:rPr>
        <w:t>appl</w:t>
      </w:r>
      <w:r w:rsidR="00814A96">
        <w:rPr>
          <w:rFonts w:ascii="Arial" w:hAnsi="Arial" w:cs="Arial"/>
          <w:sz w:val="20"/>
          <w:szCs w:val="20"/>
        </w:rPr>
        <w:t>ying</w:t>
      </w:r>
      <w:r>
        <w:rPr>
          <w:rFonts w:ascii="Arial" w:hAnsi="Arial" w:cs="Arial"/>
          <w:sz w:val="20"/>
          <w:szCs w:val="20"/>
        </w:rPr>
        <w:t xml:space="preserve"> this </w:t>
      </w:r>
      <w:r w:rsidR="00814A96">
        <w:rPr>
          <w:rFonts w:ascii="Arial" w:hAnsi="Arial" w:cs="Arial"/>
          <w:sz w:val="20"/>
          <w:szCs w:val="20"/>
        </w:rPr>
        <w:t xml:space="preserve">technology </w:t>
      </w:r>
      <w:r>
        <w:rPr>
          <w:rFonts w:ascii="Arial" w:hAnsi="Arial" w:cs="Arial"/>
          <w:sz w:val="20"/>
          <w:szCs w:val="20"/>
        </w:rPr>
        <w:t>to a luxury supercar offering.</w:t>
      </w:r>
    </w:p>
    <w:p w14:paraId="4D0319A7" w14:textId="77777777" w:rsidR="00261838" w:rsidRDefault="00261838" w:rsidP="00AB14AC">
      <w:pPr>
        <w:pStyle w:val="paragraph"/>
        <w:spacing w:before="0" w:beforeAutospacing="0" w:after="0" w:afterAutospacing="0"/>
        <w:textAlignment w:val="baseline"/>
        <w:rPr>
          <w:rFonts w:ascii="Arial" w:hAnsi="Arial" w:cs="Arial"/>
          <w:sz w:val="20"/>
          <w:szCs w:val="20"/>
        </w:rPr>
      </w:pPr>
    </w:p>
    <w:p w14:paraId="6ACA3C1C" w14:textId="0483BD55" w:rsidR="00AB14AC" w:rsidRPr="00BC4509" w:rsidRDefault="00D14102" w:rsidP="00AB14AC">
      <w:pPr>
        <w:pStyle w:val="paragraph"/>
        <w:spacing w:before="0" w:beforeAutospacing="0" w:after="0" w:afterAutospacing="0"/>
        <w:textAlignment w:val="baseline"/>
        <w:rPr>
          <w:rFonts w:ascii="Arial" w:hAnsi="Arial" w:cs="Arial"/>
          <w:sz w:val="20"/>
          <w:szCs w:val="20"/>
        </w:rPr>
      </w:pPr>
      <w:r w:rsidRPr="00BC4509">
        <w:rPr>
          <w:rFonts w:ascii="Arial" w:hAnsi="Arial" w:cs="Arial"/>
          <w:sz w:val="20"/>
          <w:szCs w:val="20"/>
        </w:rPr>
        <w:t>This</w:t>
      </w:r>
      <w:r w:rsidR="008D37C4" w:rsidRPr="00BC4509">
        <w:rPr>
          <w:rFonts w:ascii="Arial" w:hAnsi="Arial" w:cs="Arial"/>
          <w:sz w:val="20"/>
          <w:szCs w:val="20"/>
        </w:rPr>
        <w:t xml:space="preserve"> report </w:t>
      </w:r>
      <w:r w:rsidR="00AB14AC" w:rsidRPr="00BC4509">
        <w:rPr>
          <w:rFonts w:ascii="Arial" w:hAnsi="Arial" w:cs="Arial"/>
          <w:sz w:val="20"/>
          <w:szCs w:val="20"/>
        </w:rPr>
        <w:t>review</w:t>
      </w:r>
      <w:r w:rsidR="004200FC">
        <w:rPr>
          <w:rFonts w:ascii="Arial" w:hAnsi="Arial" w:cs="Arial"/>
          <w:sz w:val="20"/>
          <w:szCs w:val="20"/>
        </w:rPr>
        <w:t>s</w:t>
      </w:r>
      <w:r w:rsidR="008D37C4" w:rsidRPr="00BC4509">
        <w:rPr>
          <w:rFonts w:ascii="Arial" w:hAnsi="Arial" w:cs="Arial"/>
          <w:sz w:val="20"/>
          <w:szCs w:val="20"/>
        </w:rPr>
        <w:t xml:space="preserve"> McLaren Holdings limited </w:t>
      </w:r>
      <w:r w:rsidR="00AB14AC" w:rsidRPr="00BC4509">
        <w:rPr>
          <w:rFonts w:ascii="Arial" w:hAnsi="Arial" w:cs="Arial"/>
          <w:sz w:val="20"/>
          <w:szCs w:val="20"/>
        </w:rPr>
        <w:t xml:space="preserve">to </w:t>
      </w:r>
      <w:r w:rsidR="00BC4509" w:rsidRPr="00BC4509">
        <w:rPr>
          <w:rFonts w:ascii="Arial" w:hAnsi="Arial" w:cs="Arial"/>
          <w:sz w:val="20"/>
          <w:szCs w:val="20"/>
        </w:rPr>
        <w:t>ascertain their</w:t>
      </w:r>
      <w:r w:rsidR="00AB14AC" w:rsidRPr="00BC4509">
        <w:rPr>
          <w:rFonts w:ascii="Arial" w:hAnsi="Arial" w:cs="Arial"/>
          <w:sz w:val="20"/>
          <w:szCs w:val="20"/>
        </w:rPr>
        <w:t xml:space="preserve"> suitability as a joint venture partner for developing premium high</w:t>
      </w:r>
      <w:r w:rsidR="00780FB6">
        <w:rPr>
          <w:rFonts w:ascii="Arial" w:hAnsi="Arial" w:cs="Arial"/>
          <w:sz w:val="20"/>
          <w:szCs w:val="20"/>
        </w:rPr>
        <w:t>-</w:t>
      </w:r>
      <w:r w:rsidR="00AB14AC" w:rsidRPr="00BC4509">
        <w:rPr>
          <w:rFonts w:ascii="Arial" w:hAnsi="Arial" w:cs="Arial"/>
          <w:sz w:val="20"/>
          <w:szCs w:val="20"/>
        </w:rPr>
        <w:t>performance electric vehicles.</w:t>
      </w:r>
    </w:p>
    <w:p w14:paraId="6B70E14D" w14:textId="77777777" w:rsidR="00AB14AC" w:rsidRPr="00BC4509" w:rsidRDefault="00AB14AC" w:rsidP="00AB14AC">
      <w:pPr>
        <w:pStyle w:val="paragraph"/>
        <w:spacing w:before="0" w:beforeAutospacing="0" w:after="0" w:afterAutospacing="0"/>
        <w:textAlignment w:val="baseline"/>
        <w:rPr>
          <w:rStyle w:val="normaltextrun"/>
          <w:rFonts w:ascii="Arial" w:hAnsi="Arial" w:cs="Arial"/>
          <w:color w:val="000000"/>
          <w:sz w:val="20"/>
          <w:szCs w:val="20"/>
        </w:rPr>
      </w:pPr>
    </w:p>
    <w:p w14:paraId="0018749C" w14:textId="1B5F8A26" w:rsidR="00523DF1" w:rsidRDefault="00BC4509" w:rsidP="00E008D9">
      <w:pPr>
        <w:pStyle w:val="NoSpacing"/>
        <w:rPr>
          <w:rFonts w:ascii="Arial" w:hAnsi="Arial" w:cs="Arial"/>
          <w:sz w:val="20"/>
          <w:szCs w:val="20"/>
        </w:rPr>
      </w:pPr>
      <w:r>
        <w:rPr>
          <w:rFonts w:ascii="Arial" w:hAnsi="Arial" w:cs="Arial"/>
          <w:sz w:val="20"/>
          <w:szCs w:val="20"/>
        </w:rPr>
        <w:t xml:space="preserve">The basis of the report </w:t>
      </w:r>
      <w:r w:rsidR="00780FB6">
        <w:rPr>
          <w:rFonts w:ascii="Arial" w:hAnsi="Arial" w:cs="Arial"/>
          <w:sz w:val="20"/>
          <w:szCs w:val="20"/>
        </w:rPr>
        <w:t xml:space="preserve">has been formed </w:t>
      </w:r>
      <w:r w:rsidR="005173C2">
        <w:rPr>
          <w:rFonts w:ascii="Arial" w:hAnsi="Arial" w:cs="Arial"/>
          <w:sz w:val="20"/>
          <w:szCs w:val="20"/>
        </w:rPr>
        <w:t>from:</w:t>
      </w:r>
    </w:p>
    <w:p w14:paraId="7FF0F0E9" w14:textId="77777777" w:rsidR="008F3B9E" w:rsidRDefault="008F3B9E" w:rsidP="00E008D9">
      <w:pPr>
        <w:pStyle w:val="NoSpacing"/>
        <w:rPr>
          <w:rFonts w:ascii="Arial" w:hAnsi="Arial" w:cs="Arial"/>
          <w:sz w:val="20"/>
          <w:szCs w:val="20"/>
        </w:rPr>
      </w:pPr>
    </w:p>
    <w:p w14:paraId="7FAFBD43" w14:textId="44BCE11E" w:rsidR="00D95C8B" w:rsidRDefault="00BC4509" w:rsidP="00523DF1">
      <w:pPr>
        <w:pStyle w:val="NoSpacing"/>
        <w:numPr>
          <w:ilvl w:val="0"/>
          <w:numId w:val="10"/>
        </w:numPr>
        <w:rPr>
          <w:rFonts w:ascii="Arial" w:hAnsi="Arial" w:cs="Arial"/>
          <w:sz w:val="20"/>
          <w:szCs w:val="20"/>
        </w:rPr>
      </w:pPr>
      <w:r>
        <w:rPr>
          <w:rFonts w:ascii="Arial" w:hAnsi="Arial" w:cs="Arial"/>
          <w:sz w:val="20"/>
          <w:szCs w:val="20"/>
        </w:rPr>
        <w:t xml:space="preserve">the Annual Report and Consolidated Financial Statements of McLaren </w:t>
      </w:r>
      <w:r w:rsidR="00523DF1">
        <w:rPr>
          <w:rFonts w:ascii="Arial" w:hAnsi="Arial" w:cs="Arial"/>
          <w:sz w:val="20"/>
          <w:szCs w:val="20"/>
        </w:rPr>
        <w:t>Holdings</w:t>
      </w:r>
      <w:r>
        <w:rPr>
          <w:rFonts w:ascii="Arial" w:hAnsi="Arial" w:cs="Arial"/>
          <w:sz w:val="20"/>
          <w:szCs w:val="20"/>
        </w:rPr>
        <w:t xml:space="preserve"> Limited </w:t>
      </w:r>
      <w:r w:rsidR="00523DF1">
        <w:rPr>
          <w:rFonts w:ascii="Arial" w:hAnsi="Arial" w:cs="Arial"/>
          <w:sz w:val="20"/>
          <w:szCs w:val="20"/>
        </w:rPr>
        <w:t>31</w:t>
      </w:r>
      <w:r w:rsidR="00523DF1" w:rsidRPr="00523DF1">
        <w:rPr>
          <w:rFonts w:ascii="Arial" w:hAnsi="Arial" w:cs="Arial"/>
          <w:sz w:val="20"/>
          <w:szCs w:val="20"/>
          <w:vertAlign w:val="superscript"/>
        </w:rPr>
        <w:t>st</w:t>
      </w:r>
      <w:r w:rsidR="00523DF1">
        <w:rPr>
          <w:rFonts w:ascii="Arial" w:hAnsi="Arial" w:cs="Arial"/>
          <w:sz w:val="20"/>
          <w:szCs w:val="20"/>
        </w:rPr>
        <w:t xml:space="preserve"> </w:t>
      </w:r>
      <w:r>
        <w:rPr>
          <w:rFonts w:ascii="Arial" w:hAnsi="Arial" w:cs="Arial"/>
          <w:sz w:val="20"/>
          <w:szCs w:val="20"/>
        </w:rPr>
        <w:t xml:space="preserve">December 2020 </w:t>
      </w:r>
      <w:r w:rsidR="00523DF1">
        <w:rPr>
          <w:rFonts w:ascii="Arial" w:hAnsi="Arial" w:cs="Arial"/>
          <w:sz w:val="20"/>
          <w:szCs w:val="20"/>
        </w:rPr>
        <w:t>issued on April 28</w:t>
      </w:r>
      <w:r w:rsidR="00523DF1" w:rsidRPr="00523DF1">
        <w:rPr>
          <w:rFonts w:ascii="Arial" w:hAnsi="Arial" w:cs="Arial"/>
          <w:sz w:val="20"/>
          <w:szCs w:val="20"/>
          <w:vertAlign w:val="superscript"/>
        </w:rPr>
        <w:t>th</w:t>
      </w:r>
      <w:r w:rsidR="0081211C">
        <w:rPr>
          <w:rFonts w:ascii="Arial" w:hAnsi="Arial" w:cs="Arial"/>
          <w:sz w:val="20"/>
          <w:szCs w:val="20"/>
        </w:rPr>
        <w:t>, 2021</w:t>
      </w:r>
      <w:r w:rsidR="00780FB6">
        <w:rPr>
          <w:rFonts w:ascii="Arial" w:hAnsi="Arial" w:cs="Arial"/>
          <w:sz w:val="20"/>
          <w:szCs w:val="20"/>
        </w:rPr>
        <w:t>;</w:t>
      </w:r>
      <w:r w:rsidR="00523DF1">
        <w:rPr>
          <w:rFonts w:ascii="Arial" w:hAnsi="Arial" w:cs="Arial"/>
          <w:sz w:val="20"/>
          <w:szCs w:val="20"/>
        </w:rPr>
        <w:t xml:space="preserve"> and </w:t>
      </w:r>
    </w:p>
    <w:p w14:paraId="7FB61118" w14:textId="77777777" w:rsidR="008F3B9E" w:rsidRDefault="008F3B9E" w:rsidP="00A1433C">
      <w:pPr>
        <w:pStyle w:val="NoSpacing"/>
        <w:ind w:left="780"/>
        <w:rPr>
          <w:rFonts w:ascii="Arial" w:hAnsi="Arial" w:cs="Arial"/>
          <w:sz w:val="20"/>
          <w:szCs w:val="20"/>
        </w:rPr>
      </w:pPr>
    </w:p>
    <w:p w14:paraId="2F2AC431" w14:textId="7F13FBB4" w:rsidR="00523DF1" w:rsidRDefault="00523DF1" w:rsidP="00523DF1">
      <w:pPr>
        <w:pStyle w:val="NoSpacing"/>
        <w:numPr>
          <w:ilvl w:val="0"/>
          <w:numId w:val="10"/>
        </w:numPr>
        <w:rPr>
          <w:rFonts w:ascii="Arial" w:hAnsi="Arial" w:cs="Arial"/>
          <w:sz w:val="20"/>
          <w:szCs w:val="20"/>
        </w:rPr>
      </w:pPr>
      <w:r>
        <w:rPr>
          <w:rFonts w:ascii="Arial" w:hAnsi="Arial" w:cs="Arial"/>
          <w:sz w:val="20"/>
          <w:szCs w:val="20"/>
        </w:rPr>
        <w:t>the Annual Report and Consolidated Financial Statements of McClaren Holdings Limited 31</w:t>
      </w:r>
      <w:r w:rsidRPr="00523DF1">
        <w:rPr>
          <w:rFonts w:ascii="Arial" w:hAnsi="Arial" w:cs="Arial"/>
          <w:sz w:val="20"/>
          <w:szCs w:val="20"/>
          <w:vertAlign w:val="superscript"/>
        </w:rPr>
        <w:t>st</w:t>
      </w:r>
      <w:r>
        <w:rPr>
          <w:rFonts w:ascii="Arial" w:hAnsi="Arial" w:cs="Arial"/>
          <w:sz w:val="20"/>
          <w:szCs w:val="20"/>
        </w:rPr>
        <w:t xml:space="preserve"> December 2021 issued on </w:t>
      </w:r>
      <w:r w:rsidR="00EC6DAD">
        <w:rPr>
          <w:rFonts w:ascii="Arial" w:hAnsi="Arial" w:cs="Arial"/>
          <w:sz w:val="20"/>
          <w:szCs w:val="20"/>
        </w:rPr>
        <w:t>May 25</w:t>
      </w:r>
      <w:r w:rsidR="00EC6DAD" w:rsidRPr="00EC6DAD">
        <w:rPr>
          <w:rFonts w:ascii="Arial" w:hAnsi="Arial" w:cs="Arial"/>
          <w:sz w:val="20"/>
          <w:szCs w:val="20"/>
          <w:vertAlign w:val="superscript"/>
        </w:rPr>
        <w:t>th</w:t>
      </w:r>
      <w:r w:rsidR="0081211C">
        <w:rPr>
          <w:rFonts w:ascii="Arial" w:hAnsi="Arial" w:cs="Arial"/>
          <w:sz w:val="20"/>
          <w:szCs w:val="20"/>
        </w:rPr>
        <w:t>, 2022</w:t>
      </w:r>
      <w:r w:rsidR="00EC6DAD">
        <w:rPr>
          <w:rFonts w:ascii="Arial" w:hAnsi="Arial" w:cs="Arial"/>
          <w:sz w:val="20"/>
          <w:szCs w:val="20"/>
        </w:rPr>
        <w:t>.</w:t>
      </w:r>
    </w:p>
    <w:p w14:paraId="4AC77351" w14:textId="609FB7AD" w:rsidR="00EC6DAD" w:rsidRDefault="00EC6DAD" w:rsidP="00EC6DAD">
      <w:pPr>
        <w:pStyle w:val="NoSpacing"/>
        <w:rPr>
          <w:rFonts w:ascii="Arial" w:hAnsi="Arial" w:cs="Arial"/>
          <w:sz w:val="20"/>
          <w:szCs w:val="20"/>
        </w:rPr>
      </w:pPr>
    </w:p>
    <w:p w14:paraId="6A564C19" w14:textId="405D8D60" w:rsidR="00EC6DAD" w:rsidRDefault="00EC6DAD" w:rsidP="00EC6DAD">
      <w:pPr>
        <w:pStyle w:val="NoSpacing"/>
        <w:rPr>
          <w:rFonts w:ascii="Arial" w:hAnsi="Arial" w:cs="Arial"/>
          <w:sz w:val="20"/>
          <w:szCs w:val="20"/>
        </w:rPr>
      </w:pPr>
      <w:r>
        <w:rPr>
          <w:rFonts w:ascii="Arial" w:hAnsi="Arial" w:cs="Arial"/>
          <w:sz w:val="20"/>
          <w:szCs w:val="20"/>
        </w:rPr>
        <w:t xml:space="preserve">The 2021 report was </w:t>
      </w:r>
      <w:r w:rsidR="008F3B9E">
        <w:rPr>
          <w:rFonts w:ascii="Arial" w:hAnsi="Arial" w:cs="Arial"/>
          <w:sz w:val="20"/>
          <w:szCs w:val="20"/>
        </w:rPr>
        <w:t>published</w:t>
      </w:r>
      <w:r>
        <w:rPr>
          <w:rFonts w:ascii="Arial" w:hAnsi="Arial" w:cs="Arial"/>
          <w:sz w:val="20"/>
          <w:szCs w:val="20"/>
        </w:rPr>
        <w:t xml:space="preserve"> </w:t>
      </w:r>
      <w:r w:rsidR="008F3B9E">
        <w:rPr>
          <w:rFonts w:ascii="Arial" w:hAnsi="Arial" w:cs="Arial"/>
          <w:sz w:val="20"/>
          <w:szCs w:val="20"/>
        </w:rPr>
        <w:t>recently</w:t>
      </w:r>
      <w:r>
        <w:rPr>
          <w:rFonts w:ascii="Arial" w:hAnsi="Arial" w:cs="Arial"/>
          <w:sz w:val="20"/>
          <w:szCs w:val="20"/>
        </w:rPr>
        <w:t xml:space="preserve"> so </w:t>
      </w:r>
      <w:r w:rsidR="008F3B9E">
        <w:rPr>
          <w:rFonts w:ascii="Arial" w:hAnsi="Arial" w:cs="Arial"/>
          <w:sz w:val="20"/>
          <w:szCs w:val="20"/>
        </w:rPr>
        <w:t xml:space="preserve">it </w:t>
      </w:r>
      <w:r>
        <w:rPr>
          <w:rFonts w:ascii="Arial" w:hAnsi="Arial" w:cs="Arial"/>
          <w:sz w:val="20"/>
          <w:szCs w:val="20"/>
        </w:rPr>
        <w:t>is the latest available published information</w:t>
      </w:r>
      <w:r w:rsidR="00E96D51">
        <w:rPr>
          <w:rFonts w:ascii="Arial" w:hAnsi="Arial" w:cs="Arial"/>
          <w:sz w:val="20"/>
          <w:szCs w:val="20"/>
        </w:rPr>
        <w:t xml:space="preserve"> and is a late inclusion</w:t>
      </w:r>
      <w:r w:rsidR="008F3B9E">
        <w:rPr>
          <w:rFonts w:ascii="Arial" w:hAnsi="Arial" w:cs="Arial"/>
          <w:sz w:val="20"/>
          <w:szCs w:val="20"/>
        </w:rPr>
        <w:t xml:space="preserve"> to this report</w:t>
      </w:r>
      <w:r>
        <w:rPr>
          <w:rFonts w:ascii="Arial" w:hAnsi="Arial" w:cs="Arial"/>
          <w:sz w:val="20"/>
          <w:szCs w:val="20"/>
        </w:rPr>
        <w:t>.</w:t>
      </w:r>
    </w:p>
    <w:p w14:paraId="5DB7CD50" w14:textId="3977F721" w:rsidR="00D95C8B" w:rsidRDefault="00D95C8B" w:rsidP="00E008D9">
      <w:pPr>
        <w:pStyle w:val="NoSpacing"/>
        <w:rPr>
          <w:rFonts w:ascii="Arial" w:hAnsi="Arial" w:cs="Arial"/>
          <w:sz w:val="20"/>
          <w:szCs w:val="20"/>
        </w:rPr>
      </w:pPr>
    </w:p>
    <w:p w14:paraId="4A508BB3" w14:textId="2089D959" w:rsidR="00EC6DAD" w:rsidRDefault="0081211C" w:rsidP="00E008D9">
      <w:pPr>
        <w:pStyle w:val="NoSpacing"/>
        <w:rPr>
          <w:rFonts w:ascii="Arial" w:hAnsi="Arial" w:cs="Arial"/>
          <w:sz w:val="20"/>
          <w:szCs w:val="20"/>
        </w:rPr>
      </w:pPr>
      <w:r>
        <w:rPr>
          <w:rFonts w:ascii="Arial" w:hAnsi="Arial" w:cs="Arial"/>
          <w:sz w:val="20"/>
          <w:szCs w:val="20"/>
        </w:rPr>
        <w:t xml:space="preserve">The structure of the entity is </w:t>
      </w:r>
      <w:r w:rsidR="00B41D8D">
        <w:rPr>
          <w:rFonts w:ascii="Arial" w:hAnsi="Arial" w:cs="Arial"/>
          <w:sz w:val="20"/>
          <w:szCs w:val="20"/>
        </w:rPr>
        <w:t xml:space="preserve">also </w:t>
      </w:r>
      <w:r>
        <w:rPr>
          <w:rFonts w:ascii="Arial" w:hAnsi="Arial" w:cs="Arial"/>
          <w:sz w:val="20"/>
          <w:szCs w:val="20"/>
        </w:rPr>
        <w:t>quite complicated</w:t>
      </w:r>
      <w:r w:rsidR="00780FB6">
        <w:rPr>
          <w:rFonts w:ascii="Arial" w:hAnsi="Arial" w:cs="Arial"/>
          <w:sz w:val="20"/>
          <w:szCs w:val="20"/>
        </w:rPr>
        <w:t>,</w:t>
      </w:r>
      <w:r>
        <w:rPr>
          <w:rFonts w:ascii="Arial" w:hAnsi="Arial" w:cs="Arial"/>
          <w:sz w:val="20"/>
          <w:szCs w:val="20"/>
        </w:rPr>
        <w:t xml:space="preserve"> as the reports </w:t>
      </w:r>
      <w:r w:rsidR="008F3B9E">
        <w:rPr>
          <w:rFonts w:ascii="Arial" w:hAnsi="Arial" w:cs="Arial"/>
          <w:sz w:val="20"/>
          <w:szCs w:val="20"/>
        </w:rPr>
        <w:t>refer</w:t>
      </w:r>
      <w:r>
        <w:rPr>
          <w:rFonts w:ascii="Arial" w:hAnsi="Arial" w:cs="Arial"/>
          <w:sz w:val="20"/>
          <w:szCs w:val="20"/>
        </w:rPr>
        <w:t xml:space="preserve"> to the parent company (McLaren Holdings Limited) and ‘The Group’</w:t>
      </w:r>
      <w:r w:rsidR="008F3B9E">
        <w:rPr>
          <w:rFonts w:ascii="Arial" w:hAnsi="Arial" w:cs="Arial"/>
          <w:sz w:val="20"/>
          <w:szCs w:val="20"/>
        </w:rPr>
        <w:t>, as well as various joint venture partners for different divisions</w:t>
      </w:r>
      <w:r>
        <w:rPr>
          <w:rFonts w:ascii="Arial" w:hAnsi="Arial" w:cs="Arial"/>
          <w:sz w:val="20"/>
          <w:szCs w:val="20"/>
        </w:rPr>
        <w:t>.</w:t>
      </w:r>
    </w:p>
    <w:p w14:paraId="04C74798" w14:textId="77777777" w:rsidR="008F3B9E" w:rsidRDefault="008F3B9E" w:rsidP="00E008D9">
      <w:pPr>
        <w:pStyle w:val="NoSpacing"/>
        <w:rPr>
          <w:rFonts w:ascii="Arial" w:hAnsi="Arial" w:cs="Arial"/>
          <w:sz w:val="20"/>
          <w:szCs w:val="20"/>
        </w:rPr>
      </w:pPr>
    </w:p>
    <w:p w14:paraId="00B9FE07" w14:textId="07A9E613" w:rsidR="00EC6DAD" w:rsidRDefault="008F3B9E" w:rsidP="00E008D9">
      <w:pPr>
        <w:pStyle w:val="NoSpacing"/>
        <w:rPr>
          <w:rFonts w:ascii="Arial" w:hAnsi="Arial" w:cs="Arial"/>
          <w:sz w:val="20"/>
          <w:szCs w:val="20"/>
        </w:rPr>
      </w:pPr>
      <w:r>
        <w:rPr>
          <w:rFonts w:ascii="Arial" w:hAnsi="Arial" w:cs="Arial"/>
          <w:sz w:val="20"/>
          <w:szCs w:val="20"/>
        </w:rPr>
        <w:t>Several significant developments have occurred during these periods</w:t>
      </w:r>
      <w:r w:rsidR="00780FB6">
        <w:rPr>
          <w:rFonts w:ascii="Arial" w:hAnsi="Arial" w:cs="Arial"/>
          <w:sz w:val="20"/>
          <w:szCs w:val="20"/>
        </w:rPr>
        <w:t>.</w:t>
      </w:r>
      <w:r>
        <w:rPr>
          <w:rFonts w:ascii="Arial" w:hAnsi="Arial" w:cs="Arial"/>
          <w:sz w:val="20"/>
          <w:szCs w:val="20"/>
        </w:rPr>
        <w:t xml:space="preserve"> so this report will take those developments into account when formulating the recommendations.</w:t>
      </w:r>
    </w:p>
    <w:p w14:paraId="79F7C4A3" w14:textId="77777777" w:rsidR="008F3B9E" w:rsidRDefault="008F3B9E" w:rsidP="00E008D9">
      <w:pPr>
        <w:pStyle w:val="NoSpacing"/>
        <w:rPr>
          <w:rFonts w:ascii="Arial" w:hAnsi="Arial" w:cs="Arial"/>
          <w:sz w:val="20"/>
          <w:szCs w:val="20"/>
        </w:rPr>
      </w:pPr>
    </w:p>
    <w:p w14:paraId="2B6504DF" w14:textId="77777777" w:rsidR="002138E4" w:rsidRPr="00BC4509" w:rsidRDefault="002138E4" w:rsidP="00E008D9">
      <w:pPr>
        <w:pStyle w:val="NoSpacing"/>
        <w:rPr>
          <w:rFonts w:ascii="Arial" w:hAnsi="Arial" w:cs="Arial"/>
        </w:rPr>
      </w:pPr>
    </w:p>
    <w:p w14:paraId="7B08413D" w14:textId="06BBC76F" w:rsidR="008F328D" w:rsidRDefault="008F328D">
      <w:pPr>
        <w:rPr>
          <w:rStyle w:val="normaltextrun"/>
          <w:rFonts w:ascii="Arial" w:eastAsiaTheme="majorEastAsia" w:hAnsi="Arial" w:cs="Arial"/>
          <w:sz w:val="32"/>
          <w:szCs w:val="32"/>
        </w:rPr>
      </w:pPr>
      <w:r>
        <w:rPr>
          <w:rStyle w:val="normaltextrun"/>
        </w:rPr>
        <w:br w:type="page"/>
      </w:r>
    </w:p>
    <w:p w14:paraId="29484A15" w14:textId="4385B1F1" w:rsidR="00714A3F" w:rsidRPr="00BC4509" w:rsidRDefault="00714A3F" w:rsidP="00E008D9">
      <w:pPr>
        <w:pStyle w:val="Heading1"/>
        <w:rPr>
          <w:rStyle w:val="normaltextrun"/>
        </w:rPr>
      </w:pPr>
      <w:bookmarkStart w:id="2" w:name="_Toc105350459"/>
      <w:r w:rsidRPr="00BC4509">
        <w:rPr>
          <w:rStyle w:val="normaltextrun"/>
        </w:rPr>
        <w:lastRenderedPageBreak/>
        <w:t>Use and Limitation of Ratios</w:t>
      </w:r>
      <w:bookmarkEnd w:id="2"/>
    </w:p>
    <w:p w14:paraId="71DD8DAA" w14:textId="3080C1D8" w:rsidR="00C1648E" w:rsidRDefault="00C1648E" w:rsidP="00E008D9">
      <w:pPr>
        <w:pStyle w:val="NoSpacing"/>
        <w:rPr>
          <w:sz w:val="20"/>
          <w:szCs w:val="20"/>
        </w:rPr>
      </w:pPr>
    </w:p>
    <w:p w14:paraId="01BC01AA" w14:textId="59432D99" w:rsidR="00A90424" w:rsidRDefault="005173C2" w:rsidP="00053458">
      <w:pPr>
        <w:pStyle w:val="paragraph"/>
        <w:spacing w:before="0" w:beforeAutospacing="0" w:after="0" w:afterAutospacing="0"/>
        <w:textAlignment w:val="baseline"/>
        <w:rPr>
          <w:rFonts w:ascii="Arial" w:hAnsi="Arial" w:cs="Arial"/>
          <w:sz w:val="20"/>
          <w:szCs w:val="20"/>
        </w:rPr>
      </w:pPr>
      <w:r>
        <w:rPr>
          <w:rFonts w:ascii="Arial" w:hAnsi="Arial" w:cs="Arial"/>
          <w:sz w:val="20"/>
          <w:szCs w:val="20"/>
        </w:rPr>
        <w:t>Companies</w:t>
      </w:r>
      <w:r w:rsidR="00315537">
        <w:rPr>
          <w:rFonts w:ascii="Arial" w:hAnsi="Arial" w:cs="Arial"/>
          <w:sz w:val="20"/>
          <w:szCs w:val="20"/>
        </w:rPr>
        <w:t xml:space="preserve"> p</w:t>
      </w:r>
      <w:r w:rsidR="00A90424">
        <w:rPr>
          <w:rFonts w:ascii="Arial" w:hAnsi="Arial" w:cs="Arial"/>
          <w:sz w:val="20"/>
          <w:szCs w:val="20"/>
        </w:rPr>
        <w:t>ublished financial reports are created by the business themselves</w:t>
      </w:r>
      <w:r>
        <w:rPr>
          <w:rFonts w:ascii="Arial" w:hAnsi="Arial" w:cs="Arial"/>
          <w:sz w:val="20"/>
          <w:szCs w:val="20"/>
        </w:rPr>
        <w:t>, and a lot of the information in the reports are based on the Directors</w:t>
      </w:r>
      <w:r w:rsidR="00E43DD1">
        <w:rPr>
          <w:rFonts w:ascii="Arial" w:hAnsi="Arial" w:cs="Arial"/>
          <w:sz w:val="20"/>
          <w:szCs w:val="20"/>
        </w:rPr>
        <w:t>’</w:t>
      </w:r>
      <w:r>
        <w:rPr>
          <w:rFonts w:ascii="Arial" w:hAnsi="Arial" w:cs="Arial"/>
          <w:sz w:val="20"/>
          <w:szCs w:val="20"/>
        </w:rPr>
        <w:t xml:space="preserve"> opinion of the outlook for their business and </w:t>
      </w:r>
      <w:r w:rsidR="00E43DD1">
        <w:rPr>
          <w:rFonts w:ascii="Arial" w:hAnsi="Arial" w:cs="Arial"/>
          <w:sz w:val="20"/>
          <w:szCs w:val="20"/>
        </w:rPr>
        <w:t xml:space="preserve">the </w:t>
      </w:r>
      <w:r>
        <w:rPr>
          <w:rFonts w:ascii="Arial" w:hAnsi="Arial" w:cs="Arial"/>
          <w:sz w:val="20"/>
          <w:szCs w:val="20"/>
        </w:rPr>
        <w:t>sector</w:t>
      </w:r>
      <w:r w:rsidR="00E43DD1">
        <w:rPr>
          <w:rFonts w:ascii="Arial" w:hAnsi="Arial" w:cs="Arial"/>
          <w:sz w:val="20"/>
          <w:szCs w:val="20"/>
        </w:rPr>
        <w:t>s in which they operate</w:t>
      </w:r>
      <w:r>
        <w:rPr>
          <w:rFonts w:ascii="Arial" w:hAnsi="Arial" w:cs="Arial"/>
          <w:sz w:val="20"/>
          <w:szCs w:val="20"/>
        </w:rPr>
        <w:t xml:space="preserve">. The commentary in the reports can be overconfident </w:t>
      </w:r>
      <w:r w:rsidR="00E43DD1">
        <w:rPr>
          <w:rFonts w:ascii="Arial" w:hAnsi="Arial" w:cs="Arial"/>
          <w:sz w:val="20"/>
          <w:szCs w:val="20"/>
        </w:rPr>
        <w:t xml:space="preserve">or even unrealistic, </w:t>
      </w:r>
      <w:r>
        <w:rPr>
          <w:rFonts w:ascii="Arial" w:hAnsi="Arial" w:cs="Arial"/>
          <w:sz w:val="20"/>
          <w:szCs w:val="20"/>
        </w:rPr>
        <w:t>and despite regulatory requirements, they may not represent a completely balanced view of the outlook for the business.</w:t>
      </w:r>
      <w:r w:rsidR="008B1A4E">
        <w:rPr>
          <w:rFonts w:ascii="Arial" w:hAnsi="Arial" w:cs="Arial"/>
          <w:sz w:val="20"/>
          <w:szCs w:val="20"/>
        </w:rPr>
        <w:t xml:space="preserve"> The financial elements of the reports need to meet the accounting practices and are by their very nature historical so they can be used and compared </w:t>
      </w:r>
      <w:r w:rsidR="00E43DD1">
        <w:rPr>
          <w:rFonts w:ascii="Arial" w:hAnsi="Arial" w:cs="Arial"/>
          <w:sz w:val="20"/>
          <w:szCs w:val="20"/>
        </w:rPr>
        <w:t xml:space="preserve">to assess </w:t>
      </w:r>
      <w:r w:rsidR="008B1A4E">
        <w:rPr>
          <w:rFonts w:ascii="Arial" w:hAnsi="Arial" w:cs="Arial"/>
          <w:sz w:val="20"/>
          <w:szCs w:val="20"/>
        </w:rPr>
        <w:t>actual financial performance objectively.</w:t>
      </w:r>
      <w:r w:rsidR="009D71A9">
        <w:rPr>
          <w:rFonts w:ascii="Arial" w:hAnsi="Arial" w:cs="Arial"/>
          <w:sz w:val="20"/>
          <w:szCs w:val="20"/>
        </w:rPr>
        <w:t xml:space="preserve"> However, they do have some shortcomings as is explained below.</w:t>
      </w:r>
    </w:p>
    <w:p w14:paraId="344A2641" w14:textId="1BAA5220" w:rsidR="005E3C74" w:rsidRDefault="005E3C74" w:rsidP="00053458">
      <w:pPr>
        <w:pStyle w:val="paragraph"/>
        <w:spacing w:before="0" w:beforeAutospacing="0" w:after="0" w:afterAutospacing="0"/>
        <w:textAlignment w:val="baseline"/>
        <w:rPr>
          <w:rFonts w:ascii="Arial" w:hAnsi="Arial" w:cs="Arial"/>
          <w:sz w:val="20"/>
          <w:szCs w:val="20"/>
        </w:rPr>
      </w:pPr>
    </w:p>
    <w:p w14:paraId="3B7702A1" w14:textId="3A9DDCFE" w:rsidR="005E3C74" w:rsidRDefault="005E3C74" w:rsidP="00A154F3">
      <w:pPr>
        <w:pStyle w:val="Quote"/>
      </w:pPr>
      <w:r>
        <w:t>‘</w:t>
      </w:r>
      <w:r>
        <w:t xml:space="preserve">If nothing else, the awareness that management may have something up its sleeve will encourage readers to trust their instincts when some aspect of a company’s disclosure simply does not ring true. </w:t>
      </w:r>
      <w:proofErr w:type="gramStart"/>
      <w:r>
        <w:t>In a given</w:t>
      </w:r>
      <w:proofErr w:type="gramEnd"/>
      <w:r>
        <w:t xml:space="preserve"> instance, management may judge that its best chance of minimizing analysts’ criticism of an obviously disastrous corporate decision lies in stubbornly defending the decision and refusing to change course</w:t>
      </w:r>
      <w:r>
        <w:t>’</w:t>
      </w:r>
      <w:sdt>
        <w:sdtPr>
          <w:id w:val="-240483531"/>
          <w:citation/>
        </w:sdtPr>
        <w:sdtContent>
          <w:r w:rsidR="00315537">
            <w:fldChar w:fldCharType="begin"/>
          </w:r>
          <w:r w:rsidR="00C72874">
            <w:instrText xml:space="preserve">CITATION Alv02 \l 2057 </w:instrText>
          </w:r>
          <w:r w:rsidR="00315537">
            <w:fldChar w:fldCharType="separate"/>
          </w:r>
          <w:r w:rsidR="003A26CB" w:rsidRPr="003A26CB">
            <w:rPr>
              <w:noProof/>
            </w:rPr>
            <w:t>(Alvarez &amp; Fridson, 2002)</w:t>
          </w:r>
          <w:r w:rsidR="00315537">
            <w:fldChar w:fldCharType="end"/>
          </w:r>
        </w:sdtContent>
      </w:sdt>
    </w:p>
    <w:p w14:paraId="4F497919" w14:textId="77777777" w:rsidR="00A90424" w:rsidRDefault="00A90424" w:rsidP="00053458">
      <w:pPr>
        <w:pStyle w:val="paragraph"/>
        <w:spacing w:before="0" w:beforeAutospacing="0" w:after="0" w:afterAutospacing="0"/>
        <w:textAlignment w:val="baseline"/>
        <w:rPr>
          <w:rFonts w:ascii="Arial" w:hAnsi="Arial" w:cs="Arial"/>
          <w:sz w:val="20"/>
          <w:szCs w:val="20"/>
        </w:rPr>
      </w:pPr>
    </w:p>
    <w:p w14:paraId="1EC602D8" w14:textId="77777777" w:rsidR="00E43DD1" w:rsidRDefault="00053458" w:rsidP="00E43DD1">
      <w:pPr>
        <w:pStyle w:val="paragraph"/>
        <w:spacing w:before="0" w:beforeAutospacing="0" w:after="0" w:afterAutospacing="0"/>
        <w:textAlignment w:val="baseline"/>
        <w:rPr>
          <w:rFonts w:ascii="Arial" w:hAnsi="Arial" w:cs="Arial"/>
          <w:sz w:val="20"/>
          <w:szCs w:val="20"/>
        </w:rPr>
      </w:pPr>
      <w:r>
        <w:rPr>
          <w:rFonts w:ascii="Arial" w:hAnsi="Arial" w:cs="Arial"/>
          <w:sz w:val="20"/>
          <w:szCs w:val="20"/>
        </w:rPr>
        <w:t>The following financial statements from within the published financial reports have been assessed</w:t>
      </w:r>
      <w:r>
        <w:rPr>
          <w:rFonts w:ascii="Arial" w:hAnsi="Arial" w:cs="Arial"/>
          <w:sz w:val="20"/>
          <w:szCs w:val="20"/>
        </w:rPr>
        <w:t xml:space="preserve">, and ratios </w:t>
      </w:r>
      <w:r w:rsidR="005A183A">
        <w:rPr>
          <w:rFonts w:ascii="Arial" w:hAnsi="Arial" w:cs="Arial"/>
          <w:sz w:val="20"/>
          <w:szCs w:val="20"/>
        </w:rPr>
        <w:t xml:space="preserve">have </w:t>
      </w:r>
      <w:r>
        <w:rPr>
          <w:rFonts w:ascii="Arial" w:hAnsi="Arial" w:cs="Arial"/>
          <w:sz w:val="20"/>
          <w:szCs w:val="20"/>
        </w:rPr>
        <w:t>created from</w:t>
      </w:r>
      <w:r w:rsidR="005A183A">
        <w:rPr>
          <w:rFonts w:ascii="Arial" w:hAnsi="Arial" w:cs="Arial"/>
          <w:sz w:val="20"/>
          <w:szCs w:val="20"/>
        </w:rPr>
        <w:t xml:space="preserve"> them </w:t>
      </w:r>
      <w:r w:rsidR="00A30878">
        <w:rPr>
          <w:rFonts w:ascii="Arial" w:hAnsi="Arial" w:cs="Arial"/>
          <w:sz w:val="20"/>
          <w:szCs w:val="20"/>
        </w:rPr>
        <w:t>to</w:t>
      </w:r>
      <w:r w:rsidR="005A183A">
        <w:rPr>
          <w:rFonts w:ascii="Arial" w:hAnsi="Arial" w:cs="Arial"/>
          <w:sz w:val="20"/>
          <w:szCs w:val="20"/>
        </w:rPr>
        <w:t xml:space="preserve"> gain an understanding in how the business is going</w:t>
      </w:r>
      <w:r>
        <w:rPr>
          <w:rFonts w:ascii="Arial" w:hAnsi="Arial" w:cs="Arial"/>
          <w:sz w:val="20"/>
          <w:szCs w:val="20"/>
        </w:rPr>
        <w:t>:</w:t>
      </w:r>
    </w:p>
    <w:p w14:paraId="020D9455" w14:textId="77777777" w:rsidR="00E43DD1" w:rsidRDefault="00E43DD1" w:rsidP="00E43DD1">
      <w:pPr>
        <w:pStyle w:val="paragraph"/>
        <w:spacing w:before="0" w:beforeAutospacing="0" w:after="0" w:afterAutospacing="0"/>
        <w:textAlignment w:val="baseline"/>
        <w:rPr>
          <w:rFonts w:ascii="Arial" w:hAnsi="Arial" w:cs="Arial"/>
          <w:sz w:val="20"/>
          <w:szCs w:val="20"/>
        </w:rPr>
      </w:pPr>
    </w:p>
    <w:p w14:paraId="4797E7BC" w14:textId="77777777" w:rsidR="00E43DD1" w:rsidRDefault="00E43DD1" w:rsidP="00E43DD1">
      <w:pPr>
        <w:pStyle w:val="paragraph"/>
        <w:spacing w:before="0" w:beforeAutospacing="0" w:after="0" w:afterAutospacing="0"/>
        <w:textAlignment w:val="baseline"/>
        <w:rPr>
          <w:rFonts w:ascii="Arial" w:hAnsi="Arial" w:cs="Arial"/>
          <w:sz w:val="20"/>
          <w:szCs w:val="20"/>
        </w:rPr>
      </w:pPr>
    </w:p>
    <w:p w14:paraId="5FFF25BF" w14:textId="5E002BA9" w:rsidR="00053458" w:rsidRDefault="00053458" w:rsidP="00E43DD1">
      <w:pPr>
        <w:pStyle w:val="paragraph"/>
        <w:spacing w:before="0" w:beforeAutospacing="0" w:after="0" w:afterAutospacing="0"/>
        <w:textAlignment w:val="baseline"/>
        <w:rPr>
          <w:rFonts w:ascii="Arial" w:hAnsi="Arial" w:cs="Arial"/>
          <w:sz w:val="20"/>
          <w:szCs w:val="20"/>
        </w:rPr>
      </w:pPr>
      <w:r>
        <w:rPr>
          <w:rFonts w:ascii="Arial" w:hAnsi="Arial" w:cs="Arial"/>
          <w:sz w:val="20"/>
          <w:szCs w:val="20"/>
        </w:rPr>
        <w:t>Income Statements</w:t>
      </w:r>
      <w:r>
        <w:rPr>
          <w:rFonts w:ascii="Arial" w:hAnsi="Arial" w:cs="Arial"/>
          <w:sz w:val="20"/>
          <w:szCs w:val="20"/>
        </w:rPr>
        <w:tab/>
        <w:t>- to assess the overall financial performance of the business in</w:t>
      </w:r>
    </w:p>
    <w:p w14:paraId="5A57FBFC" w14:textId="04762428" w:rsidR="00053458" w:rsidRDefault="00053458" w:rsidP="00053458">
      <w:pPr>
        <w:pStyle w:val="paragraph"/>
        <w:spacing w:before="0" w:beforeAutospacing="0" w:after="0" w:afterAutospacing="0"/>
        <w:ind w:left="2880"/>
        <w:textAlignment w:val="baseline"/>
        <w:rPr>
          <w:rFonts w:ascii="Arial" w:hAnsi="Arial" w:cs="Arial"/>
          <w:sz w:val="20"/>
          <w:szCs w:val="20"/>
        </w:rPr>
      </w:pPr>
      <w:r>
        <w:rPr>
          <w:rFonts w:ascii="Arial" w:hAnsi="Arial" w:cs="Arial"/>
          <w:sz w:val="20"/>
          <w:szCs w:val="20"/>
        </w:rPr>
        <w:t xml:space="preserve">  relation to profitability</w:t>
      </w:r>
    </w:p>
    <w:p w14:paraId="6467DDDA" w14:textId="7FB6D227" w:rsidR="005E3C74" w:rsidRDefault="005E3C74" w:rsidP="00053458">
      <w:pPr>
        <w:pStyle w:val="paragraph"/>
        <w:spacing w:before="0" w:beforeAutospacing="0" w:after="0" w:afterAutospacing="0"/>
        <w:ind w:left="2880"/>
        <w:textAlignment w:val="baseline"/>
        <w:rPr>
          <w:rFonts w:ascii="Arial" w:hAnsi="Arial" w:cs="Arial"/>
          <w:sz w:val="20"/>
          <w:szCs w:val="20"/>
        </w:rPr>
      </w:pPr>
    </w:p>
    <w:p w14:paraId="23A919D5" w14:textId="64E6AB5A" w:rsidR="005E3C74" w:rsidRDefault="005E3C74" w:rsidP="00A154F3">
      <w:pPr>
        <w:pStyle w:val="Quote"/>
      </w:pPr>
      <w:r>
        <w:t>‘</w:t>
      </w:r>
      <w:r>
        <w:t xml:space="preserve">The goal of </w:t>
      </w:r>
      <w:proofErr w:type="spellStart"/>
      <w:r>
        <w:t>analyzing</w:t>
      </w:r>
      <w:proofErr w:type="spellEnd"/>
      <w:r>
        <w:t xml:space="preserve"> an income statement is essentially to determine whether the story it tells is good, bad, or indifferent. To accomplish this objective, the analyst draws a few initial conclusions, then puts the income statement into context by comparing it with income statements of earlier periods</w:t>
      </w:r>
      <w:r>
        <w:t>’</w:t>
      </w:r>
      <w:r w:rsidR="00C72874">
        <w:t xml:space="preserve"> </w:t>
      </w:r>
      <w:sdt>
        <w:sdtPr>
          <w:id w:val="-312032754"/>
          <w:citation/>
        </w:sdtPr>
        <w:sdtContent>
          <w:r w:rsidR="00C72874">
            <w:fldChar w:fldCharType="begin"/>
          </w:r>
          <w:r w:rsidR="00C72874">
            <w:instrText xml:space="preserve">CITATION Alv02 \l 2057 </w:instrText>
          </w:r>
          <w:r w:rsidR="00C72874">
            <w:fldChar w:fldCharType="separate"/>
          </w:r>
          <w:r w:rsidR="003A26CB" w:rsidRPr="003A26CB">
            <w:rPr>
              <w:noProof/>
            </w:rPr>
            <w:t>(Alvarez &amp; Fridson, 2002)</w:t>
          </w:r>
          <w:r w:rsidR="00C72874">
            <w:fldChar w:fldCharType="end"/>
          </w:r>
        </w:sdtContent>
      </w:sdt>
    </w:p>
    <w:p w14:paraId="0B635FCA" w14:textId="77777777" w:rsidR="005A183A" w:rsidRDefault="005A183A" w:rsidP="00053458">
      <w:pPr>
        <w:pStyle w:val="paragraph"/>
        <w:spacing w:before="0" w:beforeAutospacing="0" w:after="0" w:afterAutospacing="0"/>
        <w:ind w:left="2880"/>
        <w:textAlignment w:val="baseline"/>
        <w:rPr>
          <w:rFonts w:ascii="Arial" w:hAnsi="Arial" w:cs="Arial"/>
          <w:sz w:val="20"/>
          <w:szCs w:val="20"/>
        </w:rPr>
      </w:pPr>
    </w:p>
    <w:p w14:paraId="7C6AC617" w14:textId="29A1F303" w:rsidR="00053458" w:rsidRDefault="00053458" w:rsidP="00053458">
      <w:pPr>
        <w:pStyle w:val="paragraph"/>
        <w:spacing w:before="0" w:beforeAutospacing="0" w:after="0" w:afterAutospacing="0"/>
        <w:textAlignment w:val="baseline"/>
        <w:rPr>
          <w:rFonts w:ascii="Arial" w:hAnsi="Arial" w:cs="Arial"/>
          <w:sz w:val="20"/>
          <w:szCs w:val="20"/>
        </w:rPr>
      </w:pPr>
      <w:r>
        <w:rPr>
          <w:rFonts w:ascii="Arial" w:hAnsi="Arial" w:cs="Arial"/>
          <w:sz w:val="20"/>
          <w:szCs w:val="20"/>
        </w:rPr>
        <w:t>Balance Sheet</w:t>
      </w:r>
      <w:r>
        <w:rPr>
          <w:rFonts w:ascii="Arial" w:hAnsi="Arial" w:cs="Arial"/>
          <w:sz w:val="20"/>
          <w:szCs w:val="20"/>
        </w:rPr>
        <w:tab/>
      </w:r>
      <w:r>
        <w:rPr>
          <w:rFonts w:ascii="Arial" w:hAnsi="Arial" w:cs="Arial"/>
          <w:sz w:val="20"/>
          <w:szCs w:val="20"/>
        </w:rPr>
        <w:tab/>
        <w:t>- to assess the overall financial position of the business regarding</w:t>
      </w:r>
    </w:p>
    <w:p w14:paraId="273E4E80" w14:textId="6F0C326A" w:rsidR="00053458" w:rsidRDefault="00E43DD1" w:rsidP="00E43DD1">
      <w:pPr>
        <w:pStyle w:val="paragraph"/>
        <w:spacing w:before="0" w:beforeAutospacing="0" w:after="0" w:afterAutospacing="0"/>
        <w:ind w:left="1440" w:firstLine="720"/>
        <w:textAlignment w:val="baseline"/>
        <w:rPr>
          <w:rFonts w:ascii="Arial" w:hAnsi="Arial" w:cs="Arial"/>
          <w:sz w:val="20"/>
          <w:szCs w:val="20"/>
        </w:rPr>
      </w:pPr>
      <w:r>
        <w:rPr>
          <w:rFonts w:ascii="Arial" w:hAnsi="Arial" w:cs="Arial"/>
          <w:sz w:val="20"/>
          <w:szCs w:val="20"/>
        </w:rPr>
        <w:t xml:space="preserve">  </w:t>
      </w:r>
      <w:r w:rsidR="00053458">
        <w:rPr>
          <w:rFonts w:ascii="Arial" w:hAnsi="Arial" w:cs="Arial"/>
          <w:sz w:val="20"/>
          <w:szCs w:val="20"/>
        </w:rPr>
        <w:t>the various types of assets and liabilities held by the business</w:t>
      </w:r>
    </w:p>
    <w:p w14:paraId="087EE43F" w14:textId="0706FEF6" w:rsidR="005E3C74" w:rsidRDefault="005E3C74" w:rsidP="00053458">
      <w:pPr>
        <w:pStyle w:val="paragraph"/>
        <w:spacing w:before="0" w:beforeAutospacing="0" w:after="0" w:afterAutospacing="0"/>
        <w:ind w:left="2160" w:firstLine="720"/>
        <w:textAlignment w:val="baseline"/>
        <w:rPr>
          <w:rFonts w:ascii="Arial" w:hAnsi="Arial" w:cs="Arial"/>
          <w:sz w:val="20"/>
          <w:szCs w:val="20"/>
        </w:rPr>
      </w:pPr>
    </w:p>
    <w:p w14:paraId="1E3B4F43" w14:textId="323945C6" w:rsidR="005E3C74" w:rsidRDefault="005E3C74" w:rsidP="00A154F3">
      <w:pPr>
        <w:pStyle w:val="Quote"/>
        <w:rPr>
          <w:rFonts w:ascii="Arial" w:hAnsi="Arial" w:cs="Arial"/>
          <w:sz w:val="20"/>
          <w:szCs w:val="20"/>
        </w:rPr>
      </w:pPr>
      <w:r>
        <w:t>The balance sheet is a remarkable invention, yet it has two fundamental shortcomings. First, although it is in theory useful to have a summary of the values of all the assets owned by an enterprise, these values frequently prove elusive in practice. Second, many kinds of things have value and could be construed, at least by the layperson, as assets</w:t>
      </w:r>
      <w:r w:rsidR="00C72874">
        <w:t xml:space="preserve"> </w:t>
      </w:r>
      <w:sdt>
        <w:sdtPr>
          <w:id w:val="-1018238980"/>
          <w:citation/>
        </w:sdtPr>
        <w:sdtContent>
          <w:r w:rsidR="00C72874">
            <w:fldChar w:fldCharType="begin"/>
          </w:r>
          <w:r w:rsidR="00C72874">
            <w:instrText xml:space="preserve">CITATION Alv02 \l 2057 </w:instrText>
          </w:r>
          <w:r w:rsidR="00C72874">
            <w:fldChar w:fldCharType="separate"/>
          </w:r>
          <w:r w:rsidR="003A26CB" w:rsidRPr="003A26CB">
            <w:rPr>
              <w:noProof/>
            </w:rPr>
            <w:t>(Alvarez &amp; Fridson, 2002)</w:t>
          </w:r>
          <w:r w:rsidR="00C72874">
            <w:fldChar w:fldCharType="end"/>
          </w:r>
        </w:sdtContent>
      </w:sdt>
      <w:r>
        <w:t>.</w:t>
      </w:r>
    </w:p>
    <w:p w14:paraId="4C912EDE" w14:textId="77777777" w:rsidR="005E3C74" w:rsidRDefault="005E3C74" w:rsidP="00053458">
      <w:pPr>
        <w:pStyle w:val="paragraph"/>
        <w:spacing w:before="0" w:beforeAutospacing="0" w:after="0" w:afterAutospacing="0"/>
        <w:ind w:left="2160" w:firstLine="720"/>
        <w:textAlignment w:val="baseline"/>
        <w:rPr>
          <w:rFonts w:ascii="Arial" w:hAnsi="Arial" w:cs="Arial"/>
          <w:sz w:val="20"/>
          <w:szCs w:val="20"/>
        </w:rPr>
      </w:pPr>
    </w:p>
    <w:p w14:paraId="0D09D2D6" w14:textId="77777777" w:rsidR="005A183A" w:rsidRDefault="005A183A" w:rsidP="00053458">
      <w:pPr>
        <w:pStyle w:val="paragraph"/>
        <w:spacing w:before="0" w:beforeAutospacing="0" w:after="0" w:afterAutospacing="0"/>
        <w:ind w:left="2160" w:firstLine="720"/>
        <w:textAlignment w:val="baseline"/>
        <w:rPr>
          <w:rFonts w:ascii="Arial" w:hAnsi="Arial" w:cs="Arial"/>
          <w:sz w:val="20"/>
          <w:szCs w:val="20"/>
        </w:rPr>
      </w:pPr>
    </w:p>
    <w:p w14:paraId="1C565EF1" w14:textId="41F6F58F" w:rsidR="00053458" w:rsidRDefault="00053458" w:rsidP="00053458">
      <w:pPr>
        <w:pStyle w:val="paragraph"/>
        <w:spacing w:before="0" w:beforeAutospacing="0" w:after="0" w:afterAutospacing="0"/>
        <w:textAlignment w:val="baseline"/>
        <w:rPr>
          <w:rFonts w:ascii="Arial" w:hAnsi="Arial" w:cs="Arial"/>
          <w:sz w:val="20"/>
          <w:szCs w:val="20"/>
        </w:rPr>
      </w:pPr>
      <w:r>
        <w:rPr>
          <w:rFonts w:ascii="Arial" w:hAnsi="Arial" w:cs="Arial"/>
          <w:sz w:val="20"/>
          <w:szCs w:val="20"/>
        </w:rPr>
        <w:t>Cashflow statements</w:t>
      </w:r>
      <w:r>
        <w:rPr>
          <w:rFonts w:ascii="Arial" w:hAnsi="Arial" w:cs="Arial"/>
          <w:sz w:val="20"/>
          <w:szCs w:val="20"/>
        </w:rPr>
        <w:tab/>
        <w:t>- to assess how solvent the business is and how effective the</w:t>
      </w:r>
    </w:p>
    <w:p w14:paraId="3885003E" w14:textId="77777777" w:rsidR="00053458" w:rsidRDefault="00053458" w:rsidP="00E43DD1">
      <w:pPr>
        <w:pStyle w:val="paragraph"/>
        <w:spacing w:before="0" w:beforeAutospacing="0" w:after="0" w:afterAutospacing="0"/>
        <w:ind w:left="1440" w:firstLine="720"/>
        <w:textAlignment w:val="baseline"/>
        <w:rPr>
          <w:rFonts w:ascii="Arial" w:hAnsi="Arial" w:cs="Arial"/>
          <w:sz w:val="20"/>
          <w:szCs w:val="20"/>
        </w:rPr>
      </w:pPr>
      <w:r>
        <w:rPr>
          <w:rFonts w:ascii="Arial" w:hAnsi="Arial" w:cs="Arial"/>
          <w:sz w:val="20"/>
          <w:szCs w:val="20"/>
        </w:rPr>
        <w:t xml:space="preserve">  management are at managing cash flow</w:t>
      </w:r>
    </w:p>
    <w:p w14:paraId="569946C5" w14:textId="5619D6CE" w:rsidR="002C2405" w:rsidRDefault="002C2405" w:rsidP="00E008D9">
      <w:pPr>
        <w:pStyle w:val="NoSpacing"/>
        <w:rPr>
          <w:sz w:val="20"/>
          <w:szCs w:val="20"/>
        </w:rPr>
      </w:pPr>
    </w:p>
    <w:p w14:paraId="3852879C" w14:textId="16C265A0" w:rsidR="002C2405" w:rsidRPr="00BC2B2F" w:rsidRDefault="005E3C74" w:rsidP="00E43DD1">
      <w:pPr>
        <w:pStyle w:val="NoSpacing"/>
        <w:ind w:left="720"/>
        <w:rPr>
          <w:i/>
          <w:iCs/>
          <w:color w:val="404040" w:themeColor="text1" w:themeTint="BF"/>
        </w:rPr>
      </w:pPr>
      <w:r w:rsidRPr="00BC2B2F">
        <w:rPr>
          <w:i/>
          <w:iCs/>
          <w:color w:val="404040" w:themeColor="text1" w:themeTint="BF"/>
        </w:rPr>
        <w:t>For financial-reporting (as opposed to tax-accounting) purposes, a publicly owned company generally seeks to maximize its reported net income, which investors use as a basis for valuing its shares. Therefore, its incentive in any situation where the accounting rules permit discretion is to minimize expenses. The firm will capitalize whatever expenditures it can and depreciate its fixed assets over as long a period as possible.</w:t>
      </w:r>
      <w:r w:rsidR="00BC2B2F" w:rsidRPr="00BC2B2F">
        <w:rPr>
          <w:i/>
          <w:iCs/>
          <w:color w:val="404040" w:themeColor="text1" w:themeTint="BF"/>
        </w:rPr>
        <w:t xml:space="preserve"> </w:t>
      </w:r>
      <w:sdt>
        <w:sdtPr>
          <w:rPr>
            <w:i/>
            <w:iCs/>
            <w:color w:val="404040" w:themeColor="text1" w:themeTint="BF"/>
          </w:rPr>
          <w:id w:val="-1909295355"/>
          <w:citation/>
        </w:sdtPr>
        <w:sdtContent>
          <w:r w:rsidR="00BC2B2F" w:rsidRPr="00BC2B2F">
            <w:rPr>
              <w:i/>
              <w:iCs/>
              <w:color w:val="404040" w:themeColor="text1" w:themeTint="BF"/>
            </w:rPr>
            <w:fldChar w:fldCharType="begin"/>
          </w:r>
          <w:r w:rsidR="00BC2B2F" w:rsidRPr="00BC2B2F">
            <w:rPr>
              <w:i/>
              <w:iCs/>
              <w:color w:val="404040" w:themeColor="text1" w:themeTint="BF"/>
            </w:rPr>
            <w:instrText xml:space="preserve">CITATION Alv02 \l 2057 </w:instrText>
          </w:r>
          <w:r w:rsidR="00BC2B2F" w:rsidRPr="00BC2B2F">
            <w:rPr>
              <w:i/>
              <w:iCs/>
              <w:color w:val="404040" w:themeColor="text1" w:themeTint="BF"/>
            </w:rPr>
            <w:fldChar w:fldCharType="separate"/>
          </w:r>
          <w:r w:rsidR="00BC2B2F" w:rsidRPr="00BC2B2F">
            <w:rPr>
              <w:i/>
              <w:iCs/>
              <w:color w:val="404040" w:themeColor="text1" w:themeTint="BF"/>
            </w:rPr>
            <w:t>(Alvarez &amp; Fridson, 2002)</w:t>
          </w:r>
          <w:r w:rsidR="00BC2B2F" w:rsidRPr="00BC2B2F">
            <w:rPr>
              <w:i/>
              <w:iCs/>
              <w:color w:val="404040" w:themeColor="text1" w:themeTint="BF"/>
            </w:rPr>
            <w:fldChar w:fldCharType="end"/>
          </w:r>
        </w:sdtContent>
      </w:sdt>
      <w:r w:rsidR="00BC2B2F" w:rsidRPr="00BC2B2F">
        <w:rPr>
          <w:i/>
          <w:iCs/>
          <w:color w:val="404040" w:themeColor="text1" w:themeTint="BF"/>
        </w:rPr>
        <w:t>.</w:t>
      </w:r>
    </w:p>
    <w:p w14:paraId="2F524145" w14:textId="77777777" w:rsidR="00C72874" w:rsidRPr="00BC2B2F" w:rsidRDefault="00C72874" w:rsidP="00E008D9">
      <w:pPr>
        <w:pStyle w:val="NoSpacing"/>
        <w:rPr>
          <w:i/>
          <w:iCs/>
          <w:color w:val="404040" w:themeColor="text1" w:themeTint="BF"/>
        </w:rPr>
      </w:pPr>
    </w:p>
    <w:p w14:paraId="7401D54C" w14:textId="0560B049" w:rsidR="00E43DD1" w:rsidRDefault="00E43DD1">
      <w:r>
        <w:br w:type="page"/>
      </w:r>
    </w:p>
    <w:p w14:paraId="57E6A7DB" w14:textId="3A373BE7" w:rsidR="00C1648E" w:rsidRPr="002C2405" w:rsidRDefault="00053458" w:rsidP="00BC2B2F">
      <w:r>
        <w:lastRenderedPageBreak/>
        <w:t>Financial r</w:t>
      </w:r>
      <w:r w:rsidR="00C1648E" w:rsidRPr="002C2405">
        <w:t xml:space="preserve">atios are a useful way to compare and analyse the financial date for a business to get an understanding of how well the company has been managed and get an indication of how well the business strategy is working. It is useful to consider the ratios in </w:t>
      </w:r>
      <w:r w:rsidR="002941F7" w:rsidRPr="002C2405">
        <w:t>conjunction</w:t>
      </w:r>
      <w:r w:rsidR="00C1648E" w:rsidRPr="002C2405">
        <w:t xml:space="preserve"> with the commentary provided by </w:t>
      </w:r>
      <w:r>
        <w:t xml:space="preserve">the </w:t>
      </w:r>
      <w:r w:rsidR="002941F7" w:rsidRPr="002C2405">
        <w:t>directors</w:t>
      </w:r>
      <w:r w:rsidR="00C1648E" w:rsidRPr="002C2405">
        <w:t xml:space="preserve"> of a business, </w:t>
      </w:r>
      <w:r w:rsidRPr="002C2405">
        <w:t>and</w:t>
      </w:r>
      <w:r w:rsidR="00C1648E" w:rsidRPr="002C2405">
        <w:t xml:space="preserve"> in conjunction with information </w:t>
      </w:r>
      <w:r w:rsidR="002941F7" w:rsidRPr="002C2405">
        <w:t>reported</w:t>
      </w:r>
      <w:r w:rsidR="00C1648E" w:rsidRPr="002C2405">
        <w:t xml:space="preserve"> in the financial journals to get </w:t>
      </w:r>
      <w:r w:rsidR="002941F7" w:rsidRPr="002C2405">
        <w:t>an</w:t>
      </w:r>
      <w:r w:rsidR="00C1648E" w:rsidRPr="002C2405">
        <w:t xml:space="preserve"> overall picture of the business</w:t>
      </w:r>
      <w:r w:rsidR="00C72874">
        <w:t xml:space="preserve"> </w:t>
      </w:r>
    </w:p>
    <w:p w14:paraId="4E0B42DC" w14:textId="2110D009" w:rsidR="00C1648E" w:rsidRPr="002C2405" w:rsidRDefault="00C1648E" w:rsidP="00E008D9">
      <w:pPr>
        <w:pStyle w:val="NoSpacing"/>
        <w:rPr>
          <w:rFonts w:ascii="Arial" w:hAnsi="Arial" w:cs="Arial"/>
          <w:sz w:val="20"/>
          <w:szCs w:val="20"/>
        </w:rPr>
      </w:pPr>
    </w:p>
    <w:p w14:paraId="1D09A224" w14:textId="1A2FB86C" w:rsidR="00C1648E" w:rsidRPr="002C2405" w:rsidRDefault="00053458" w:rsidP="00E008D9">
      <w:pPr>
        <w:pStyle w:val="NoSpacing"/>
        <w:rPr>
          <w:rFonts w:ascii="Arial" w:hAnsi="Arial" w:cs="Arial"/>
          <w:sz w:val="20"/>
          <w:szCs w:val="20"/>
        </w:rPr>
      </w:pPr>
      <w:r>
        <w:rPr>
          <w:rFonts w:ascii="Arial" w:hAnsi="Arial" w:cs="Arial"/>
          <w:sz w:val="20"/>
          <w:szCs w:val="20"/>
        </w:rPr>
        <w:t xml:space="preserve">However, </w:t>
      </w:r>
      <w:r w:rsidR="00B047D2">
        <w:rPr>
          <w:rFonts w:ascii="Arial" w:hAnsi="Arial" w:cs="Arial"/>
          <w:sz w:val="20"/>
          <w:szCs w:val="20"/>
        </w:rPr>
        <w:t xml:space="preserve">as previously stated </w:t>
      </w:r>
      <w:r>
        <w:rPr>
          <w:rFonts w:ascii="Arial" w:hAnsi="Arial" w:cs="Arial"/>
          <w:sz w:val="20"/>
          <w:szCs w:val="20"/>
        </w:rPr>
        <w:t>it needs to be remembered that r</w:t>
      </w:r>
      <w:r w:rsidR="00C1648E" w:rsidRPr="002C2405">
        <w:rPr>
          <w:rFonts w:ascii="Arial" w:hAnsi="Arial" w:cs="Arial"/>
          <w:sz w:val="20"/>
          <w:szCs w:val="20"/>
        </w:rPr>
        <w:t xml:space="preserve">atios are </w:t>
      </w:r>
      <w:r w:rsidR="002941F7" w:rsidRPr="002C2405">
        <w:rPr>
          <w:rFonts w:ascii="Arial" w:hAnsi="Arial" w:cs="Arial"/>
          <w:sz w:val="20"/>
          <w:szCs w:val="20"/>
        </w:rPr>
        <w:t>historical</w:t>
      </w:r>
      <w:r w:rsidR="00A154F3">
        <w:rPr>
          <w:rFonts w:ascii="Arial" w:hAnsi="Arial" w:cs="Arial"/>
          <w:sz w:val="20"/>
          <w:szCs w:val="20"/>
        </w:rPr>
        <w:t xml:space="preserve">: </w:t>
      </w:r>
      <w:r w:rsidR="00C1648E" w:rsidRPr="002C2405">
        <w:rPr>
          <w:rFonts w:ascii="Arial" w:hAnsi="Arial" w:cs="Arial"/>
          <w:sz w:val="20"/>
          <w:szCs w:val="20"/>
        </w:rPr>
        <w:t>annu</w:t>
      </w:r>
      <w:r>
        <w:rPr>
          <w:rFonts w:ascii="Arial" w:hAnsi="Arial" w:cs="Arial"/>
          <w:sz w:val="20"/>
          <w:szCs w:val="20"/>
        </w:rPr>
        <w:t>a</w:t>
      </w:r>
      <w:r w:rsidR="00C1648E" w:rsidRPr="002C2405">
        <w:rPr>
          <w:rFonts w:ascii="Arial" w:hAnsi="Arial" w:cs="Arial"/>
          <w:sz w:val="20"/>
          <w:szCs w:val="20"/>
        </w:rPr>
        <w:t xml:space="preserve">l accounts can be published up </w:t>
      </w:r>
      <w:r w:rsidR="002941F7" w:rsidRPr="002C2405">
        <w:rPr>
          <w:rFonts w:ascii="Arial" w:hAnsi="Arial" w:cs="Arial"/>
          <w:sz w:val="20"/>
          <w:szCs w:val="20"/>
        </w:rPr>
        <w:t>to</w:t>
      </w:r>
      <w:r w:rsidR="00C1648E" w:rsidRPr="002C2405">
        <w:rPr>
          <w:rFonts w:ascii="Arial" w:hAnsi="Arial" w:cs="Arial"/>
          <w:sz w:val="20"/>
          <w:szCs w:val="20"/>
        </w:rPr>
        <w:t xml:space="preserve"> 9 months after the </w:t>
      </w:r>
      <w:r w:rsidR="002941F7" w:rsidRPr="002C2405">
        <w:rPr>
          <w:rFonts w:ascii="Arial" w:hAnsi="Arial" w:cs="Arial"/>
          <w:sz w:val="20"/>
          <w:szCs w:val="20"/>
        </w:rPr>
        <w:t>end</w:t>
      </w:r>
      <w:r w:rsidR="00C1648E" w:rsidRPr="002C2405">
        <w:rPr>
          <w:rFonts w:ascii="Arial" w:hAnsi="Arial" w:cs="Arial"/>
          <w:sz w:val="20"/>
          <w:szCs w:val="20"/>
        </w:rPr>
        <w:t xml:space="preserve"> </w:t>
      </w:r>
      <w:r w:rsidR="002941F7" w:rsidRPr="002C2405">
        <w:rPr>
          <w:rFonts w:ascii="Arial" w:hAnsi="Arial" w:cs="Arial"/>
          <w:sz w:val="20"/>
          <w:szCs w:val="20"/>
        </w:rPr>
        <w:t>o</w:t>
      </w:r>
      <w:r w:rsidR="00C1648E" w:rsidRPr="002C2405">
        <w:rPr>
          <w:rFonts w:ascii="Arial" w:hAnsi="Arial" w:cs="Arial"/>
          <w:sz w:val="20"/>
          <w:szCs w:val="20"/>
        </w:rPr>
        <w:t xml:space="preserve">f the </w:t>
      </w:r>
      <w:r w:rsidR="002941F7" w:rsidRPr="002C2405">
        <w:rPr>
          <w:rFonts w:ascii="Arial" w:hAnsi="Arial" w:cs="Arial"/>
          <w:sz w:val="20"/>
          <w:szCs w:val="20"/>
        </w:rPr>
        <w:t>financial</w:t>
      </w:r>
      <w:r w:rsidR="00C1648E" w:rsidRPr="002C2405">
        <w:rPr>
          <w:rFonts w:ascii="Arial" w:hAnsi="Arial" w:cs="Arial"/>
          <w:sz w:val="20"/>
          <w:szCs w:val="20"/>
        </w:rPr>
        <w:t xml:space="preserve"> year</w:t>
      </w:r>
      <w:r>
        <w:rPr>
          <w:rFonts w:ascii="Arial" w:hAnsi="Arial" w:cs="Arial"/>
          <w:sz w:val="20"/>
          <w:szCs w:val="20"/>
        </w:rPr>
        <w:t>. T</w:t>
      </w:r>
      <w:r w:rsidR="00C1648E" w:rsidRPr="002C2405">
        <w:rPr>
          <w:rFonts w:ascii="Arial" w:hAnsi="Arial" w:cs="Arial"/>
          <w:sz w:val="20"/>
          <w:szCs w:val="20"/>
        </w:rPr>
        <w:t xml:space="preserve">hey can </w:t>
      </w:r>
      <w:r>
        <w:rPr>
          <w:rFonts w:ascii="Arial" w:hAnsi="Arial" w:cs="Arial"/>
          <w:sz w:val="20"/>
          <w:szCs w:val="20"/>
        </w:rPr>
        <w:t>therefore</w:t>
      </w:r>
      <w:r w:rsidR="00C1648E" w:rsidRPr="002C2405">
        <w:rPr>
          <w:rFonts w:ascii="Arial" w:hAnsi="Arial" w:cs="Arial"/>
          <w:sz w:val="20"/>
          <w:szCs w:val="20"/>
        </w:rPr>
        <w:t xml:space="preserve"> be out of date and need to be supplemented with </w:t>
      </w:r>
      <w:r w:rsidR="002941F7" w:rsidRPr="002C2405">
        <w:rPr>
          <w:rFonts w:ascii="Arial" w:hAnsi="Arial" w:cs="Arial"/>
          <w:sz w:val="20"/>
          <w:szCs w:val="20"/>
        </w:rPr>
        <w:t>more recent announcements and reports</w:t>
      </w:r>
      <w:r>
        <w:rPr>
          <w:rFonts w:ascii="Arial" w:hAnsi="Arial" w:cs="Arial"/>
          <w:sz w:val="20"/>
          <w:szCs w:val="20"/>
        </w:rPr>
        <w:t xml:space="preserve"> to get a full</w:t>
      </w:r>
      <w:r w:rsidR="00B047D2">
        <w:rPr>
          <w:rFonts w:ascii="Arial" w:hAnsi="Arial" w:cs="Arial"/>
          <w:sz w:val="20"/>
          <w:szCs w:val="20"/>
        </w:rPr>
        <w:t>er</w:t>
      </w:r>
      <w:r>
        <w:rPr>
          <w:rFonts w:ascii="Arial" w:hAnsi="Arial" w:cs="Arial"/>
          <w:sz w:val="20"/>
          <w:szCs w:val="20"/>
        </w:rPr>
        <w:t xml:space="preserve"> picture of the financial health of a business</w:t>
      </w:r>
      <w:r w:rsidR="002941F7" w:rsidRPr="002C2405">
        <w:rPr>
          <w:rFonts w:ascii="Arial" w:hAnsi="Arial" w:cs="Arial"/>
          <w:sz w:val="20"/>
          <w:szCs w:val="20"/>
        </w:rPr>
        <w:t>.</w:t>
      </w:r>
    </w:p>
    <w:p w14:paraId="011579BE" w14:textId="77777777" w:rsidR="002941F7" w:rsidRPr="002C2405" w:rsidRDefault="002941F7" w:rsidP="00E008D9">
      <w:pPr>
        <w:pStyle w:val="NoSpacing"/>
        <w:rPr>
          <w:rFonts w:ascii="Arial" w:hAnsi="Arial" w:cs="Arial"/>
          <w:sz w:val="20"/>
          <w:szCs w:val="20"/>
        </w:rPr>
      </w:pPr>
    </w:p>
    <w:p w14:paraId="574C7A2F" w14:textId="50A1485E" w:rsidR="00714A3F" w:rsidRPr="002C2405" w:rsidRDefault="00B047D2" w:rsidP="00E008D9">
      <w:pPr>
        <w:pStyle w:val="NoSpacing"/>
        <w:rPr>
          <w:rFonts w:ascii="Arial" w:hAnsi="Arial" w:cs="Arial"/>
          <w:sz w:val="20"/>
          <w:szCs w:val="20"/>
        </w:rPr>
      </w:pPr>
      <w:r w:rsidRPr="002C2405">
        <w:rPr>
          <w:rFonts w:ascii="Arial" w:hAnsi="Arial" w:cs="Arial"/>
          <w:sz w:val="20"/>
          <w:szCs w:val="20"/>
        </w:rPr>
        <w:t>To</w:t>
      </w:r>
      <w:r w:rsidR="002941F7" w:rsidRPr="002C2405">
        <w:rPr>
          <w:rFonts w:ascii="Arial" w:hAnsi="Arial" w:cs="Arial"/>
          <w:sz w:val="20"/>
          <w:szCs w:val="20"/>
        </w:rPr>
        <w:t xml:space="preserve"> be able to compare different years for the same company, or indeed to compare different companies to each other, the basis of the ratios must be standardised to ensure the comparisons are valid.</w:t>
      </w:r>
    </w:p>
    <w:p w14:paraId="0EC27694" w14:textId="5B1E5D80" w:rsidR="002941F7" w:rsidRPr="002C2405" w:rsidRDefault="002941F7" w:rsidP="00E008D9">
      <w:pPr>
        <w:pStyle w:val="NoSpacing"/>
        <w:rPr>
          <w:rFonts w:ascii="Arial" w:hAnsi="Arial" w:cs="Arial"/>
          <w:sz w:val="20"/>
          <w:szCs w:val="20"/>
        </w:rPr>
      </w:pPr>
    </w:p>
    <w:p w14:paraId="36F5D862" w14:textId="31D358EC" w:rsidR="002941F7" w:rsidRPr="002C2405" w:rsidRDefault="002941F7" w:rsidP="00E008D9">
      <w:pPr>
        <w:pStyle w:val="NoSpacing"/>
        <w:rPr>
          <w:rFonts w:ascii="Arial" w:hAnsi="Arial" w:cs="Arial"/>
          <w:sz w:val="20"/>
          <w:szCs w:val="20"/>
        </w:rPr>
      </w:pPr>
      <w:r w:rsidRPr="002C2405">
        <w:rPr>
          <w:rFonts w:ascii="Arial" w:hAnsi="Arial" w:cs="Arial"/>
          <w:sz w:val="20"/>
          <w:szCs w:val="20"/>
        </w:rPr>
        <w:t xml:space="preserve">Ratios </w:t>
      </w:r>
      <w:r w:rsidR="00B047D2">
        <w:rPr>
          <w:rFonts w:ascii="Arial" w:hAnsi="Arial" w:cs="Arial"/>
          <w:sz w:val="20"/>
          <w:szCs w:val="20"/>
        </w:rPr>
        <w:t>can be</w:t>
      </w:r>
      <w:r w:rsidRPr="002C2405">
        <w:rPr>
          <w:rFonts w:ascii="Arial" w:hAnsi="Arial" w:cs="Arial"/>
          <w:sz w:val="20"/>
          <w:szCs w:val="20"/>
        </w:rPr>
        <w:t xml:space="preserve"> excellent tool</w:t>
      </w:r>
      <w:r w:rsidR="00B047D2">
        <w:rPr>
          <w:rFonts w:ascii="Arial" w:hAnsi="Arial" w:cs="Arial"/>
          <w:sz w:val="20"/>
          <w:szCs w:val="20"/>
        </w:rPr>
        <w:t>s</w:t>
      </w:r>
      <w:r w:rsidRPr="002C2405">
        <w:rPr>
          <w:rFonts w:ascii="Arial" w:hAnsi="Arial" w:cs="Arial"/>
          <w:sz w:val="20"/>
          <w:szCs w:val="20"/>
        </w:rPr>
        <w:t xml:space="preserve"> to make comparisons and are a good indicator of trends. It is important to be aware of any one-off events that could skew the ratios for </w:t>
      </w:r>
      <w:r w:rsidR="00352073" w:rsidRPr="002C2405">
        <w:rPr>
          <w:rFonts w:ascii="Arial" w:hAnsi="Arial" w:cs="Arial"/>
          <w:sz w:val="20"/>
          <w:szCs w:val="20"/>
        </w:rPr>
        <w:t>a particular</w:t>
      </w:r>
      <w:r w:rsidRPr="002C2405">
        <w:rPr>
          <w:rFonts w:ascii="Arial" w:hAnsi="Arial" w:cs="Arial"/>
          <w:sz w:val="20"/>
          <w:szCs w:val="20"/>
        </w:rPr>
        <w:t xml:space="preserve"> year or company.</w:t>
      </w:r>
    </w:p>
    <w:p w14:paraId="5436F33D" w14:textId="0F235E90" w:rsidR="002941F7" w:rsidRPr="002C2405" w:rsidRDefault="002941F7" w:rsidP="00E008D9">
      <w:pPr>
        <w:pStyle w:val="NoSpacing"/>
        <w:rPr>
          <w:rFonts w:ascii="Arial" w:hAnsi="Arial" w:cs="Arial"/>
          <w:sz w:val="20"/>
          <w:szCs w:val="20"/>
        </w:rPr>
      </w:pPr>
    </w:p>
    <w:p w14:paraId="420281E6" w14:textId="451328FE" w:rsidR="002941F7" w:rsidRPr="002C2405" w:rsidRDefault="002941F7" w:rsidP="00E008D9">
      <w:pPr>
        <w:pStyle w:val="NoSpacing"/>
        <w:rPr>
          <w:rFonts w:ascii="Arial" w:hAnsi="Arial" w:cs="Arial"/>
          <w:sz w:val="20"/>
          <w:szCs w:val="20"/>
        </w:rPr>
      </w:pPr>
      <w:r w:rsidRPr="002C2405">
        <w:rPr>
          <w:rFonts w:ascii="Arial" w:hAnsi="Arial" w:cs="Arial"/>
          <w:sz w:val="20"/>
          <w:szCs w:val="20"/>
        </w:rPr>
        <w:t xml:space="preserve">For </w:t>
      </w:r>
      <w:r w:rsidR="00352073" w:rsidRPr="002C2405">
        <w:rPr>
          <w:rFonts w:ascii="Arial" w:hAnsi="Arial" w:cs="Arial"/>
          <w:sz w:val="20"/>
          <w:szCs w:val="20"/>
        </w:rPr>
        <w:t>McLaren</w:t>
      </w:r>
      <w:r w:rsidRPr="002C2405">
        <w:rPr>
          <w:rFonts w:ascii="Arial" w:hAnsi="Arial" w:cs="Arial"/>
          <w:sz w:val="20"/>
          <w:szCs w:val="20"/>
        </w:rPr>
        <w:t xml:space="preserve">, the 2020 figures </w:t>
      </w:r>
      <w:r w:rsidR="00053458">
        <w:rPr>
          <w:rFonts w:ascii="Arial" w:hAnsi="Arial" w:cs="Arial"/>
          <w:sz w:val="20"/>
          <w:szCs w:val="20"/>
        </w:rPr>
        <w:t>were</w:t>
      </w:r>
      <w:r w:rsidRPr="002C2405">
        <w:rPr>
          <w:rFonts w:ascii="Arial" w:hAnsi="Arial" w:cs="Arial"/>
          <w:sz w:val="20"/>
          <w:szCs w:val="20"/>
        </w:rPr>
        <w:t xml:space="preserve"> very significantly affected by the covid 19 </w:t>
      </w:r>
      <w:r w:rsidR="00352073" w:rsidRPr="002C2405">
        <w:rPr>
          <w:rFonts w:ascii="Arial" w:hAnsi="Arial" w:cs="Arial"/>
          <w:sz w:val="20"/>
          <w:szCs w:val="20"/>
        </w:rPr>
        <w:t>outbreak</w:t>
      </w:r>
      <w:r w:rsidRPr="002C2405">
        <w:rPr>
          <w:rFonts w:ascii="Arial" w:hAnsi="Arial" w:cs="Arial"/>
          <w:sz w:val="20"/>
          <w:szCs w:val="20"/>
        </w:rPr>
        <w:t xml:space="preserve"> so this needs to be </w:t>
      </w:r>
      <w:proofErr w:type="gramStart"/>
      <w:r w:rsidRPr="002C2405">
        <w:rPr>
          <w:rFonts w:ascii="Arial" w:hAnsi="Arial" w:cs="Arial"/>
          <w:sz w:val="20"/>
          <w:szCs w:val="20"/>
        </w:rPr>
        <w:t>taken into account</w:t>
      </w:r>
      <w:proofErr w:type="gramEnd"/>
      <w:r w:rsidRPr="002C2405">
        <w:rPr>
          <w:rFonts w:ascii="Arial" w:hAnsi="Arial" w:cs="Arial"/>
          <w:sz w:val="20"/>
          <w:szCs w:val="20"/>
        </w:rPr>
        <w:t>, especially as it caused a significant shift in the company strategy.</w:t>
      </w:r>
      <w:r w:rsidR="00B047D2">
        <w:rPr>
          <w:rFonts w:ascii="Arial" w:hAnsi="Arial" w:cs="Arial"/>
          <w:sz w:val="20"/>
          <w:szCs w:val="20"/>
        </w:rPr>
        <w:t xml:space="preserve"> For this </w:t>
      </w:r>
      <w:proofErr w:type="gramStart"/>
      <w:r w:rsidR="00B047D2">
        <w:rPr>
          <w:rFonts w:ascii="Arial" w:hAnsi="Arial" w:cs="Arial"/>
          <w:sz w:val="20"/>
          <w:szCs w:val="20"/>
        </w:rPr>
        <w:t>reason</w:t>
      </w:r>
      <w:proofErr w:type="gramEnd"/>
      <w:r w:rsidR="00B047D2">
        <w:rPr>
          <w:rFonts w:ascii="Arial" w:hAnsi="Arial" w:cs="Arial"/>
          <w:sz w:val="20"/>
          <w:szCs w:val="20"/>
        </w:rPr>
        <w:t xml:space="preserve"> a lot of the comparisons in ratios have been drawn between the 2019 and 2021 figures, with less attention being paid to the 2020 figures.</w:t>
      </w:r>
    </w:p>
    <w:p w14:paraId="50269971" w14:textId="6F549E85" w:rsidR="000F18E5" w:rsidRPr="00BC2B2F" w:rsidRDefault="000F18E5" w:rsidP="00E008D9">
      <w:pPr>
        <w:pStyle w:val="NoSpacing"/>
        <w:rPr>
          <w:rFonts w:ascii="Arial" w:hAnsi="Arial" w:cs="Arial"/>
          <w:sz w:val="16"/>
          <w:szCs w:val="16"/>
        </w:rPr>
      </w:pPr>
    </w:p>
    <w:p w14:paraId="31D33258" w14:textId="77777777" w:rsidR="002C2405" w:rsidRDefault="002C2405" w:rsidP="00E008D9">
      <w:pPr>
        <w:pStyle w:val="NoSpacing"/>
      </w:pPr>
    </w:p>
    <w:p w14:paraId="2629E69C" w14:textId="77777777" w:rsidR="002C2405" w:rsidRDefault="002C2405" w:rsidP="00E008D9">
      <w:pPr>
        <w:pStyle w:val="NoSpacing"/>
      </w:pPr>
    </w:p>
    <w:p w14:paraId="714717BA" w14:textId="597B7BC0" w:rsidR="002941F7" w:rsidRDefault="002941F7" w:rsidP="00E008D9">
      <w:pPr>
        <w:pStyle w:val="Heading1"/>
        <w:rPr>
          <w:rStyle w:val="normaltextrun"/>
        </w:rPr>
      </w:pPr>
    </w:p>
    <w:p w14:paraId="71475F38" w14:textId="5A1CEBD1" w:rsidR="00702437" w:rsidRDefault="00702437" w:rsidP="00702437"/>
    <w:p w14:paraId="228F9029" w14:textId="77777777" w:rsidR="00702437" w:rsidRPr="00702437" w:rsidRDefault="00702437" w:rsidP="00702437"/>
    <w:p w14:paraId="2090482E" w14:textId="4CEA00D5" w:rsidR="005A183A" w:rsidRDefault="005A183A">
      <w:pPr>
        <w:rPr>
          <w:rStyle w:val="normaltextrun"/>
          <w:rFonts w:ascii="Arial" w:eastAsiaTheme="majorEastAsia" w:hAnsi="Arial" w:cs="Arial"/>
          <w:sz w:val="32"/>
          <w:szCs w:val="32"/>
        </w:rPr>
      </w:pPr>
      <w:r>
        <w:rPr>
          <w:rStyle w:val="normaltextrun"/>
        </w:rPr>
        <w:br w:type="page"/>
      </w:r>
    </w:p>
    <w:p w14:paraId="554ECD9C" w14:textId="4F663F1E" w:rsidR="00714A3F" w:rsidRPr="00BC4509" w:rsidRDefault="00E008D9" w:rsidP="00E008D9">
      <w:pPr>
        <w:pStyle w:val="Heading1"/>
        <w:rPr>
          <w:rStyle w:val="normaltextrun"/>
        </w:rPr>
      </w:pPr>
      <w:bookmarkStart w:id="3" w:name="_Toc105350460"/>
      <w:r w:rsidRPr="00BC4509">
        <w:rPr>
          <w:rStyle w:val="normaltextrun"/>
        </w:rPr>
        <w:lastRenderedPageBreak/>
        <w:t>Ratio Analysis</w:t>
      </w:r>
      <w:bookmarkEnd w:id="3"/>
    </w:p>
    <w:p w14:paraId="54BD7B3A" w14:textId="77777777" w:rsidR="00C1648E" w:rsidRDefault="00C1648E" w:rsidP="00E008D9">
      <w:pPr>
        <w:pStyle w:val="NoSpacing"/>
        <w:rPr>
          <w:rStyle w:val="normaltextrun"/>
          <w:rFonts w:ascii="Arial" w:hAnsi="Arial" w:cs="Arial"/>
        </w:rPr>
      </w:pPr>
    </w:p>
    <w:p w14:paraId="097386C9" w14:textId="5E33D8A0" w:rsidR="002D66CA" w:rsidRPr="00533296" w:rsidRDefault="004B7353" w:rsidP="00E008D9">
      <w:pPr>
        <w:pStyle w:val="NoSpacing"/>
        <w:rPr>
          <w:rFonts w:ascii="Arial" w:hAnsi="Arial" w:cs="Arial"/>
          <w:sz w:val="20"/>
          <w:szCs w:val="20"/>
        </w:rPr>
      </w:pPr>
      <w:r>
        <w:rPr>
          <w:rFonts w:ascii="Arial" w:hAnsi="Arial" w:cs="Arial"/>
          <w:sz w:val="20"/>
          <w:szCs w:val="20"/>
        </w:rPr>
        <w:t xml:space="preserve">A ratio analysis </w:t>
      </w:r>
      <w:r w:rsidR="007D3F9D" w:rsidRPr="00533296">
        <w:rPr>
          <w:rFonts w:ascii="Arial" w:hAnsi="Arial" w:cs="Arial"/>
          <w:sz w:val="20"/>
          <w:szCs w:val="20"/>
        </w:rPr>
        <w:t xml:space="preserve">calculated from the annual reports is shown </w:t>
      </w:r>
      <w:r>
        <w:rPr>
          <w:rFonts w:ascii="Arial" w:hAnsi="Arial" w:cs="Arial"/>
          <w:sz w:val="20"/>
          <w:szCs w:val="20"/>
        </w:rPr>
        <w:t xml:space="preserve">in Table 1 </w:t>
      </w:r>
      <w:r w:rsidR="007D3F9D" w:rsidRPr="00533296">
        <w:rPr>
          <w:rFonts w:ascii="Arial" w:hAnsi="Arial" w:cs="Arial"/>
          <w:sz w:val="20"/>
          <w:szCs w:val="20"/>
        </w:rPr>
        <w:t xml:space="preserve">below. (The </w:t>
      </w:r>
      <w:r w:rsidR="008F11A0">
        <w:rPr>
          <w:rFonts w:ascii="Arial" w:hAnsi="Arial" w:cs="Arial"/>
          <w:sz w:val="20"/>
          <w:szCs w:val="20"/>
        </w:rPr>
        <w:t>E</w:t>
      </w:r>
      <w:r w:rsidR="007D3F9D" w:rsidRPr="00533296">
        <w:rPr>
          <w:rFonts w:ascii="Arial" w:hAnsi="Arial" w:cs="Arial"/>
          <w:sz w:val="20"/>
          <w:szCs w:val="20"/>
        </w:rPr>
        <w:t xml:space="preserve">xcel sheet </w:t>
      </w:r>
      <w:r w:rsidR="00CF2B1C">
        <w:rPr>
          <w:rFonts w:ascii="Arial" w:hAnsi="Arial" w:cs="Arial"/>
          <w:sz w:val="20"/>
          <w:szCs w:val="20"/>
        </w:rPr>
        <w:t xml:space="preserve">calculations </w:t>
      </w:r>
      <w:r w:rsidR="008F11A0">
        <w:rPr>
          <w:rFonts w:ascii="Arial" w:hAnsi="Arial" w:cs="Arial"/>
          <w:sz w:val="20"/>
          <w:szCs w:val="20"/>
        </w:rPr>
        <w:t xml:space="preserve">can </w:t>
      </w:r>
      <w:r w:rsidR="00F32737">
        <w:rPr>
          <w:rFonts w:ascii="Arial" w:hAnsi="Arial" w:cs="Arial"/>
          <w:sz w:val="20"/>
          <w:szCs w:val="20"/>
        </w:rPr>
        <w:t>be</w:t>
      </w:r>
      <w:r w:rsidR="008F11A0">
        <w:rPr>
          <w:rFonts w:ascii="Arial" w:hAnsi="Arial" w:cs="Arial"/>
          <w:sz w:val="20"/>
          <w:szCs w:val="20"/>
        </w:rPr>
        <w:t xml:space="preserve"> found in the </w:t>
      </w:r>
      <w:hyperlink w:anchor="_Appendices" w:history="1">
        <w:r w:rsidR="008F11A0" w:rsidRPr="00CF2B1C">
          <w:t>A</w:t>
        </w:r>
        <w:r w:rsidR="007D3F9D" w:rsidRPr="00CF2B1C">
          <w:t>ppendi</w:t>
        </w:r>
        <w:r w:rsidR="008F11A0" w:rsidRPr="00CF2B1C">
          <w:t>ces</w:t>
        </w:r>
      </w:hyperlink>
      <w:r w:rsidR="007D3F9D" w:rsidRPr="00533296">
        <w:rPr>
          <w:rFonts w:ascii="Arial" w:hAnsi="Arial" w:cs="Arial"/>
          <w:sz w:val="20"/>
          <w:szCs w:val="20"/>
        </w:rPr>
        <w:t xml:space="preserve"> </w:t>
      </w:r>
      <w:r w:rsidR="00CF2B1C">
        <w:rPr>
          <w:rFonts w:ascii="Arial" w:hAnsi="Arial" w:cs="Arial"/>
          <w:sz w:val="20"/>
          <w:szCs w:val="20"/>
        </w:rPr>
        <w:t>section at the end of</w:t>
      </w:r>
      <w:r w:rsidR="007D3F9D" w:rsidRPr="00533296">
        <w:rPr>
          <w:rFonts w:ascii="Arial" w:hAnsi="Arial" w:cs="Arial"/>
          <w:sz w:val="20"/>
          <w:szCs w:val="20"/>
        </w:rPr>
        <w:t xml:space="preserve"> this report</w:t>
      </w:r>
      <w:r w:rsidR="008F11A0">
        <w:rPr>
          <w:rFonts w:ascii="Arial" w:hAnsi="Arial" w:cs="Arial"/>
          <w:sz w:val="20"/>
          <w:szCs w:val="20"/>
        </w:rPr>
        <w:t>.</w:t>
      </w:r>
      <w:r w:rsidR="007D3F9D" w:rsidRPr="00533296">
        <w:rPr>
          <w:rFonts w:ascii="Arial" w:hAnsi="Arial" w:cs="Arial"/>
          <w:sz w:val="20"/>
          <w:szCs w:val="20"/>
        </w:rPr>
        <w:t>)</w:t>
      </w:r>
    </w:p>
    <w:p w14:paraId="0FA4941E" w14:textId="77777777" w:rsidR="002D66CA" w:rsidRPr="00533296" w:rsidRDefault="002D66CA" w:rsidP="00E008D9">
      <w:pPr>
        <w:pStyle w:val="NoSpacing"/>
        <w:rPr>
          <w:rFonts w:ascii="Arial" w:hAnsi="Arial" w:cs="Arial"/>
          <w:sz w:val="20"/>
          <w:szCs w:val="20"/>
        </w:rPr>
      </w:pPr>
    </w:p>
    <w:p w14:paraId="4A7F69C2" w14:textId="5F576DBF" w:rsidR="00B90352" w:rsidRPr="00533296" w:rsidRDefault="00215DF8" w:rsidP="00E008D9">
      <w:pPr>
        <w:pStyle w:val="NoSpacing"/>
        <w:rPr>
          <w:rFonts w:ascii="Arial" w:hAnsi="Arial" w:cs="Arial"/>
          <w:sz w:val="20"/>
          <w:szCs w:val="20"/>
        </w:rPr>
      </w:pPr>
      <w:r w:rsidRPr="00533296">
        <w:rPr>
          <w:rFonts w:ascii="Arial" w:hAnsi="Arial" w:cs="Arial"/>
          <w:sz w:val="20"/>
          <w:szCs w:val="20"/>
        </w:rPr>
        <w:t xml:space="preserve">McLaren is an aspirational and respected </w:t>
      </w:r>
      <w:r w:rsidR="008F328D" w:rsidRPr="00533296">
        <w:rPr>
          <w:rFonts w:ascii="Arial" w:hAnsi="Arial" w:cs="Arial"/>
          <w:sz w:val="20"/>
          <w:szCs w:val="20"/>
        </w:rPr>
        <w:t xml:space="preserve">luxury supercar </w:t>
      </w:r>
      <w:r w:rsidRPr="00533296">
        <w:rPr>
          <w:rFonts w:ascii="Arial" w:hAnsi="Arial" w:cs="Arial"/>
          <w:sz w:val="20"/>
          <w:szCs w:val="20"/>
        </w:rPr>
        <w:t xml:space="preserve">brand within the automotive sector and the company is associated with </w:t>
      </w:r>
      <w:r w:rsidR="009B1143" w:rsidRPr="00533296">
        <w:rPr>
          <w:rFonts w:ascii="Arial" w:hAnsi="Arial" w:cs="Arial"/>
          <w:sz w:val="20"/>
          <w:szCs w:val="20"/>
        </w:rPr>
        <w:t xml:space="preserve">highly </w:t>
      </w:r>
      <w:r w:rsidRPr="00533296">
        <w:rPr>
          <w:rFonts w:ascii="Arial" w:hAnsi="Arial" w:cs="Arial"/>
          <w:sz w:val="20"/>
          <w:szCs w:val="20"/>
        </w:rPr>
        <w:t xml:space="preserve">desirable luxury products. </w:t>
      </w:r>
      <w:r w:rsidR="00AA13EF" w:rsidRPr="00533296">
        <w:rPr>
          <w:rFonts w:ascii="Arial" w:hAnsi="Arial" w:cs="Arial"/>
          <w:sz w:val="20"/>
          <w:szCs w:val="20"/>
        </w:rPr>
        <w:t>However, t</w:t>
      </w:r>
      <w:r w:rsidR="00FD2AFC">
        <w:rPr>
          <w:rFonts w:ascii="Arial" w:hAnsi="Arial" w:cs="Arial"/>
          <w:sz w:val="20"/>
          <w:szCs w:val="20"/>
        </w:rPr>
        <w:t>he</w:t>
      </w:r>
      <w:r w:rsidR="00AA13EF" w:rsidRPr="00533296">
        <w:rPr>
          <w:rFonts w:ascii="Arial" w:hAnsi="Arial" w:cs="Arial"/>
          <w:sz w:val="20"/>
          <w:szCs w:val="20"/>
        </w:rPr>
        <w:t xml:space="preserve"> ratios </w:t>
      </w:r>
      <w:r w:rsidR="00AA13EF" w:rsidRPr="00533296">
        <w:rPr>
          <w:rFonts w:ascii="Arial" w:hAnsi="Arial" w:cs="Arial"/>
          <w:sz w:val="20"/>
          <w:szCs w:val="20"/>
        </w:rPr>
        <w:t xml:space="preserve">(which are discussed below) </w:t>
      </w:r>
      <w:r w:rsidR="002D66CA" w:rsidRPr="00533296">
        <w:rPr>
          <w:rFonts w:ascii="Arial" w:hAnsi="Arial" w:cs="Arial"/>
          <w:sz w:val="20"/>
          <w:szCs w:val="20"/>
        </w:rPr>
        <w:t xml:space="preserve">and the narrative in the annual reports shows that the business has </w:t>
      </w:r>
      <w:r w:rsidR="00AA13EF" w:rsidRPr="00533296">
        <w:rPr>
          <w:rFonts w:ascii="Arial" w:hAnsi="Arial" w:cs="Arial"/>
          <w:sz w:val="20"/>
          <w:szCs w:val="20"/>
        </w:rPr>
        <w:t>several</w:t>
      </w:r>
      <w:r w:rsidR="002D66CA" w:rsidRPr="00533296">
        <w:rPr>
          <w:rFonts w:ascii="Arial" w:hAnsi="Arial" w:cs="Arial"/>
          <w:sz w:val="20"/>
          <w:szCs w:val="20"/>
        </w:rPr>
        <w:t xml:space="preserve"> challenges in addition to recovering from the aftermath of the Covid 19 pandemic.</w:t>
      </w:r>
    </w:p>
    <w:p w14:paraId="60621FC3" w14:textId="2F697261" w:rsidR="002D66CA" w:rsidRDefault="002D66CA" w:rsidP="00E008D9">
      <w:pPr>
        <w:pStyle w:val="NoSpacing"/>
        <w:rPr>
          <w:sz w:val="20"/>
          <w:szCs w:val="20"/>
        </w:rPr>
      </w:pPr>
    </w:p>
    <w:p w14:paraId="17D04344" w14:textId="631CEA16" w:rsidR="00B90352" w:rsidRPr="007D3F9D" w:rsidRDefault="008F11A0" w:rsidP="00A154F3">
      <w:pPr>
        <w:pStyle w:val="Tableheading"/>
      </w:pPr>
      <w:bookmarkStart w:id="4" w:name="_Toc105350461"/>
      <w:r>
        <w:t>Table 1. Ratio Analysis Calculated from Annual Reports</w:t>
      </w:r>
      <w:bookmarkEnd w:id="4"/>
    </w:p>
    <w:p w14:paraId="6F50D1C7" w14:textId="77777777" w:rsidR="00C1648E" w:rsidRDefault="00C1648E" w:rsidP="00E008D9">
      <w:pPr>
        <w:pStyle w:val="NoSpacing"/>
        <w:rPr>
          <w:rStyle w:val="normaltextrun"/>
          <w:rFonts w:ascii="Arial" w:hAnsi="Arial" w:cs="Arial"/>
        </w:rPr>
      </w:pPr>
    </w:p>
    <w:tbl>
      <w:tblPr>
        <w:tblW w:w="8789" w:type="dxa"/>
        <w:tblInd w:w="-5" w:type="dxa"/>
        <w:tblLook w:val="04A0" w:firstRow="1" w:lastRow="0" w:firstColumn="1" w:lastColumn="0" w:noHBand="0" w:noVBand="1"/>
      </w:tblPr>
      <w:tblGrid>
        <w:gridCol w:w="2127"/>
        <w:gridCol w:w="3119"/>
        <w:gridCol w:w="850"/>
        <w:gridCol w:w="850"/>
        <w:gridCol w:w="851"/>
        <w:gridCol w:w="992"/>
      </w:tblGrid>
      <w:tr w:rsidR="009B694F" w:rsidRPr="009B694F" w14:paraId="541084F5" w14:textId="77777777" w:rsidTr="007D3F9D">
        <w:trPr>
          <w:trHeight w:val="870"/>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451C9A"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Ratios</w:t>
            </w:r>
          </w:p>
        </w:tc>
        <w:tc>
          <w:tcPr>
            <w:tcW w:w="3119" w:type="dxa"/>
            <w:tcBorders>
              <w:top w:val="nil"/>
              <w:left w:val="nil"/>
              <w:bottom w:val="nil"/>
              <w:right w:val="nil"/>
            </w:tcBorders>
            <w:shd w:val="clear" w:color="auto" w:fill="auto"/>
            <w:noWrap/>
            <w:vAlign w:val="bottom"/>
            <w:hideMark/>
          </w:tcPr>
          <w:p w14:paraId="09670B7A"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p>
        </w:tc>
        <w:tc>
          <w:tcPr>
            <w:tcW w:w="850" w:type="dxa"/>
            <w:tcBorders>
              <w:top w:val="nil"/>
              <w:left w:val="nil"/>
              <w:bottom w:val="nil"/>
              <w:right w:val="nil"/>
            </w:tcBorders>
            <w:shd w:val="clear" w:color="auto" w:fill="auto"/>
            <w:noWrap/>
            <w:vAlign w:val="bottom"/>
            <w:hideMark/>
          </w:tcPr>
          <w:p w14:paraId="512FFE64" w14:textId="77777777" w:rsidR="009B694F" w:rsidRPr="009B694F" w:rsidRDefault="009B694F" w:rsidP="009B694F">
            <w:pPr>
              <w:spacing w:after="0" w:line="240" w:lineRule="auto"/>
              <w:rPr>
                <w:rFonts w:ascii="Times New Roman" w:eastAsia="Times New Roman" w:hAnsi="Times New Roman" w:cs="Times New Roman"/>
                <w:sz w:val="16"/>
                <w:szCs w:val="16"/>
                <w:lang w:eastAsia="en-GB"/>
              </w:rPr>
            </w:pPr>
          </w:p>
        </w:tc>
        <w:tc>
          <w:tcPr>
            <w:tcW w:w="850" w:type="dxa"/>
            <w:tcBorders>
              <w:top w:val="nil"/>
              <w:left w:val="nil"/>
              <w:bottom w:val="nil"/>
              <w:right w:val="nil"/>
            </w:tcBorders>
            <w:shd w:val="clear" w:color="auto" w:fill="auto"/>
            <w:noWrap/>
            <w:vAlign w:val="bottom"/>
            <w:hideMark/>
          </w:tcPr>
          <w:p w14:paraId="393F2F93" w14:textId="77777777" w:rsidR="009B694F" w:rsidRPr="009B694F" w:rsidRDefault="009B694F" w:rsidP="009B694F">
            <w:pPr>
              <w:spacing w:after="0" w:line="240" w:lineRule="auto"/>
              <w:rPr>
                <w:rFonts w:ascii="Times New Roman" w:eastAsia="Times New Roman" w:hAnsi="Times New Roman" w:cs="Times New Roman"/>
                <w:sz w:val="16"/>
                <w:szCs w:val="16"/>
                <w:lang w:eastAsia="en-GB"/>
              </w:rPr>
            </w:pPr>
          </w:p>
        </w:tc>
        <w:tc>
          <w:tcPr>
            <w:tcW w:w="851" w:type="dxa"/>
            <w:tcBorders>
              <w:top w:val="nil"/>
              <w:left w:val="nil"/>
              <w:bottom w:val="nil"/>
              <w:right w:val="nil"/>
            </w:tcBorders>
            <w:shd w:val="clear" w:color="auto" w:fill="auto"/>
            <w:noWrap/>
            <w:vAlign w:val="bottom"/>
            <w:hideMark/>
          </w:tcPr>
          <w:p w14:paraId="4810EDCC" w14:textId="77777777" w:rsidR="009B694F" w:rsidRPr="009B694F" w:rsidRDefault="009B694F" w:rsidP="009B694F">
            <w:pPr>
              <w:spacing w:after="0" w:line="240" w:lineRule="auto"/>
              <w:rPr>
                <w:rFonts w:ascii="Times New Roman" w:eastAsia="Times New Roman" w:hAnsi="Times New Roman" w:cs="Times New Roman"/>
                <w:sz w:val="16"/>
                <w:szCs w:val="16"/>
                <w:lang w:eastAsia="en-GB"/>
              </w:rPr>
            </w:pPr>
          </w:p>
        </w:tc>
        <w:tc>
          <w:tcPr>
            <w:tcW w:w="992" w:type="dxa"/>
            <w:tcBorders>
              <w:top w:val="nil"/>
              <w:left w:val="nil"/>
              <w:bottom w:val="nil"/>
              <w:right w:val="nil"/>
            </w:tcBorders>
            <w:shd w:val="clear" w:color="auto" w:fill="auto"/>
            <w:vAlign w:val="bottom"/>
            <w:hideMark/>
          </w:tcPr>
          <w:p w14:paraId="4C7F8B51" w14:textId="77777777" w:rsidR="009B694F" w:rsidRPr="009B694F" w:rsidRDefault="009B694F" w:rsidP="009B694F">
            <w:pPr>
              <w:spacing w:after="0" w:line="240" w:lineRule="auto"/>
              <w:jc w:val="center"/>
              <w:rPr>
                <w:rFonts w:ascii="Calibri" w:eastAsia="Times New Roman" w:hAnsi="Calibri" w:cs="Calibri"/>
                <w:color w:val="1F497D"/>
                <w:sz w:val="16"/>
                <w:szCs w:val="16"/>
                <w:lang w:eastAsia="en-GB"/>
              </w:rPr>
            </w:pPr>
            <w:r w:rsidRPr="009B694F">
              <w:rPr>
                <w:rFonts w:ascii="Calibri" w:eastAsia="Times New Roman" w:hAnsi="Calibri" w:cs="Calibri"/>
                <w:color w:val="1F497D"/>
                <w:sz w:val="16"/>
                <w:szCs w:val="16"/>
                <w:lang w:eastAsia="en-GB"/>
              </w:rPr>
              <w:t>Continuing Operations Only</w:t>
            </w:r>
          </w:p>
        </w:tc>
      </w:tr>
      <w:tr w:rsidR="009B694F" w:rsidRPr="009B694F" w14:paraId="4D06FFD3" w14:textId="77777777" w:rsidTr="007D3F9D">
        <w:trPr>
          <w:trHeight w:val="300"/>
        </w:trPr>
        <w:tc>
          <w:tcPr>
            <w:tcW w:w="2127" w:type="dxa"/>
            <w:tcBorders>
              <w:top w:val="nil"/>
              <w:left w:val="single" w:sz="4" w:space="0" w:color="auto"/>
              <w:bottom w:val="nil"/>
              <w:right w:val="single" w:sz="4" w:space="0" w:color="auto"/>
            </w:tcBorders>
            <w:shd w:val="clear" w:color="auto" w:fill="auto"/>
            <w:noWrap/>
            <w:vAlign w:val="bottom"/>
            <w:hideMark/>
          </w:tcPr>
          <w:p w14:paraId="18C97F60"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3119" w:type="dxa"/>
            <w:tcBorders>
              <w:top w:val="single" w:sz="4" w:space="0" w:color="auto"/>
              <w:left w:val="nil"/>
              <w:bottom w:val="nil"/>
              <w:right w:val="single" w:sz="4" w:space="0" w:color="auto"/>
            </w:tcBorders>
            <w:shd w:val="clear" w:color="auto" w:fill="auto"/>
            <w:noWrap/>
            <w:vAlign w:val="bottom"/>
            <w:hideMark/>
          </w:tcPr>
          <w:p w14:paraId="05284D96"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76352072"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2019</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6F2AB504"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2020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46F412E"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2021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4B245CC0" w14:textId="77777777" w:rsidR="009B694F" w:rsidRPr="009B694F" w:rsidRDefault="009B694F" w:rsidP="009B694F">
            <w:pPr>
              <w:spacing w:after="0" w:line="240" w:lineRule="auto"/>
              <w:jc w:val="center"/>
              <w:rPr>
                <w:rFonts w:ascii="Calibri" w:eastAsia="Times New Roman" w:hAnsi="Calibri" w:cs="Calibri"/>
                <w:color w:val="1F497D"/>
                <w:sz w:val="16"/>
                <w:szCs w:val="16"/>
                <w:lang w:eastAsia="en-GB"/>
              </w:rPr>
            </w:pPr>
            <w:r w:rsidRPr="009B694F">
              <w:rPr>
                <w:rFonts w:ascii="Calibri" w:eastAsia="Times New Roman" w:hAnsi="Calibri" w:cs="Calibri"/>
                <w:color w:val="1F497D"/>
                <w:sz w:val="16"/>
                <w:szCs w:val="16"/>
                <w:lang w:eastAsia="en-GB"/>
              </w:rPr>
              <w:t>2021</w:t>
            </w:r>
          </w:p>
        </w:tc>
      </w:tr>
      <w:tr w:rsidR="009B694F" w:rsidRPr="009B694F" w14:paraId="3B8D66F6" w14:textId="77777777" w:rsidTr="007D3F9D">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09125D5"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3119" w:type="dxa"/>
            <w:tcBorders>
              <w:top w:val="nil"/>
              <w:left w:val="nil"/>
              <w:bottom w:val="single" w:sz="4" w:space="0" w:color="auto"/>
              <w:right w:val="single" w:sz="4" w:space="0" w:color="auto"/>
            </w:tcBorders>
            <w:shd w:val="clear" w:color="auto" w:fill="auto"/>
            <w:noWrap/>
            <w:vAlign w:val="bottom"/>
            <w:hideMark/>
          </w:tcPr>
          <w:p w14:paraId="7B653098"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74063DB6"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2E7A711F"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2A526B6F"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14:paraId="36F04B81" w14:textId="77777777" w:rsidR="009B694F" w:rsidRPr="009B694F" w:rsidRDefault="009B694F" w:rsidP="009B694F">
            <w:pPr>
              <w:spacing w:after="0" w:line="240" w:lineRule="auto"/>
              <w:jc w:val="center"/>
              <w:rPr>
                <w:rFonts w:ascii="Calibri" w:eastAsia="Times New Roman" w:hAnsi="Calibri" w:cs="Calibri"/>
                <w:color w:val="1F497D"/>
                <w:sz w:val="16"/>
                <w:szCs w:val="16"/>
                <w:lang w:eastAsia="en-GB"/>
              </w:rPr>
            </w:pPr>
            <w:r w:rsidRPr="009B694F">
              <w:rPr>
                <w:rFonts w:ascii="Calibri" w:eastAsia="Times New Roman" w:hAnsi="Calibri" w:cs="Calibri"/>
                <w:color w:val="1F497D"/>
                <w:sz w:val="16"/>
                <w:szCs w:val="16"/>
                <w:lang w:eastAsia="en-GB"/>
              </w:rPr>
              <w:t> </w:t>
            </w:r>
          </w:p>
        </w:tc>
      </w:tr>
      <w:tr w:rsidR="009B694F" w:rsidRPr="009B694F" w14:paraId="2BE1EE18" w14:textId="77777777" w:rsidTr="007D3F9D">
        <w:trPr>
          <w:trHeight w:val="300"/>
        </w:trPr>
        <w:tc>
          <w:tcPr>
            <w:tcW w:w="2127" w:type="dxa"/>
            <w:tcBorders>
              <w:top w:val="nil"/>
              <w:left w:val="single" w:sz="4" w:space="0" w:color="auto"/>
              <w:bottom w:val="single" w:sz="4" w:space="0" w:color="auto"/>
              <w:right w:val="single" w:sz="4" w:space="0" w:color="auto"/>
            </w:tcBorders>
            <w:shd w:val="clear" w:color="000000" w:fill="92D050"/>
            <w:noWrap/>
            <w:vAlign w:val="bottom"/>
            <w:hideMark/>
          </w:tcPr>
          <w:p w14:paraId="3AB3AFB4"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Gross Margin %</w:t>
            </w:r>
          </w:p>
        </w:tc>
        <w:tc>
          <w:tcPr>
            <w:tcW w:w="3119" w:type="dxa"/>
            <w:tcBorders>
              <w:top w:val="nil"/>
              <w:left w:val="nil"/>
              <w:bottom w:val="single" w:sz="4" w:space="0" w:color="auto"/>
              <w:right w:val="single" w:sz="4" w:space="0" w:color="auto"/>
            </w:tcBorders>
            <w:shd w:val="clear" w:color="auto" w:fill="auto"/>
            <w:noWrap/>
            <w:vAlign w:val="bottom"/>
            <w:hideMark/>
          </w:tcPr>
          <w:p w14:paraId="1A68590B" w14:textId="0A71B276"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Gross Profit</w:t>
            </w:r>
            <w:r w:rsidR="004B7353">
              <w:rPr>
                <w:rFonts w:ascii="Calibri" w:eastAsia="Times New Roman" w:hAnsi="Calibri" w:cs="Calibri"/>
                <w:b/>
                <w:bCs/>
                <w:color w:val="000000"/>
                <w:sz w:val="16"/>
                <w:szCs w:val="16"/>
                <w:lang w:eastAsia="en-GB"/>
              </w:rPr>
              <w:t xml:space="preserve"> </w:t>
            </w:r>
            <w:r w:rsidRPr="009B694F">
              <w:rPr>
                <w:rFonts w:ascii="Calibri" w:eastAsia="Times New Roman" w:hAnsi="Calibri" w:cs="Calibri"/>
                <w:b/>
                <w:bCs/>
                <w:color w:val="000000"/>
                <w:sz w:val="16"/>
                <w:szCs w:val="16"/>
                <w:lang w:eastAsia="en-GB"/>
              </w:rPr>
              <w:t>/</w:t>
            </w:r>
            <w:r w:rsidR="004B7353">
              <w:rPr>
                <w:rFonts w:ascii="Calibri" w:eastAsia="Times New Roman" w:hAnsi="Calibri" w:cs="Calibri"/>
                <w:b/>
                <w:bCs/>
                <w:color w:val="000000"/>
                <w:sz w:val="16"/>
                <w:szCs w:val="16"/>
                <w:lang w:eastAsia="en-GB"/>
              </w:rPr>
              <w:t xml:space="preserve"> </w:t>
            </w:r>
            <w:r w:rsidRPr="009B694F">
              <w:rPr>
                <w:rFonts w:ascii="Calibri" w:eastAsia="Times New Roman" w:hAnsi="Calibri" w:cs="Calibri"/>
                <w:b/>
                <w:bCs/>
                <w:color w:val="000000"/>
                <w:sz w:val="16"/>
                <w:szCs w:val="16"/>
                <w:lang w:eastAsia="en-GB"/>
              </w:rPr>
              <w:t>Sales X 100</w:t>
            </w:r>
          </w:p>
        </w:tc>
        <w:tc>
          <w:tcPr>
            <w:tcW w:w="850" w:type="dxa"/>
            <w:tcBorders>
              <w:top w:val="nil"/>
              <w:left w:val="nil"/>
              <w:bottom w:val="single" w:sz="4" w:space="0" w:color="auto"/>
              <w:right w:val="single" w:sz="4" w:space="0" w:color="auto"/>
            </w:tcBorders>
            <w:shd w:val="clear" w:color="auto" w:fill="auto"/>
            <w:noWrap/>
            <w:vAlign w:val="bottom"/>
            <w:hideMark/>
          </w:tcPr>
          <w:p w14:paraId="302CCDDE"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30.42%</w:t>
            </w:r>
          </w:p>
        </w:tc>
        <w:tc>
          <w:tcPr>
            <w:tcW w:w="850" w:type="dxa"/>
            <w:tcBorders>
              <w:top w:val="nil"/>
              <w:left w:val="nil"/>
              <w:bottom w:val="single" w:sz="4" w:space="0" w:color="auto"/>
              <w:right w:val="single" w:sz="4" w:space="0" w:color="auto"/>
            </w:tcBorders>
            <w:shd w:val="clear" w:color="auto" w:fill="auto"/>
            <w:noWrap/>
            <w:vAlign w:val="bottom"/>
            <w:hideMark/>
          </w:tcPr>
          <w:p w14:paraId="41E29371"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18.64%</w:t>
            </w:r>
          </w:p>
        </w:tc>
        <w:tc>
          <w:tcPr>
            <w:tcW w:w="851" w:type="dxa"/>
            <w:tcBorders>
              <w:top w:val="nil"/>
              <w:left w:val="nil"/>
              <w:bottom w:val="single" w:sz="4" w:space="0" w:color="auto"/>
              <w:right w:val="single" w:sz="4" w:space="0" w:color="auto"/>
            </w:tcBorders>
            <w:shd w:val="clear" w:color="auto" w:fill="auto"/>
            <w:noWrap/>
            <w:vAlign w:val="bottom"/>
            <w:hideMark/>
          </w:tcPr>
          <w:p w14:paraId="2C3F2F11"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27.32%</w:t>
            </w:r>
          </w:p>
        </w:tc>
        <w:tc>
          <w:tcPr>
            <w:tcW w:w="992" w:type="dxa"/>
            <w:tcBorders>
              <w:top w:val="nil"/>
              <w:left w:val="nil"/>
              <w:bottom w:val="single" w:sz="4" w:space="0" w:color="auto"/>
              <w:right w:val="single" w:sz="4" w:space="0" w:color="auto"/>
            </w:tcBorders>
            <w:shd w:val="clear" w:color="auto" w:fill="auto"/>
            <w:noWrap/>
            <w:vAlign w:val="bottom"/>
            <w:hideMark/>
          </w:tcPr>
          <w:p w14:paraId="0EFD70ED"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27.60%</w:t>
            </w:r>
          </w:p>
        </w:tc>
      </w:tr>
      <w:tr w:rsidR="009B694F" w:rsidRPr="009B694F" w14:paraId="00C24DC7" w14:textId="77777777" w:rsidTr="007D3F9D">
        <w:trPr>
          <w:trHeight w:val="300"/>
        </w:trPr>
        <w:tc>
          <w:tcPr>
            <w:tcW w:w="2127" w:type="dxa"/>
            <w:tcBorders>
              <w:top w:val="nil"/>
              <w:left w:val="single" w:sz="4" w:space="0" w:color="auto"/>
              <w:bottom w:val="single" w:sz="4" w:space="0" w:color="auto"/>
              <w:right w:val="single" w:sz="4" w:space="0" w:color="auto"/>
            </w:tcBorders>
            <w:shd w:val="clear" w:color="000000" w:fill="92D050"/>
            <w:noWrap/>
            <w:vAlign w:val="bottom"/>
            <w:hideMark/>
          </w:tcPr>
          <w:p w14:paraId="1577D8D3"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Operating Profit %</w:t>
            </w:r>
          </w:p>
        </w:tc>
        <w:tc>
          <w:tcPr>
            <w:tcW w:w="3119" w:type="dxa"/>
            <w:tcBorders>
              <w:top w:val="nil"/>
              <w:left w:val="nil"/>
              <w:bottom w:val="single" w:sz="4" w:space="0" w:color="auto"/>
              <w:right w:val="single" w:sz="4" w:space="0" w:color="auto"/>
            </w:tcBorders>
            <w:shd w:val="clear" w:color="auto" w:fill="auto"/>
            <w:noWrap/>
            <w:vAlign w:val="bottom"/>
            <w:hideMark/>
          </w:tcPr>
          <w:p w14:paraId="31C5E2C8"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 xml:space="preserve">Operating Profit / </w:t>
            </w:r>
            <w:proofErr w:type="gramStart"/>
            <w:r w:rsidRPr="009B694F">
              <w:rPr>
                <w:rFonts w:ascii="Calibri" w:eastAsia="Times New Roman" w:hAnsi="Calibri" w:cs="Calibri"/>
                <w:b/>
                <w:bCs/>
                <w:color w:val="000000"/>
                <w:sz w:val="16"/>
                <w:szCs w:val="16"/>
                <w:lang w:eastAsia="en-GB"/>
              </w:rPr>
              <w:t>Sales  x</w:t>
            </w:r>
            <w:proofErr w:type="gramEnd"/>
            <w:r w:rsidRPr="009B694F">
              <w:rPr>
                <w:rFonts w:ascii="Calibri" w:eastAsia="Times New Roman" w:hAnsi="Calibri" w:cs="Calibri"/>
                <w:b/>
                <w:bCs/>
                <w:color w:val="000000"/>
                <w:sz w:val="16"/>
                <w:szCs w:val="16"/>
                <w:lang w:eastAsia="en-GB"/>
              </w:rPr>
              <w:t xml:space="preserve"> 100</w:t>
            </w:r>
          </w:p>
        </w:tc>
        <w:tc>
          <w:tcPr>
            <w:tcW w:w="850" w:type="dxa"/>
            <w:tcBorders>
              <w:top w:val="nil"/>
              <w:left w:val="nil"/>
              <w:bottom w:val="single" w:sz="4" w:space="0" w:color="auto"/>
              <w:right w:val="single" w:sz="4" w:space="0" w:color="auto"/>
            </w:tcBorders>
            <w:shd w:val="clear" w:color="auto" w:fill="auto"/>
            <w:noWrap/>
            <w:vAlign w:val="bottom"/>
            <w:hideMark/>
          </w:tcPr>
          <w:p w14:paraId="0F99DB1D"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1.67%</w:t>
            </w:r>
          </w:p>
        </w:tc>
        <w:tc>
          <w:tcPr>
            <w:tcW w:w="850" w:type="dxa"/>
            <w:tcBorders>
              <w:top w:val="nil"/>
              <w:left w:val="nil"/>
              <w:bottom w:val="single" w:sz="4" w:space="0" w:color="auto"/>
              <w:right w:val="single" w:sz="4" w:space="0" w:color="auto"/>
            </w:tcBorders>
            <w:shd w:val="clear" w:color="auto" w:fill="auto"/>
            <w:noWrap/>
            <w:vAlign w:val="bottom"/>
            <w:hideMark/>
          </w:tcPr>
          <w:p w14:paraId="1C77B3D1"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-38.37%</w:t>
            </w:r>
          </w:p>
        </w:tc>
        <w:tc>
          <w:tcPr>
            <w:tcW w:w="851" w:type="dxa"/>
            <w:tcBorders>
              <w:top w:val="nil"/>
              <w:left w:val="nil"/>
              <w:bottom w:val="single" w:sz="4" w:space="0" w:color="auto"/>
              <w:right w:val="single" w:sz="4" w:space="0" w:color="auto"/>
            </w:tcBorders>
            <w:shd w:val="clear" w:color="auto" w:fill="auto"/>
            <w:noWrap/>
            <w:vAlign w:val="bottom"/>
            <w:hideMark/>
          </w:tcPr>
          <w:p w14:paraId="373A08F5"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-2.76%</w:t>
            </w:r>
          </w:p>
        </w:tc>
        <w:tc>
          <w:tcPr>
            <w:tcW w:w="992" w:type="dxa"/>
            <w:tcBorders>
              <w:top w:val="nil"/>
              <w:left w:val="nil"/>
              <w:bottom w:val="single" w:sz="4" w:space="0" w:color="auto"/>
              <w:right w:val="single" w:sz="4" w:space="0" w:color="auto"/>
            </w:tcBorders>
            <w:shd w:val="clear" w:color="auto" w:fill="auto"/>
            <w:noWrap/>
            <w:vAlign w:val="bottom"/>
            <w:hideMark/>
          </w:tcPr>
          <w:p w14:paraId="4876630A"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9.66%</w:t>
            </w:r>
          </w:p>
        </w:tc>
      </w:tr>
      <w:tr w:rsidR="009B694F" w:rsidRPr="009B694F" w14:paraId="6622848E" w14:textId="77777777" w:rsidTr="007D3F9D">
        <w:trPr>
          <w:trHeight w:val="300"/>
        </w:trPr>
        <w:tc>
          <w:tcPr>
            <w:tcW w:w="2127" w:type="dxa"/>
            <w:tcBorders>
              <w:top w:val="nil"/>
              <w:left w:val="single" w:sz="4" w:space="0" w:color="auto"/>
              <w:bottom w:val="single" w:sz="4" w:space="0" w:color="auto"/>
              <w:right w:val="single" w:sz="4" w:space="0" w:color="auto"/>
            </w:tcBorders>
            <w:shd w:val="clear" w:color="000000" w:fill="92D050"/>
            <w:noWrap/>
            <w:vAlign w:val="bottom"/>
            <w:hideMark/>
          </w:tcPr>
          <w:p w14:paraId="392E8849"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Net Profit %</w:t>
            </w:r>
          </w:p>
        </w:tc>
        <w:tc>
          <w:tcPr>
            <w:tcW w:w="3119" w:type="dxa"/>
            <w:tcBorders>
              <w:top w:val="nil"/>
              <w:left w:val="nil"/>
              <w:bottom w:val="single" w:sz="4" w:space="0" w:color="auto"/>
              <w:right w:val="single" w:sz="4" w:space="0" w:color="auto"/>
            </w:tcBorders>
            <w:shd w:val="clear" w:color="auto" w:fill="auto"/>
            <w:noWrap/>
            <w:vAlign w:val="bottom"/>
            <w:hideMark/>
          </w:tcPr>
          <w:p w14:paraId="492F2CD1"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 xml:space="preserve">Net Income / </w:t>
            </w:r>
            <w:proofErr w:type="gramStart"/>
            <w:r w:rsidRPr="009B694F">
              <w:rPr>
                <w:rFonts w:ascii="Calibri" w:eastAsia="Times New Roman" w:hAnsi="Calibri" w:cs="Calibri"/>
                <w:b/>
                <w:bCs/>
                <w:color w:val="000000"/>
                <w:sz w:val="16"/>
                <w:szCs w:val="16"/>
                <w:lang w:eastAsia="en-GB"/>
              </w:rPr>
              <w:t>Sales  x</w:t>
            </w:r>
            <w:proofErr w:type="gramEnd"/>
            <w:r w:rsidRPr="009B694F">
              <w:rPr>
                <w:rFonts w:ascii="Calibri" w:eastAsia="Times New Roman" w:hAnsi="Calibri" w:cs="Calibri"/>
                <w:b/>
                <w:bCs/>
                <w:color w:val="000000"/>
                <w:sz w:val="16"/>
                <w:szCs w:val="16"/>
                <w:lang w:eastAsia="en-GB"/>
              </w:rPr>
              <w:t xml:space="preserve"> 100</w:t>
            </w:r>
          </w:p>
        </w:tc>
        <w:tc>
          <w:tcPr>
            <w:tcW w:w="850" w:type="dxa"/>
            <w:tcBorders>
              <w:top w:val="nil"/>
              <w:left w:val="nil"/>
              <w:bottom w:val="single" w:sz="4" w:space="0" w:color="auto"/>
              <w:right w:val="single" w:sz="4" w:space="0" w:color="auto"/>
            </w:tcBorders>
            <w:shd w:val="clear" w:color="auto" w:fill="auto"/>
            <w:noWrap/>
            <w:vAlign w:val="bottom"/>
            <w:hideMark/>
          </w:tcPr>
          <w:p w14:paraId="31D71A21"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-2.30%</w:t>
            </w:r>
          </w:p>
        </w:tc>
        <w:tc>
          <w:tcPr>
            <w:tcW w:w="850" w:type="dxa"/>
            <w:tcBorders>
              <w:top w:val="nil"/>
              <w:left w:val="nil"/>
              <w:bottom w:val="single" w:sz="4" w:space="0" w:color="auto"/>
              <w:right w:val="single" w:sz="4" w:space="0" w:color="auto"/>
            </w:tcBorders>
            <w:shd w:val="clear" w:color="auto" w:fill="auto"/>
            <w:noWrap/>
            <w:vAlign w:val="bottom"/>
            <w:hideMark/>
          </w:tcPr>
          <w:p w14:paraId="2412336A"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-83.09%</w:t>
            </w:r>
          </w:p>
        </w:tc>
        <w:tc>
          <w:tcPr>
            <w:tcW w:w="851" w:type="dxa"/>
            <w:tcBorders>
              <w:top w:val="nil"/>
              <w:left w:val="nil"/>
              <w:bottom w:val="single" w:sz="4" w:space="0" w:color="auto"/>
              <w:right w:val="single" w:sz="4" w:space="0" w:color="auto"/>
            </w:tcBorders>
            <w:shd w:val="clear" w:color="auto" w:fill="auto"/>
            <w:noWrap/>
            <w:vAlign w:val="bottom"/>
            <w:hideMark/>
          </w:tcPr>
          <w:p w14:paraId="694B31A9"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-0.99%</w:t>
            </w:r>
          </w:p>
        </w:tc>
        <w:tc>
          <w:tcPr>
            <w:tcW w:w="992" w:type="dxa"/>
            <w:tcBorders>
              <w:top w:val="nil"/>
              <w:left w:val="nil"/>
              <w:bottom w:val="single" w:sz="4" w:space="0" w:color="auto"/>
              <w:right w:val="single" w:sz="4" w:space="0" w:color="auto"/>
            </w:tcBorders>
            <w:shd w:val="clear" w:color="auto" w:fill="auto"/>
            <w:noWrap/>
            <w:vAlign w:val="bottom"/>
            <w:hideMark/>
          </w:tcPr>
          <w:p w14:paraId="04BD1D87"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11.35%</w:t>
            </w:r>
          </w:p>
        </w:tc>
      </w:tr>
      <w:tr w:rsidR="009B694F" w:rsidRPr="009B694F" w14:paraId="71CD8F02" w14:textId="77777777" w:rsidTr="007D3F9D">
        <w:trPr>
          <w:trHeight w:val="300"/>
        </w:trPr>
        <w:tc>
          <w:tcPr>
            <w:tcW w:w="2127" w:type="dxa"/>
            <w:tcBorders>
              <w:top w:val="nil"/>
              <w:left w:val="single" w:sz="4" w:space="0" w:color="auto"/>
              <w:bottom w:val="single" w:sz="4" w:space="0" w:color="auto"/>
              <w:right w:val="single" w:sz="4" w:space="0" w:color="auto"/>
            </w:tcBorders>
            <w:shd w:val="clear" w:color="000000" w:fill="92D050"/>
            <w:noWrap/>
            <w:vAlign w:val="bottom"/>
            <w:hideMark/>
          </w:tcPr>
          <w:p w14:paraId="5544247C"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Return on Assets</w:t>
            </w:r>
          </w:p>
        </w:tc>
        <w:tc>
          <w:tcPr>
            <w:tcW w:w="3119" w:type="dxa"/>
            <w:tcBorders>
              <w:top w:val="nil"/>
              <w:left w:val="nil"/>
              <w:bottom w:val="single" w:sz="4" w:space="0" w:color="auto"/>
              <w:right w:val="single" w:sz="4" w:space="0" w:color="auto"/>
            </w:tcBorders>
            <w:shd w:val="clear" w:color="auto" w:fill="auto"/>
            <w:noWrap/>
            <w:vAlign w:val="bottom"/>
            <w:hideMark/>
          </w:tcPr>
          <w:p w14:paraId="32388E47" w14:textId="48794CFE"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Net Income /Assets x</w:t>
            </w:r>
            <w:r w:rsidR="004B7353">
              <w:rPr>
                <w:rFonts w:ascii="Calibri" w:eastAsia="Times New Roman" w:hAnsi="Calibri" w:cs="Calibri"/>
                <w:b/>
                <w:bCs/>
                <w:color w:val="000000"/>
                <w:sz w:val="16"/>
                <w:szCs w:val="16"/>
                <w:lang w:eastAsia="en-GB"/>
              </w:rPr>
              <w:t xml:space="preserve"> </w:t>
            </w:r>
            <w:r w:rsidRPr="009B694F">
              <w:rPr>
                <w:rFonts w:ascii="Calibri" w:eastAsia="Times New Roman" w:hAnsi="Calibri" w:cs="Calibri"/>
                <w:b/>
                <w:bCs/>
                <w:color w:val="000000"/>
                <w:sz w:val="16"/>
                <w:szCs w:val="16"/>
                <w:lang w:eastAsia="en-GB"/>
              </w:rPr>
              <w:t>100</w:t>
            </w:r>
          </w:p>
        </w:tc>
        <w:tc>
          <w:tcPr>
            <w:tcW w:w="850" w:type="dxa"/>
            <w:tcBorders>
              <w:top w:val="nil"/>
              <w:left w:val="nil"/>
              <w:bottom w:val="single" w:sz="4" w:space="0" w:color="auto"/>
              <w:right w:val="single" w:sz="4" w:space="0" w:color="auto"/>
            </w:tcBorders>
            <w:shd w:val="clear" w:color="auto" w:fill="auto"/>
            <w:noWrap/>
            <w:vAlign w:val="bottom"/>
            <w:hideMark/>
          </w:tcPr>
          <w:p w14:paraId="3EB6FC7B"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-2.10%</w:t>
            </w:r>
          </w:p>
        </w:tc>
        <w:tc>
          <w:tcPr>
            <w:tcW w:w="850" w:type="dxa"/>
            <w:tcBorders>
              <w:top w:val="nil"/>
              <w:left w:val="nil"/>
              <w:bottom w:val="single" w:sz="4" w:space="0" w:color="auto"/>
              <w:right w:val="single" w:sz="4" w:space="0" w:color="auto"/>
            </w:tcBorders>
            <w:shd w:val="clear" w:color="auto" w:fill="auto"/>
            <w:noWrap/>
            <w:vAlign w:val="bottom"/>
            <w:hideMark/>
          </w:tcPr>
          <w:p w14:paraId="0D00C77D"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-42.69%</w:t>
            </w:r>
          </w:p>
        </w:tc>
        <w:tc>
          <w:tcPr>
            <w:tcW w:w="851" w:type="dxa"/>
            <w:tcBorders>
              <w:top w:val="nil"/>
              <w:left w:val="nil"/>
              <w:bottom w:val="single" w:sz="4" w:space="0" w:color="auto"/>
              <w:right w:val="single" w:sz="4" w:space="0" w:color="auto"/>
            </w:tcBorders>
            <w:shd w:val="clear" w:color="auto" w:fill="auto"/>
            <w:noWrap/>
            <w:vAlign w:val="bottom"/>
            <w:hideMark/>
          </w:tcPr>
          <w:p w14:paraId="71F1C0DA"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-0.49%</w:t>
            </w:r>
          </w:p>
        </w:tc>
        <w:tc>
          <w:tcPr>
            <w:tcW w:w="992" w:type="dxa"/>
            <w:tcBorders>
              <w:top w:val="nil"/>
              <w:left w:val="nil"/>
              <w:bottom w:val="single" w:sz="4" w:space="0" w:color="auto"/>
              <w:right w:val="single" w:sz="4" w:space="0" w:color="auto"/>
            </w:tcBorders>
            <w:shd w:val="clear" w:color="auto" w:fill="auto"/>
            <w:noWrap/>
            <w:vAlign w:val="bottom"/>
            <w:hideMark/>
          </w:tcPr>
          <w:p w14:paraId="62805F1C"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r>
      <w:tr w:rsidR="009B694F" w:rsidRPr="009B694F" w14:paraId="32DC32D6" w14:textId="77777777" w:rsidTr="007D3F9D">
        <w:trPr>
          <w:trHeight w:val="300"/>
        </w:trPr>
        <w:tc>
          <w:tcPr>
            <w:tcW w:w="2127" w:type="dxa"/>
            <w:tcBorders>
              <w:top w:val="nil"/>
              <w:left w:val="single" w:sz="4" w:space="0" w:color="auto"/>
              <w:bottom w:val="single" w:sz="4" w:space="0" w:color="auto"/>
              <w:right w:val="single" w:sz="4" w:space="0" w:color="auto"/>
            </w:tcBorders>
            <w:shd w:val="clear" w:color="000000" w:fill="92D050"/>
            <w:noWrap/>
            <w:vAlign w:val="bottom"/>
            <w:hideMark/>
          </w:tcPr>
          <w:p w14:paraId="75F437C2"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Return on Shareholder Equity</w:t>
            </w:r>
          </w:p>
        </w:tc>
        <w:tc>
          <w:tcPr>
            <w:tcW w:w="3119" w:type="dxa"/>
            <w:tcBorders>
              <w:top w:val="nil"/>
              <w:left w:val="nil"/>
              <w:bottom w:val="single" w:sz="4" w:space="0" w:color="auto"/>
              <w:right w:val="single" w:sz="4" w:space="0" w:color="auto"/>
            </w:tcBorders>
            <w:shd w:val="clear" w:color="auto" w:fill="auto"/>
            <w:noWrap/>
            <w:vAlign w:val="bottom"/>
            <w:hideMark/>
          </w:tcPr>
          <w:p w14:paraId="350C0D61"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Net Income / Shareholder's Equity</w:t>
            </w:r>
          </w:p>
        </w:tc>
        <w:tc>
          <w:tcPr>
            <w:tcW w:w="850" w:type="dxa"/>
            <w:tcBorders>
              <w:top w:val="nil"/>
              <w:left w:val="nil"/>
              <w:bottom w:val="single" w:sz="4" w:space="0" w:color="auto"/>
              <w:right w:val="single" w:sz="4" w:space="0" w:color="auto"/>
            </w:tcBorders>
            <w:shd w:val="clear" w:color="auto" w:fill="auto"/>
            <w:noWrap/>
            <w:vAlign w:val="bottom"/>
            <w:hideMark/>
          </w:tcPr>
          <w:p w14:paraId="2A6A1E7A"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-13.2%</w:t>
            </w:r>
          </w:p>
        </w:tc>
        <w:tc>
          <w:tcPr>
            <w:tcW w:w="850" w:type="dxa"/>
            <w:tcBorders>
              <w:top w:val="nil"/>
              <w:left w:val="nil"/>
              <w:bottom w:val="single" w:sz="4" w:space="0" w:color="auto"/>
              <w:right w:val="single" w:sz="4" w:space="0" w:color="auto"/>
            </w:tcBorders>
            <w:shd w:val="clear" w:color="auto" w:fill="auto"/>
            <w:noWrap/>
            <w:vAlign w:val="bottom"/>
            <w:hideMark/>
          </w:tcPr>
          <w:p w14:paraId="441FF8CD"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-207.7%</w:t>
            </w:r>
          </w:p>
        </w:tc>
        <w:tc>
          <w:tcPr>
            <w:tcW w:w="851" w:type="dxa"/>
            <w:tcBorders>
              <w:top w:val="nil"/>
              <w:left w:val="nil"/>
              <w:bottom w:val="single" w:sz="4" w:space="0" w:color="auto"/>
              <w:right w:val="single" w:sz="4" w:space="0" w:color="auto"/>
            </w:tcBorders>
            <w:shd w:val="clear" w:color="auto" w:fill="auto"/>
            <w:noWrap/>
            <w:vAlign w:val="bottom"/>
            <w:hideMark/>
          </w:tcPr>
          <w:p w14:paraId="19989915"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-1.0%</w:t>
            </w:r>
          </w:p>
        </w:tc>
        <w:tc>
          <w:tcPr>
            <w:tcW w:w="992" w:type="dxa"/>
            <w:tcBorders>
              <w:top w:val="nil"/>
              <w:left w:val="nil"/>
              <w:bottom w:val="single" w:sz="4" w:space="0" w:color="auto"/>
              <w:right w:val="single" w:sz="4" w:space="0" w:color="auto"/>
            </w:tcBorders>
            <w:shd w:val="clear" w:color="auto" w:fill="auto"/>
            <w:noWrap/>
            <w:vAlign w:val="bottom"/>
            <w:hideMark/>
          </w:tcPr>
          <w:p w14:paraId="0E356E7C"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r>
      <w:tr w:rsidR="009B694F" w:rsidRPr="009B694F" w14:paraId="78BF4864" w14:textId="77777777" w:rsidTr="007D3F9D">
        <w:trPr>
          <w:trHeight w:val="300"/>
        </w:trPr>
        <w:tc>
          <w:tcPr>
            <w:tcW w:w="2127" w:type="dxa"/>
            <w:tcBorders>
              <w:top w:val="nil"/>
              <w:left w:val="single" w:sz="4" w:space="0" w:color="auto"/>
              <w:bottom w:val="single" w:sz="4" w:space="0" w:color="auto"/>
              <w:right w:val="single" w:sz="4" w:space="0" w:color="auto"/>
            </w:tcBorders>
            <w:shd w:val="clear" w:color="000000" w:fill="92D050"/>
            <w:noWrap/>
            <w:vAlign w:val="bottom"/>
            <w:hideMark/>
          </w:tcPr>
          <w:p w14:paraId="44970087"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Current Ratio</w:t>
            </w:r>
          </w:p>
        </w:tc>
        <w:tc>
          <w:tcPr>
            <w:tcW w:w="3119" w:type="dxa"/>
            <w:tcBorders>
              <w:top w:val="nil"/>
              <w:left w:val="nil"/>
              <w:bottom w:val="single" w:sz="4" w:space="0" w:color="auto"/>
              <w:right w:val="single" w:sz="4" w:space="0" w:color="auto"/>
            </w:tcBorders>
            <w:shd w:val="clear" w:color="auto" w:fill="auto"/>
            <w:noWrap/>
            <w:vAlign w:val="bottom"/>
            <w:hideMark/>
          </w:tcPr>
          <w:p w14:paraId="6FFC0B24"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Current Assets / Current Liabilities</w:t>
            </w:r>
          </w:p>
        </w:tc>
        <w:tc>
          <w:tcPr>
            <w:tcW w:w="850" w:type="dxa"/>
            <w:tcBorders>
              <w:top w:val="nil"/>
              <w:left w:val="nil"/>
              <w:bottom w:val="single" w:sz="4" w:space="0" w:color="auto"/>
              <w:right w:val="single" w:sz="4" w:space="0" w:color="auto"/>
            </w:tcBorders>
            <w:shd w:val="clear" w:color="auto" w:fill="auto"/>
            <w:noWrap/>
            <w:vAlign w:val="bottom"/>
            <w:hideMark/>
          </w:tcPr>
          <w:p w14:paraId="33444496"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0.59</w:t>
            </w:r>
          </w:p>
        </w:tc>
        <w:tc>
          <w:tcPr>
            <w:tcW w:w="850" w:type="dxa"/>
            <w:tcBorders>
              <w:top w:val="nil"/>
              <w:left w:val="nil"/>
              <w:bottom w:val="single" w:sz="4" w:space="0" w:color="auto"/>
              <w:right w:val="single" w:sz="4" w:space="0" w:color="auto"/>
            </w:tcBorders>
            <w:shd w:val="clear" w:color="auto" w:fill="auto"/>
            <w:noWrap/>
            <w:vAlign w:val="bottom"/>
            <w:hideMark/>
          </w:tcPr>
          <w:p w14:paraId="5D080688"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0.56</w:t>
            </w:r>
          </w:p>
        </w:tc>
        <w:tc>
          <w:tcPr>
            <w:tcW w:w="851" w:type="dxa"/>
            <w:tcBorders>
              <w:top w:val="nil"/>
              <w:left w:val="nil"/>
              <w:bottom w:val="single" w:sz="4" w:space="0" w:color="auto"/>
              <w:right w:val="single" w:sz="4" w:space="0" w:color="auto"/>
            </w:tcBorders>
            <w:shd w:val="clear" w:color="auto" w:fill="auto"/>
            <w:noWrap/>
            <w:vAlign w:val="bottom"/>
            <w:hideMark/>
          </w:tcPr>
          <w:p w14:paraId="17EF79A8"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1.00</w:t>
            </w:r>
          </w:p>
        </w:tc>
        <w:tc>
          <w:tcPr>
            <w:tcW w:w="992" w:type="dxa"/>
            <w:tcBorders>
              <w:top w:val="nil"/>
              <w:left w:val="nil"/>
              <w:bottom w:val="single" w:sz="4" w:space="0" w:color="auto"/>
              <w:right w:val="single" w:sz="4" w:space="0" w:color="auto"/>
            </w:tcBorders>
            <w:shd w:val="clear" w:color="auto" w:fill="auto"/>
            <w:noWrap/>
            <w:vAlign w:val="bottom"/>
            <w:hideMark/>
          </w:tcPr>
          <w:p w14:paraId="591AEB3C"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r>
      <w:tr w:rsidR="009B694F" w:rsidRPr="009B694F" w14:paraId="75E54F75" w14:textId="77777777" w:rsidTr="007D3F9D">
        <w:trPr>
          <w:trHeight w:val="300"/>
        </w:trPr>
        <w:tc>
          <w:tcPr>
            <w:tcW w:w="2127" w:type="dxa"/>
            <w:tcBorders>
              <w:top w:val="nil"/>
              <w:left w:val="single" w:sz="4" w:space="0" w:color="auto"/>
              <w:bottom w:val="single" w:sz="4" w:space="0" w:color="auto"/>
              <w:right w:val="single" w:sz="4" w:space="0" w:color="auto"/>
            </w:tcBorders>
            <w:shd w:val="clear" w:color="000000" w:fill="92D050"/>
            <w:noWrap/>
            <w:vAlign w:val="bottom"/>
            <w:hideMark/>
          </w:tcPr>
          <w:p w14:paraId="5D491E3C"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Quick Ratio</w:t>
            </w:r>
          </w:p>
        </w:tc>
        <w:tc>
          <w:tcPr>
            <w:tcW w:w="3119" w:type="dxa"/>
            <w:tcBorders>
              <w:top w:val="nil"/>
              <w:left w:val="nil"/>
              <w:bottom w:val="single" w:sz="4" w:space="0" w:color="auto"/>
              <w:right w:val="single" w:sz="4" w:space="0" w:color="auto"/>
            </w:tcBorders>
            <w:shd w:val="clear" w:color="auto" w:fill="auto"/>
            <w:noWrap/>
            <w:vAlign w:val="bottom"/>
            <w:hideMark/>
          </w:tcPr>
          <w:p w14:paraId="5919D204"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Current Assets less stock / Current Liabilities</w:t>
            </w:r>
          </w:p>
        </w:tc>
        <w:tc>
          <w:tcPr>
            <w:tcW w:w="850" w:type="dxa"/>
            <w:tcBorders>
              <w:top w:val="nil"/>
              <w:left w:val="nil"/>
              <w:bottom w:val="single" w:sz="4" w:space="0" w:color="auto"/>
              <w:right w:val="single" w:sz="4" w:space="0" w:color="auto"/>
            </w:tcBorders>
            <w:shd w:val="clear" w:color="auto" w:fill="auto"/>
            <w:noWrap/>
            <w:vAlign w:val="bottom"/>
            <w:hideMark/>
          </w:tcPr>
          <w:p w14:paraId="4E9AC4B6"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0.39</w:t>
            </w:r>
          </w:p>
        </w:tc>
        <w:tc>
          <w:tcPr>
            <w:tcW w:w="850" w:type="dxa"/>
            <w:tcBorders>
              <w:top w:val="nil"/>
              <w:left w:val="nil"/>
              <w:bottom w:val="single" w:sz="4" w:space="0" w:color="auto"/>
              <w:right w:val="single" w:sz="4" w:space="0" w:color="auto"/>
            </w:tcBorders>
            <w:shd w:val="clear" w:color="auto" w:fill="auto"/>
            <w:noWrap/>
            <w:vAlign w:val="bottom"/>
            <w:hideMark/>
          </w:tcPr>
          <w:p w14:paraId="22794B1E"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0.38</w:t>
            </w:r>
          </w:p>
        </w:tc>
        <w:tc>
          <w:tcPr>
            <w:tcW w:w="851" w:type="dxa"/>
            <w:tcBorders>
              <w:top w:val="nil"/>
              <w:left w:val="nil"/>
              <w:bottom w:val="single" w:sz="4" w:space="0" w:color="auto"/>
              <w:right w:val="single" w:sz="4" w:space="0" w:color="auto"/>
            </w:tcBorders>
            <w:shd w:val="clear" w:color="auto" w:fill="auto"/>
            <w:noWrap/>
            <w:vAlign w:val="bottom"/>
            <w:hideMark/>
          </w:tcPr>
          <w:p w14:paraId="22437EF0"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0.43</w:t>
            </w:r>
          </w:p>
        </w:tc>
        <w:tc>
          <w:tcPr>
            <w:tcW w:w="992" w:type="dxa"/>
            <w:tcBorders>
              <w:top w:val="nil"/>
              <w:left w:val="nil"/>
              <w:bottom w:val="single" w:sz="4" w:space="0" w:color="auto"/>
              <w:right w:val="single" w:sz="4" w:space="0" w:color="auto"/>
            </w:tcBorders>
            <w:shd w:val="clear" w:color="auto" w:fill="auto"/>
            <w:noWrap/>
            <w:vAlign w:val="bottom"/>
            <w:hideMark/>
          </w:tcPr>
          <w:p w14:paraId="12698A24"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r>
      <w:tr w:rsidR="009B694F" w:rsidRPr="009B694F" w14:paraId="64EC5CE0" w14:textId="77777777" w:rsidTr="007D3F9D">
        <w:trPr>
          <w:trHeight w:val="300"/>
        </w:trPr>
        <w:tc>
          <w:tcPr>
            <w:tcW w:w="2127" w:type="dxa"/>
            <w:tcBorders>
              <w:top w:val="nil"/>
              <w:left w:val="single" w:sz="4" w:space="0" w:color="auto"/>
              <w:bottom w:val="single" w:sz="4" w:space="0" w:color="auto"/>
              <w:right w:val="single" w:sz="4" w:space="0" w:color="auto"/>
            </w:tcBorders>
            <w:shd w:val="clear" w:color="000000" w:fill="92D050"/>
            <w:noWrap/>
            <w:vAlign w:val="bottom"/>
            <w:hideMark/>
          </w:tcPr>
          <w:p w14:paraId="7926272C"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 xml:space="preserve">Days Sales Outstanding </w:t>
            </w:r>
          </w:p>
        </w:tc>
        <w:tc>
          <w:tcPr>
            <w:tcW w:w="3119" w:type="dxa"/>
            <w:tcBorders>
              <w:top w:val="nil"/>
              <w:left w:val="nil"/>
              <w:bottom w:val="single" w:sz="4" w:space="0" w:color="auto"/>
              <w:right w:val="single" w:sz="4" w:space="0" w:color="auto"/>
            </w:tcBorders>
            <w:shd w:val="clear" w:color="auto" w:fill="auto"/>
            <w:noWrap/>
            <w:vAlign w:val="bottom"/>
            <w:hideMark/>
          </w:tcPr>
          <w:p w14:paraId="47B9C3F0" w14:textId="1BD5A76F"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Accounts receivable (</w:t>
            </w:r>
            <w:proofErr w:type="gramStart"/>
            <w:r w:rsidRPr="009B694F">
              <w:rPr>
                <w:rFonts w:ascii="Calibri" w:eastAsia="Times New Roman" w:hAnsi="Calibri" w:cs="Calibri"/>
                <w:b/>
                <w:bCs/>
                <w:color w:val="000000"/>
                <w:sz w:val="16"/>
                <w:szCs w:val="16"/>
                <w:lang w:eastAsia="en-GB"/>
              </w:rPr>
              <w:t>i.e.</w:t>
            </w:r>
            <w:proofErr w:type="gramEnd"/>
            <w:r w:rsidR="004B7353">
              <w:rPr>
                <w:rFonts w:ascii="Calibri" w:eastAsia="Times New Roman" w:hAnsi="Calibri" w:cs="Calibri"/>
                <w:b/>
                <w:bCs/>
                <w:color w:val="000000"/>
                <w:sz w:val="16"/>
                <w:szCs w:val="16"/>
                <w:lang w:eastAsia="en-GB"/>
              </w:rPr>
              <w:t xml:space="preserve"> </w:t>
            </w:r>
            <w:r w:rsidRPr="009B694F">
              <w:rPr>
                <w:rFonts w:ascii="Calibri" w:eastAsia="Times New Roman" w:hAnsi="Calibri" w:cs="Calibri"/>
                <w:b/>
                <w:bCs/>
                <w:color w:val="000000"/>
                <w:sz w:val="16"/>
                <w:szCs w:val="16"/>
                <w:lang w:eastAsia="en-GB"/>
              </w:rPr>
              <w:t>Debtors) / Average revenue per day</w:t>
            </w:r>
          </w:p>
        </w:tc>
        <w:tc>
          <w:tcPr>
            <w:tcW w:w="850" w:type="dxa"/>
            <w:tcBorders>
              <w:top w:val="nil"/>
              <w:left w:val="nil"/>
              <w:bottom w:val="single" w:sz="4" w:space="0" w:color="auto"/>
              <w:right w:val="single" w:sz="4" w:space="0" w:color="auto"/>
            </w:tcBorders>
            <w:shd w:val="clear" w:color="auto" w:fill="auto"/>
            <w:noWrap/>
            <w:vAlign w:val="bottom"/>
            <w:hideMark/>
          </w:tcPr>
          <w:p w14:paraId="3C9E98E4"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57.12</w:t>
            </w:r>
          </w:p>
        </w:tc>
        <w:tc>
          <w:tcPr>
            <w:tcW w:w="850" w:type="dxa"/>
            <w:tcBorders>
              <w:top w:val="nil"/>
              <w:left w:val="nil"/>
              <w:bottom w:val="single" w:sz="4" w:space="0" w:color="auto"/>
              <w:right w:val="single" w:sz="4" w:space="0" w:color="auto"/>
            </w:tcBorders>
            <w:shd w:val="clear" w:color="auto" w:fill="auto"/>
            <w:noWrap/>
            <w:vAlign w:val="bottom"/>
            <w:hideMark/>
          </w:tcPr>
          <w:p w14:paraId="2B5C4057"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78.28</w:t>
            </w:r>
          </w:p>
        </w:tc>
        <w:tc>
          <w:tcPr>
            <w:tcW w:w="851" w:type="dxa"/>
            <w:tcBorders>
              <w:top w:val="nil"/>
              <w:left w:val="nil"/>
              <w:bottom w:val="single" w:sz="4" w:space="0" w:color="auto"/>
              <w:right w:val="single" w:sz="4" w:space="0" w:color="auto"/>
            </w:tcBorders>
            <w:shd w:val="clear" w:color="auto" w:fill="auto"/>
            <w:noWrap/>
            <w:vAlign w:val="bottom"/>
            <w:hideMark/>
          </w:tcPr>
          <w:p w14:paraId="0D1D1776"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40.80</w:t>
            </w:r>
          </w:p>
        </w:tc>
        <w:tc>
          <w:tcPr>
            <w:tcW w:w="992" w:type="dxa"/>
            <w:tcBorders>
              <w:top w:val="nil"/>
              <w:left w:val="nil"/>
              <w:bottom w:val="single" w:sz="4" w:space="0" w:color="auto"/>
              <w:right w:val="single" w:sz="4" w:space="0" w:color="auto"/>
            </w:tcBorders>
            <w:shd w:val="clear" w:color="auto" w:fill="auto"/>
            <w:noWrap/>
            <w:vAlign w:val="bottom"/>
            <w:hideMark/>
          </w:tcPr>
          <w:p w14:paraId="3019B2C8"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r>
      <w:tr w:rsidR="009B694F" w:rsidRPr="009B694F" w14:paraId="766A8759" w14:textId="77777777" w:rsidTr="007D3F9D">
        <w:trPr>
          <w:trHeight w:val="300"/>
        </w:trPr>
        <w:tc>
          <w:tcPr>
            <w:tcW w:w="2127" w:type="dxa"/>
            <w:tcBorders>
              <w:top w:val="nil"/>
              <w:left w:val="single" w:sz="4" w:space="0" w:color="auto"/>
              <w:bottom w:val="single" w:sz="4" w:space="0" w:color="auto"/>
              <w:right w:val="single" w:sz="4" w:space="0" w:color="auto"/>
            </w:tcBorders>
            <w:shd w:val="clear" w:color="000000" w:fill="92D050"/>
            <w:noWrap/>
            <w:vAlign w:val="bottom"/>
            <w:hideMark/>
          </w:tcPr>
          <w:p w14:paraId="5AB3DC62"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Inventory Turns</w:t>
            </w:r>
          </w:p>
        </w:tc>
        <w:tc>
          <w:tcPr>
            <w:tcW w:w="3119" w:type="dxa"/>
            <w:tcBorders>
              <w:top w:val="nil"/>
              <w:left w:val="nil"/>
              <w:bottom w:val="single" w:sz="4" w:space="0" w:color="auto"/>
              <w:right w:val="single" w:sz="4" w:space="0" w:color="auto"/>
            </w:tcBorders>
            <w:shd w:val="clear" w:color="auto" w:fill="auto"/>
            <w:noWrap/>
            <w:vAlign w:val="bottom"/>
            <w:hideMark/>
          </w:tcPr>
          <w:p w14:paraId="411A81BB"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COGS / Average Inventory</w:t>
            </w:r>
          </w:p>
        </w:tc>
        <w:tc>
          <w:tcPr>
            <w:tcW w:w="850" w:type="dxa"/>
            <w:tcBorders>
              <w:top w:val="nil"/>
              <w:left w:val="nil"/>
              <w:bottom w:val="single" w:sz="4" w:space="0" w:color="auto"/>
              <w:right w:val="single" w:sz="4" w:space="0" w:color="auto"/>
            </w:tcBorders>
            <w:shd w:val="clear" w:color="auto" w:fill="auto"/>
            <w:noWrap/>
            <w:vAlign w:val="bottom"/>
            <w:hideMark/>
          </w:tcPr>
          <w:p w14:paraId="30EFAC84"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6.82</w:t>
            </w:r>
          </w:p>
        </w:tc>
        <w:tc>
          <w:tcPr>
            <w:tcW w:w="850" w:type="dxa"/>
            <w:tcBorders>
              <w:top w:val="nil"/>
              <w:left w:val="nil"/>
              <w:bottom w:val="single" w:sz="4" w:space="0" w:color="auto"/>
              <w:right w:val="single" w:sz="4" w:space="0" w:color="auto"/>
            </w:tcBorders>
            <w:shd w:val="clear" w:color="auto" w:fill="auto"/>
            <w:noWrap/>
            <w:vAlign w:val="bottom"/>
            <w:hideMark/>
          </w:tcPr>
          <w:p w14:paraId="75BA05AA"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4.75</w:t>
            </w:r>
          </w:p>
        </w:tc>
        <w:tc>
          <w:tcPr>
            <w:tcW w:w="851" w:type="dxa"/>
            <w:tcBorders>
              <w:top w:val="nil"/>
              <w:left w:val="nil"/>
              <w:bottom w:val="single" w:sz="4" w:space="0" w:color="auto"/>
              <w:right w:val="single" w:sz="4" w:space="0" w:color="auto"/>
            </w:tcBorders>
            <w:shd w:val="clear" w:color="auto" w:fill="auto"/>
            <w:noWrap/>
            <w:vAlign w:val="bottom"/>
            <w:hideMark/>
          </w:tcPr>
          <w:p w14:paraId="7C78300F"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2.88</w:t>
            </w:r>
          </w:p>
        </w:tc>
        <w:tc>
          <w:tcPr>
            <w:tcW w:w="992" w:type="dxa"/>
            <w:tcBorders>
              <w:top w:val="nil"/>
              <w:left w:val="nil"/>
              <w:bottom w:val="single" w:sz="4" w:space="0" w:color="auto"/>
              <w:right w:val="single" w:sz="4" w:space="0" w:color="auto"/>
            </w:tcBorders>
            <w:shd w:val="clear" w:color="auto" w:fill="auto"/>
            <w:noWrap/>
            <w:vAlign w:val="bottom"/>
            <w:hideMark/>
          </w:tcPr>
          <w:p w14:paraId="29D89F78"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r>
      <w:tr w:rsidR="009B694F" w:rsidRPr="009B694F" w14:paraId="31B04A3A" w14:textId="77777777" w:rsidTr="007D3F9D">
        <w:trPr>
          <w:trHeight w:val="300"/>
        </w:trPr>
        <w:tc>
          <w:tcPr>
            <w:tcW w:w="2127" w:type="dxa"/>
            <w:tcBorders>
              <w:top w:val="nil"/>
              <w:left w:val="single" w:sz="4" w:space="0" w:color="auto"/>
              <w:bottom w:val="single" w:sz="4" w:space="0" w:color="auto"/>
              <w:right w:val="single" w:sz="4" w:space="0" w:color="auto"/>
            </w:tcBorders>
            <w:shd w:val="clear" w:color="000000" w:fill="92D050"/>
            <w:noWrap/>
            <w:vAlign w:val="bottom"/>
            <w:hideMark/>
          </w:tcPr>
          <w:p w14:paraId="6FD7497B"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Days Payable Outstanding</w:t>
            </w:r>
          </w:p>
        </w:tc>
        <w:tc>
          <w:tcPr>
            <w:tcW w:w="3119" w:type="dxa"/>
            <w:tcBorders>
              <w:top w:val="nil"/>
              <w:left w:val="nil"/>
              <w:bottom w:val="single" w:sz="4" w:space="0" w:color="auto"/>
              <w:right w:val="single" w:sz="4" w:space="0" w:color="auto"/>
            </w:tcBorders>
            <w:shd w:val="clear" w:color="auto" w:fill="auto"/>
            <w:noWrap/>
            <w:vAlign w:val="bottom"/>
            <w:hideMark/>
          </w:tcPr>
          <w:p w14:paraId="312AE01B"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Accounts Payable (</w:t>
            </w:r>
            <w:proofErr w:type="gramStart"/>
            <w:r w:rsidRPr="009B694F">
              <w:rPr>
                <w:rFonts w:ascii="Calibri" w:eastAsia="Times New Roman" w:hAnsi="Calibri" w:cs="Calibri"/>
                <w:b/>
                <w:bCs/>
                <w:color w:val="000000"/>
                <w:sz w:val="16"/>
                <w:szCs w:val="16"/>
                <w:lang w:eastAsia="en-GB"/>
              </w:rPr>
              <w:t>i.e.</w:t>
            </w:r>
            <w:proofErr w:type="gramEnd"/>
            <w:r w:rsidRPr="009B694F">
              <w:rPr>
                <w:rFonts w:ascii="Calibri" w:eastAsia="Times New Roman" w:hAnsi="Calibri" w:cs="Calibri"/>
                <w:b/>
                <w:bCs/>
                <w:color w:val="000000"/>
                <w:sz w:val="16"/>
                <w:szCs w:val="16"/>
                <w:lang w:eastAsia="en-GB"/>
              </w:rPr>
              <w:t xml:space="preserve"> Creditors) / Average Cogs per day</w:t>
            </w:r>
          </w:p>
        </w:tc>
        <w:tc>
          <w:tcPr>
            <w:tcW w:w="850" w:type="dxa"/>
            <w:tcBorders>
              <w:top w:val="nil"/>
              <w:left w:val="nil"/>
              <w:bottom w:val="single" w:sz="4" w:space="0" w:color="auto"/>
              <w:right w:val="single" w:sz="4" w:space="0" w:color="auto"/>
            </w:tcBorders>
            <w:shd w:val="clear" w:color="auto" w:fill="auto"/>
            <w:noWrap/>
            <w:vAlign w:val="bottom"/>
            <w:hideMark/>
          </w:tcPr>
          <w:p w14:paraId="54E43F5A"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263.92</w:t>
            </w:r>
          </w:p>
        </w:tc>
        <w:tc>
          <w:tcPr>
            <w:tcW w:w="850" w:type="dxa"/>
            <w:tcBorders>
              <w:top w:val="nil"/>
              <w:left w:val="nil"/>
              <w:bottom w:val="single" w:sz="4" w:space="0" w:color="auto"/>
              <w:right w:val="single" w:sz="4" w:space="0" w:color="auto"/>
            </w:tcBorders>
            <w:shd w:val="clear" w:color="auto" w:fill="auto"/>
            <w:noWrap/>
            <w:vAlign w:val="bottom"/>
            <w:hideMark/>
          </w:tcPr>
          <w:p w14:paraId="535F4DD7"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356.72</w:t>
            </w:r>
          </w:p>
        </w:tc>
        <w:tc>
          <w:tcPr>
            <w:tcW w:w="851" w:type="dxa"/>
            <w:tcBorders>
              <w:top w:val="nil"/>
              <w:left w:val="nil"/>
              <w:bottom w:val="single" w:sz="4" w:space="0" w:color="auto"/>
              <w:right w:val="single" w:sz="4" w:space="0" w:color="auto"/>
            </w:tcBorders>
            <w:shd w:val="clear" w:color="auto" w:fill="auto"/>
            <w:noWrap/>
            <w:vAlign w:val="bottom"/>
            <w:hideMark/>
          </w:tcPr>
          <w:p w14:paraId="0A3A0B66"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279.30</w:t>
            </w:r>
          </w:p>
        </w:tc>
        <w:tc>
          <w:tcPr>
            <w:tcW w:w="992" w:type="dxa"/>
            <w:tcBorders>
              <w:top w:val="nil"/>
              <w:left w:val="nil"/>
              <w:bottom w:val="single" w:sz="4" w:space="0" w:color="auto"/>
              <w:right w:val="single" w:sz="4" w:space="0" w:color="auto"/>
            </w:tcBorders>
            <w:shd w:val="clear" w:color="auto" w:fill="auto"/>
            <w:noWrap/>
            <w:vAlign w:val="bottom"/>
            <w:hideMark/>
          </w:tcPr>
          <w:p w14:paraId="6FD3F6CF"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r>
      <w:tr w:rsidR="009B694F" w:rsidRPr="009B694F" w14:paraId="31CE4E2C" w14:textId="77777777" w:rsidTr="007D3F9D">
        <w:trPr>
          <w:trHeight w:val="300"/>
        </w:trPr>
        <w:tc>
          <w:tcPr>
            <w:tcW w:w="2127" w:type="dxa"/>
            <w:tcBorders>
              <w:top w:val="nil"/>
              <w:left w:val="single" w:sz="4" w:space="0" w:color="auto"/>
              <w:bottom w:val="single" w:sz="4" w:space="0" w:color="auto"/>
              <w:right w:val="single" w:sz="4" w:space="0" w:color="auto"/>
            </w:tcBorders>
            <w:shd w:val="clear" w:color="000000" w:fill="92D050"/>
            <w:noWrap/>
            <w:vAlign w:val="bottom"/>
            <w:hideMark/>
          </w:tcPr>
          <w:p w14:paraId="531C639E"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Debt / Equity Ratio</w:t>
            </w:r>
          </w:p>
        </w:tc>
        <w:tc>
          <w:tcPr>
            <w:tcW w:w="3119" w:type="dxa"/>
            <w:tcBorders>
              <w:top w:val="nil"/>
              <w:left w:val="nil"/>
              <w:bottom w:val="single" w:sz="4" w:space="0" w:color="auto"/>
              <w:right w:val="single" w:sz="4" w:space="0" w:color="auto"/>
            </w:tcBorders>
            <w:shd w:val="clear" w:color="auto" w:fill="auto"/>
            <w:noWrap/>
            <w:vAlign w:val="bottom"/>
            <w:hideMark/>
          </w:tcPr>
          <w:p w14:paraId="0326885B"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Long Term Debt / Stockholder's Equity</w:t>
            </w:r>
          </w:p>
        </w:tc>
        <w:tc>
          <w:tcPr>
            <w:tcW w:w="850" w:type="dxa"/>
            <w:tcBorders>
              <w:top w:val="nil"/>
              <w:left w:val="nil"/>
              <w:bottom w:val="single" w:sz="4" w:space="0" w:color="auto"/>
              <w:right w:val="single" w:sz="4" w:space="0" w:color="auto"/>
            </w:tcBorders>
            <w:shd w:val="clear" w:color="auto" w:fill="auto"/>
            <w:noWrap/>
            <w:vAlign w:val="bottom"/>
            <w:hideMark/>
          </w:tcPr>
          <w:p w14:paraId="7849CA5F"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301.71</w:t>
            </w:r>
          </w:p>
        </w:tc>
        <w:tc>
          <w:tcPr>
            <w:tcW w:w="850" w:type="dxa"/>
            <w:tcBorders>
              <w:top w:val="nil"/>
              <w:left w:val="nil"/>
              <w:bottom w:val="single" w:sz="4" w:space="0" w:color="auto"/>
              <w:right w:val="single" w:sz="4" w:space="0" w:color="auto"/>
            </w:tcBorders>
            <w:shd w:val="clear" w:color="auto" w:fill="auto"/>
            <w:noWrap/>
            <w:vAlign w:val="bottom"/>
            <w:hideMark/>
          </w:tcPr>
          <w:p w14:paraId="41E58B03"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243.61</w:t>
            </w:r>
          </w:p>
        </w:tc>
        <w:tc>
          <w:tcPr>
            <w:tcW w:w="851" w:type="dxa"/>
            <w:tcBorders>
              <w:top w:val="nil"/>
              <w:left w:val="nil"/>
              <w:bottom w:val="single" w:sz="4" w:space="0" w:color="auto"/>
              <w:right w:val="single" w:sz="4" w:space="0" w:color="auto"/>
            </w:tcBorders>
            <w:shd w:val="clear" w:color="auto" w:fill="auto"/>
            <w:noWrap/>
            <w:vAlign w:val="bottom"/>
            <w:hideMark/>
          </w:tcPr>
          <w:p w14:paraId="1E12BD3F"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81.72</w:t>
            </w:r>
          </w:p>
        </w:tc>
        <w:tc>
          <w:tcPr>
            <w:tcW w:w="992" w:type="dxa"/>
            <w:tcBorders>
              <w:top w:val="nil"/>
              <w:left w:val="nil"/>
              <w:bottom w:val="single" w:sz="4" w:space="0" w:color="auto"/>
              <w:right w:val="single" w:sz="4" w:space="0" w:color="auto"/>
            </w:tcBorders>
            <w:shd w:val="clear" w:color="auto" w:fill="auto"/>
            <w:noWrap/>
            <w:vAlign w:val="bottom"/>
            <w:hideMark/>
          </w:tcPr>
          <w:p w14:paraId="4FF2D47B"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r>
      <w:tr w:rsidR="009B694F" w:rsidRPr="009B694F" w14:paraId="4C6B4B1D" w14:textId="77777777" w:rsidTr="007D3F9D">
        <w:trPr>
          <w:trHeight w:val="300"/>
        </w:trPr>
        <w:tc>
          <w:tcPr>
            <w:tcW w:w="2127" w:type="dxa"/>
            <w:tcBorders>
              <w:top w:val="nil"/>
              <w:left w:val="single" w:sz="4" w:space="0" w:color="auto"/>
              <w:bottom w:val="single" w:sz="4" w:space="0" w:color="auto"/>
              <w:right w:val="single" w:sz="4" w:space="0" w:color="auto"/>
            </w:tcBorders>
            <w:shd w:val="clear" w:color="000000" w:fill="92D050"/>
            <w:noWrap/>
            <w:vAlign w:val="bottom"/>
            <w:hideMark/>
          </w:tcPr>
          <w:p w14:paraId="5299BF81"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 xml:space="preserve">Interest Coverage </w:t>
            </w:r>
          </w:p>
        </w:tc>
        <w:tc>
          <w:tcPr>
            <w:tcW w:w="3119" w:type="dxa"/>
            <w:tcBorders>
              <w:top w:val="nil"/>
              <w:left w:val="nil"/>
              <w:bottom w:val="single" w:sz="4" w:space="0" w:color="auto"/>
              <w:right w:val="single" w:sz="4" w:space="0" w:color="auto"/>
            </w:tcBorders>
            <w:shd w:val="clear" w:color="auto" w:fill="auto"/>
            <w:noWrap/>
            <w:vAlign w:val="bottom"/>
            <w:hideMark/>
          </w:tcPr>
          <w:p w14:paraId="6F54A9AD"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EBITDA /Interest Charge</w:t>
            </w:r>
          </w:p>
        </w:tc>
        <w:tc>
          <w:tcPr>
            <w:tcW w:w="850" w:type="dxa"/>
            <w:tcBorders>
              <w:top w:val="nil"/>
              <w:left w:val="nil"/>
              <w:bottom w:val="single" w:sz="4" w:space="0" w:color="auto"/>
              <w:right w:val="single" w:sz="4" w:space="0" w:color="auto"/>
            </w:tcBorders>
            <w:shd w:val="clear" w:color="auto" w:fill="auto"/>
            <w:noWrap/>
            <w:vAlign w:val="bottom"/>
            <w:hideMark/>
          </w:tcPr>
          <w:p w14:paraId="1DFE4EAE"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253.24</w:t>
            </w:r>
          </w:p>
        </w:tc>
        <w:tc>
          <w:tcPr>
            <w:tcW w:w="850" w:type="dxa"/>
            <w:tcBorders>
              <w:top w:val="nil"/>
              <w:left w:val="nil"/>
              <w:bottom w:val="single" w:sz="4" w:space="0" w:color="auto"/>
              <w:right w:val="single" w:sz="4" w:space="0" w:color="auto"/>
            </w:tcBorders>
            <w:shd w:val="clear" w:color="auto" w:fill="auto"/>
            <w:noWrap/>
            <w:vAlign w:val="bottom"/>
            <w:hideMark/>
          </w:tcPr>
          <w:p w14:paraId="401D345D"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-11.54</w:t>
            </w:r>
          </w:p>
        </w:tc>
        <w:tc>
          <w:tcPr>
            <w:tcW w:w="851" w:type="dxa"/>
            <w:tcBorders>
              <w:top w:val="nil"/>
              <w:left w:val="nil"/>
              <w:bottom w:val="single" w:sz="4" w:space="0" w:color="auto"/>
              <w:right w:val="single" w:sz="4" w:space="0" w:color="auto"/>
            </w:tcBorders>
            <w:shd w:val="clear" w:color="auto" w:fill="auto"/>
            <w:noWrap/>
            <w:vAlign w:val="bottom"/>
            <w:hideMark/>
          </w:tcPr>
          <w:p w14:paraId="3B6EB4BE"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0.32</w:t>
            </w:r>
          </w:p>
        </w:tc>
        <w:tc>
          <w:tcPr>
            <w:tcW w:w="992" w:type="dxa"/>
            <w:tcBorders>
              <w:top w:val="nil"/>
              <w:left w:val="nil"/>
              <w:bottom w:val="single" w:sz="4" w:space="0" w:color="auto"/>
              <w:right w:val="single" w:sz="4" w:space="0" w:color="auto"/>
            </w:tcBorders>
            <w:shd w:val="clear" w:color="auto" w:fill="auto"/>
            <w:noWrap/>
            <w:vAlign w:val="bottom"/>
            <w:hideMark/>
          </w:tcPr>
          <w:p w14:paraId="2118B883"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r>
      <w:tr w:rsidR="009B694F" w:rsidRPr="009B694F" w14:paraId="06B0FCF8" w14:textId="77777777" w:rsidTr="007D3F9D">
        <w:trPr>
          <w:trHeight w:val="300"/>
        </w:trPr>
        <w:tc>
          <w:tcPr>
            <w:tcW w:w="2127" w:type="dxa"/>
            <w:tcBorders>
              <w:top w:val="nil"/>
              <w:left w:val="nil"/>
              <w:bottom w:val="nil"/>
              <w:right w:val="nil"/>
            </w:tcBorders>
            <w:shd w:val="clear" w:color="auto" w:fill="auto"/>
            <w:noWrap/>
            <w:vAlign w:val="bottom"/>
            <w:hideMark/>
          </w:tcPr>
          <w:p w14:paraId="4B2D62FD" w14:textId="77777777" w:rsidR="009B694F" w:rsidRPr="009B694F" w:rsidRDefault="009B694F" w:rsidP="009B694F">
            <w:pPr>
              <w:spacing w:after="0" w:line="240" w:lineRule="auto"/>
              <w:jc w:val="center"/>
              <w:rPr>
                <w:rFonts w:ascii="Calibri" w:eastAsia="Times New Roman" w:hAnsi="Calibri" w:cs="Calibri"/>
                <w:color w:val="000000"/>
                <w:sz w:val="16"/>
                <w:szCs w:val="16"/>
                <w:lang w:eastAsia="en-GB"/>
              </w:rPr>
            </w:pPr>
          </w:p>
        </w:tc>
        <w:tc>
          <w:tcPr>
            <w:tcW w:w="3119" w:type="dxa"/>
            <w:tcBorders>
              <w:top w:val="nil"/>
              <w:left w:val="nil"/>
              <w:bottom w:val="nil"/>
              <w:right w:val="nil"/>
            </w:tcBorders>
            <w:shd w:val="clear" w:color="auto" w:fill="auto"/>
            <w:noWrap/>
            <w:vAlign w:val="bottom"/>
            <w:hideMark/>
          </w:tcPr>
          <w:p w14:paraId="273B5A61" w14:textId="77777777" w:rsidR="009B694F" w:rsidRPr="009B694F" w:rsidRDefault="009B694F" w:rsidP="009B694F">
            <w:pPr>
              <w:spacing w:after="0" w:line="240" w:lineRule="auto"/>
              <w:rPr>
                <w:rFonts w:ascii="Times New Roman" w:eastAsia="Times New Roman" w:hAnsi="Times New Roman" w:cs="Times New Roman"/>
                <w:sz w:val="16"/>
                <w:szCs w:val="16"/>
                <w:lang w:eastAsia="en-GB"/>
              </w:rPr>
            </w:pPr>
          </w:p>
        </w:tc>
        <w:tc>
          <w:tcPr>
            <w:tcW w:w="850" w:type="dxa"/>
            <w:tcBorders>
              <w:top w:val="nil"/>
              <w:left w:val="nil"/>
              <w:bottom w:val="nil"/>
              <w:right w:val="nil"/>
            </w:tcBorders>
            <w:shd w:val="clear" w:color="auto" w:fill="auto"/>
            <w:noWrap/>
            <w:vAlign w:val="bottom"/>
            <w:hideMark/>
          </w:tcPr>
          <w:p w14:paraId="2B07063E" w14:textId="77777777" w:rsidR="009B694F" w:rsidRPr="009B694F" w:rsidRDefault="009B694F" w:rsidP="009B694F">
            <w:pPr>
              <w:spacing w:after="0" w:line="240" w:lineRule="auto"/>
              <w:rPr>
                <w:rFonts w:ascii="Times New Roman" w:eastAsia="Times New Roman" w:hAnsi="Times New Roman" w:cs="Times New Roman"/>
                <w:sz w:val="16"/>
                <w:szCs w:val="16"/>
                <w:lang w:eastAsia="en-GB"/>
              </w:rPr>
            </w:pPr>
          </w:p>
        </w:tc>
        <w:tc>
          <w:tcPr>
            <w:tcW w:w="850" w:type="dxa"/>
            <w:tcBorders>
              <w:top w:val="nil"/>
              <w:left w:val="nil"/>
              <w:bottom w:val="nil"/>
              <w:right w:val="nil"/>
            </w:tcBorders>
            <w:shd w:val="clear" w:color="auto" w:fill="auto"/>
            <w:noWrap/>
            <w:vAlign w:val="bottom"/>
            <w:hideMark/>
          </w:tcPr>
          <w:p w14:paraId="47874B8B" w14:textId="77777777" w:rsidR="009B694F" w:rsidRPr="009B694F" w:rsidRDefault="009B694F" w:rsidP="009B694F">
            <w:pPr>
              <w:spacing w:after="0" w:line="240" w:lineRule="auto"/>
              <w:rPr>
                <w:rFonts w:ascii="Times New Roman" w:eastAsia="Times New Roman" w:hAnsi="Times New Roman" w:cs="Times New Roman"/>
                <w:sz w:val="16"/>
                <w:szCs w:val="16"/>
                <w:lang w:eastAsia="en-GB"/>
              </w:rPr>
            </w:pPr>
          </w:p>
        </w:tc>
        <w:tc>
          <w:tcPr>
            <w:tcW w:w="851" w:type="dxa"/>
            <w:tcBorders>
              <w:top w:val="nil"/>
              <w:left w:val="nil"/>
              <w:bottom w:val="nil"/>
              <w:right w:val="nil"/>
            </w:tcBorders>
            <w:shd w:val="clear" w:color="auto" w:fill="auto"/>
            <w:noWrap/>
            <w:vAlign w:val="bottom"/>
            <w:hideMark/>
          </w:tcPr>
          <w:p w14:paraId="2C69F73A" w14:textId="77777777" w:rsidR="009B694F" w:rsidRPr="009B694F" w:rsidRDefault="009B694F" w:rsidP="009B694F">
            <w:pPr>
              <w:spacing w:after="0" w:line="240" w:lineRule="auto"/>
              <w:rPr>
                <w:rFonts w:ascii="Times New Roman" w:eastAsia="Times New Roman" w:hAnsi="Times New Roman" w:cs="Times New Roman"/>
                <w:sz w:val="16"/>
                <w:szCs w:val="16"/>
                <w:lang w:eastAsia="en-GB"/>
              </w:rPr>
            </w:pPr>
          </w:p>
        </w:tc>
        <w:tc>
          <w:tcPr>
            <w:tcW w:w="992" w:type="dxa"/>
            <w:tcBorders>
              <w:top w:val="nil"/>
              <w:left w:val="nil"/>
              <w:bottom w:val="nil"/>
              <w:right w:val="nil"/>
            </w:tcBorders>
            <w:shd w:val="clear" w:color="auto" w:fill="auto"/>
            <w:noWrap/>
            <w:vAlign w:val="bottom"/>
            <w:hideMark/>
          </w:tcPr>
          <w:p w14:paraId="783E3CD7" w14:textId="77777777" w:rsidR="009B694F" w:rsidRPr="009B694F" w:rsidRDefault="009B694F" w:rsidP="009B694F">
            <w:pPr>
              <w:spacing w:after="0" w:line="240" w:lineRule="auto"/>
              <w:rPr>
                <w:rFonts w:ascii="Times New Roman" w:eastAsia="Times New Roman" w:hAnsi="Times New Roman" w:cs="Times New Roman"/>
                <w:sz w:val="16"/>
                <w:szCs w:val="16"/>
                <w:lang w:eastAsia="en-GB"/>
              </w:rPr>
            </w:pPr>
          </w:p>
        </w:tc>
      </w:tr>
      <w:tr w:rsidR="009B694F" w:rsidRPr="009B694F" w14:paraId="145E7694" w14:textId="77777777" w:rsidTr="007D3F9D">
        <w:trPr>
          <w:trHeight w:val="300"/>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E5691F"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EPS (£/share)</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14:paraId="51FE987C"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Net Income (profit after tax) / No. of shares</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2F2CBF2A" w14:textId="77777777" w:rsidR="009B694F" w:rsidRPr="009B694F" w:rsidRDefault="009B694F" w:rsidP="009B694F">
            <w:pPr>
              <w:spacing w:after="0" w:line="240" w:lineRule="auto"/>
              <w:jc w:val="right"/>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-3.84</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62AE7A3C" w14:textId="77777777" w:rsidR="009B694F" w:rsidRPr="009B694F" w:rsidRDefault="009B694F" w:rsidP="009B694F">
            <w:pPr>
              <w:spacing w:after="0" w:line="240" w:lineRule="auto"/>
              <w:jc w:val="right"/>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-72.14</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A9430AE" w14:textId="77777777" w:rsidR="009B694F" w:rsidRPr="009B694F" w:rsidRDefault="009B694F" w:rsidP="009B694F">
            <w:pPr>
              <w:spacing w:after="0" w:line="240" w:lineRule="auto"/>
              <w:jc w:val="right"/>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-0.68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21C57BC"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r>
      <w:tr w:rsidR="009B694F" w:rsidRPr="009B694F" w14:paraId="31141283" w14:textId="77777777" w:rsidTr="007D3F9D">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6F7D6DA"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Dividend Cover</w:t>
            </w:r>
          </w:p>
        </w:tc>
        <w:tc>
          <w:tcPr>
            <w:tcW w:w="3119" w:type="dxa"/>
            <w:tcBorders>
              <w:top w:val="nil"/>
              <w:left w:val="nil"/>
              <w:bottom w:val="single" w:sz="4" w:space="0" w:color="auto"/>
              <w:right w:val="single" w:sz="4" w:space="0" w:color="auto"/>
            </w:tcBorders>
            <w:shd w:val="clear" w:color="auto" w:fill="auto"/>
            <w:noWrap/>
            <w:vAlign w:val="bottom"/>
            <w:hideMark/>
          </w:tcPr>
          <w:p w14:paraId="6CFA0D75"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EPS / Dividend per share</w:t>
            </w:r>
          </w:p>
        </w:tc>
        <w:tc>
          <w:tcPr>
            <w:tcW w:w="850" w:type="dxa"/>
            <w:tcBorders>
              <w:top w:val="nil"/>
              <w:left w:val="nil"/>
              <w:bottom w:val="single" w:sz="4" w:space="0" w:color="auto"/>
              <w:right w:val="single" w:sz="4" w:space="0" w:color="auto"/>
            </w:tcBorders>
            <w:shd w:val="clear" w:color="auto" w:fill="auto"/>
            <w:noWrap/>
            <w:vAlign w:val="bottom"/>
            <w:hideMark/>
          </w:tcPr>
          <w:p w14:paraId="4FE33E69"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5BDE1431"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71B971AA"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14:paraId="724A8D1A"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r>
      <w:tr w:rsidR="009B694F" w:rsidRPr="009B694F" w14:paraId="7A353DA2" w14:textId="77777777" w:rsidTr="007D3F9D">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A16ED00"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PE Ratio</w:t>
            </w:r>
          </w:p>
        </w:tc>
        <w:tc>
          <w:tcPr>
            <w:tcW w:w="3119" w:type="dxa"/>
            <w:tcBorders>
              <w:top w:val="nil"/>
              <w:left w:val="nil"/>
              <w:bottom w:val="single" w:sz="4" w:space="0" w:color="auto"/>
              <w:right w:val="single" w:sz="4" w:space="0" w:color="auto"/>
            </w:tcBorders>
            <w:shd w:val="clear" w:color="auto" w:fill="auto"/>
            <w:noWrap/>
            <w:vAlign w:val="bottom"/>
            <w:hideMark/>
          </w:tcPr>
          <w:p w14:paraId="0C8F08CC"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Market Value per share / EPS</w:t>
            </w:r>
          </w:p>
        </w:tc>
        <w:tc>
          <w:tcPr>
            <w:tcW w:w="850" w:type="dxa"/>
            <w:tcBorders>
              <w:top w:val="nil"/>
              <w:left w:val="nil"/>
              <w:bottom w:val="single" w:sz="4" w:space="0" w:color="auto"/>
              <w:right w:val="single" w:sz="4" w:space="0" w:color="auto"/>
            </w:tcBorders>
            <w:shd w:val="clear" w:color="auto" w:fill="auto"/>
            <w:noWrap/>
            <w:vAlign w:val="bottom"/>
            <w:hideMark/>
          </w:tcPr>
          <w:p w14:paraId="66512DE2"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535A24A5"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443CBD36"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14:paraId="69339057"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r>
      <w:tr w:rsidR="009B694F" w:rsidRPr="009B694F" w14:paraId="374DF730" w14:textId="77777777" w:rsidTr="007D3F9D">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678A5C7F"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Dividend Yield</w:t>
            </w:r>
          </w:p>
        </w:tc>
        <w:tc>
          <w:tcPr>
            <w:tcW w:w="3119" w:type="dxa"/>
            <w:tcBorders>
              <w:top w:val="nil"/>
              <w:left w:val="nil"/>
              <w:bottom w:val="single" w:sz="4" w:space="0" w:color="auto"/>
              <w:right w:val="single" w:sz="4" w:space="0" w:color="auto"/>
            </w:tcBorders>
            <w:shd w:val="clear" w:color="auto" w:fill="auto"/>
            <w:noWrap/>
            <w:vAlign w:val="bottom"/>
            <w:hideMark/>
          </w:tcPr>
          <w:p w14:paraId="420B5CA9"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Dividend per share / EPS</w:t>
            </w:r>
          </w:p>
        </w:tc>
        <w:tc>
          <w:tcPr>
            <w:tcW w:w="850" w:type="dxa"/>
            <w:tcBorders>
              <w:top w:val="nil"/>
              <w:left w:val="nil"/>
              <w:bottom w:val="single" w:sz="4" w:space="0" w:color="auto"/>
              <w:right w:val="single" w:sz="4" w:space="0" w:color="auto"/>
            </w:tcBorders>
            <w:shd w:val="clear" w:color="auto" w:fill="auto"/>
            <w:noWrap/>
            <w:vAlign w:val="bottom"/>
            <w:hideMark/>
          </w:tcPr>
          <w:p w14:paraId="48EEA825"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06B56ABD"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78CC7939"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14:paraId="5753721F"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r>
      <w:tr w:rsidR="009B694F" w:rsidRPr="009B694F" w14:paraId="44C65028" w14:textId="77777777" w:rsidTr="007D3F9D">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4510C3CE"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 </w:t>
            </w:r>
          </w:p>
        </w:tc>
        <w:tc>
          <w:tcPr>
            <w:tcW w:w="3119" w:type="dxa"/>
            <w:tcBorders>
              <w:top w:val="nil"/>
              <w:left w:val="nil"/>
              <w:bottom w:val="single" w:sz="4" w:space="0" w:color="auto"/>
              <w:right w:val="single" w:sz="4" w:space="0" w:color="auto"/>
            </w:tcBorders>
            <w:shd w:val="clear" w:color="auto" w:fill="auto"/>
            <w:noWrap/>
            <w:vAlign w:val="bottom"/>
            <w:hideMark/>
          </w:tcPr>
          <w:p w14:paraId="2F3487BC" w14:textId="77777777" w:rsidR="009B694F" w:rsidRPr="009B694F" w:rsidRDefault="009B694F" w:rsidP="009B694F">
            <w:pPr>
              <w:spacing w:after="0" w:line="240" w:lineRule="auto"/>
              <w:rPr>
                <w:rFonts w:ascii="Calibri" w:eastAsia="Times New Roman" w:hAnsi="Calibri" w:cs="Calibri"/>
                <w:b/>
                <w:bCs/>
                <w:color w:val="000000"/>
                <w:sz w:val="16"/>
                <w:szCs w:val="16"/>
                <w:lang w:eastAsia="en-GB"/>
              </w:rPr>
            </w:pPr>
            <w:r w:rsidRPr="009B694F">
              <w:rPr>
                <w:rFonts w:ascii="Calibri" w:eastAsia="Times New Roman" w:hAnsi="Calibri" w:cs="Calibri"/>
                <w:b/>
                <w:bCs/>
                <w:color w:val="000000"/>
                <w:sz w:val="16"/>
                <w:szCs w:val="16"/>
                <w:lang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0D47FF3B"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1E173C4C"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7C70FC7C"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14:paraId="159308D3" w14:textId="77777777" w:rsidR="009B694F" w:rsidRPr="009B694F" w:rsidRDefault="009B694F" w:rsidP="009B694F">
            <w:pPr>
              <w:spacing w:after="0" w:line="240" w:lineRule="auto"/>
              <w:rPr>
                <w:rFonts w:ascii="Calibri" w:eastAsia="Times New Roman" w:hAnsi="Calibri" w:cs="Calibri"/>
                <w:color w:val="000000"/>
                <w:sz w:val="16"/>
                <w:szCs w:val="16"/>
                <w:lang w:eastAsia="en-GB"/>
              </w:rPr>
            </w:pPr>
            <w:r w:rsidRPr="009B694F">
              <w:rPr>
                <w:rFonts w:ascii="Calibri" w:eastAsia="Times New Roman" w:hAnsi="Calibri" w:cs="Calibri"/>
                <w:color w:val="000000"/>
                <w:sz w:val="16"/>
                <w:szCs w:val="16"/>
                <w:lang w:eastAsia="en-GB"/>
              </w:rPr>
              <w:t> </w:t>
            </w:r>
          </w:p>
        </w:tc>
      </w:tr>
    </w:tbl>
    <w:p w14:paraId="51C6DD79" w14:textId="77777777" w:rsidR="00C1648E" w:rsidRDefault="00C1648E" w:rsidP="00E008D9">
      <w:pPr>
        <w:pStyle w:val="NoSpacing"/>
        <w:rPr>
          <w:rStyle w:val="normaltextrun"/>
          <w:rFonts w:ascii="Arial" w:hAnsi="Arial" w:cs="Arial"/>
        </w:rPr>
      </w:pPr>
    </w:p>
    <w:p w14:paraId="37895E91" w14:textId="6B18D0EC" w:rsidR="00E14407" w:rsidRDefault="00E14407" w:rsidP="00E008D9">
      <w:pPr>
        <w:pStyle w:val="NoSpacing"/>
        <w:rPr>
          <w:rStyle w:val="normaltextrun"/>
          <w:rFonts w:ascii="Arial" w:hAnsi="Arial" w:cs="Arial"/>
        </w:rPr>
      </w:pPr>
    </w:p>
    <w:p w14:paraId="2459EDFD" w14:textId="0EA2090D" w:rsidR="00F56BBC" w:rsidRDefault="00285ACF" w:rsidP="00E008D9">
      <w:pPr>
        <w:pStyle w:val="NoSpacing"/>
        <w:rPr>
          <w:rStyle w:val="normaltextrun"/>
          <w:rFonts w:ascii="Arial" w:hAnsi="Arial" w:cs="Arial"/>
          <w:b/>
          <w:bCs/>
          <w:sz w:val="20"/>
          <w:szCs w:val="20"/>
        </w:rPr>
      </w:pPr>
      <w:r w:rsidRPr="00AA13EF">
        <w:rPr>
          <w:rStyle w:val="normaltextrun"/>
          <w:rFonts w:ascii="Arial" w:hAnsi="Arial" w:cs="Arial"/>
          <w:b/>
          <w:bCs/>
          <w:sz w:val="20"/>
          <w:szCs w:val="20"/>
        </w:rPr>
        <w:t>Profitability</w:t>
      </w:r>
      <w:r w:rsidR="00CC0734">
        <w:rPr>
          <w:rStyle w:val="normaltextrun"/>
          <w:rFonts w:ascii="Arial" w:hAnsi="Arial" w:cs="Arial"/>
          <w:b/>
          <w:bCs/>
          <w:sz w:val="20"/>
          <w:szCs w:val="20"/>
        </w:rPr>
        <w:t xml:space="preserve"> Ratios</w:t>
      </w:r>
      <w:r w:rsidR="00F56BBC" w:rsidRPr="00AA13EF">
        <w:rPr>
          <w:rStyle w:val="normaltextrun"/>
          <w:rFonts w:ascii="Arial" w:hAnsi="Arial" w:cs="Arial"/>
          <w:b/>
          <w:bCs/>
          <w:sz w:val="20"/>
          <w:szCs w:val="20"/>
        </w:rPr>
        <w:t>:</w:t>
      </w:r>
    </w:p>
    <w:p w14:paraId="7941E4C0" w14:textId="77777777" w:rsidR="00F32737" w:rsidRPr="00AA13EF" w:rsidRDefault="00F32737" w:rsidP="00E008D9">
      <w:pPr>
        <w:pStyle w:val="NoSpacing"/>
        <w:rPr>
          <w:rStyle w:val="normaltextrun"/>
          <w:rFonts w:ascii="Arial" w:hAnsi="Arial" w:cs="Arial"/>
          <w:b/>
          <w:bCs/>
          <w:sz w:val="20"/>
          <w:szCs w:val="20"/>
        </w:rPr>
      </w:pPr>
    </w:p>
    <w:p w14:paraId="31C785C8" w14:textId="1E1EDB72" w:rsidR="00D21C04" w:rsidRDefault="00A05D5B" w:rsidP="00E008D9">
      <w:pPr>
        <w:pStyle w:val="NoSpacing"/>
        <w:rPr>
          <w:rStyle w:val="normaltextrun"/>
          <w:rFonts w:ascii="Arial" w:hAnsi="Arial" w:cs="Arial"/>
          <w:sz w:val="20"/>
          <w:szCs w:val="20"/>
        </w:rPr>
      </w:pPr>
      <w:r>
        <w:rPr>
          <w:rStyle w:val="normaltextrun"/>
          <w:rFonts w:ascii="Arial" w:hAnsi="Arial" w:cs="Arial"/>
          <w:sz w:val="20"/>
          <w:szCs w:val="20"/>
        </w:rPr>
        <w:t xml:space="preserve">The business </w:t>
      </w:r>
      <w:proofErr w:type="gramStart"/>
      <w:r>
        <w:rPr>
          <w:rStyle w:val="normaltextrun"/>
          <w:rFonts w:ascii="Arial" w:hAnsi="Arial" w:cs="Arial"/>
          <w:sz w:val="20"/>
          <w:szCs w:val="20"/>
        </w:rPr>
        <w:t>as a whole has</w:t>
      </w:r>
      <w:proofErr w:type="gramEnd"/>
      <w:r>
        <w:rPr>
          <w:rStyle w:val="normaltextrun"/>
          <w:rFonts w:ascii="Arial" w:hAnsi="Arial" w:cs="Arial"/>
          <w:sz w:val="20"/>
          <w:szCs w:val="20"/>
        </w:rPr>
        <w:t xml:space="preserve"> been loss making </w:t>
      </w:r>
      <w:r w:rsidR="00DA1411">
        <w:rPr>
          <w:rStyle w:val="normaltextrun"/>
          <w:rFonts w:ascii="Arial" w:hAnsi="Arial" w:cs="Arial"/>
          <w:sz w:val="20"/>
          <w:szCs w:val="20"/>
        </w:rPr>
        <w:t>(negative net income</w:t>
      </w:r>
      <w:r w:rsidR="00CC0734">
        <w:rPr>
          <w:rStyle w:val="normaltextrun"/>
          <w:rFonts w:ascii="Arial" w:hAnsi="Arial" w:cs="Arial"/>
          <w:sz w:val="20"/>
          <w:szCs w:val="20"/>
        </w:rPr>
        <w:t>, negative net profit</w:t>
      </w:r>
      <w:r w:rsidR="004B7353">
        <w:rPr>
          <w:rStyle w:val="normaltextrun"/>
          <w:rFonts w:ascii="Arial" w:hAnsi="Arial" w:cs="Arial"/>
          <w:sz w:val="20"/>
          <w:szCs w:val="20"/>
        </w:rPr>
        <w:t xml:space="preserve"> </w:t>
      </w:r>
      <w:r w:rsidR="00CC0734">
        <w:rPr>
          <w:rStyle w:val="normaltextrun"/>
          <w:rFonts w:ascii="Arial" w:hAnsi="Arial" w:cs="Arial"/>
          <w:sz w:val="20"/>
          <w:szCs w:val="20"/>
        </w:rPr>
        <w:t>%</w:t>
      </w:r>
      <w:r w:rsidR="00DA1411">
        <w:rPr>
          <w:rStyle w:val="normaltextrun"/>
          <w:rFonts w:ascii="Arial" w:hAnsi="Arial" w:cs="Arial"/>
          <w:sz w:val="20"/>
          <w:szCs w:val="20"/>
        </w:rPr>
        <w:t xml:space="preserve">) </w:t>
      </w:r>
      <w:r>
        <w:rPr>
          <w:rStyle w:val="normaltextrun"/>
          <w:rFonts w:ascii="Arial" w:hAnsi="Arial" w:cs="Arial"/>
          <w:sz w:val="20"/>
          <w:szCs w:val="20"/>
        </w:rPr>
        <w:t>in each of the last 3 year</w:t>
      </w:r>
      <w:r w:rsidR="00DA1411">
        <w:rPr>
          <w:rStyle w:val="normaltextrun"/>
          <w:rFonts w:ascii="Arial" w:hAnsi="Arial" w:cs="Arial"/>
          <w:sz w:val="20"/>
          <w:szCs w:val="20"/>
        </w:rPr>
        <w:t>s</w:t>
      </w:r>
      <w:r w:rsidR="00CC0734">
        <w:rPr>
          <w:rStyle w:val="normaltextrun"/>
          <w:rFonts w:ascii="Arial" w:hAnsi="Arial" w:cs="Arial"/>
          <w:sz w:val="20"/>
          <w:szCs w:val="20"/>
        </w:rPr>
        <w:t>. I</w:t>
      </w:r>
      <w:r w:rsidR="00DA1411">
        <w:rPr>
          <w:rStyle w:val="normaltextrun"/>
          <w:rFonts w:ascii="Arial" w:hAnsi="Arial" w:cs="Arial"/>
          <w:sz w:val="20"/>
          <w:szCs w:val="20"/>
        </w:rPr>
        <w:t xml:space="preserve">n 2021 </w:t>
      </w:r>
      <w:r w:rsidR="009B1143">
        <w:rPr>
          <w:rStyle w:val="normaltextrun"/>
          <w:rFonts w:ascii="Arial" w:hAnsi="Arial" w:cs="Arial"/>
          <w:sz w:val="20"/>
          <w:szCs w:val="20"/>
        </w:rPr>
        <w:t>it</w:t>
      </w:r>
      <w:r w:rsidR="00DA1411">
        <w:rPr>
          <w:rStyle w:val="normaltextrun"/>
          <w:rFonts w:ascii="Arial" w:hAnsi="Arial" w:cs="Arial"/>
          <w:sz w:val="20"/>
          <w:szCs w:val="20"/>
        </w:rPr>
        <w:t xml:space="preserve"> was notable that the net income for the continuing operations was £67M. </w:t>
      </w:r>
      <w:r w:rsidR="009B1143">
        <w:rPr>
          <w:rStyle w:val="normaltextrun"/>
          <w:rFonts w:ascii="Arial" w:hAnsi="Arial" w:cs="Arial"/>
          <w:sz w:val="20"/>
          <w:szCs w:val="20"/>
        </w:rPr>
        <w:t xml:space="preserve">However, this includes </w:t>
      </w:r>
      <w:r w:rsidR="006C23AB">
        <w:rPr>
          <w:rStyle w:val="normaltextrun"/>
          <w:rFonts w:ascii="Arial" w:hAnsi="Arial" w:cs="Arial"/>
          <w:sz w:val="20"/>
          <w:szCs w:val="20"/>
        </w:rPr>
        <w:t>one-off net proceeds of c</w:t>
      </w:r>
      <w:r w:rsidR="004B7353">
        <w:rPr>
          <w:rStyle w:val="normaltextrun"/>
          <w:rFonts w:ascii="Arial" w:hAnsi="Arial" w:cs="Arial"/>
          <w:sz w:val="20"/>
          <w:szCs w:val="20"/>
        </w:rPr>
        <w:t>.</w:t>
      </w:r>
      <w:r w:rsidR="006C23AB">
        <w:rPr>
          <w:rStyle w:val="normaltextrun"/>
          <w:rFonts w:ascii="Arial" w:hAnsi="Arial" w:cs="Arial"/>
          <w:sz w:val="20"/>
          <w:szCs w:val="20"/>
        </w:rPr>
        <w:t>£224.7 from the sale of various assets</w:t>
      </w:r>
      <w:r w:rsidR="009915A5">
        <w:rPr>
          <w:rStyle w:val="normaltextrun"/>
          <w:rFonts w:ascii="Arial" w:hAnsi="Arial" w:cs="Arial"/>
          <w:sz w:val="20"/>
          <w:szCs w:val="20"/>
        </w:rPr>
        <w:t xml:space="preserve"> so is not as good as it looks at first glance</w:t>
      </w:r>
      <w:r w:rsidR="006C23AB">
        <w:rPr>
          <w:rStyle w:val="normaltextrun"/>
          <w:rFonts w:ascii="Arial" w:hAnsi="Arial" w:cs="Arial"/>
          <w:sz w:val="20"/>
          <w:szCs w:val="20"/>
        </w:rPr>
        <w:t>.</w:t>
      </w:r>
    </w:p>
    <w:p w14:paraId="5FA2E2AF" w14:textId="77777777" w:rsidR="006C23AB" w:rsidRDefault="006C23AB" w:rsidP="00E008D9">
      <w:pPr>
        <w:pStyle w:val="NoSpacing"/>
        <w:rPr>
          <w:rStyle w:val="normaltextrun"/>
          <w:rFonts w:ascii="Arial" w:hAnsi="Arial" w:cs="Arial"/>
          <w:sz w:val="20"/>
          <w:szCs w:val="20"/>
        </w:rPr>
      </w:pPr>
    </w:p>
    <w:p w14:paraId="7298B1F8" w14:textId="0AA045C6" w:rsidR="00D21C04" w:rsidRDefault="00A72031" w:rsidP="00E008D9">
      <w:pPr>
        <w:pStyle w:val="NoSpacing"/>
        <w:rPr>
          <w:rStyle w:val="normaltextrun"/>
          <w:rFonts w:ascii="Arial" w:hAnsi="Arial" w:cs="Arial"/>
          <w:sz w:val="20"/>
          <w:szCs w:val="20"/>
        </w:rPr>
      </w:pPr>
      <w:r>
        <w:rPr>
          <w:rStyle w:val="normaltextrun"/>
          <w:rFonts w:ascii="Arial" w:hAnsi="Arial" w:cs="Arial"/>
          <w:sz w:val="20"/>
          <w:szCs w:val="20"/>
        </w:rPr>
        <w:t>G</w:t>
      </w:r>
      <w:r w:rsidR="00DA1411">
        <w:rPr>
          <w:rStyle w:val="normaltextrun"/>
          <w:rFonts w:ascii="Arial" w:hAnsi="Arial" w:cs="Arial"/>
          <w:sz w:val="20"/>
          <w:szCs w:val="20"/>
        </w:rPr>
        <w:t xml:space="preserve">ross profit </w:t>
      </w:r>
      <w:r w:rsidR="006C23AB">
        <w:rPr>
          <w:rStyle w:val="normaltextrun"/>
          <w:rFonts w:ascii="Arial" w:hAnsi="Arial" w:cs="Arial"/>
          <w:sz w:val="20"/>
          <w:szCs w:val="20"/>
        </w:rPr>
        <w:t>margin %</w:t>
      </w:r>
      <w:r w:rsidR="00CC0734">
        <w:rPr>
          <w:rStyle w:val="normaltextrun"/>
          <w:rFonts w:ascii="Arial" w:hAnsi="Arial" w:cs="Arial"/>
          <w:sz w:val="20"/>
          <w:szCs w:val="20"/>
        </w:rPr>
        <w:t xml:space="preserve"> has not yet recovered to pre-pandemic </w:t>
      </w:r>
      <w:r w:rsidR="007E0D75">
        <w:rPr>
          <w:rStyle w:val="normaltextrun"/>
          <w:rFonts w:ascii="Arial" w:hAnsi="Arial" w:cs="Arial"/>
          <w:sz w:val="20"/>
          <w:szCs w:val="20"/>
        </w:rPr>
        <w:t>levels</w:t>
      </w:r>
      <w:r>
        <w:rPr>
          <w:rStyle w:val="normaltextrun"/>
          <w:rFonts w:ascii="Arial" w:hAnsi="Arial" w:cs="Arial"/>
          <w:sz w:val="20"/>
          <w:szCs w:val="20"/>
        </w:rPr>
        <w:t xml:space="preserve"> (including from continuing operations) and</w:t>
      </w:r>
      <w:r w:rsidR="004B7353">
        <w:rPr>
          <w:rStyle w:val="normaltextrun"/>
          <w:rFonts w:ascii="Arial" w:hAnsi="Arial" w:cs="Arial"/>
          <w:sz w:val="20"/>
          <w:szCs w:val="20"/>
        </w:rPr>
        <w:t>,</w:t>
      </w:r>
      <w:r w:rsidR="007E0D75">
        <w:rPr>
          <w:rStyle w:val="normaltextrun"/>
          <w:rFonts w:ascii="Arial" w:hAnsi="Arial" w:cs="Arial"/>
          <w:sz w:val="20"/>
          <w:szCs w:val="20"/>
        </w:rPr>
        <w:t xml:space="preserve"> given that current supply chain issues are expected to limit (probably reduce) sales </w:t>
      </w:r>
      <w:r w:rsidR="009915A5">
        <w:rPr>
          <w:rStyle w:val="normaltextrun"/>
          <w:rFonts w:ascii="Arial" w:hAnsi="Arial" w:cs="Arial"/>
          <w:sz w:val="20"/>
          <w:szCs w:val="20"/>
        </w:rPr>
        <w:t xml:space="preserve">capacity </w:t>
      </w:r>
      <w:r w:rsidR="007E0D75">
        <w:rPr>
          <w:rStyle w:val="normaltextrun"/>
          <w:rFonts w:ascii="Arial" w:hAnsi="Arial" w:cs="Arial"/>
          <w:sz w:val="20"/>
          <w:szCs w:val="20"/>
        </w:rPr>
        <w:t xml:space="preserve">for the foreseeable future, the gross margin would need to be </w:t>
      </w:r>
      <w:r w:rsidR="009915A5">
        <w:rPr>
          <w:rStyle w:val="normaltextrun"/>
          <w:rFonts w:ascii="Arial" w:hAnsi="Arial" w:cs="Arial"/>
          <w:sz w:val="20"/>
          <w:szCs w:val="20"/>
        </w:rPr>
        <w:t xml:space="preserve">substantially </w:t>
      </w:r>
      <w:r w:rsidR="007E0D75">
        <w:rPr>
          <w:rStyle w:val="normaltextrun"/>
          <w:rFonts w:ascii="Arial" w:hAnsi="Arial" w:cs="Arial"/>
          <w:sz w:val="20"/>
          <w:szCs w:val="20"/>
        </w:rPr>
        <w:t xml:space="preserve">higher to create </w:t>
      </w:r>
      <w:r w:rsidR="009915A5">
        <w:rPr>
          <w:rStyle w:val="normaltextrun"/>
          <w:rFonts w:ascii="Arial" w:hAnsi="Arial" w:cs="Arial"/>
          <w:sz w:val="20"/>
          <w:szCs w:val="20"/>
        </w:rPr>
        <w:t>sufficient</w:t>
      </w:r>
      <w:r w:rsidR="007E0D75">
        <w:rPr>
          <w:rStyle w:val="normaltextrun"/>
          <w:rFonts w:ascii="Arial" w:hAnsi="Arial" w:cs="Arial"/>
          <w:sz w:val="20"/>
          <w:szCs w:val="20"/>
        </w:rPr>
        <w:t xml:space="preserve"> margin to result in a net profit. This can only be achieved by either reducing cost of sales (which is highly unlikely given current inflationary pressures on materials and labour) or by significant increase</w:t>
      </w:r>
      <w:r>
        <w:rPr>
          <w:rStyle w:val="normaltextrun"/>
          <w:rFonts w:ascii="Arial" w:hAnsi="Arial" w:cs="Arial"/>
          <w:sz w:val="20"/>
          <w:szCs w:val="20"/>
        </w:rPr>
        <w:t>s</w:t>
      </w:r>
      <w:r w:rsidR="007E0D75">
        <w:rPr>
          <w:rStyle w:val="normaltextrun"/>
          <w:rFonts w:ascii="Arial" w:hAnsi="Arial" w:cs="Arial"/>
          <w:sz w:val="20"/>
          <w:szCs w:val="20"/>
        </w:rPr>
        <w:t xml:space="preserve"> in sales prices</w:t>
      </w:r>
      <w:r w:rsidR="009915A5">
        <w:rPr>
          <w:rStyle w:val="normaltextrun"/>
          <w:rFonts w:ascii="Arial" w:hAnsi="Arial" w:cs="Arial"/>
          <w:sz w:val="20"/>
          <w:szCs w:val="20"/>
        </w:rPr>
        <w:t xml:space="preserve">, which given the current level of pricing and expected economic slowdown it would be difficult to achieve significant price increases. However, this will depend on the balance of </w:t>
      </w:r>
      <w:r w:rsidR="009915A5">
        <w:rPr>
          <w:rStyle w:val="normaltextrun"/>
          <w:rFonts w:ascii="Arial" w:hAnsi="Arial" w:cs="Arial"/>
          <w:sz w:val="20"/>
          <w:szCs w:val="20"/>
        </w:rPr>
        <w:lastRenderedPageBreak/>
        <w:t>supply and demand as McLaren have previously used limiting stock availability as a strategy to achieve higher pricing.</w:t>
      </w:r>
    </w:p>
    <w:p w14:paraId="643920DF" w14:textId="30EA6BAA" w:rsidR="00D21C04" w:rsidRDefault="00D21C04" w:rsidP="00E008D9">
      <w:pPr>
        <w:pStyle w:val="NoSpacing"/>
        <w:rPr>
          <w:rStyle w:val="normaltextrun"/>
          <w:rFonts w:ascii="Arial" w:hAnsi="Arial" w:cs="Arial"/>
          <w:sz w:val="20"/>
          <w:szCs w:val="20"/>
        </w:rPr>
      </w:pPr>
    </w:p>
    <w:p w14:paraId="3EF4ED9F" w14:textId="27B21931" w:rsidR="00E14407" w:rsidRPr="00AA13EF" w:rsidRDefault="00285ACF" w:rsidP="00E008D9">
      <w:pPr>
        <w:pStyle w:val="NoSpacing"/>
        <w:rPr>
          <w:rStyle w:val="normaltextrun"/>
          <w:rFonts w:ascii="Arial" w:hAnsi="Arial" w:cs="Arial"/>
          <w:sz w:val="20"/>
          <w:szCs w:val="20"/>
        </w:rPr>
      </w:pPr>
      <w:r w:rsidRPr="00AA13EF">
        <w:rPr>
          <w:rStyle w:val="normaltextrun"/>
          <w:rFonts w:ascii="Arial" w:hAnsi="Arial" w:cs="Arial"/>
          <w:sz w:val="20"/>
          <w:szCs w:val="20"/>
        </w:rPr>
        <w:t>Operating Profit Margin</w:t>
      </w:r>
      <w:r w:rsidR="00A72031">
        <w:rPr>
          <w:rStyle w:val="normaltextrun"/>
          <w:rFonts w:ascii="Arial" w:hAnsi="Arial" w:cs="Arial"/>
          <w:sz w:val="20"/>
          <w:szCs w:val="20"/>
        </w:rPr>
        <w:t xml:space="preserve">s for 2019 and 2021 were close to zero for the whole business, but there are some signs </w:t>
      </w:r>
      <w:r w:rsidR="00B970FE">
        <w:rPr>
          <w:rStyle w:val="normaltextrun"/>
          <w:rFonts w:ascii="Arial" w:hAnsi="Arial" w:cs="Arial"/>
          <w:sz w:val="20"/>
          <w:szCs w:val="20"/>
        </w:rPr>
        <w:t>for optimism when looking at the continuing operations numbers for 2021 which show an operating profit margin of 9.66%.</w:t>
      </w:r>
      <w:r w:rsidR="009915A5">
        <w:rPr>
          <w:rStyle w:val="normaltextrun"/>
          <w:rFonts w:ascii="Arial" w:hAnsi="Arial" w:cs="Arial"/>
          <w:sz w:val="20"/>
          <w:szCs w:val="20"/>
        </w:rPr>
        <w:t xml:space="preserve"> This would still need to grow to achieve an acceptable net profit situation.</w:t>
      </w:r>
    </w:p>
    <w:p w14:paraId="0A90CF23" w14:textId="77777777" w:rsidR="00285ACF" w:rsidRPr="00AA13EF" w:rsidRDefault="00285ACF" w:rsidP="00E008D9">
      <w:pPr>
        <w:pStyle w:val="NoSpacing"/>
        <w:rPr>
          <w:rStyle w:val="normaltextrun"/>
          <w:rFonts w:ascii="Arial" w:hAnsi="Arial" w:cs="Arial"/>
          <w:sz w:val="20"/>
          <w:szCs w:val="20"/>
        </w:rPr>
      </w:pPr>
    </w:p>
    <w:p w14:paraId="2F340B10" w14:textId="0CCA01B3" w:rsidR="00285ACF" w:rsidRDefault="00285ACF" w:rsidP="00285ACF">
      <w:pPr>
        <w:pStyle w:val="NoSpacing"/>
        <w:rPr>
          <w:rStyle w:val="normaltextrun"/>
          <w:rFonts w:ascii="Arial" w:hAnsi="Arial" w:cs="Arial"/>
          <w:sz w:val="20"/>
          <w:szCs w:val="20"/>
        </w:rPr>
      </w:pPr>
      <w:r w:rsidRPr="00533296">
        <w:rPr>
          <w:rStyle w:val="normaltextrun"/>
          <w:rFonts w:ascii="Arial" w:hAnsi="Arial" w:cs="Arial"/>
          <w:b/>
          <w:bCs/>
          <w:sz w:val="20"/>
          <w:szCs w:val="20"/>
        </w:rPr>
        <w:t>Return Ratios</w:t>
      </w:r>
    </w:p>
    <w:p w14:paraId="7722CAC6" w14:textId="77777777" w:rsidR="00D12D3A" w:rsidRPr="00533296" w:rsidRDefault="00D12D3A" w:rsidP="00285ACF">
      <w:pPr>
        <w:pStyle w:val="NoSpacing"/>
        <w:rPr>
          <w:rStyle w:val="normaltextrun"/>
          <w:rFonts w:ascii="Arial" w:hAnsi="Arial" w:cs="Arial"/>
          <w:sz w:val="20"/>
          <w:szCs w:val="20"/>
        </w:rPr>
      </w:pPr>
    </w:p>
    <w:p w14:paraId="5FACF063" w14:textId="0522812C" w:rsidR="00285ACF" w:rsidRPr="00533296" w:rsidRDefault="00285ACF" w:rsidP="00285ACF">
      <w:pPr>
        <w:pStyle w:val="NoSpacing"/>
        <w:rPr>
          <w:rStyle w:val="normaltextrun"/>
          <w:rFonts w:ascii="Arial" w:hAnsi="Arial" w:cs="Arial"/>
          <w:sz w:val="20"/>
          <w:szCs w:val="20"/>
        </w:rPr>
      </w:pPr>
      <w:r w:rsidRPr="00533296">
        <w:rPr>
          <w:rStyle w:val="normaltextrun"/>
          <w:rFonts w:ascii="Arial" w:hAnsi="Arial" w:cs="Arial"/>
          <w:sz w:val="20"/>
          <w:szCs w:val="20"/>
        </w:rPr>
        <w:t>R</w:t>
      </w:r>
      <w:r w:rsidR="00B970FE" w:rsidRPr="00533296">
        <w:rPr>
          <w:rStyle w:val="normaltextrun"/>
          <w:rFonts w:ascii="Arial" w:hAnsi="Arial" w:cs="Arial"/>
          <w:sz w:val="20"/>
          <w:szCs w:val="20"/>
        </w:rPr>
        <w:t>eturn on assets %</w:t>
      </w:r>
      <w:r w:rsidR="00E001F5" w:rsidRPr="00533296">
        <w:rPr>
          <w:rStyle w:val="normaltextrun"/>
          <w:rFonts w:ascii="Arial" w:hAnsi="Arial" w:cs="Arial"/>
          <w:sz w:val="20"/>
          <w:szCs w:val="20"/>
        </w:rPr>
        <w:t xml:space="preserve"> and return on shareholder equity</w:t>
      </w:r>
      <w:r w:rsidR="00B970FE" w:rsidRPr="00533296">
        <w:rPr>
          <w:rStyle w:val="normaltextrun"/>
          <w:rFonts w:ascii="Arial" w:hAnsi="Arial" w:cs="Arial"/>
          <w:sz w:val="20"/>
          <w:szCs w:val="20"/>
        </w:rPr>
        <w:t xml:space="preserve"> had a slight improvement between 2019 and 2021 but were still negative</w:t>
      </w:r>
      <w:r w:rsidR="00E001F5" w:rsidRPr="00533296">
        <w:rPr>
          <w:rStyle w:val="normaltextrun"/>
          <w:rFonts w:ascii="Arial" w:hAnsi="Arial" w:cs="Arial"/>
          <w:sz w:val="20"/>
          <w:szCs w:val="20"/>
        </w:rPr>
        <w:t>. These ratios are directly linked to net income</w:t>
      </w:r>
      <w:r w:rsidR="00D26A36">
        <w:rPr>
          <w:rStyle w:val="normaltextrun"/>
          <w:rFonts w:ascii="Arial" w:hAnsi="Arial" w:cs="Arial"/>
          <w:sz w:val="20"/>
          <w:szCs w:val="20"/>
        </w:rPr>
        <w:t>,</w:t>
      </w:r>
      <w:r w:rsidR="00E001F5" w:rsidRPr="00533296">
        <w:rPr>
          <w:rStyle w:val="normaltextrun"/>
          <w:rFonts w:ascii="Arial" w:hAnsi="Arial" w:cs="Arial"/>
          <w:sz w:val="20"/>
          <w:szCs w:val="20"/>
        </w:rPr>
        <w:t xml:space="preserve"> so will remain negative until the business becomes profitable.</w:t>
      </w:r>
    </w:p>
    <w:p w14:paraId="7607B951" w14:textId="181D2BC5" w:rsidR="00F56BBC" w:rsidRPr="00533296" w:rsidRDefault="00F56BBC" w:rsidP="00E008D9">
      <w:pPr>
        <w:pStyle w:val="NoSpacing"/>
        <w:rPr>
          <w:rStyle w:val="normaltextrun"/>
          <w:rFonts w:ascii="Arial" w:hAnsi="Arial" w:cs="Arial"/>
          <w:sz w:val="20"/>
          <w:szCs w:val="20"/>
        </w:rPr>
      </w:pPr>
    </w:p>
    <w:p w14:paraId="439901CA" w14:textId="3CAFD591" w:rsidR="00F56BBC" w:rsidRDefault="00F56BBC" w:rsidP="00E008D9">
      <w:pPr>
        <w:pStyle w:val="NoSpacing"/>
        <w:rPr>
          <w:rStyle w:val="normaltextrun"/>
          <w:rFonts w:ascii="Arial" w:hAnsi="Arial" w:cs="Arial"/>
          <w:b/>
          <w:bCs/>
          <w:sz w:val="20"/>
          <w:szCs w:val="20"/>
        </w:rPr>
      </w:pPr>
      <w:r w:rsidRPr="00533296">
        <w:rPr>
          <w:rStyle w:val="normaltextrun"/>
          <w:rFonts w:ascii="Arial" w:hAnsi="Arial" w:cs="Arial"/>
          <w:b/>
          <w:bCs/>
          <w:sz w:val="20"/>
          <w:szCs w:val="20"/>
        </w:rPr>
        <w:t>Liquid</w:t>
      </w:r>
      <w:r w:rsidR="00457758" w:rsidRPr="00533296">
        <w:rPr>
          <w:rStyle w:val="normaltextrun"/>
          <w:rFonts w:ascii="Arial" w:hAnsi="Arial" w:cs="Arial"/>
          <w:b/>
          <w:bCs/>
          <w:sz w:val="20"/>
          <w:szCs w:val="20"/>
        </w:rPr>
        <w:t>it</w:t>
      </w:r>
      <w:r w:rsidRPr="00533296">
        <w:rPr>
          <w:rStyle w:val="normaltextrun"/>
          <w:rFonts w:ascii="Arial" w:hAnsi="Arial" w:cs="Arial"/>
          <w:b/>
          <w:bCs/>
          <w:sz w:val="20"/>
          <w:szCs w:val="20"/>
        </w:rPr>
        <w:t>y Ratios</w:t>
      </w:r>
    </w:p>
    <w:p w14:paraId="40A0F597" w14:textId="77777777" w:rsidR="00D12D3A" w:rsidRPr="00533296" w:rsidRDefault="00D12D3A" w:rsidP="00E008D9">
      <w:pPr>
        <w:pStyle w:val="NoSpacing"/>
        <w:rPr>
          <w:rStyle w:val="normaltextrun"/>
          <w:rFonts w:ascii="Arial" w:hAnsi="Arial" w:cs="Arial"/>
          <w:b/>
          <w:bCs/>
          <w:sz w:val="20"/>
          <w:szCs w:val="20"/>
        </w:rPr>
      </w:pPr>
    </w:p>
    <w:p w14:paraId="646D09CB" w14:textId="5F30CC16" w:rsidR="00F56BBC" w:rsidRDefault="00E001F5" w:rsidP="00E008D9">
      <w:pPr>
        <w:pStyle w:val="NoSpacing"/>
        <w:rPr>
          <w:rStyle w:val="normaltextrun"/>
          <w:rFonts w:ascii="Arial" w:hAnsi="Arial" w:cs="Arial"/>
          <w:sz w:val="20"/>
          <w:szCs w:val="20"/>
        </w:rPr>
      </w:pPr>
      <w:r w:rsidRPr="00533296">
        <w:rPr>
          <w:rStyle w:val="normaltextrun"/>
          <w:rFonts w:ascii="Arial" w:hAnsi="Arial" w:cs="Arial"/>
          <w:sz w:val="20"/>
          <w:szCs w:val="20"/>
        </w:rPr>
        <w:t xml:space="preserve">The ability of the business to meet its </w:t>
      </w:r>
      <w:r w:rsidR="0098308E" w:rsidRPr="00533296">
        <w:rPr>
          <w:rStyle w:val="normaltextrun"/>
          <w:rFonts w:ascii="Arial" w:hAnsi="Arial" w:cs="Arial"/>
          <w:sz w:val="20"/>
          <w:szCs w:val="20"/>
        </w:rPr>
        <w:t>short-term</w:t>
      </w:r>
      <w:r w:rsidRPr="00533296">
        <w:rPr>
          <w:rStyle w:val="normaltextrun"/>
          <w:rFonts w:ascii="Arial" w:hAnsi="Arial" w:cs="Arial"/>
          <w:sz w:val="20"/>
          <w:szCs w:val="20"/>
        </w:rPr>
        <w:t xml:space="preserve"> commitments is demonstrated by these liquidity ratios. The Quick Ratio is the best indicator as it doesn’t include stock, which </w:t>
      </w:r>
      <w:r w:rsidR="0098308E" w:rsidRPr="00533296">
        <w:rPr>
          <w:rStyle w:val="normaltextrun"/>
          <w:rFonts w:ascii="Arial" w:hAnsi="Arial" w:cs="Arial"/>
          <w:sz w:val="20"/>
          <w:szCs w:val="20"/>
        </w:rPr>
        <w:t>may</w:t>
      </w:r>
      <w:r w:rsidRPr="00533296">
        <w:rPr>
          <w:rStyle w:val="normaltextrun"/>
          <w:rFonts w:ascii="Arial" w:hAnsi="Arial" w:cs="Arial"/>
          <w:sz w:val="20"/>
          <w:szCs w:val="20"/>
        </w:rPr>
        <w:t xml:space="preserve"> not be able to be quickly converted into cash. The </w:t>
      </w:r>
      <w:r w:rsidR="00D26A36">
        <w:rPr>
          <w:rStyle w:val="normaltextrun"/>
          <w:rFonts w:ascii="Arial" w:hAnsi="Arial" w:cs="Arial"/>
          <w:sz w:val="20"/>
          <w:szCs w:val="20"/>
        </w:rPr>
        <w:t>Q</w:t>
      </w:r>
      <w:r w:rsidRPr="00533296">
        <w:rPr>
          <w:rStyle w:val="normaltextrun"/>
          <w:rFonts w:ascii="Arial" w:hAnsi="Arial" w:cs="Arial"/>
          <w:sz w:val="20"/>
          <w:szCs w:val="20"/>
        </w:rPr>
        <w:t xml:space="preserve">uick </w:t>
      </w:r>
      <w:r w:rsidR="00D26A36">
        <w:rPr>
          <w:rStyle w:val="normaltextrun"/>
          <w:rFonts w:ascii="Arial" w:hAnsi="Arial" w:cs="Arial"/>
          <w:sz w:val="20"/>
          <w:szCs w:val="20"/>
        </w:rPr>
        <w:t>R</w:t>
      </w:r>
      <w:r w:rsidRPr="00533296">
        <w:rPr>
          <w:rStyle w:val="normaltextrun"/>
          <w:rFonts w:ascii="Arial" w:hAnsi="Arial" w:cs="Arial"/>
          <w:sz w:val="20"/>
          <w:szCs w:val="20"/>
        </w:rPr>
        <w:t xml:space="preserve">atio has a slight improvement in 2021 </w:t>
      </w:r>
      <w:r w:rsidR="00D26A36">
        <w:rPr>
          <w:rStyle w:val="normaltextrun"/>
          <w:rFonts w:ascii="Arial" w:hAnsi="Arial" w:cs="Arial"/>
          <w:sz w:val="20"/>
          <w:szCs w:val="20"/>
        </w:rPr>
        <w:t>c</w:t>
      </w:r>
      <w:r w:rsidRPr="00533296">
        <w:rPr>
          <w:rStyle w:val="normaltextrun"/>
          <w:rFonts w:ascii="Arial" w:hAnsi="Arial" w:cs="Arial"/>
          <w:sz w:val="20"/>
          <w:szCs w:val="20"/>
        </w:rPr>
        <w:t xml:space="preserve">ompared to </w:t>
      </w:r>
      <w:r w:rsidR="0098308E" w:rsidRPr="00533296">
        <w:rPr>
          <w:rStyle w:val="normaltextrun"/>
          <w:rFonts w:ascii="Arial" w:hAnsi="Arial" w:cs="Arial"/>
          <w:sz w:val="20"/>
          <w:szCs w:val="20"/>
        </w:rPr>
        <w:t>2019 but</w:t>
      </w:r>
      <w:r w:rsidRPr="00533296">
        <w:rPr>
          <w:rStyle w:val="normaltextrun"/>
          <w:rFonts w:ascii="Arial" w:hAnsi="Arial" w:cs="Arial"/>
          <w:sz w:val="20"/>
          <w:szCs w:val="20"/>
        </w:rPr>
        <w:t xml:space="preserve"> is still </w:t>
      </w:r>
      <w:r w:rsidR="0098308E" w:rsidRPr="00533296">
        <w:rPr>
          <w:rStyle w:val="normaltextrun"/>
          <w:rFonts w:ascii="Arial" w:hAnsi="Arial" w:cs="Arial"/>
          <w:sz w:val="20"/>
          <w:szCs w:val="20"/>
        </w:rPr>
        <w:t>only 0.43. This means that the business will have to convert stock into cash to have sufficient current assets to meet the current liabilities in the next 12 months.</w:t>
      </w:r>
      <w:r w:rsidR="00D26A36">
        <w:rPr>
          <w:rStyle w:val="normaltextrun"/>
          <w:rFonts w:ascii="Arial" w:hAnsi="Arial" w:cs="Arial"/>
          <w:sz w:val="20"/>
          <w:szCs w:val="20"/>
        </w:rPr>
        <w:t xml:space="preserve"> </w:t>
      </w:r>
    </w:p>
    <w:p w14:paraId="6E0F7598" w14:textId="77777777" w:rsidR="00D26A36" w:rsidRPr="00533296" w:rsidRDefault="00D26A36" w:rsidP="00E008D9">
      <w:pPr>
        <w:pStyle w:val="NoSpacing"/>
        <w:rPr>
          <w:rStyle w:val="normaltextrun"/>
          <w:rFonts w:ascii="Arial" w:hAnsi="Arial" w:cs="Arial"/>
          <w:sz w:val="20"/>
          <w:szCs w:val="20"/>
        </w:rPr>
      </w:pPr>
    </w:p>
    <w:p w14:paraId="6F8EAA8A" w14:textId="55F5EF4A" w:rsidR="00285ACF" w:rsidRPr="00533296" w:rsidRDefault="0098308E" w:rsidP="00E008D9">
      <w:pPr>
        <w:pStyle w:val="NoSpacing"/>
        <w:rPr>
          <w:rStyle w:val="normaltextrun"/>
          <w:rFonts w:ascii="Arial" w:hAnsi="Arial" w:cs="Arial"/>
          <w:sz w:val="20"/>
          <w:szCs w:val="20"/>
        </w:rPr>
      </w:pPr>
      <w:r w:rsidRPr="00533296">
        <w:rPr>
          <w:rStyle w:val="normaltextrun"/>
          <w:rFonts w:ascii="Arial" w:hAnsi="Arial" w:cs="Arial"/>
          <w:sz w:val="20"/>
          <w:szCs w:val="20"/>
        </w:rPr>
        <w:t>The Current ratio has improved from 0.59 in 2019 to 1.0 in 2021</w:t>
      </w:r>
      <w:r w:rsidR="00225DC6">
        <w:rPr>
          <w:rStyle w:val="normaltextrun"/>
          <w:rFonts w:ascii="Arial" w:hAnsi="Arial" w:cs="Arial"/>
          <w:sz w:val="20"/>
          <w:szCs w:val="20"/>
        </w:rPr>
        <w:t xml:space="preserve"> which is a step in the right direction</w:t>
      </w:r>
      <w:r w:rsidRPr="00533296">
        <w:rPr>
          <w:rStyle w:val="normaltextrun"/>
          <w:rFonts w:ascii="Arial" w:hAnsi="Arial" w:cs="Arial"/>
          <w:sz w:val="20"/>
          <w:szCs w:val="20"/>
        </w:rPr>
        <w:t>.</w:t>
      </w:r>
    </w:p>
    <w:p w14:paraId="76D8E878" w14:textId="7A5B4DD5" w:rsidR="00F56BBC" w:rsidRPr="00533296" w:rsidRDefault="00F56BBC" w:rsidP="00E008D9">
      <w:pPr>
        <w:pStyle w:val="NoSpacing"/>
        <w:rPr>
          <w:rStyle w:val="normaltextrun"/>
          <w:rFonts w:ascii="Arial" w:hAnsi="Arial" w:cs="Arial"/>
          <w:sz w:val="20"/>
          <w:szCs w:val="20"/>
        </w:rPr>
      </w:pPr>
    </w:p>
    <w:p w14:paraId="1BC5E987" w14:textId="79FA7A7E" w:rsidR="00F56BBC" w:rsidRDefault="00F56BBC" w:rsidP="00E008D9">
      <w:pPr>
        <w:pStyle w:val="NoSpacing"/>
        <w:rPr>
          <w:rStyle w:val="normaltextrun"/>
          <w:rFonts w:ascii="Arial" w:hAnsi="Arial" w:cs="Arial"/>
          <w:b/>
          <w:bCs/>
          <w:sz w:val="20"/>
          <w:szCs w:val="20"/>
        </w:rPr>
      </w:pPr>
      <w:r w:rsidRPr="00533296">
        <w:rPr>
          <w:rStyle w:val="normaltextrun"/>
          <w:rFonts w:ascii="Arial" w:hAnsi="Arial" w:cs="Arial"/>
          <w:b/>
          <w:bCs/>
          <w:sz w:val="20"/>
          <w:szCs w:val="20"/>
        </w:rPr>
        <w:t>Activity Ratios</w:t>
      </w:r>
    </w:p>
    <w:p w14:paraId="193A2F68" w14:textId="77777777" w:rsidR="00D12D3A" w:rsidRPr="00533296" w:rsidRDefault="00D12D3A" w:rsidP="00E008D9">
      <w:pPr>
        <w:pStyle w:val="NoSpacing"/>
        <w:rPr>
          <w:rStyle w:val="normaltextrun"/>
          <w:rFonts w:ascii="Arial" w:hAnsi="Arial" w:cs="Arial"/>
          <w:b/>
          <w:bCs/>
          <w:sz w:val="20"/>
          <w:szCs w:val="20"/>
        </w:rPr>
      </w:pPr>
    </w:p>
    <w:p w14:paraId="26C878EF" w14:textId="11C62566" w:rsidR="00F56BBC" w:rsidRPr="00533296" w:rsidRDefault="00F56BBC" w:rsidP="00E008D9">
      <w:pPr>
        <w:pStyle w:val="NoSpacing"/>
        <w:rPr>
          <w:rStyle w:val="normaltextrun"/>
          <w:rFonts w:ascii="Arial" w:hAnsi="Arial" w:cs="Arial"/>
          <w:sz w:val="20"/>
          <w:szCs w:val="20"/>
        </w:rPr>
      </w:pPr>
      <w:r w:rsidRPr="00533296">
        <w:rPr>
          <w:rStyle w:val="normaltextrun"/>
          <w:rFonts w:ascii="Arial" w:hAnsi="Arial" w:cs="Arial"/>
          <w:sz w:val="20"/>
          <w:szCs w:val="20"/>
        </w:rPr>
        <w:t>D</w:t>
      </w:r>
      <w:r w:rsidR="0098308E" w:rsidRPr="00533296">
        <w:rPr>
          <w:rStyle w:val="normaltextrun"/>
          <w:rFonts w:ascii="Arial" w:hAnsi="Arial" w:cs="Arial"/>
          <w:sz w:val="20"/>
          <w:szCs w:val="20"/>
        </w:rPr>
        <w:t xml:space="preserve">ays </w:t>
      </w:r>
      <w:r w:rsidRPr="00533296">
        <w:rPr>
          <w:rStyle w:val="normaltextrun"/>
          <w:rFonts w:ascii="Arial" w:hAnsi="Arial" w:cs="Arial"/>
          <w:sz w:val="20"/>
          <w:szCs w:val="20"/>
        </w:rPr>
        <w:t>S</w:t>
      </w:r>
      <w:r w:rsidR="0098308E" w:rsidRPr="00533296">
        <w:rPr>
          <w:rStyle w:val="normaltextrun"/>
          <w:rFonts w:ascii="Arial" w:hAnsi="Arial" w:cs="Arial"/>
          <w:sz w:val="20"/>
          <w:szCs w:val="20"/>
        </w:rPr>
        <w:t xml:space="preserve">ales </w:t>
      </w:r>
      <w:r w:rsidRPr="00533296">
        <w:rPr>
          <w:rStyle w:val="normaltextrun"/>
          <w:rFonts w:ascii="Arial" w:hAnsi="Arial" w:cs="Arial"/>
          <w:sz w:val="20"/>
          <w:szCs w:val="20"/>
        </w:rPr>
        <w:t>O</w:t>
      </w:r>
      <w:r w:rsidR="0098308E" w:rsidRPr="00533296">
        <w:rPr>
          <w:rStyle w:val="normaltextrun"/>
          <w:rFonts w:ascii="Arial" w:hAnsi="Arial" w:cs="Arial"/>
          <w:sz w:val="20"/>
          <w:szCs w:val="20"/>
        </w:rPr>
        <w:t>utstanding have improved form 57 days in 2019 to 41 days in 2021</w:t>
      </w:r>
      <w:r w:rsidR="00D26A36">
        <w:rPr>
          <w:rStyle w:val="normaltextrun"/>
          <w:rFonts w:ascii="Arial" w:hAnsi="Arial" w:cs="Arial"/>
          <w:sz w:val="20"/>
          <w:szCs w:val="20"/>
        </w:rPr>
        <w:t>,</w:t>
      </w:r>
      <w:r w:rsidR="0098308E" w:rsidRPr="00533296">
        <w:rPr>
          <w:rStyle w:val="normaltextrun"/>
          <w:rFonts w:ascii="Arial" w:hAnsi="Arial" w:cs="Arial"/>
          <w:sz w:val="20"/>
          <w:szCs w:val="20"/>
        </w:rPr>
        <w:t xml:space="preserve"> which suggests the business has improved its</w:t>
      </w:r>
      <w:r w:rsidR="00225DC6">
        <w:rPr>
          <w:rStyle w:val="normaltextrun"/>
          <w:rFonts w:ascii="Arial" w:hAnsi="Arial" w:cs="Arial"/>
          <w:sz w:val="20"/>
          <w:szCs w:val="20"/>
        </w:rPr>
        <w:t>’</w:t>
      </w:r>
      <w:r w:rsidR="0098308E" w:rsidRPr="00533296">
        <w:rPr>
          <w:rStyle w:val="normaltextrun"/>
          <w:rFonts w:ascii="Arial" w:hAnsi="Arial" w:cs="Arial"/>
          <w:sz w:val="20"/>
          <w:szCs w:val="20"/>
        </w:rPr>
        <w:t xml:space="preserve"> management of debtors.</w:t>
      </w:r>
    </w:p>
    <w:p w14:paraId="13B7C3F8" w14:textId="77777777" w:rsidR="00D26A36" w:rsidRDefault="00D26A36" w:rsidP="00E008D9">
      <w:pPr>
        <w:pStyle w:val="NoSpacing"/>
        <w:rPr>
          <w:rStyle w:val="normaltextrun"/>
          <w:rFonts w:ascii="Arial" w:hAnsi="Arial" w:cs="Arial"/>
          <w:sz w:val="20"/>
          <w:szCs w:val="20"/>
        </w:rPr>
      </w:pPr>
    </w:p>
    <w:p w14:paraId="44E342BE" w14:textId="30854499" w:rsidR="00F56BBC" w:rsidRPr="00533296" w:rsidRDefault="00F56BBC" w:rsidP="00E008D9">
      <w:pPr>
        <w:pStyle w:val="NoSpacing"/>
        <w:rPr>
          <w:rStyle w:val="normaltextrun"/>
          <w:rFonts w:ascii="Arial" w:hAnsi="Arial" w:cs="Arial"/>
          <w:sz w:val="20"/>
          <w:szCs w:val="20"/>
        </w:rPr>
      </w:pPr>
      <w:r w:rsidRPr="00533296">
        <w:rPr>
          <w:rStyle w:val="normaltextrun"/>
          <w:rFonts w:ascii="Arial" w:hAnsi="Arial" w:cs="Arial"/>
          <w:sz w:val="20"/>
          <w:szCs w:val="20"/>
        </w:rPr>
        <w:t>Inv</w:t>
      </w:r>
      <w:r w:rsidR="00DB67DE" w:rsidRPr="00533296">
        <w:rPr>
          <w:rStyle w:val="normaltextrun"/>
          <w:rFonts w:ascii="Arial" w:hAnsi="Arial" w:cs="Arial"/>
          <w:sz w:val="20"/>
          <w:szCs w:val="20"/>
        </w:rPr>
        <w:t>entory</w:t>
      </w:r>
      <w:r w:rsidRPr="00533296">
        <w:rPr>
          <w:rStyle w:val="normaltextrun"/>
          <w:rFonts w:ascii="Arial" w:hAnsi="Arial" w:cs="Arial"/>
          <w:sz w:val="20"/>
          <w:szCs w:val="20"/>
        </w:rPr>
        <w:t xml:space="preserve"> turn</w:t>
      </w:r>
      <w:r w:rsidR="00DB67DE" w:rsidRPr="00533296">
        <w:rPr>
          <w:rStyle w:val="normaltextrun"/>
          <w:rFonts w:ascii="Arial" w:hAnsi="Arial" w:cs="Arial"/>
          <w:sz w:val="20"/>
          <w:szCs w:val="20"/>
        </w:rPr>
        <w:t>s</w:t>
      </w:r>
      <w:r w:rsidR="00D26A36">
        <w:rPr>
          <w:rStyle w:val="normaltextrun"/>
          <w:rFonts w:ascii="Arial" w:hAnsi="Arial" w:cs="Arial"/>
          <w:sz w:val="20"/>
          <w:szCs w:val="20"/>
        </w:rPr>
        <w:t>,</w:t>
      </w:r>
      <w:r w:rsidR="00DB67DE" w:rsidRPr="00533296">
        <w:rPr>
          <w:rStyle w:val="normaltextrun"/>
          <w:rFonts w:ascii="Arial" w:hAnsi="Arial" w:cs="Arial"/>
          <w:sz w:val="20"/>
          <w:szCs w:val="20"/>
        </w:rPr>
        <w:t xml:space="preserve"> on the other hand</w:t>
      </w:r>
      <w:r w:rsidR="00D26A36">
        <w:rPr>
          <w:rStyle w:val="normaltextrun"/>
          <w:rFonts w:ascii="Arial" w:hAnsi="Arial" w:cs="Arial"/>
          <w:sz w:val="20"/>
          <w:szCs w:val="20"/>
        </w:rPr>
        <w:t>,</w:t>
      </w:r>
      <w:r w:rsidR="00DB67DE" w:rsidRPr="00533296">
        <w:rPr>
          <w:rStyle w:val="normaltextrun"/>
          <w:rFonts w:ascii="Arial" w:hAnsi="Arial" w:cs="Arial"/>
          <w:sz w:val="20"/>
          <w:szCs w:val="20"/>
        </w:rPr>
        <w:t xml:space="preserve"> have reduced from 6.8 in 2019 to 2.88 in 2021</w:t>
      </w:r>
      <w:r w:rsidR="00D26A36">
        <w:rPr>
          <w:rStyle w:val="normaltextrun"/>
          <w:rFonts w:ascii="Arial" w:hAnsi="Arial" w:cs="Arial"/>
          <w:sz w:val="20"/>
          <w:szCs w:val="20"/>
        </w:rPr>
        <w:t>,</w:t>
      </w:r>
      <w:r w:rsidR="00DB67DE" w:rsidRPr="00533296">
        <w:rPr>
          <w:rStyle w:val="normaltextrun"/>
          <w:rFonts w:ascii="Arial" w:hAnsi="Arial" w:cs="Arial"/>
          <w:sz w:val="20"/>
          <w:szCs w:val="20"/>
        </w:rPr>
        <w:t xml:space="preserve"> which suggests the business is sitting on more stock (relative to sales)</w:t>
      </w:r>
      <w:r w:rsidR="00225DC6">
        <w:rPr>
          <w:rStyle w:val="normaltextrun"/>
          <w:rFonts w:ascii="Arial" w:hAnsi="Arial" w:cs="Arial"/>
          <w:sz w:val="20"/>
          <w:szCs w:val="20"/>
        </w:rPr>
        <w:t>. This may be affected by the current supply chain difficulties whereby ‘just in time’ strategies are being replaced by ‘just in case’ strategies.</w:t>
      </w:r>
    </w:p>
    <w:p w14:paraId="468E9414" w14:textId="77777777" w:rsidR="00D26A36" w:rsidRDefault="00D26A36" w:rsidP="00E008D9">
      <w:pPr>
        <w:pStyle w:val="NoSpacing"/>
        <w:rPr>
          <w:rStyle w:val="normaltextrun"/>
          <w:rFonts w:ascii="Arial" w:hAnsi="Arial" w:cs="Arial"/>
          <w:sz w:val="20"/>
          <w:szCs w:val="20"/>
        </w:rPr>
      </w:pPr>
    </w:p>
    <w:p w14:paraId="29CDE725" w14:textId="6E12584F" w:rsidR="00F56BBC" w:rsidRPr="00533296" w:rsidRDefault="00F56BBC" w:rsidP="00E008D9">
      <w:pPr>
        <w:pStyle w:val="NoSpacing"/>
        <w:rPr>
          <w:rStyle w:val="normaltextrun"/>
          <w:rFonts w:ascii="Arial" w:hAnsi="Arial" w:cs="Arial"/>
          <w:sz w:val="20"/>
          <w:szCs w:val="20"/>
        </w:rPr>
      </w:pPr>
      <w:r w:rsidRPr="00533296">
        <w:rPr>
          <w:rStyle w:val="normaltextrun"/>
          <w:rFonts w:ascii="Arial" w:hAnsi="Arial" w:cs="Arial"/>
          <w:sz w:val="20"/>
          <w:szCs w:val="20"/>
        </w:rPr>
        <w:t>D</w:t>
      </w:r>
      <w:r w:rsidR="00DB67DE" w:rsidRPr="00533296">
        <w:rPr>
          <w:rStyle w:val="normaltextrun"/>
          <w:rFonts w:ascii="Arial" w:hAnsi="Arial" w:cs="Arial"/>
          <w:sz w:val="20"/>
          <w:szCs w:val="20"/>
        </w:rPr>
        <w:t xml:space="preserve">ays </w:t>
      </w:r>
      <w:r w:rsidRPr="00533296">
        <w:rPr>
          <w:rStyle w:val="normaltextrun"/>
          <w:rFonts w:ascii="Arial" w:hAnsi="Arial" w:cs="Arial"/>
          <w:sz w:val="20"/>
          <w:szCs w:val="20"/>
        </w:rPr>
        <w:t>P</w:t>
      </w:r>
      <w:r w:rsidR="00DB67DE" w:rsidRPr="00533296">
        <w:rPr>
          <w:rStyle w:val="normaltextrun"/>
          <w:rFonts w:ascii="Arial" w:hAnsi="Arial" w:cs="Arial"/>
          <w:sz w:val="20"/>
          <w:szCs w:val="20"/>
        </w:rPr>
        <w:t xml:space="preserve">ayable </w:t>
      </w:r>
      <w:r w:rsidRPr="00533296">
        <w:rPr>
          <w:rStyle w:val="normaltextrun"/>
          <w:rFonts w:ascii="Arial" w:hAnsi="Arial" w:cs="Arial"/>
          <w:sz w:val="20"/>
          <w:szCs w:val="20"/>
        </w:rPr>
        <w:t>O</w:t>
      </w:r>
      <w:r w:rsidR="00DB67DE" w:rsidRPr="00533296">
        <w:rPr>
          <w:rStyle w:val="normaltextrun"/>
          <w:rFonts w:ascii="Arial" w:hAnsi="Arial" w:cs="Arial"/>
          <w:sz w:val="20"/>
          <w:szCs w:val="20"/>
        </w:rPr>
        <w:t>utstanding is relatively flat (slightly longer) at 280 days in 2021 compared to 264 days in 2019. Whilst it is good to get long credit terms with suppliers, these are very high numbers and suggest the business is not paying its creditors on time. In an environment of tight supply this could impact on the business</w:t>
      </w:r>
      <w:r w:rsidR="00D26A36">
        <w:rPr>
          <w:rStyle w:val="normaltextrun"/>
          <w:rFonts w:ascii="Arial" w:hAnsi="Arial" w:cs="Arial"/>
          <w:sz w:val="20"/>
          <w:szCs w:val="20"/>
        </w:rPr>
        <w:t>’s</w:t>
      </w:r>
      <w:r w:rsidR="00DB67DE" w:rsidRPr="00533296">
        <w:rPr>
          <w:rStyle w:val="normaltextrun"/>
          <w:rFonts w:ascii="Arial" w:hAnsi="Arial" w:cs="Arial"/>
          <w:sz w:val="20"/>
          <w:szCs w:val="20"/>
        </w:rPr>
        <w:t xml:space="preserve"> </w:t>
      </w:r>
      <w:r w:rsidR="00F94407" w:rsidRPr="00533296">
        <w:rPr>
          <w:rStyle w:val="normaltextrun"/>
          <w:rFonts w:ascii="Arial" w:hAnsi="Arial" w:cs="Arial"/>
          <w:sz w:val="20"/>
          <w:szCs w:val="20"/>
        </w:rPr>
        <w:t>ability</w:t>
      </w:r>
      <w:r w:rsidR="00DB67DE" w:rsidRPr="00533296">
        <w:rPr>
          <w:rStyle w:val="normaltextrun"/>
          <w:rFonts w:ascii="Arial" w:hAnsi="Arial" w:cs="Arial"/>
          <w:sz w:val="20"/>
          <w:szCs w:val="20"/>
        </w:rPr>
        <w:t xml:space="preserve"> to procure </w:t>
      </w:r>
      <w:r w:rsidR="002A6DE0" w:rsidRPr="00533296">
        <w:rPr>
          <w:rStyle w:val="normaltextrun"/>
          <w:rFonts w:ascii="Arial" w:hAnsi="Arial" w:cs="Arial"/>
          <w:sz w:val="20"/>
          <w:szCs w:val="20"/>
        </w:rPr>
        <w:t>parts and</w:t>
      </w:r>
      <w:r w:rsidR="00DB67DE" w:rsidRPr="00533296">
        <w:rPr>
          <w:rStyle w:val="normaltextrun"/>
          <w:rFonts w:ascii="Arial" w:hAnsi="Arial" w:cs="Arial"/>
          <w:sz w:val="20"/>
          <w:szCs w:val="20"/>
        </w:rPr>
        <w:t xml:space="preserve"> </w:t>
      </w:r>
      <w:r w:rsidR="00F94407" w:rsidRPr="00533296">
        <w:rPr>
          <w:rStyle w:val="normaltextrun"/>
          <w:rFonts w:ascii="Arial" w:hAnsi="Arial" w:cs="Arial"/>
          <w:sz w:val="20"/>
          <w:szCs w:val="20"/>
        </w:rPr>
        <w:t>could also be harming the supplier base’s cash flow</w:t>
      </w:r>
      <w:r w:rsidR="00D26A36">
        <w:rPr>
          <w:rStyle w:val="normaltextrun"/>
          <w:rFonts w:ascii="Arial" w:hAnsi="Arial" w:cs="Arial"/>
          <w:sz w:val="20"/>
          <w:szCs w:val="20"/>
        </w:rPr>
        <w:t>,</w:t>
      </w:r>
      <w:r w:rsidR="00F94407" w:rsidRPr="00533296">
        <w:rPr>
          <w:rStyle w:val="normaltextrun"/>
          <w:rFonts w:ascii="Arial" w:hAnsi="Arial" w:cs="Arial"/>
          <w:sz w:val="20"/>
          <w:szCs w:val="20"/>
        </w:rPr>
        <w:t xml:space="preserve"> which might ultimately harm McLaren.</w:t>
      </w:r>
    </w:p>
    <w:p w14:paraId="0A5C6AF7" w14:textId="0048C00E" w:rsidR="00624C54" w:rsidRPr="00533296" w:rsidRDefault="00624C54" w:rsidP="00E008D9">
      <w:pPr>
        <w:pStyle w:val="NoSpacing"/>
        <w:rPr>
          <w:rStyle w:val="normaltextrun"/>
          <w:rFonts w:ascii="Arial" w:hAnsi="Arial" w:cs="Arial"/>
          <w:sz w:val="20"/>
          <w:szCs w:val="20"/>
        </w:rPr>
      </w:pPr>
    </w:p>
    <w:p w14:paraId="01FC7C89" w14:textId="68397787" w:rsidR="00B90352" w:rsidRDefault="00B90352" w:rsidP="00E008D9">
      <w:pPr>
        <w:pStyle w:val="NoSpacing"/>
        <w:rPr>
          <w:rStyle w:val="normaltextrun"/>
          <w:rFonts w:ascii="Arial" w:hAnsi="Arial" w:cs="Arial"/>
          <w:b/>
          <w:bCs/>
          <w:sz w:val="20"/>
          <w:szCs w:val="20"/>
        </w:rPr>
      </w:pPr>
      <w:r w:rsidRPr="00533296">
        <w:rPr>
          <w:rStyle w:val="normaltextrun"/>
          <w:rFonts w:ascii="Arial" w:hAnsi="Arial" w:cs="Arial"/>
          <w:b/>
          <w:bCs/>
          <w:sz w:val="20"/>
          <w:szCs w:val="20"/>
        </w:rPr>
        <w:t>Leverage Ratios</w:t>
      </w:r>
    </w:p>
    <w:p w14:paraId="7FAB7292" w14:textId="77777777" w:rsidR="00D12D3A" w:rsidRPr="00533296" w:rsidRDefault="00D12D3A" w:rsidP="00E008D9">
      <w:pPr>
        <w:pStyle w:val="NoSpacing"/>
        <w:rPr>
          <w:rStyle w:val="normaltextrun"/>
          <w:rFonts w:ascii="Arial" w:hAnsi="Arial" w:cs="Arial"/>
          <w:b/>
          <w:bCs/>
          <w:sz w:val="20"/>
          <w:szCs w:val="20"/>
        </w:rPr>
      </w:pPr>
    </w:p>
    <w:p w14:paraId="5CEAF704" w14:textId="3E339576" w:rsidR="00B90352" w:rsidRDefault="005A7458" w:rsidP="00E008D9">
      <w:pPr>
        <w:pStyle w:val="NoSpacing"/>
        <w:rPr>
          <w:rStyle w:val="normaltextrun"/>
          <w:rFonts w:ascii="Arial" w:hAnsi="Arial" w:cs="Arial"/>
          <w:sz w:val="20"/>
          <w:szCs w:val="20"/>
        </w:rPr>
      </w:pPr>
      <w:r w:rsidRPr="00533296">
        <w:rPr>
          <w:rStyle w:val="normaltextrun"/>
          <w:rFonts w:ascii="Arial" w:hAnsi="Arial" w:cs="Arial"/>
          <w:sz w:val="20"/>
          <w:szCs w:val="20"/>
        </w:rPr>
        <w:t xml:space="preserve">The </w:t>
      </w:r>
      <w:r w:rsidR="00D26A36">
        <w:rPr>
          <w:rStyle w:val="normaltextrun"/>
          <w:rFonts w:ascii="Arial" w:hAnsi="Arial" w:cs="Arial"/>
          <w:sz w:val="20"/>
          <w:szCs w:val="20"/>
        </w:rPr>
        <w:t>d</w:t>
      </w:r>
      <w:r w:rsidR="002A6DE0" w:rsidRPr="00533296">
        <w:rPr>
          <w:rStyle w:val="normaltextrun"/>
          <w:rFonts w:ascii="Arial" w:hAnsi="Arial" w:cs="Arial"/>
          <w:sz w:val="20"/>
          <w:szCs w:val="20"/>
        </w:rPr>
        <w:t>ebt-to-equity</w:t>
      </w:r>
      <w:r w:rsidRPr="00533296">
        <w:rPr>
          <w:rStyle w:val="normaltextrun"/>
          <w:rFonts w:ascii="Arial" w:hAnsi="Arial" w:cs="Arial"/>
          <w:sz w:val="20"/>
          <w:szCs w:val="20"/>
        </w:rPr>
        <w:t xml:space="preserve"> ratio is one area </w:t>
      </w:r>
      <w:r w:rsidR="00D26A36">
        <w:rPr>
          <w:rStyle w:val="normaltextrun"/>
          <w:rFonts w:ascii="Arial" w:hAnsi="Arial" w:cs="Arial"/>
          <w:sz w:val="20"/>
          <w:szCs w:val="20"/>
        </w:rPr>
        <w:t xml:space="preserve">which </w:t>
      </w:r>
      <w:r w:rsidRPr="00533296">
        <w:rPr>
          <w:rStyle w:val="normaltextrun"/>
          <w:rFonts w:ascii="Arial" w:hAnsi="Arial" w:cs="Arial"/>
          <w:sz w:val="20"/>
          <w:szCs w:val="20"/>
        </w:rPr>
        <w:t>shows a significant improvement from 302% in 2019 to 82% in 2021 and is a direct result of the capital raisings and asset sales that have taken place. It does demonstrate the business was highly leveraged in 2019.</w:t>
      </w:r>
    </w:p>
    <w:p w14:paraId="0794BCA0" w14:textId="77777777" w:rsidR="00D26A36" w:rsidRPr="00533296" w:rsidRDefault="00D26A36" w:rsidP="00E008D9">
      <w:pPr>
        <w:pStyle w:val="NoSpacing"/>
        <w:rPr>
          <w:rStyle w:val="normaltextrun"/>
          <w:rFonts w:ascii="Arial" w:hAnsi="Arial" w:cs="Arial"/>
          <w:sz w:val="20"/>
          <w:szCs w:val="20"/>
        </w:rPr>
      </w:pPr>
    </w:p>
    <w:p w14:paraId="1AB14714" w14:textId="30C7AB00" w:rsidR="00B90352" w:rsidRPr="00533296" w:rsidRDefault="002A6DE0" w:rsidP="00E008D9">
      <w:pPr>
        <w:pStyle w:val="NoSpacing"/>
        <w:rPr>
          <w:rStyle w:val="normaltextrun"/>
          <w:rFonts w:ascii="Arial" w:hAnsi="Arial" w:cs="Arial"/>
          <w:sz w:val="20"/>
          <w:szCs w:val="20"/>
        </w:rPr>
      </w:pPr>
      <w:r w:rsidRPr="00533296">
        <w:rPr>
          <w:rStyle w:val="normaltextrun"/>
          <w:rFonts w:ascii="Arial" w:hAnsi="Arial" w:cs="Arial"/>
          <w:sz w:val="20"/>
          <w:szCs w:val="20"/>
        </w:rPr>
        <w:t>Interest Coverage</w:t>
      </w:r>
      <w:r w:rsidR="005A7458" w:rsidRPr="00533296">
        <w:rPr>
          <w:rStyle w:val="normaltextrun"/>
          <w:rFonts w:ascii="Arial" w:hAnsi="Arial" w:cs="Arial"/>
          <w:sz w:val="20"/>
          <w:szCs w:val="20"/>
        </w:rPr>
        <w:t xml:space="preserve"> in 2021 is worryingly low in 2021 as it below 1</w:t>
      </w:r>
      <w:r w:rsidR="00D26A36">
        <w:rPr>
          <w:rStyle w:val="normaltextrun"/>
          <w:rFonts w:ascii="Arial" w:hAnsi="Arial" w:cs="Arial"/>
          <w:sz w:val="20"/>
          <w:szCs w:val="20"/>
        </w:rPr>
        <w:t>,</w:t>
      </w:r>
      <w:r w:rsidR="005A7458" w:rsidRPr="00533296">
        <w:rPr>
          <w:rStyle w:val="normaltextrun"/>
          <w:rFonts w:ascii="Arial" w:hAnsi="Arial" w:cs="Arial"/>
          <w:sz w:val="20"/>
          <w:szCs w:val="20"/>
        </w:rPr>
        <w:t xml:space="preserve"> which means there is insufficient EBITDA to pay the interest </w:t>
      </w:r>
      <w:r w:rsidRPr="00533296">
        <w:rPr>
          <w:rStyle w:val="normaltextrun"/>
          <w:rFonts w:ascii="Arial" w:hAnsi="Arial" w:cs="Arial"/>
          <w:sz w:val="20"/>
          <w:szCs w:val="20"/>
        </w:rPr>
        <w:t>bill.</w:t>
      </w:r>
      <w:r w:rsidR="005A7458" w:rsidRPr="00533296">
        <w:rPr>
          <w:rStyle w:val="normaltextrun"/>
          <w:rFonts w:ascii="Arial" w:hAnsi="Arial" w:cs="Arial"/>
          <w:sz w:val="20"/>
          <w:szCs w:val="20"/>
        </w:rPr>
        <w:t xml:space="preserve"> This is a red flag going forward.</w:t>
      </w:r>
    </w:p>
    <w:p w14:paraId="72D1CC3F" w14:textId="77777777" w:rsidR="005A7458" w:rsidRPr="00533296" w:rsidRDefault="005A7458" w:rsidP="00E008D9">
      <w:pPr>
        <w:pStyle w:val="NoSpacing"/>
        <w:rPr>
          <w:rStyle w:val="normaltextrun"/>
          <w:rFonts w:ascii="Arial" w:hAnsi="Arial" w:cs="Arial"/>
          <w:b/>
          <w:bCs/>
          <w:sz w:val="20"/>
          <w:szCs w:val="20"/>
        </w:rPr>
      </w:pPr>
    </w:p>
    <w:p w14:paraId="0336156B" w14:textId="77777777" w:rsidR="005A7458" w:rsidRPr="00533296" w:rsidRDefault="005A7458" w:rsidP="00E008D9">
      <w:pPr>
        <w:pStyle w:val="NoSpacing"/>
        <w:rPr>
          <w:rStyle w:val="normaltextrun"/>
          <w:rFonts w:ascii="Arial" w:hAnsi="Arial" w:cs="Arial"/>
          <w:b/>
          <w:bCs/>
          <w:sz w:val="20"/>
          <w:szCs w:val="20"/>
        </w:rPr>
      </w:pPr>
    </w:p>
    <w:p w14:paraId="75AFABED" w14:textId="6F5746E5" w:rsidR="00B90352" w:rsidRDefault="00B90352" w:rsidP="00E008D9">
      <w:pPr>
        <w:pStyle w:val="NoSpacing"/>
        <w:rPr>
          <w:rStyle w:val="normaltextrun"/>
          <w:rFonts w:ascii="Arial" w:hAnsi="Arial" w:cs="Arial"/>
          <w:b/>
          <w:bCs/>
          <w:sz w:val="20"/>
          <w:szCs w:val="20"/>
        </w:rPr>
      </w:pPr>
      <w:r w:rsidRPr="00533296">
        <w:rPr>
          <w:rStyle w:val="normaltextrun"/>
          <w:rFonts w:ascii="Arial" w:hAnsi="Arial" w:cs="Arial"/>
          <w:b/>
          <w:bCs/>
          <w:sz w:val="20"/>
          <w:szCs w:val="20"/>
        </w:rPr>
        <w:t>Investor Ratios</w:t>
      </w:r>
    </w:p>
    <w:p w14:paraId="0247A2C6" w14:textId="77777777" w:rsidR="00D12D3A" w:rsidRPr="00533296" w:rsidRDefault="00D12D3A" w:rsidP="00E008D9">
      <w:pPr>
        <w:pStyle w:val="NoSpacing"/>
        <w:rPr>
          <w:rStyle w:val="normaltextrun"/>
          <w:rFonts w:ascii="Arial" w:hAnsi="Arial" w:cs="Arial"/>
          <w:b/>
          <w:bCs/>
          <w:sz w:val="20"/>
          <w:szCs w:val="20"/>
        </w:rPr>
      </w:pPr>
    </w:p>
    <w:p w14:paraId="3BAD0AEA" w14:textId="79951BBF" w:rsidR="00A30878" w:rsidRDefault="003D78BA" w:rsidP="00E008D9">
      <w:pPr>
        <w:pStyle w:val="NoSpacing"/>
        <w:rPr>
          <w:rStyle w:val="normaltextrun"/>
          <w:rFonts w:ascii="Arial" w:hAnsi="Arial" w:cs="Arial"/>
          <w:sz w:val="20"/>
          <w:szCs w:val="20"/>
        </w:rPr>
      </w:pPr>
      <w:r w:rsidRPr="00533296">
        <w:rPr>
          <w:rStyle w:val="normaltextrun"/>
          <w:rFonts w:ascii="Arial" w:hAnsi="Arial" w:cs="Arial"/>
          <w:sz w:val="20"/>
          <w:szCs w:val="20"/>
        </w:rPr>
        <w:t xml:space="preserve">As there are no earnings and there have been no dividends it is not possible to create any meaningful investor ratios until the business becomes profitable. This makes it very difficult to </w:t>
      </w:r>
      <w:r w:rsidR="00A30878">
        <w:rPr>
          <w:rStyle w:val="normaltextrun"/>
          <w:rFonts w:ascii="Arial" w:hAnsi="Arial" w:cs="Arial"/>
          <w:sz w:val="20"/>
          <w:szCs w:val="20"/>
        </w:rPr>
        <w:t>assess</w:t>
      </w:r>
      <w:r w:rsidRPr="00533296">
        <w:rPr>
          <w:rStyle w:val="normaltextrun"/>
          <w:rFonts w:ascii="Arial" w:hAnsi="Arial" w:cs="Arial"/>
          <w:sz w:val="20"/>
          <w:szCs w:val="20"/>
        </w:rPr>
        <w:t xml:space="preserve"> the business without a very clear and confident assessment of the </w:t>
      </w:r>
      <w:r w:rsidR="00A30878" w:rsidRPr="00533296">
        <w:rPr>
          <w:rStyle w:val="normaltextrun"/>
          <w:rFonts w:ascii="Arial" w:hAnsi="Arial" w:cs="Arial"/>
          <w:sz w:val="20"/>
          <w:szCs w:val="20"/>
        </w:rPr>
        <w:t>prospects</w:t>
      </w:r>
      <w:r w:rsidRPr="00533296">
        <w:rPr>
          <w:rStyle w:val="normaltextrun"/>
          <w:rFonts w:ascii="Arial" w:hAnsi="Arial" w:cs="Arial"/>
          <w:sz w:val="20"/>
          <w:szCs w:val="20"/>
        </w:rPr>
        <w:t xml:space="preserve"> of the business</w:t>
      </w:r>
      <w:r w:rsidR="00A30878">
        <w:rPr>
          <w:rStyle w:val="normaltextrun"/>
          <w:rFonts w:ascii="Arial" w:hAnsi="Arial" w:cs="Arial"/>
          <w:sz w:val="20"/>
          <w:szCs w:val="20"/>
        </w:rPr>
        <w:t>.</w:t>
      </w:r>
    </w:p>
    <w:p w14:paraId="27234E71" w14:textId="743C1DE4" w:rsidR="00A30878" w:rsidRDefault="00A30878" w:rsidP="00E008D9">
      <w:pPr>
        <w:pStyle w:val="NoSpacing"/>
        <w:rPr>
          <w:rStyle w:val="normaltextrun"/>
          <w:rFonts w:ascii="Arial" w:hAnsi="Arial" w:cs="Arial"/>
          <w:sz w:val="20"/>
          <w:szCs w:val="20"/>
        </w:rPr>
      </w:pPr>
    </w:p>
    <w:p w14:paraId="44CE6679" w14:textId="1DE7F700" w:rsidR="003D78BA" w:rsidRPr="00533296" w:rsidRDefault="00A30878" w:rsidP="00E008D9">
      <w:pPr>
        <w:pStyle w:val="NoSpacing"/>
        <w:rPr>
          <w:rStyle w:val="normaltextrun"/>
          <w:rFonts w:ascii="Arial" w:hAnsi="Arial" w:cs="Arial"/>
          <w:sz w:val="20"/>
          <w:szCs w:val="20"/>
        </w:rPr>
      </w:pPr>
      <w:r>
        <w:rPr>
          <w:rStyle w:val="normaltextrun"/>
          <w:rFonts w:ascii="Arial" w:hAnsi="Arial" w:cs="Arial"/>
          <w:sz w:val="20"/>
          <w:szCs w:val="20"/>
        </w:rPr>
        <w:t>The track record of the management team is questionable based on this historical lack of return for investors.</w:t>
      </w:r>
    </w:p>
    <w:p w14:paraId="10750400" w14:textId="77777777" w:rsidR="003D78BA" w:rsidRPr="00533296" w:rsidRDefault="003D78BA" w:rsidP="00E008D9">
      <w:pPr>
        <w:pStyle w:val="NoSpacing"/>
        <w:rPr>
          <w:rStyle w:val="normaltextrun"/>
          <w:rFonts w:ascii="Arial" w:hAnsi="Arial" w:cs="Arial"/>
          <w:sz w:val="20"/>
          <w:szCs w:val="20"/>
        </w:rPr>
      </w:pPr>
    </w:p>
    <w:p w14:paraId="36CE9456" w14:textId="77777777" w:rsidR="00B90352" w:rsidRPr="00533296" w:rsidRDefault="00B90352" w:rsidP="00E008D9">
      <w:pPr>
        <w:pStyle w:val="NoSpacing"/>
        <w:rPr>
          <w:rStyle w:val="normaltextrun"/>
          <w:rFonts w:ascii="Arial" w:hAnsi="Arial" w:cs="Arial"/>
          <w:sz w:val="20"/>
          <w:szCs w:val="20"/>
        </w:rPr>
      </w:pPr>
    </w:p>
    <w:p w14:paraId="37D6CA88" w14:textId="77777777" w:rsidR="00B90352" w:rsidRPr="00533296" w:rsidRDefault="00B90352" w:rsidP="00E008D9">
      <w:pPr>
        <w:pStyle w:val="NoSpacing"/>
        <w:rPr>
          <w:rStyle w:val="normaltextrun"/>
          <w:rFonts w:ascii="Arial" w:hAnsi="Arial" w:cs="Arial"/>
          <w:sz w:val="20"/>
          <w:szCs w:val="20"/>
        </w:rPr>
      </w:pPr>
    </w:p>
    <w:p w14:paraId="11ED9CC4" w14:textId="63A3CC50" w:rsidR="00425B96" w:rsidRPr="00533296" w:rsidRDefault="00425B96" w:rsidP="00E008D9">
      <w:pPr>
        <w:pStyle w:val="NoSpacing"/>
        <w:rPr>
          <w:rStyle w:val="normaltextrun"/>
          <w:rFonts w:ascii="Arial" w:hAnsi="Arial" w:cs="Arial"/>
          <w:sz w:val="20"/>
          <w:szCs w:val="20"/>
        </w:rPr>
      </w:pPr>
    </w:p>
    <w:p w14:paraId="1DE21359" w14:textId="77777777" w:rsidR="00425B96" w:rsidRPr="00533296" w:rsidRDefault="00425B96" w:rsidP="00E008D9">
      <w:pPr>
        <w:pStyle w:val="NoSpacing"/>
        <w:rPr>
          <w:rStyle w:val="normaltextrun"/>
          <w:rFonts w:ascii="Arial" w:hAnsi="Arial" w:cs="Arial"/>
          <w:sz w:val="20"/>
          <w:szCs w:val="20"/>
        </w:rPr>
      </w:pPr>
    </w:p>
    <w:p w14:paraId="62CE93E1" w14:textId="2A0BFFB2" w:rsidR="00376193" w:rsidRPr="00533296" w:rsidRDefault="00376193">
      <w:pPr>
        <w:rPr>
          <w:rStyle w:val="normaltextrun"/>
          <w:rFonts w:ascii="Arial" w:eastAsiaTheme="majorEastAsia" w:hAnsi="Arial" w:cs="Arial"/>
          <w:sz w:val="20"/>
          <w:szCs w:val="20"/>
        </w:rPr>
      </w:pPr>
      <w:r w:rsidRPr="00533296">
        <w:rPr>
          <w:rStyle w:val="normaltextrun"/>
          <w:rFonts w:ascii="Arial" w:hAnsi="Arial" w:cs="Arial"/>
          <w:sz w:val="20"/>
          <w:szCs w:val="20"/>
        </w:rPr>
        <w:br w:type="page"/>
      </w:r>
    </w:p>
    <w:p w14:paraId="276DAD33" w14:textId="5BF9A955" w:rsidR="00780EAA" w:rsidRPr="00533296" w:rsidRDefault="00E008D9" w:rsidP="00E008D9">
      <w:pPr>
        <w:pStyle w:val="Heading1"/>
        <w:rPr>
          <w:rStyle w:val="normaltextrun"/>
        </w:rPr>
      </w:pPr>
      <w:bookmarkStart w:id="5" w:name="_Toc105350462"/>
      <w:r w:rsidRPr="00533296">
        <w:rPr>
          <w:rStyle w:val="normaltextrun"/>
        </w:rPr>
        <w:lastRenderedPageBreak/>
        <w:t xml:space="preserve">Summary of </w:t>
      </w:r>
      <w:r w:rsidR="008809FC">
        <w:rPr>
          <w:rStyle w:val="normaltextrun"/>
        </w:rPr>
        <w:t>F</w:t>
      </w:r>
      <w:r w:rsidRPr="00533296">
        <w:rPr>
          <w:rStyle w:val="normaltextrun"/>
        </w:rPr>
        <w:t>indings</w:t>
      </w:r>
      <w:bookmarkEnd w:id="5"/>
    </w:p>
    <w:p w14:paraId="35EC1C21" w14:textId="3DFFDE0D" w:rsidR="00E008D9" w:rsidRPr="00533296" w:rsidRDefault="00E008D9" w:rsidP="00425B96">
      <w:pPr>
        <w:pStyle w:val="NoSpacing"/>
        <w:rPr>
          <w:rStyle w:val="normaltextrun"/>
          <w:rFonts w:ascii="Arial" w:hAnsi="Arial" w:cs="Arial"/>
          <w:sz w:val="20"/>
          <w:szCs w:val="20"/>
        </w:rPr>
      </w:pPr>
    </w:p>
    <w:p w14:paraId="6555F983" w14:textId="64AFB1F2" w:rsidR="00EA595C" w:rsidRDefault="00EA595C" w:rsidP="00A154F3">
      <w:pPr>
        <w:pStyle w:val="Quote"/>
        <w:rPr>
          <w:rStyle w:val="normaltextrun"/>
          <w:rFonts w:ascii="Arial" w:hAnsi="Arial" w:cs="Arial"/>
          <w:color w:val="000000"/>
          <w:position w:val="2"/>
          <w:sz w:val="20"/>
          <w:szCs w:val="20"/>
        </w:rPr>
      </w:pPr>
      <w:bookmarkStart w:id="6" w:name="_Hlk99545526"/>
      <w:r>
        <w:t>‘</w:t>
      </w:r>
      <w:r>
        <w:t xml:space="preserve">The Company’s loss for the year was £18.4m (2020: loss £272.2m), with the year-on-year improvement due to the prior year including impairment charges in relation to investments in and loans to certain subsidiaries. </w:t>
      </w:r>
      <w:proofErr w:type="gramStart"/>
      <w:r>
        <w:t>At</w:t>
      </w:r>
      <w:proofErr w:type="gramEnd"/>
      <w:r>
        <w:t xml:space="preserve"> 31 December 2021 the Company had net assets of £508.5m compared to £331.2m at the start of the year. This strengthening of the balance sheet reflects that in 2021 the Company issued share capital at £195.7m. Investments decreased from £355.8m to £274.1m during 2021 following the sale of McLaren Racing to the Company’s parent company.</w:t>
      </w:r>
      <w:r>
        <w:t>’</w:t>
      </w:r>
      <w:r w:rsidR="000A0686">
        <w:rPr>
          <w:rStyle w:val="normaltextrun"/>
          <w:rFonts w:ascii="Arial" w:hAnsi="Arial" w:cs="Arial"/>
          <w:color w:val="000000"/>
          <w:position w:val="2"/>
          <w:sz w:val="20"/>
          <w:szCs w:val="20"/>
        </w:rPr>
        <w:t xml:space="preserve"> </w:t>
      </w:r>
      <w:sdt>
        <w:sdtPr>
          <w:rPr>
            <w:rStyle w:val="normaltextrun"/>
            <w:rFonts w:ascii="Arial" w:hAnsi="Arial" w:cs="Arial"/>
            <w:color w:val="000000"/>
            <w:position w:val="2"/>
            <w:sz w:val="20"/>
            <w:szCs w:val="20"/>
          </w:rPr>
          <w:id w:val="-768078234"/>
          <w:citation/>
        </w:sdtPr>
        <w:sdtContent>
          <w:r w:rsidR="00D26A36">
            <w:rPr>
              <w:rStyle w:val="normaltextrun"/>
              <w:rFonts w:ascii="Arial" w:hAnsi="Arial" w:cs="Arial"/>
              <w:color w:val="000000"/>
              <w:position w:val="2"/>
              <w:sz w:val="20"/>
              <w:szCs w:val="20"/>
            </w:rPr>
            <w:fldChar w:fldCharType="begin"/>
          </w:r>
          <w:r w:rsidR="00D26A36">
            <w:rPr>
              <w:rStyle w:val="normaltextrun"/>
              <w:rFonts w:ascii="Arial" w:hAnsi="Arial" w:cs="Arial"/>
              <w:color w:val="000000"/>
              <w:position w:val="2"/>
              <w:sz w:val="20"/>
              <w:szCs w:val="20"/>
            </w:rPr>
            <w:instrText xml:space="preserve"> CITATION McL21 \l 2057 </w:instrText>
          </w:r>
          <w:r w:rsidR="00D26A36">
            <w:rPr>
              <w:rStyle w:val="normaltextrun"/>
              <w:rFonts w:ascii="Arial" w:hAnsi="Arial" w:cs="Arial"/>
              <w:color w:val="000000"/>
              <w:position w:val="2"/>
              <w:sz w:val="20"/>
              <w:szCs w:val="20"/>
            </w:rPr>
            <w:fldChar w:fldCharType="separate"/>
          </w:r>
          <w:r w:rsidR="003A26CB" w:rsidRPr="003A26CB">
            <w:rPr>
              <w:rFonts w:ascii="Arial" w:hAnsi="Arial" w:cs="Arial"/>
              <w:noProof/>
              <w:color w:val="000000"/>
              <w:position w:val="2"/>
              <w:sz w:val="20"/>
              <w:szCs w:val="20"/>
            </w:rPr>
            <w:t>(McLaren Holdings Limited, 2021)</w:t>
          </w:r>
          <w:r w:rsidR="00D26A36">
            <w:rPr>
              <w:rStyle w:val="normaltextrun"/>
              <w:rFonts w:ascii="Arial" w:hAnsi="Arial" w:cs="Arial"/>
              <w:color w:val="000000"/>
              <w:position w:val="2"/>
              <w:sz w:val="20"/>
              <w:szCs w:val="20"/>
            </w:rPr>
            <w:fldChar w:fldCharType="end"/>
          </w:r>
        </w:sdtContent>
      </w:sdt>
    </w:p>
    <w:p w14:paraId="6DEA9E95" w14:textId="77777777" w:rsidR="00EA595C" w:rsidRDefault="00EA595C" w:rsidP="00E0496D">
      <w:pPr>
        <w:pStyle w:val="paragraph"/>
        <w:spacing w:before="0" w:beforeAutospacing="0" w:after="0" w:afterAutospacing="0"/>
        <w:textAlignment w:val="baseline"/>
        <w:rPr>
          <w:rStyle w:val="normaltextrun"/>
          <w:rFonts w:ascii="Arial" w:hAnsi="Arial" w:cs="Arial"/>
          <w:color w:val="000000"/>
          <w:position w:val="2"/>
          <w:sz w:val="20"/>
          <w:szCs w:val="20"/>
        </w:rPr>
      </w:pPr>
    </w:p>
    <w:p w14:paraId="24B2748A" w14:textId="34AD2A45" w:rsidR="00E0496D" w:rsidRDefault="00E0496D" w:rsidP="00A154F3">
      <w:pPr>
        <w:rPr>
          <w:rStyle w:val="normaltextrun"/>
          <w:rFonts w:ascii="Arial" w:hAnsi="Arial" w:cs="Arial"/>
          <w:color w:val="000000"/>
          <w:position w:val="2"/>
          <w:sz w:val="20"/>
          <w:szCs w:val="20"/>
        </w:rPr>
      </w:pPr>
      <w:r>
        <w:rPr>
          <w:rStyle w:val="normaltextrun"/>
          <w:rFonts w:ascii="Arial" w:hAnsi="Arial" w:cs="Arial"/>
          <w:color w:val="000000"/>
          <w:position w:val="2"/>
          <w:sz w:val="20"/>
          <w:szCs w:val="20"/>
        </w:rPr>
        <w:t>McLaren</w:t>
      </w:r>
      <w:r w:rsidR="004420C8">
        <w:rPr>
          <w:rStyle w:val="normaltextrun"/>
          <w:rFonts w:ascii="Arial" w:hAnsi="Arial" w:cs="Arial"/>
          <w:color w:val="000000"/>
          <w:position w:val="2"/>
          <w:sz w:val="20"/>
          <w:szCs w:val="20"/>
        </w:rPr>
        <w:t xml:space="preserve"> has made </w:t>
      </w:r>
      <w:r w:rsidR="00D15EA4">
        <w:rPr>
          <w:rStyle w:val="normaltextrun"/>
          <w:rFonts w:ascii="Arial" w:hAnsi="Arial" w:cs="Arial"/>
          <w:color w:val="000000"/>
          <w:position w:val="2"/>
          <w:sz w:val="20"/>
          <w:szCs w:val="20"/>
        </w:rPr>
        <w:t>several</w:t>
      </w:r>
      <w:r w:rsidR="004420C8">
        <w:rPr>
          <w:rStyle w:val="normaltextrun"/>
          <w:rFonts w:ascii="Arial" w:hAnsi="Arial" w:cs="Arial"/>
          <w:color w:val="000000"/>
          <w:position w:val="2"/>
          <w:sz w:val="20"/>
          <w:szCs w:val="20"/>
        </w:rPr>
        <w:t xml:space="preserve"> significant changes to the business model and structure in the past 3 years. Two of the divisions have been divested leaving the </w:t>
      </w:r>
      <w:r w:rsidR="00D15EA4">
        <w:rPr>
          <w:rStyle w:val="normaltextrun"/>
          <w:rFonts w:ascii="Arial" w:hAnsi="Arial" w:cs="Arial"/>
          <w:color w:val="000000"/>
          <w:position w:val="2"/>
          <w:sz w:val="20"/>
          <w:szCs w:val="20"/>
        </w:rPr>
        <w:t>Automotive Division</w:t>
      </w:r>
      <w:r w:rsidR="004420C8">
        <w:rPr>
          <w:rStyle w:val="normaltextrun"/>
          <w:rFonts w:ascii="Arial" w:hAnsi="Arial" w:cs="Arial"/>
          <w:color w:val="000000"/>
          <w:position w:val="2"/>
          <w:sz w:val="20"/>
          <w:szCs w:val="20"/>
        </w:rPr>
        <w:t xml:space="preserve"> as the sole division. Other asset sales an</w:t>
      </w:r>
      <w:r w:rsidR="00D15EA4">
        <w:rPr>
          <w:rStyle w:val="normaltextrun"/>
          <w:rFonts w:ascii="Arial" w:hAnsi="Arial" w:cs="Arial"/>
          <w:color w:val="000000"/>
          <w:position w:val="2"/>
          <w:sz w:val="20"/>
          <w:szCs w:val="20"/>
        </w:rPr>
        <w:t>d</w:t>
      </w:r>
      <w:r w:rsidR="004420C8">
        <w:rPr>
          <w:rStyle w:val="normaltextrun"/>
          <w:rFonts w:ascii="Arial" w:hAnsi="Arial" w:cs="Arial"/>
          <w:color w:val="000000"/>
          <w:position w:val="2"/>
          <w:sz w:val="20"/>
          <w:szCs w:val="20"/>
        </w:rPr>
        <w:t xml:space="preserve"> </w:t>
      </w:r>
      <w:r w:rsidR="00A30878">
        <w:rPr>
          <w:rStyle w:val="normaltextrun"/>
          <w:rFonts w:ascii="Arial" w:hAnsi="Arial" w:cs="Arial"/>
          <w:color w:val="000000"/>
          <w:position w:val="2"/>
          <w:sz w:val="20"/>
          <w:szCs w:val="20"/>
        </w:rPr>
        <w:t xml:space="preserve">numerous </w:t>
      </w:r>
      <w:r w:rsidR="004420C8">
        <w:rPr>
          <w:rStyle w:val="normaltextrun"/>
          <w:rFonts w:ascii="Arial" w:hAnsi="Arial" w:cs="Arial"/>
          <w:color w:val="000000"/>
          <w:position w:val="2"/>
          <w:sz w:val="20"/>
          <w:szCs w:val="20"/>
        </w:rPr>
        <w:t>capital raisings have taken place to allow the business to continue operating</w:t>
      </w:r>
      <w:r w:rsidR="00A30878">
        <w:rPr>
          <w:rStyle w:val="normaltextrun"/>
          <w:rFonts w:ascii="Arial" w:hAnsi="Arial" w:cs="Arial"/>
          <w:color w:val="000000"/>
          <w:position w:val="2"/>
          <w:sz w:val="20"/>
          <w:szCs w:val="20"/>
        </w:rPr>
        <w:t xml:space="preserve"> and to improve the capitalisation of the business for future investment and development</w:t>
      </w:r>
      <w:r w:rsidR="004420C8">
        <w:rPr>
          <w:rStyle w:val="normaltextrun"/>
          <w:rFonts w:ascii="Arial" w:hAnsi="Arial" w:cs="Arial"/>
          <w:color w:val="000000"/>
          <w:position w:val="2"/>
          <w:sz w:val="20"/>
          <w:szCs w:val="20"/>
        </w:rPr>
        <w:t xml:space="preserve">. </w:t>
      </w:r>
      <w:r w:rsidR="00A30878">
        <w:rPr>
          <w:rStyle w:val="normaltextrun"/>
          <w:rFonts w:ascii="Arial" w:hAnsi="Arial" w:cs="Arial"/>
          <w:color w:val="000000"/>
          <w:position w:val="2"/>
          <w:sz w:val="20"/>
          <w:szCs w:val="20"/>
        </w:rPr>
        <w:t xml:space="preserve">This has been achieved by a combination of new capital from existing shareholders and bringing in investment from new investors. Some of this capital raising is in the form of secured notes which will increase the interest bill in the foreseeable </w:t>
      </w:r>
      <w:r w:rsidR="008A1933">
        <w:rPr>
          <w:rStyle w:val="normaltextrun"/>
          <w:rFonts w:ascii="Arial" w:hAnsi="Arial" w:cs="Arial"/>
          <w:color w:val="000000"/>
          <w:position w:val="2"/>
          <w:sz w:val="20"/>
          <w:szCs w:val="20"/>
        </w:rPr>
        <w:t>future and</w:t>
      </w:r>
      <w:r w:rsidR="00A30878">
        <w:rPr>
          <w:rStyle w:val="normaltextrun"/>
          <w:rFonts w:ascii="Arial" w:hAnsi="Arial" w:cs="Arial"/>
          <w:color w:val="000000"/>
          <w:position w:val="2"/>
          <w:sz w:val="20"/>
          <w:szCs w:val="20"/>
        </w:rPr>
        <w:t xml:space="preserve"> could later be converted to shares which will dilute the current shareholders.</w:t>
      </w:r>
    </w:p>
    <w:p w14:paraId="723B724E" w14:textId="6D9D00FC" w:rsidR="002B2C0A" w:rsidRDefault="002B2C0A" w:rsidP="00E0496D">
      <w:pPr>
        <w:pStyle w:val="paragraph"/>
        <w:spacing w:before="0" w:beforeAutospacing="0" w:after="0" w:afterAutospacing="0"/>
        <w:textAlignment w:val="baseline"/>
        <w:rPr>
          <w:rStyle w:val="normaltextrun"/>
          <w:rFonts w:ascii="Arial" w:hAnsi="Arial" w:cs="Arial"/>
          <w:color w:val="000000"/>
          <w:position w:val="2"/>
          <w:sz w:val="20"/>
          <w:szCs w:val="20"/>
        </w:rPr>
      </w:pPr>
    </w:p>
    <w:p w14:paraId="639D4CB4" w14:textId="3DE74796" w:rsidR="002B2C0A" w:rsidRDefault="002B2C0A" w:rsidP="00A154F3">
      <w:pPr>
        <w:pStyle w:val="Quote"/>
      </w:pPr>
      <w:r>
        <w:t>‘</w:t>
      </w:r>
      <w:r>
        <w:t xml:space="preserve">Preference shares offer investors a lower level of risk than ordinary shares. Provided there are sufficient profits available, preference shares will normally be given a fixed rate of dividend each year. Preference shareholders will be paid the first slice of any dividend paid. Should the business be wound up, preference shareholders usually have priority over the claims of ordinary shareholders. (The business’s own </w:t>
      </w:r>
      <w:proofErr w:type="gramStart"/>
      <w:r>
        <w:t>particular documents</w:t>
      </w:r>
      <w:proofErr w:type="gramEnd"/>
      <w:r>
        <w:t xml:space="preserve"> of incorporation will state the precise rights of preference shareholders in this respect.)</w:t>
      </w:r>
      <w:r>
        <w:t>’</w:t>
      </w:r>
      <w:r w:rsidR="000A0686">
        <w:t xml:space="preserve"> </w:t>
      </w:r>
      <w:sdt>
        <w:sdtPr>
          <w:id w:val="-641885825"/>
          <w:citation/>
        </w:sdtPr>
        <w:sdtContent>
          <w:r w:rsidR="000A0686">
            <w:fldChar w:fldCharType="begin"/>
          </w:r>
          <w:r w:rsidR="000A0686">
            <w:instrText xml:space="preserve"> CITATION Atr14 \l 2057 </w:instrText>
          </w:r>
          <w:r w:rsidR="000A0686">
            <w:fldChar w:fldCharType="separate"/>
          </w:r>
          <w:r w:rsidR="003A26CB" w:rsidRPr="003A26CB">
            <w:rPr>
              <w:noProof/>
            </w:rPr>
            <w:t>(Atrill, 2014)</w:t>
          </w:r>
          <w:r w:rsidR="000A0686">
            <w:fldChar w:fldCharType="end"/>
          </w:r>
        </w:sdtContent>
      </w:sdt>
    </w:p>
    <w:p w14:paraId="7C80D338" w14:textId="753414FC" w:rsidR="008A1933" w:rsidRDefault="008A1933" w:rsidP="00E0496D">
      <w:pPr>
        <w:pStyle w:val="paragraph"/>
        <w:spacing w:before="0" w:beforeAutospacing="0" w:after="0" w:afterAutospacing="0"/>
        <w:textAlignment w:val="baseline"/>
        <w:rPr>
          <w:rStyle w:val="normaltextrun"/>
          <w:rFonts w:ascii="Arial" w:hAnsi="Arial" w:cs="Arial"/>
          <w:color w:val="000000"/>
          <w:position w:val="2"/>
          <w:sz w:val="20"/>
          <w:szCs w:val="20"/>
        </w:rPr>
      </w:pPr>
    </w:p>
    <w:p w14:paraId="6A15FB4F" w14:textId="7EB40795" w:rsidR="008A1933" w:rsidRDefault="008A1933" w:rsidP="00E0496D">
      <w:pPr>
        <w:pStyle w:val="paragraph"/>
        <w:spacing w:before="0" w:beforeAutospacing="0" w:after="0" w:afterAutospacing="0"/>
        <w:textAlignment w:val="baseline"/>
        <w:rPr>
          <w:rStyle w:val="normaltextrun"/>
          <w:rFonts w:ascii="Arial" w:hAnsi="Arial" w:cs="Arial"/>
          <w:color w:val="000000"/>
          <w:position w:val="2"/>
          <w:sz w:val="20"/>
          <w:szCs w:val="20"/>
        </w:rPr>
      </w:pPr>
      <w:r>
        <w:rPr>
          <w:rStyle w:val="normaltextrun"/>
          <w:rFonts w:ascii="Arial" w:hAnsi="Arial" w:cs="Arial"/>
          <w:color w:val="000000"/>
          <w:position w:val="2"/>
          <w:sz w:val="20"/>
          <w:szCs w:val="20"/>
        </w:rPr>
        <w:t>The sold divisions previously added credibility to the business as a whole and were important underpinnings for the future development of the business in terms of technical know-how (Applied) and direct link to motorsport (Racing) which added credibility to the Automotive division. These links have now been weakened and undermine the prospects of the McLaren brand.</w:t>
      </w:r>
    </w:p>
    <w:p w14:paraId="15DD0B3E" w14:textId="3B5F1CDF" w:rsidR="008A1933" w:rsidRDefault="008A1933" w:rsidP="00E0496D">
      <w:pPr>
        <w:pStyle w:val="paragraph"/>
        <w:spacing w:before="0" w:beforeAutospacing="0" w:after="0" w:afterAutospacing="0"/>
        <w:textAlignment w:val="baseline"/>
        <w:rPr>
          <w:rStyle w:val="normaltextrun"/>
          <w:rFonts w:ascii="Arial" w:hAnsi="Arial" w:cs="Arial"/>
          <w:color w:val="000000"/>
          <w:position w:val="2"/>
          <w:sz w:val="20"/>
          <w:szCs w:val="20"/>
        </w:rPr>
      </w:pPr>
    </w:p>
    <w:p w14:paraId="5BAEA8DE" w14:textId="77777777" w:rsidR="004420C8" w:rsidRDefault="004420C8" w:rsidP="00E0496D">
      <w:pPr>
        <w:pStyle w:val="paragraph"/>
        <w:spacing w:before="0" w:beforeAutospacing="0" w:after="0" w:afterAutospacing="0"/>
        <w:textAlignment w:val="baseline"/>
        <w:rPr>
          <w:rStyle w:val="normaltextrun"/>
          <w:rFonts w:ascii="Arial" w:hAnsi="Arial" w:cs="Arial"/>
          <w:color w:val="000000"/>
          <w:position w:val="2"/>
          <w:sz w:val="20"/>
          <w:szCs w:val="20"/>
        </w:rPr>
      </w:pPr>
    </w:p>
    <w:p w14:paraId="52EBD628" w14:textId="66298D8C" w:rsidR="00D15EA4" w:rsidRPr="00533296" w:rsidRDefault="004420C8" w:rsidP="00D15EA4">
      <w:pPr>
        <w:pStyle w:val="paragraph"/>
        <w:spacing w:before="0" w:beforeAutospacing="0" w:after="0" w:afterAutospacing="0"/>
        <w:textAlignment w:val="baseline"/>
        <w:rPr>
          <w:rStyle w:val="normaltextrun"/>
          <w:rFonts w:ascii="Arial" w:hAnsi="Arial" w:cs="Arial"/>
          <w:color w:val="000000"/>
          <w:position w:val="2"/>
          <w:sz w:val="20"/>
          <w:szCs w:val="20"/>
        </w:rPr>
      </w:pPr>
      <w:r>
        <w:rPr>
          <w:rStyle w:val="normaltextrun"/>
          <w:rFonts w:ascii="Arial" w:hAnsi="Arial" w:cs="Arial"/>
          <w:color w:val="000000"/>
          <w:position w:val="2"/>
          <w:sz w:val="20"/>
          <w:szCs w:val="20"/>
        </w:rPr>
        <w:t xml:space="preserve">The sales strategy has </w:t>
      </w:r>
      <w:r w:rsidR="008A1933">
        <w:rPr>
          <w:rStyle w:val="normaltextrun"/>
          <w:rFonts w:ascii="Arial" w:hAnsi="Arial" w:cs="Arial"/>
          <w:color w:val="000000"/>
          <w:position w:val="2"/>
          <w:sz w:val="20"/>
          <w:szCs w:val="20"/>
        </w:rPr>
        <w:t xml:space="preserve">also </w:t>
      </w:r>
      <w:r>
        <w:rPr>
          <w:rStyle w:val="normaltextrun"/>
          <w:rFonts w:ascii="Arial" w:hAnsi="Arial" w:cs="Arial"/>
          <w:color w:val="000000"/>
          <w:position w:val="2"/>
          <w:sz w:val="20"/>
          <w:szCs w:val="20"/>
        </w:rPr>
        <w:t>been changed with a greater emphasis on h</w:t>
      </w:r>
      <w:r w:rsidR="00E0496D" w:rsidRPr="00533296">
        <w:rPr>
          <w:rStyle w:val="normaltextrun"/>
          <w:rFonts w:ascii="Arial" w:hAnsi="Arial" w:cs="Arial"/>
          <w:color w:val="000000"/>
          <w:position w:val="2"/>
          <w:sz w:val="20"/>
          <w:szCs w:val="20"/>
        </w:rPr>
        <w:t>ighly personalised</w:t>
      </w:r>
      <w:r>
        <w:rPr>
          <w:rStyle w:val="normaltextrun"/>
          <w:rFonts w:ascii="Arial" w:hAnsi="Arial" w:cs="Arial"/>
          <w:color w:val="000000"/>
          <w:position w:val="2"/>
          <w:sz w:val="20"/>
          <w:szCs w:val="20"/>
        </w:rPr>
        <w:t>, p</w:t>
      </w:r>
      <w:r w:rsidR="00E0496D" w:rsidRPr="00533296">
        <w:rPr>
          <w:rStyle w:val="normaltextrun"/>
          <w:rFonts w:ascii="Arial" w:hAnsi="Arial" w:cs="Arial"/>
          <w:color w:val="000000"/>
          <w:position w:val="2"/>
          <w:sz w:val="20"/>
          <w:szCs w:val="20"/>
        </w:rPr>
        <w:t>remium restricted</w:t>
      </w:r>
      <w:r>
        <w:rPr>
          <w:rStyle w:val="normaltextrun"/>
          <w:rFonts w:ascii="Arial" w:hAnsi="Arial" w:cs="Arial"/>
          <w:color w:val="000000"/>
          <w:position w:val="2"/>
          <w:sz w:val="20"/>
          <w:szCs w:val="20"/>
        </w:rPr>
        <w:t xml:space="preserve"> l</w:t>
      </w:r>
      <w:r w:rsidR="00E0496D" w:rsidRPr="00533296">
        <w:rPr>
          <w:rStyle w:val="normaltextrun"/>
          <w:rFonts w:ascii="Arial" w:hAnsi="Arial" w:cs="Arial"/>
          <w:color w:val="000000"/>
          <w:position w:val="2"/>
          <w:sz w:val="20"/>
          <w:szCs w:val="20"/>
        </w:rPr>
        <w:t>imited run models</w:t>
      </w:r>
      <w:r>
        <w:rPr>
          <w:rStyle w:val="normaltextrun"/>
          <w:rFonts w:ascii="Arial" w:hAnsi="Arial" w:cs="Arial"/>
          <w:color w:val="000000"/>
          <w:position w:val="2"/>
          <w:sz w:val="20"/>
          <w:szCs w:val="20"/>
        </w:rPr>
        <w:t>.</w:t>
      </w:r>
      <w:r w:rsidR="00D15EA4">
        <w:rPr>
          <w:rStyle w:val="normaltextrun"/>
          <w:rFonts w:ascii="Arial" w:hAnsi="Arial" w:cs="Arial"/>
          <w:color w:val="000000"/>
          <w:position w:val="2"/>
          <w:sz w:val="20"/>
          <w:szCs w:val="20"/>
        </w:rPr>
        <w:t xml:space="preserve"> </w:t>
      </w:r>
      <w:r w:rsidR="00D15EA4" w:rsidRPr="00533296">
        <w:rPr>
          <w:rStyle w:val="normaltextrun"/>
          <w:rFonts w:ascii="Arial" w:hAnsi="Arial" w:cs="Arial"/>
          <w:color w:val="000000"/>
          <w:position w:val="2"/>
          <w:sz w:val="20"/>
          <w:szCs w:val="20"/>
        </w:rPr>
        <w:t xml:space="preserve">The McLaren Automotive heritage </w:t>
      </w:r>
      <w:r w:rsidR="00D15EA4">
        <w:rPr>
          <w:rStyle w:val="normaltextrun"/>
          <w:rFonts w:ascii="Arial" w:hAnsi="Arial" w:cs="Arial"/>
          <w:color w:val="000000"/>
          <w:position w:val="2"/>
          <w:sz w:val="20"/>
          <w:szCs w:val="20"/>
        </w:rPr>
        <w:t xml:space="preserve">and reputation </w:t>
      </w:r>
      <w:r w:rsidR="00D15EA4" w:rsidRPr="00533296">
        <w:rPr>
          <w:rStyle w:val="normaltextrun"/>
          <w:rFonts w:ascii="Arial" w:hAnsi="Arial" w:cs="Arial"/>
          <w:color w:val="000000"/>
          <w:position w:val="2"/>
          <w:sz w:val="20"/>
          <w:szCs w:val="20"/>
        </w:rPr>
        <w:t>is closely linked to the (now sold) McLaren racing team</w:t>
      </w:r>
      <w:r w:rsidR="00D15EA4">
        <w:rPr>
          <w:rStyle w:val="normaltextrun"/>
          <w:rFonts w:ascii="Arial" w:hAnsi="Arial" w:cs="Arial"/>
          <w:color w:val="000000"/>
          <w:position w:val="2"/>
          <w:sz w:val="20"/>
          <w:szCs w:val="20"/>
        </w:rPr>
        <w:t>.</w:t>
      </w:r>
    </w:p>
    <w:p w14:paraId="51354865" w14:textId="46EBAF45" w:rsidR="00E0496D" w:rsidRPr="00533296" w:rsidRDefault="00E0496D" w:rsidP="00E0496D">
      <w:pPr>
        <w:pStyle w:val="paragraph"/>
        <w:spacing w:before="0" w:beforeAutospacing="0" w:after="0" w:afterAutospacing="0"/>
        <w:textAlignment w:val="baseline"/>
        <w:rPr>
          <w:rStyle w:val="normaltextrun"/>
          <w:rFonts w:ascii="Arial" w:hAnsi="Arial" w:cs="Arial"/>
          <w:color w:val="000000"/>
          <w:position w:val="2"/>
          <w:sz w:val="20"/>
          <w:szCs w:val="20"/>
        </w:rPr>
      </w:pPr>
    </w:p>
    <w:p w14:paraId="0427256F" w14:textId="63281F61" w:rsidR="00E0496D" w:rsidRDefault="00D15EA4" w:rsidP="00E0496D">
      <w:pPr>
        <w:pStyle w:val="paragraph"/>
        <w:spacing w:before="0" w:beforeAutospacing="0" w:after="0" w:afterAutospacing="0"/>
        <w:textAlignment w:val="baseline"/>
        <w:rPr>
          <w:rStyle w:val="normaltextrun"/>
          <w:rFonts w:ascii="Arial" w:hAnsi="Arial" w:cs="Arial"/>
          <w:color w:val="000000"/>
          <w:position w:val="2"/>
          <w:sz w:val="20"/>
          <w:szCs w:val="20"/>
        </w:rPr>
      </w:pPr>
      <w:r>
        <w:rPr>
          <w:rStyle w:val="normaltextrun"/>
          <w:rFonts w:ascii="Arial" w:hAnsi="Arial" w:cs="Arial"/>
          <w:color w:val="000000"/>
          <w:position w:val="2"/>
          <w:sz w:val="20"/>
          <w:szCs w:val="20"/>
        </w:rPr>
        <w:t xml:space="preserve">2020 performance was adversely affected by the covid pandemic. This limits the value of the 2020 figures in making an assessment </w:t>
      </w:r>
      <w:r w:rsidR="009A4CBF">
        <w:rPr>
          <w:rStyle w:val="normaltextrun"/>
          <w:rFonts w:ascii="Arial" w:hAnsi="Arial" w:cs="Arial"/>
          <w:color w:val="000000"/>
          <w:position w:val="2"/>
          <w:sz w:val="20"/>
          <w:szCs w:val="20"/>
        </w:rPr>
        <w:t>on</w:t>
      </w:r>
      <w:r>
        <w:rPr>
          <w:rStyle w:val="normaltextrun"/>
          <w:rFonts w:ascii="Arial" w:hAnsi="Arial" w:cs="Arial"/>
          <w:color w:val="000000"/>
          <w:position w:val="2"/>
          <w:sz w:val="20"/>
          <w:szCs w:val="20"/>
        </w:rPr>
        <w:t xml:space="preserve"> future </w:t>
      </w:r>
      <w:r w:rsidR="009A4CBF">
        <w:rPr>
          <w:rStyle w:val="normaltextrun"/>
          <w:rFonts w:ascii="Arial" w:hAnsi="Arial" w:cs="Arial"/>
          <w:color w:val="000000"/>
          <w:position w:val="2"/>
          <w:sz w:val="20"/>
          <w:szCs w:val="20"/>
        </w:rPr>
        <w:t>performance</w:t>
      </w:r>
      <w:r>
        <w:rPr>
          <w:rStyle w:val="normaltextrun"/>
          <w:rFonts w:ascii="Arial" w:hAnsi="Arial" w:cs="Arial"/>
          <w:color w:val="000000"/>
          <w:position w:val="2"/>
          <w:sz w:val="20"/>
          <w:szCs w:val="20"/>
        </w:rPr>
        <w:t xml:space="preserve"> and </w:t>
      </w:r>
      <w:r w:rsidR="009A4CBF">
        <w:rPr>
          <w:rStyle w:val="normaltextrun"/>
          <w:rFonts w:ascii="Arial" w:hAnsi="Arial" w:cs="Arial"/>
          <w:color w:val="000000"/>
          <w:position w:val="2"/>
          <w:sz w:val="20"/>
          <w:szCs w:val="20"/>
        </w:rPr>
        <w:t>risks but</w:t>
      </w:r>
      <w:r>
        <w:rPr>
          <w:rStyle w:val="normaltextrun"/>
          <w:rFonts w:ascii="Arial" w:hAnsi="Arial" w:cs="Arial"/>
          <w:color w:val="000000"/>
          <w:position w:val="2"/>
          <w:sz w:val="20"/>
          <w:szCs w:val="20"/>
        </w:rPr>
        <w:t xml:space="preserve"> does </w:t>
      </w:r>
      <w:r w:rsidR="009A4CBF">
        <w:rPr>
          <w:rStyle w:val="normaltextrun"/>
          <w:rFonts w:ascii="Arial" w:hAnsi="Arial" w:cs="Arial"/>
          <w:color w:val="000000"/>
          <w:position w:val="2"/>
          <w:sz w:val="20"/>
          <w:szCs w:val="20"/>
        </w:rPr>
        <w:t xml:space="preserve">provide a helpful indication of the strength of the business and management to withstand such situations. </w:t>
      </w:r>
      <w:r w:rsidR="00E0496D" w:rsidRPr="00533296">
        <w:rPr>
          <w:rStyle w:val="normaltextrun"/>
          <w:rFonts w:ascii="Arial" w:hAnsi="Arial" w:cs="Arial"/>
          <w:color w:val="000000"/>
          <w:position w:val="2"/>
          <w:sz w:val="20"/>
          <w:szCs w:val="20"/>
        </w:rPr>
        <w:t xml:space="preserve">Continuing operations data </w:t>
      </w:r>
      <w:r w:rsidR="004420C8">
        <w:rPr>
          <w:rStyle w:val="normaltextrun"/>
          <w:rFonts w:ascii="Arial" w:hAnsi="Arial" w:cs="Arial"/>
          <w:color w:val="000000"/>
          <w:position w:val="2"/>
          <w:sz w:val="20"/>
          <w:szCs w:val="20"/>
        </w:rPr>
        <w:t xml:space="preserve">is very limited </w:t>
      </w:r>
      <w:r>
        <w:rPr>
          <w:rStyle w:val="normaltextrun"/>
          <w:rFonts w:ascii="Arial" w:hAnsi="Arial" w:cs="Arial"/>
          <w:color w:val="000000"/>
          <w:position w:val="2"/>
          <w:sz w:val="20"/>
          <w:szCs w:val="20"/>
        </w:rPr>
        <w:t>currently</w:t>
      </w:r>
      <w:r w:rsidR="004420C8">
        <w:rPr>
          <w:rStyle w:val="normaltextrun"/>
          <w:rFonts w:ascii="Arial" w:hAnsi="Arial" w:cs="Arial"/>
          <w:color w:val="000000"/>
          <w:position w:val="2"/>
          <w:sz w:val="20"/>
          <w:szCs w:val="20"/>
        </w:rPr>
        <w:t xml:space="preserve">, but </w:t>
      </w:r>
      <w:r w:rsidR="00E0496D" w:rsidRPr="00533296">
        <w:rPr>
          <w:rStyle w:val="normaltextrun"/>
          <w:rFonts w:ascii="Arial" w:hAnsi="Arial" w:cs="Arial"/>
          <w:color w:val="000000"/>
          <w:position w:val="2"/>
          <w:sz w:val="20"/>
          <w:szCs w:val="20"/>
        </w:rPr>
        <w:t xml:space="preserve">very </w:t>
      </w:r>
      <w:r w:rsidR="004420C8">
        <w:rPr>
          <w:rStyle w:val="normaltextrun"/>
          <w:rFonts w:ascii="Arial" w:hAnsi="Arial" w:cs="Arial"/>
          <w:color w:val="000000"/>
          <w:position w:val="2"/>
          <w:sz w:val="20"/>
          <w:szCs w:val="20"/>
        </w:rPr>
        <w:t xml:space="preserve">is a very </w:t>
      </w:r>
      <w:r w:rsidR="00E0496D" w:rsidRPr="00533296">
        <w:rPr>
          <w:rStyle w:val="normaltextrun"/>
          <w:rFonts w:ascii="Arial" w:hAnsi="Arial" w:cs="Arial"/>
          <w:color w:val="000000"/>
          <w:position w:val="2"/>
          <w:sz w:val="20"/>
          <w:szCs w:val="20"/>
        </w:rPr>
        <w:t>important consideration for the electric car joint venture proposal</w:t>
      </w:r>
      <w:r w:rsidR="004420C8">
        <w:rPr>
          <w:rStyle w:val="normaltextrun"/>
          <w:rFonts w:ascii="Arial" w:hAnsi="Arial" w:cs="Arial"/>
          <w:color w:val="000000"/>
          <w:position w:val="2"/>
          <w:sz w:val="20"/>
          <w:szCs w:val="20"/>
        </w:rPr>
        <w:t xml:space="preserve"> as the </w:t>
      </w:r>
      <w:r>
        <w:rPr>
          <w:rStyle w:val="normaltextrun"/>
          <w:rFonts w:ascii="Arial" w:hAnsi="Arial" w:cs="Arial"/>
          <w:color w:val="000000"/>
          <w:position w:val="2"/>
          <w:sz w:val="20"/>
          <w:szCs w:val="20"/>
        </w:rPr>
        <w:t>continuing</w:t>
      </w:r>
      <w:r w:rsidR="004420C8">
        <w:rPr>
          <w:rStyle w:val="normaltextrun"/>
          <w:rFonts w:ascii="Arial" w:hAnsi="Arial" w:cs="Arial"/>
          <w:color w:val="000000"/>
          <w:position w:val="2"/>
          <w:sz w:val="20"/>
          <w:szCs w:val="20"/>
        </w:rPr>
        <w:t xml:space="preserve"> operations are materially different from </w:t>
      </w:r>
      <w:r>
        <w:rPr>
          <w:rStyle w:val="normaltextrun"/>
          <w:rFonts w:ascii="Arial" w:hAnsi="Arial" w:cs="Arial"/>
          <w:color w:val="000000"/>
          <w:position w:val="2"/>
          <w:sz w:val="20"/>
          <w:szCs w:val="20"/>
        </w:rPr>
        <w:t xml:space="preserve">the reported data in historical published reports. This means there is very limited data that can be attributed to the </w:t>
      </w:r>
      <w:r w:rsidR="009A4CBF">
        <w:rPr>
          <w:rStyle w:val="normaltextrun"/>
          <w:rFonts w:ascii="Arial" w:hAnsi="Arial" w:cs="Arial"/>
          <w:color w:val="000000"/>
          <w:position w:val="2"/>
          <w:sz w:val="20"/>
          <w:szCs w:val="20"/>
        </w:rPr>
        <w:t>outlook</w:t>
      </w:r>
      <w:r>
        <w:rPr>
          <w:rStyle w:val="normaltextrun"/>
          <w:rFonts w:ascii="Arial" w:hAnsi="Arial" w:cs="Arial"/>
          <w:color w:val="000000"/>
          <w:position w:val="2"/>
          <w:sz w:val="20"/>
          <w:szCs w:val="20"/>
        </w:rPr>
        <w:t xml:space="preserve"> of the business, so historical data has been used to get an understanding of the capability of the management team and the business performance.</w:t>
      </w:r>
    </w:p>
    <w:p w14:paraId="1548BF2E" w14:textId="0216EA00" w:rsidR="004D40DC" w:rsidRDefault="004D40DC">
      <w:pPr>
        <w:rPr>
          <w:rStyle w:val="normaltextrun"/>
          <w:rFonts w:ascii="Arial" w:eastAsia="Times New Roman" w:hAnsi="Arial" w:cs="Arial"/>
          <w:color w:val="000000"/>
          <w:position w:val="2"/>
          <w:sz w:val="20"/>
          <w:szCs w:val="20"/>
          <w:lang w:eastAsia="en-GB"/>
        </w:rPr>
      </w:pPr>
      <w:r>
        <w:rPr>
          <w:rStyle w:val="normaltextrun"/>
          <w:rFonts w:ascii="Arial" w:hAnsi="Arial" w:cs="Arial"/>
          <w:color w:val="000000"/>
          <w:position w:val="2"/>
          <w:sz w:val="20"/>
          <w:szCs w:val="20"/>
        </w:rPr>
        <w:br w:type="page"/>
      </w:r>
    </w:p>
    <w:p w14:paraId="498C47F3" w14:textId="065F8600" w:rsidR="008A1933" w:rsidRDefault="008A1933" w:rsidP="00E0496D">
      <w:pPr>
        <w:pStyle w:val="paragraph"/>
        <w:spacing w:before="0" w:beforeAutospacing="0" w:after="0" w:afterAutospacing="0"/>
        <w:textAlignment w:val="baseline"/>
        <w:rPr>
          <w:rStyle w:val="normaltextrun"/>
          <w:rFonts w:ascii="Arial" w:hAnsi="Arial" w:cs="Arial"/>
          <w:color w:val="000000"/>
          <w:position w:val="2"/>
          <w:sz w:val="20"/>
          <w:szCs w:val="20"/>
        </w:rPr>
      </w:pPr>
      <w:r>
        <w:rPr>
          <w:rStyle w:val="normaltextrun"/>
          <w:rFonts w:ascii="Arial" w:hAnsi="Arial" w:cs="Arial"/>
          <w:color w:val="000000"/>
          <w:position w:val="2"/>
          <w:sz w:val="20"/>
          <w:szCs w:val="20"/>
        </w:rPr>
        <w:lastRenderedPageBreak/>
        <w:t>The current business climate – especially the supply chain insecurity – are also significant challenges going forward</w:t>
      </w:r>
      <w:r w:rsidR="004D40DC">
        <w:rPr>
          <w:rStyle w:val="normaltextrun"/>
          <w:rFonts w:ascii="Arial" w:hAnsi="Arial" w:cs="Arial"/>
          <w:color w:val="000000"/>
          <w:position w:val="2"/>
          <w:sz w:val="20"/>
          <w:szCs w:val="20"/>
        </w:rPr>
        <w:t xml:space="preserve"> and this has been highlighted by the company itself</w:t>
      </w:r>
      <w:r>
        <w:rPr>
          <w:rStyle w:val="normaltextrun"/>
          <w:rFonts w:ascii="Arial" w:hAnsi="Arial" w:cs="Arial"/>
          <w:color w:val="000000"/>
          <w:position w:val="2"/>
          <w:sz w:val="20"/>
          <w:szCs w:val="20"/>
        </w:rPr>
        <w:t xml:space="preserve">. </w:t>
      </w:r>
    </w:p>
    <w:p w14:paraId="26C48794" w14:textId="77777777" w:rsidR="00EA595C" w:rsidRDefault="00EA595C" w:rsidP="00EA595C">
      <w:pPr>
        <w:pStyle w:val="paragraph"/>
        <w:spacing w:before="0" w:beforeAutospacing="0" w:after="0" w:afterAutospacing="0"/>
        <w:textAlignment w:val="baseline"/>
      </w:pPr>
    </w:p>
    <w:p w14:paraId="0740EED8" w14:textId="0AAF83F5" w:rsidR="00EA595C" w:rsidRDefault="00EA595C" w:rsidP="00A154F3">
      <w:pPr>
        <w:pStyle w:val="Quote"/>
        <w:rPr>
          <w:rStyle w:val="normaltextrun"/>
          <w:rFonts w:ascii="Arial" w:hAnsi="Arial" w:cs="Arial"/>
          <w:color w:val="000000"/>
          <w:position w:val="2"/>
          <w:sz w:val="20"/>
          <w:szCs w:val="20"/>
        </w:rPr>
      </w:pPr>
      <w:r>
        <w:t>‘During the first half of 2021 the business had been largely able to successfully manage the global supply shortage of semiconductors. However</w:t>
      </w:r>
      <w:r w:rsidR="00C05F57">
        <w:t>,</w:t>
      </w:r>
      <w:r>
        <w:t xml:space="preserve"> in H2 production and wholesale volumes were adversely impacted </w:t>
      </w:r>
      <w:proofErr w:type="gramStart"/>
      <w:r>
        <w:t>as a result of</w:t>
      </w:r>
      <w:proofErr w:type="gramEnd"/>
      <w:r>
        <w:t xml:space="preserve"> limited supply. It is expected that semiconductor shortages will continue throughout 2022, but especially in the first half of the year. The Group is engaging with </w:t>
      </w:r>
      <w:proofErr w:type="gramStart"/>
      <w:r>
        <w:t>a number of</w:t>
      </w:r>
      <w:proofErr w:type="gramEnd"/>
      <w:r>
        <w:t xml:space="preserve"> component suppliers and producers to secure long term supply agreements to minimise future supply risks.’</w:t>
      </w:r>
      <w:sdt>
        <w:sdtPr>
          <w:id w:val="-1386485325"/>
          <w:citation/>
        </w:sdtPr>
        <w:sdtContent>
          <w:r w:rsidR="00C05F57">
            <w:fldChar w:fldCharType="begin"/>
          </w:r>
          <w:r w:rsidR="00C05F57">
            <w:instrText xml:space="preserve"> CITATION McL21 \l 2057 </w:instrText>
          </w:r>
          <w:r w:rsidR="00C05F57">
            <w:fldChar w:fldCharType="separate"/>
          </w:r>
          <w:r w:rsidR="003A26CB">
            <w:rPr>
              <w:noProof/>
            </w:rPr>
            <w:t xml:space="preserve"> </w:t>
          </w:r>
          <w:r w:rsidR="003A26CB" w:rsidRPr="003A26CB">
            <w:rPr>
              <w:noProof/>
            </w:rPr>
            <w:t>(McLaren Holdings Limited, 2021)</w:t>
          </w:r>
          <w:r w:rsidR="00C05F57">
            <w:fldChar w:fldCharType="end"/>
          </w:r>
        </w:sdtContent>
      </w:sdt>
    </w:p>
    <w:p w14:paraId="68A2C0A3" w14:textId="77777777" w:rsidR="00EA595C" w:rsidRDefault="00EA595C" w:rsidP="00EA595C">
      <w:pPr>
        <w:pStyle w:val="paragraph"/>
        <w:spacing w:before="0" w:beforeAutospacing="0" w:after="0" w:afterAutospacing="0"/>
        <w:textAlignment w:val="baseline"/>
        <w:rPr>
          <w:rStyle w:val="normaltextrun"/>
          <w:rFonts w:ascii="Arial" w:hAnsi="Arial" w:cs="Arial"/>
          <w:color w:val="000000"/>
          <w:position w:val="2"/>
          <w:sz w:val="20"/>
          <w:szCs w:val="20"/>
        </w:rPr>
      </w:pPr>
    </w:p>
    <w:p w14:paraId="46C51703" w14:textId="77777777" w:rsidR="00EA595C" w:rsidRDefault="00EA595C" w:rsidP="00EA595C">
      <w:pPr>
        <w:pStyle w:val="paragraph"/>
        <w:spacing w:before="0" w:beforeAutospacing="0" w:after="0" w:afterAutospacing="0"/>
        <w:textAlignment w:val="baseline"/>
        <w:rPr>
          <w:rStyle w:val="normaltextrun"/>
          <w:rFonts w:ascii="Arial" w:hAnsi="Arial" w:cs="Arial"/>
          <w:color w:val="000000"/>
          <w:position w:val="2"/>
          <w:sz w:val="20"/>
          <w:szCs w:val="20"/>
        </w:rPr>
      </w:pPr>
    </w:p>
    <w:p w14:paraId="69EC6A8B" w14:textId="7769A76E" w:rsidR="00D25F2A" w:rsidRDefault="004D40DC" w:rsidP="009A4CBF">
      <w:pPr>
        <w:rPr>
          <w:rFonts w:ascii="Arial" w:hAnsi="Arial" w:cs="Arial"/>
          <w:sz w:val="20"/>
          <w:szCs w:val="20"/>
        </w:rPr>
      </w:pPr>
      <w:r>
        <w:rPr>
          <w:rFonts w:ascii="Arial" w:hAnsi="Arial" w:cs="Arial"/>
          <w:sz w:val="20"/>
          <w:szCs w:val="20"/>
        </w:rPr>
        <w:t xml:space="preserve">The board are portraying a </w:t>
      </w:r>
      <w:r w:rsidR="00352058">
        <w:rPr>
          <w:rFonts w:ascii="Arial" w:hAnsi="Arial" w:cs="Arial"/>
          <w:sz w:val="20"/>
          <w:szCs w:val="20"/>
        </w:rPr>
        <w:t xml:space="preserve">positive future but have also highlighted </w:t>
      </w:r>
      <w:proofErr w:type="gramStart"/>
      <w:r w:rsidR="00352058">
        <w:rPr>
          <w:rFonts w:ascii="Arial" w:hAnsi="Arial" w:cs="Arial"/>
          <w:sz w:val="20"/>
          <w:szCs w:val="20"/>
        </w:rPr>
        <w:t>that existential risks</w:t>
      </w:r>
      <w:proofErr w:type="gramEnd"/>
      <w:r w:rsidR="00352058">
        <w:rPr>
          <w:rFonts w:ascii="Arial" w:hAnsi="Arial" w:cs="Arial"/>
          <w:sz w:val="20"/>
          <w:szCs w:val="20"/>
        </w:rPr>
        <w:t xml:space="preserve"> remain:</w:t>
      </w:r>
    </w:p>
    <w:p w14:paraId="03753C9A" w14:textId="5F414AAB" w:rsidR="009A4CBF" w:rsidRPr="00533296" w:rsidRDefault="009A4CBF" w:rsidP="00A154F3">
      <w:pPr>
        <w:pStyle w:val="Quote"/>
        <w:rPr>
          <w:rStyle w:val="eop"/>
          <w:rFonts w:ascii="Arial" w:eastAsia="Times New Roman" w:hAnsi="Arial" w:cs="Arial"/>
          <w:sz w:val="20"/>
          <w:szCs w:val="20"/>
          <w:lang w:eastAsia="en-GB"/>
        </w:rPr>
      </w:pPr>
      <w:r>
        <w:t>‘</w:t>
      </w:r>
      <w:r w:rsidRPr="00533296">
        <w:t xml:space="preserve">The Board remains positive on the future direction and long-term product plan of the business, but likewise recognises risks to performance such as the global shortage of semiconductors alongside delays launching the </w:t>
      </w:r>
      <w:proofErr w:type="spellStart"/>
      <w:r w:rsidRPr="00533296">
        <w:t>Artura</w:t>
      </w:r>
      <w:proofErr w:type="spellEnd"/>
      <w:r w:rsidRPr="00533296">
        <w:t xml:space="preserve">. Furthermore, the Company is reliant on the trading group to satisfy its liabilities as they fall </w:t>
      </w:r>
      <w:proofErr w:type="gramStart"/>
      <w:r w:rsidRPr="00533296">
        <w:t>due</w:t>
      </w:r>
      <w:proofErr w:type="gramEnd"/>
      <w:r w:rsidRPr="00533296">
        <w:t xml:space="preserve"> and the conditions related to the Group as outlined above have been considered as part of the Company’s going </w:t>
      </w:r>
      <w:r w:rsidRPr="00F32737">
        <w:t xml:space="preserve">concern assessment. As such the Group and Company may require additional funding </w:t>
      </w:r>
      <w:proofErr w:type="gramStart"/>
      <w:r w:rsidRPr="00F32737">
        <w:t>in order to</w:t>
      </w:r>
      <w:proofErr w:type="gramEnd"/>
      <w:r w:rsidRPr="00F32737">
        <w:t xml:space="preserve"> meet its liabilities as and when they fall due over the next 12 months and such funding has not been secured at this time, and nor have the terms on which such funding may be provided been agreed. These conditions McLaren Holdings Limited Annual report and consolidated financial statements 2021 Directors’ Report 16 </w:t>
      </w:r>
      <w:r w:rsidRPr="00352058">
        <w:rPr>
          <w:b/>
          <w:bCs/>
        </w:rPr>
        <w:t>indicate a material uncertainty which may cast significant doubt over the Group’s and the Company’s ability to continue as a going concern</w:t>
      </w:r>
      <w:r w:rsidRPr="00F32737">
        <w:t>.</w:t>
      </w:r>
      <w:r w:rsidR="00EA595C" w:rsidRPr="00F32737">
        <w:t>’</w:t>
      </w:r>
      <w:r w:rsidR="00C05F57" w:rsidRPr="00F32737">
        <w:t xml:space="preserve"> </w:t>
      </w:r>
      <w:sdt>
        <w:sdtPr>
          <w:id w:val="1275899136"/>
          <w:citation/>
        </w:sdtPr>
        <w:sdtContent>
          <w:r w:rsidR="00C05F57" w:rsidRPr="00F32737">
            <w:fldChar w:fldCharType="begin"/>
          </w:r>
          <w:r w:rsidR="00C05F57" w:rsidRPr="00F32737">
            <w:instrText xml:space="preserve"> CITATION McL21 \l 2057 </w:instrText>
          </w:r>
          <w:r w:rsidR="00C05F57" w:rsidRPr="00F32737">
            <w:fldChar w:fldCharType="separate"/>
          </w:r>
          <w:r w:rsidR="003A26CB" w:rsidRPr="00F32737">
            <w:rPr>
              <w:noProof/>
            </w:rPr>
            <w:t>(McLaren Holdings Limited, 2021)</w:t>
          </w:r>
          <w:r w:rsidR="00C05F57" w:rsidRPr="00F32737">
            <w:fldChar w:fldCharType="end"/>
          </w:r>
        </w:sdtContent>
      </w:sdt>
    </w:p>
    <w:p w14:paraId="415767A5" w14:textId="55E7A684" w:rsidR="00EA595C" w:rsidRDefault="00EA595C" w:rsidP="00E0496D">
      <w:pPr>
        <w:pStyle w:val="paragraph"/>
        <w:spacing w:before="0" w:beforeAutospacing="0" w:after="0" w:afterAutospacing="0"/>
        <w:textAlignment w:val="baseline"/>
        <w:rPr>
          <w:rStyle w:val="normaltextrun"/>
          <w:rFonts w:ascii="Arial" w:hAnsi="Arial" w:cs="Arial"/>
          <w:color w:val="000000"/>
          <w:position w:val="2"/>
          <w:sz w:val="20"/>
          <w:szCs w:val="20"/>
        </w:rPr>
      </w:pPr>
    </w:p>
    <w:p w14:paraId="32EC067F" w14:textId="77777777" w:rsidR="00EA595C" w:rsidRDefault="00EA595C" w:rsidP="00E0496D">
      <w:pPr>
        <w:pStyle w:val="paragraph"/>
        <w:spacing w:before="0" w:beforeAutospacing="0" w:after="0" w:afterAutospacing="0"/>
        <w:textAlignment w:val="baseline"/>
        <w:rPr>
          <w:rStyle w:val="normaltextrun"/>
          <w:rFonts w:ascii="Arial" w:hAnsi="Arial" w:cs="Arial"/>
          <w:color w:val="000000"/>
          <w:position w:val="2"/>
          <w:sz w:val="20"/>
          <w:szCs w:val="20"/>
        </w:rPr>
      </w:pPr>
    </w:p>
    <w:p w14:paraId="6078C51E" w14:textId="2F671695" w:rsidR="00D25F2A" w:rsidRPr="00533296" w:rsidRDefault="00D25F2A" w:rsidP="00A154F3">
      <w:pPr>
        <w:rPr>
          <w:rStyle w:val="normaltextrun"/>
          <w:rFonts w:ascii="Arial" w:hAnsi="Arial" w:cs="Arial"/>
          <w:color w:val="000000"/>
          <w:position w:val="2"/>
          <w:sz w:val="20"/>
          <w:szCs w:val="20"/>
        </w:rPr>
      </w:pPr>
      <w:r>
        <w:rPr>
          <w:rStyle w:val="normaltextrun"/>
          <w:rFonts w:ascii="Arial" w:hAnsi="Arial" w:cs="Arial"/>
          <w:color w:val="000000"/>
          <w:position w:val="2"/>
          <w:sz w:val="20"/>
          <w:szCs w:val="20"/>
        </w:rPr>
        <w:t xml:space="preserve">Despite the </w:t>
      </w:r>
      <w:r w:rsidR="00352058">
        <w:rPr>
          <w:rStyle w:val="normaltextrun"/>
          <w:rFonts w:ascii="Arial" w:hAnsi="Arial" w:cs="Arial"/>
          <w:color w:val="000000"/>
          <w:position w:val="2"/>
          <w:sz w:val="20"/>
          <w:szCs w:val="20"/>
        </w:rPr>
        <w:t xml:space="preserve">‘cautiously positive’ </w:t>
      </w:r>
      <w:r>
        <w:rPr>
          <w:rStyle w:val="normaltextrun"/>
          <w:rFonts w:ascii="Arial" w:hAnsi="Arial" w:cs="Arial"/>
          <w:color w:val="000000"/>
          <w:position w:val="2"/>
          <w:sz w:val="20"/>
          <w:szCs w:val="20"/>
        </w:rPr>
        <w:t>outlook form the board, the</w:t>
      </w:r>
      <w:r>
        <w:rPr>
          <w:rStyle w:val="normaltextrun"/>
          <w:rFonts w:ascii="Arial" w:hAnsi="Arial" w:cs="Arial"/>
          <w:color w:val="000000"/>
          <w:position w:val="2"/>
          <w:sz w:val="20"/>
          <w:szCs w:val="20"/>
        </w:rPr>
        <w:t xml:space="preserve"> combinations of </w:t>
      </w:r>
      <w:proofErr w:type="gramStart"/>
      <w:r>
        <w:rPr>
          <w:rStyle w:val="normaltextrun"/>
          <w:rFonts w:ascii="Arial" w:hAnsi="Arial" w:cs="Arial"/>
          <w:color w:val="000000"/>
          <w:position w:val="2"/>
          <w:sz w:val="20"/>
          <w:szCs w:val="20"/>
        </w:rPr>
        <w:t>all of</w:t>
      </w:r>
      <w:proofErr w:type="gramEnd"/>
      <w:r>
        <w:rPr>
          <w:rStyle w:val="normaltextrun"/>
          <w:rFonts w:ascii="Arial" w:hAnsi="Arial" w:cs="Arial"/>
          <w:color w:val="000000"/>
          <w:position w:val="2"/>
          <w:sz w:val="20"/>
          <w:szCs w:val="20"/>
        </w:rPr>
        <w:t xml:space="preserve"> the </w:t>
      </w:r>
      <w:r w:rsidR="003A26CB">
        <w:rPr>
          <w:rStyle w:val="normaltextrun"/>
          <w:rFonts w:ascii="Arial" w:hAnsi="Arial" w:cs="Arial"/>
          <w:color w:val="000000"/>
          <w:position w:val="2"/>
          <w:sz w:val="20"/>
          <w:szCs w:val="20"/>
        </w:rPr>
        <w:t xml:space="preserve">above </w:t>
      </w:r>
      <w:r>
        <w:rPr>
          <w:rStyle w:val="normaltextrun"/>
          <w:rFonts w:ascii="Arial" w:hAnsi="Arial" w:cs="Arial"/>
          <w:color w:val="000000"/>
          <w:position w:val="2"/>
          <w:sz w:val="20"/>
          <w:szCs w:val="20"/>
        </w:rPr>
        <w:t>factors result in a high risk and uncertain future for McLaren.</w:t>
      </w:r>
      <w:r w:rsidR="00352058">
        <w:rPr>
          <w:rStyle w:val="normaltextrun"/>
          <w:rFonts w:ascii="Arial" w:hAnsi="Arial" w:cs="Arial"/>
          <w:color w:val="000000"/>
          <w:position w:val="2"/>
          <w:sz w:val="20"/>
          <w:szCs w:val="20"/>
        </w:rPr>
        <w:t xml:space="preserve"> The company have also appointed a new CEO who has a technical background rather than a business/financial background which is seen as an additional risk.</w:t>
      </w:r>
    </w:p>
    <w:p w14:paraId="44296785" w14:textId="77777777" w:rsidR="009A4CBF" w:rsidRPr="00533296" w:rsidRDefault="009A4CBF" w:rsidP="00A154F3">
      <w:pPr>
        <w:rPr>
          <w:rStyle w:val="normaltextrun"/>
          <w:rFonts w:ascii="Arial" w:hAnsi="Arial" w:cs="Arial"/>
          <w:color w:val="000000"/>
          <w:position w:val="2"/>
          <w:sz w:val="20"/>
          <w:szCs w:val="20"/>
        </w:rPr>
      </w:pPr>
    </w:p>
    <w:p w14:paraId="1D1A3EF5" w14:textId="3EB3CC10" w:rsidR="00FE08FA" w:rsidRPr="00352058" w:rsidRDefault="00FE08FA" w:rsidP="00352058">
      <w:pPr>
        <w:ind w:left="720"/>
        <w:rPr>
          <w:i/>
          <w:iCs/>
          <w:color w:val="404040" w:themeColor="text1" w:themeTint="BF"/>
        </w:rPr>
      </w:pPr>
      <w:r w:rsidRPr="00352058">
        <w:rPr>
          <w:i/>
          <w:iCs/>
          <w:color w:val="404040" w:themeColor="text1" w:themeTint="BF"/>
        </w:rPr>
        <w:t xml:space="preserve">McLaren has a new CEO. The automaker announced that Michael </w:t>
      </w:r>
      <w:proofErr w:type="spellStart"/>
      <w:r w:rsidRPr="00352058">
        <w:rPr>
          <w:i/>
          <w:iCs/>
          <w:color w:val="404040" w:themeColor="text1" w:themeTint="BF"/>
        </w:rPr>
        <w:t>Leiters</w:t>
      </w:r>
      <w:proofErr w:type="spellEnd"/>
      <w:r w:rsidRPr="00352058">
        <w:rPr>
          <w:i/>
          <w:iCs/>
          <w:color w:val="404040" w:themeColor="text1" w:themeTint="BF"/>
        </w:rPr>
        <w:t xml:space="preserve"> would assume the role on the 1st of July 2022. He replaces </w:t>
      </w:r>
      <w:proofErr w:type="spellStart"/>
      <w:r w:rsidRPr="00352058">
        <w:rPr>
          <w:i/>
          <w:iCs/>
          <w:color w:val="404040" w:themeColor="text1" w:themeTint="BF"/>
        </w:rPr>
        <w:t>longtime</w:t>
      </w:r>
      <w:proofErr w:type="spellEnd"/>
      <w:r w:rsidRPr="00352058">
        <w:rPr>
          <w:i/>
          <w:iCs/>
          <w:color w:val="404040" w:themeColor="text1" w:themeTint="BF"/>
        </w:rPr>
        <w:t xml:space="preserve"> McLaren CEO Mike </w:t>
      </w:r>
      <w:proofErr w:type="spellStart"/>
      <w:r w:rsidRPr="00352058">
        <w:rPr>
          <w:i/>
          <w:iCs/>
          <w:color w:val="404040" w:themeColor="text1" w:themeTint="BF"/>
        </w:rPr>
        <w:t>Flewitt</w:t>
      </w:r>
      <w:proofErr w:type="spellEnd"/>
      <w:r w:rsidRPr="00352058">
        <w:rPr>
          <w:i/>
          <w:iCs/>
          <w:color w:val="404040" w:themeColor="text1" w:themeTint="BF"/>
        </w:rPr>
        <w:t>, who stepped down from the role in October 2021</w:t>
      </w:r>
      <w:r w:rsidR="003A26CB" w:rsidRPr="00352058">
        <w:rPr>
          <w:i/>
          <w:iCs/>
          <w:color w:val="404040" w:themeColor="text1" w:themeTint="BF"/>
        </w:rPr>
        <w:t>.</w:t>
      </w:r>
      <w:r w:rsidR="00352058">
        <w:rPr>
          <w:i/>
          <w:iCs/>
          <w:color w:val="404040" w:themeColor="text1" w:themeTint="BF"/>
        </w:rPr>
        <w:t xml:space="preserve"> </w:t>
      </w:r>
      <w:proofErr w:type="spellStart"/>
      <w:r w:rsidRPr="00352058">
        <w:rPr>
          <w:i/>
          <w:iCs/>
          <w:color w:val="404040" w:themeColor="text1" w:themeTint="BF"/>
        </w:rPr>
        <w:t>Leiters</w:t>
      </w:r>
      <w:proofErr w:type="spellEnd"/>
      <w:r w:rsidRPr="00352058">
        <w:rPr>
          <w:i/>
          <w:iCs/>
          <w:color w:val="404040" w:themeColor="text1" w:themeTint="BF"/>
        </w:rPr>
        <w:t xml:space="preserve"> joins McLaren after serving as Ferrari’s Chief Technical Officer. </w:t>
      </w:r>
      <w:proofErr w:type="spellStart"/>
      <w:r w:rsidRPr="00352058">
        <w:rPr>
          <w:i/>
          <w:iCs/>
          <w:color w:val="404040" w:themeColor="text1" w:themeTint="BF"/>
        </w:rPr>
        <w:t>Leiters</w:t>
      </w:r>
      <w:proofErr w:type="spellEnd"/>
      <w:r w:rsidRPr="00352058">
        <w:rPr>
          <w:i/>
          <w:iCs/>
          <w:color w:val="404040" w:themeColor="text1" w:themeTint="BF"/>
        </w:rPr>
        <w:t xml:space="preserve"> left the role at the end of last year as </w:t>
      </w:r>
      <w:r w:rsidR="00C05F57" w:rsidRPr="00352058">
        <w:rPr>
          <w:i/>
          <w:iCs/>
          <w:color w:val="404040" w:themeColor="text1" w:themeTint="BF"/>
        </w:rPr>
        <w:t>Ferrari overhauled its organisational structure</w:t>
      </w:r>
      <w:r w:rsidR="00E32D0C" w:rsidRPr="00352058">
        <w:rPr>
          <w:i/>
          <w:iCs/>
          <w:color w:val="404040" w:themeColor="text1" w:themeTint="BF"/>
        </w:rPr>
        <w:t xml:space="preserve"> </w:t>
      </w:r>
      <w:sdt>
        <w:sdtPr>
          <w:rPr>
            <w:i/>
            <w:iCs/>
            <w:color w:val="404040" w:themeColor="text1" w:themeTint="BF"/>
          </w:rPr>
          <w:id w:val="193281321"/>
          <w:citation/>
        </w:sdtPr>
        <w:sdtContent>
          <w:r w:rsidR="00E32D0C" w:rsidRPr="00352058">
            <w:rPr>
              <w:i/>
              <w:iCs/>
              <w:color w:val="404040" w:themeColor="text1" w:themeTint="BF"/>
            </w:rPr>
            <w:fldChar w:fldCharType="begin"/>
          </w:r>
          <w:r w:rsidR="00E32D0C" w:rsidRPr="00352058">
            <w:rPr>
              <w:i/>
              <w:iCs/>
              <w:color w:val="404040" w:themeColor="text1" w:themeTint="BF"/>
            </w:rPr>
            <w:instrText xml:space="preserve"> CITATION Ala22 \l 2057 </w:instrText>
          </w:r>
          <w:r w:rsidR="00E32D0C" w:rsidRPr="00352058">
            <w:rPr>
              <w:i/>
              <w:iCs/>
              <w:color w:val="404040" w:themeColor="text1" w:themeTint="BF"/>
            </w:rPr>
            <w:fldChar w:fldCharType="separate"/>
          </w:r>
          <w:r w:rsidR="003A26CB" w:rsidRPr="00352058">
            <w:rPr>
              <w:i/>
              <w:iCs/>
              <w:color w:val="404040" w:themeColor="text1" w:themeTint="BF"/>
            </w:rPr>
            <w:t>(Alaniz, 2022)</w:t>
          </w:r>
          <w:r w:rsidR="00E32D0C" w:rsidRPr="00352058">
            <w:rPr>
              <w:i/>
              <w:iCs/>
              <w:color w:val="404040" w:themeColor="text1" w:themeTint="BF"/>
            </w:rPr>
            <w:fldChar w:fldCharType="end"/>
          </w:r>
        </w:sdtContent>
      </w:sdt>
    </w:p>
    <w:p w14:paraId="6C45406C" w14:textId="77777777" w:rsidR="00C05F57" w:rsidRDefault="00C05F57" w:rsidP="00C05F57">
      <w:pPr>
        <w:rPr>
          <w:shd w:val="clear" w:color="auto" w:fill="FFFFFF"/>
        </w:rPr>
      </w:pPr>
    </w:p>
    <w:p w14:paraId="1A0FB268" w14:textId="55E1E018" w:rsidR="004B7353" w:rsidRPr="00E0496D" w:rsidRDefault="004B7353" w:rsidP="00A154F3">
      <w:pPr>
        <w:rPr>
          <w:rStyle w:val="normaltextrun"/>
          <w:rFonts w:ascii="Arial" w:hAnsi="Arial" w:cs="Arial"/>
          <w:sz w:val="20"/>
          <w:szCs w:val="20"/>
        </w:rPr>
      </w:pPr>
    </w:p>
    <w:bookmarkEnd w:id="6"/>
    <w:p w14:paraId="4990D8AA" w14:textId="337AA2E7" w:rsidR="00D25F2A" w:rsidRDefault="00D25F2A" w:rsidP="004B7353">
      <w:pPr>
        <w:rPr>
          <w:rStyle w:val="Heading1Char"/>
        </w:rPr>
      </w:pPr>
      <w:r>
        <w:rPr>
          <w:rStyle w:val="Heading1Char"/>
        </w:rPr>
        <w:br w:type="page"/>
      </w:r>
    </w:p>
    <w:p w14:paraId="751B8F8D" w14:textId="65C4CA46" w:rsidR="00924D85" w:rsidRPr="00BC4509" w:rsidRDefault="000711A1" w:rsidP="00E008D9">
      <w:pPr>
        <w:pStyle w:val="Heading1"/>
        <w:rPr>
          <w:rStyle w:val="Heading1Char"/>
        </w:rPr>
      </w:pPr>
      <w:bookmarkStart w:id="7" w:name="_Toc105350463"/>
      <w:r w:rsidRPr="00BC4509">
        <w:rPr>
          <w:rStyle w:val="Heading1Char"/>
        </w:rPr>
        <w:lastRenderedPageBreak/>
        <w:t>Conclusion</w:t>
      </w:r>
      <w:r w:rsidR="00E008D9" w:rsidRPr="00BC4509">
        <w:rPr>
          <w:rStyle w:val="Heading1Char"/>
        </w:rPr>
        <w:t xml:space="preserve"> and Recommendations</w:t>
      </w:r>
      <w:bookmarkEnd w:id="7"/>
    </w:p>
    <w:p w14:paraId="3970E9D4" w14:textId="1E4AF41E" w:rsidR="00E008D9" w:rsidRPr="00BC4509" w:rsidRDefault="00E008D9" w:rsidP="00E008D9">
      <w:pPr>
        <w:pStyle w:val="NoSpacing"/>
        <w:rPr>
          <w:rFonts w:ascii="Arial" w:hAnsi="Arial" w:cs="Arial"/>
        </w:rPr>
      </w:pPr>
    </w:p>
    <w:p w14:paraId="17E83FA9" w14:textId="77777777" w:rsidR="004177D8" w:rsidRPr="00352058" w:rsidRDefault="004177D8" w:rsidP="004177D8">
      <w:pPr>
        <w:rPr>
          <w:rFonts w:ascii="Arial" w:hAnsi="Arial" w:cs="Arial"/>
          <w:sz w:val="20"/>
          <w:szCs w:val="20"/>
        </w:rPr>
      </w:pPr>
      <w:r w:rsidRPr="00352058">
        <w:rPr>
          <w:rFonts w:ascii="Arial" w:hAnsi="Arial" w:cs="Arial"/>
          <w:sz w:val="20"/>
          <w:szCs w:val="20"/>
        </w:rPr>
        <w:t xml:space="preserve">It is recommended that </w:t>
      </w:r>
      <w:proofErr w:type="spellStart"/>
      <w:r w:rsidRPr="00352058">
        <w:rPr>
          <w:rFonts w:ascii="Arial" w:hAnsi="Arial" w:cs="Arial"/>
          <w:sz w:val="20"/>
          <w:szCs w:val="20"/>
        </w:rPr>
        <w:t>TWestla</w:t>
      </w:r>
      <w:proofErr w:type="spellEnd"/>
      <w:r w:rsidRPr="00352058">
        <w:rPr>
          <w:rFonts w:ascii="Arial" w:hAnsi="Arial" w:cs="Arial"/>
          <w:sz w:val="20"/>
          <w:szCs w:val="20"/>
        </w:rPr>
        <w:t xml:space="preserve"> Electric Vehicles does not enter a joint venture with McLaren Holdings Limited and instead seeks an alternative partner.</w:t>
      </w:r>
    </w:p>
    <w:p w14:paraId="43DEE53A" w14:textId="07AF418C" w:rsidR="004177D8" w:rsidRPr="00352058" w:rsidRDefault="004177D8" w:rsidP="004177D8">
      <w:pPr>
        <w:rPr>
          <w:rFonts w:ascii="Arial" w:hAnsi="Arial" w:cs="Arial"/>
          <w:sz w:val="20"/>
          <w:szCs w:val="20"/>
        </w:rPr>
      </w:pPr>
      <w:r w:rsidRPr="00352058">
        <w:rPr>
          <w:rFonts w:ascii="Arial" w:hAnsi="Arial" w:cs="Arial"/>
          <w:sz w:val="20"/>
          <w:szCs w:val="20"/>
        </w:rPr>
        <w:t>This is primarily based on McLaren’s historically poor financial management performance and their uncertain outlook for 2023 and beyond. It is also influenced by the capital structure and makeup of their shareholder based which carries potential geopolitical risks.</w:t>
      </w:r>
    </w:p>
    <w:p w14:paraId="590CA9B3" w14:textId="77777777" w:rsidR="004177D8" w:rsidRPr="00352058" w:rsidRDefault="004177D8" w:rsidP="004177D8">
      <w:pPr>
        <w:rPr>
          <w:rFonts w:ascii="Arial" w:hAnsi="Arial" w:cs="Arial"/>
          <w:sz w:val="20"/>
          <w:szCs w:val="20"/>
        </w:rPr>
      </w:pPr>
      <w:r w:rsidRPr="00352058">
        <w:rPr>
          <w:rFonts w:ascii="Arial" w:hAnsi="Arial" w:cs="Arial"/>
          <w:sz w:val="20"/>
          <w:szCs w:val="20"/>
        </w:rPr>
        <w:t>Other factors taken into consideration include the significantly weakened links with the McLaren Racing Team that have up until now underpinned their credibility in the luxury supercar sector, the recent sale of the Applied division that has been the main technological driver in the business, and the sale and leaseback of the headquarters to raise cash for survival.</w:t>
      </w:r>
    </w:p>
    <w:p w14:paraId="55D72ABE" w14:textId="69723F6B" w:rsidR="004177D8" w:rsidRPr="00352058" w:rsidRDefault="004177D8" w:rsidP="004177D8">
      <w:pPr>
        <w:rPr>
          <w:rFonts w:ascii="Arial" w:hAnsi="Arial" w:cs="Arial"/>
          <w:sz w:val="20"/>
          <w:szCs w:val="20"/>
        </w:rPr>
      </w:pPr>
      <w:r w:rsidRPr="00352058">
        <w:rPr>
          <w:rFonts w:ascii="Arial" w:hAnsi="Arial" w:cs="Arial"/>
          <w:sz w:val="20"/>
          <w:szCs w:val="20"/>
        </w:rPr>
        <w:t xml:space="preserve">These measures are a good indication of past, present and future challenges experienced by the business. </w:t>
      </w:r>
    </w:p>
    <w:p w14:paraId="3A8F9862" w14:textId="77777777" w:rsidR="004177D8" w:rsidRPr="00352058" w:rsidRDefault="004177D8" w:rsidP="004177D8">
      <w:pPr>
        <w:rPr>
          <w:rFonts w:ascii="Arial" w:hAnsi="Arial" w:cs="Arial"/>
          <w:sz w:val="20"/>
          <w:szCs w:val="20"/>
        </w:rPr>
      </w:pPr>
      <w:r w:rsidRPr="00352058">
        <w:rPr>
          <w:rFonts w:ascii="Arial" w:hAnsi="Arial" w:cs="Arial"/>
          <w:sz w:val="20"/>
          <w:szCs w:val="20"/>
        </w:rPr>
        <w:t>McLaren have not yet recovered from the Covid 19 pandemic and ongoing difficulties in the supply chain are expected to limit sales growth and cause further financial difficulties going forward.</w:t>
      </w:r>
    </w:p>
    <w:p w14:paraId="417BA147" w14:textId="65B9FF2F" w:rsidR="00E0496D" w:rsidRPr="00352058" w:rsidRDefault="004177D8" w:rsidP="004177D8">
      <w:pPr>
        <w:pStyle w:val="NoSpacing"/>
        <w:rPr>
          <w:rFonts w:ascii="Arial" w:hAnsi="Arial" w:cs="Arial"/>
          <w:sz w:val="20"/>
          <w:szCs w:val="20"/>
        </w:rPr>
      </w:pPr>
      <w:r w:rsidRPr="00352058">
        <w:rPr>
          <w:rFonts w:ascii="Arial" w:hAnsi="Arial" w:cs="Arial"/>
          <w:sz w:val="20"/>
          <w:szCs w:val="20"/>
        </w:rPr>
        <w:t xml:space="preserve">The combination of these factors has been assessed to </w:t>
      </w:r>
      <w:r w:rsidR="00FB7AF1" w:rsidRPr="00352058">
        <w:rPr>
          <w:rFonts w:ascii="Arial" w:hAnsi="Arial" w:cs="Arial"/>
          <w:sz w:val="20"/>
          <w:szCs w:val="20"/>
        </w:rPr>
        <w:t>conclude</w:t>
      </w:r>
      <w:r w:rsidRPr="00352058">
        <w:rPr>
          <w:rFonts w:ascii="Arial" w:hAnsi="Arial" w:cs="Arial"/>
          <w:sz w:val="20"/>
          <w:szCs w:val="20"/>
        </w:rPr>
        <w:t xml:space="preserve"> that the business is </w:t>
      </w:r>
      <w:r w:rsidR="00FB7AF1">
        <w:rPr>
          <w:rFonts w:ascii="Arial" w:hAnsi="Arial" w:cs="Arial"/>
          <w:sz w:val="20"/>
          <w:szCs w:val="20"/>
        </w:rPr>
        <w:t xml:space="preserve">too </w:t>
      </w:r>
      <w:r w:rsidRPr="00352058">
        <w:rPr>
          <w:rFonts w:ascii="Arial" w:hAnsi="Arial" w:cs="Arial"/>
          <w:sz w:val="20"/>
          <w:szCs w:val="20"/>
        </w:rPr>
        <w:t>‘high risk</w:t>
      </w:r>
      <w:proofErr w:type="gramStart"/>
      <w:r w:rsidRPr="00352058">
        <w:rPr>
          <w:rFonts w:ascii="Arial" w:hAnsi="Arial" w:cs="Arial"/>
          <w:sz w:val="20"/>
          <w:szCs w:val="20"/>
        </w:rPr>
        <w:t>’</w:t>
      </w:r>
      <w:proofErr w:type="gramEnd"/>
      <w:r w:rsidRPr="00352058">
        <w:rPr>
          <w:rFonts w:ascii="Arial" w:hAnsi="Arial" w:cs="Arial"/>
          <w:sz w:val="20"/>
          <w:szCs w:val="20"/>
        </w:rPr>
        <w:t xml:space="preserve"> and it</w:t>
      </w:r>
      <w:r w:rsidR="00E32D0C" w:rsidRPr="00352058">
        <w:rPr>
          <w:rFonts w:ascii="Arial" w:hAnsi="Arial" w:cs="Arial"/>
          <w:sz w:val="20"/>
          <w:szCs w:val="20"/>
        </w:rPr>
        <w:t>s</w:t>
      </w:r>
      <w:r w:rsidRPr="00352058">
        <w:rPr>
          <w:rFonts w:ascii="Arial" w:hAnsi="Arial" w:cs="Arial"/>
          <w:sz w:val="20"/>
          <w:szCs w:val="20"/>
        </w:rPr>
        <w:t xml:space="preserve"> future survival is not assured, hence the recommendation not to proceed with McLaren and to seek an alternative partner.</w:t>
      </w:r>
    </w:p>
    <w:p w14:paraId="2D0EA57E" w14:textId="695C5E39" w:rsidR="006856FF" w:rsidRPr="00352058" w:rsidRDefault="006856FF" w:rsidP="00714A3F">
      <w:pPr>
        <w:rPr>
          <w:rStyle w:val="eop"/>
          <w:rFonts w:ascii="Arial" w:eastAsia="Times New Roman" w:hAnsi="Arial" w:cs="Arial"/>
          <w:sz w:val="20"/>
          <w:szCs w:val="20"/>
          <w:lang w:eastAsia="en-GB"/>
        </w:rPr>
      </w:pPr>
      <w:bookmarkStart w:id="8" w:name="_Appendices"/>
      <w:bookmarkEnd w:id="8"/>
      <w:r w:rsidRPr="00352058">
        <w:rPr>
          <w:rStyle w:val="eop"/>
          <w:rFonts w:ascii="Arial" w:eastAsia="Times New Roman" w:hAnsi="Arial" w:cs="Arial"/>
          <w:sz w:val="20"/>
          <w:szCs w:val="20"/>
          <w:lang w:eastAsia="en-GB"/>
        </w:rPr>
        <w:br w:type="page"/>
      </w:r>
    </w:p>
    <w:p w14:paraId="65E76F61" w14:textId="17DC55EF" w:rsidR="002943AE" w:rsidRPr="00BC4509" w:rsidRDefault="002943AE" w:rsidP="00714A3F">
      <w:pPr>
        <w:rPr>
          <w:rStyle w:val="eop"/>
          <w:rFonts w:ascii="Arial" w:eastAsia="Times New Roman" w:hAnsi="Arial" w:cs="Arial"/>
          <w:sz w:val="16"/>
          <w:szCs w:val="16"/>
          <w:lang w:eastAsia="en-GB"/>
        </w:rPr>
      </w:pPr>
    </w:p>
    <w:p w14:paraId="6B8099D3" w14:textId="6EB47468" w:rsidR="009E1C1A" w:rsidRPr="00BC4509" w:rsidRDefault="00EA7B04" w:rsidP="00BD380C">
      <w:pPr>
        <w:pStyle w:val="Heading1"/>
      </w:pPr>
      <w:bookmarkStart w:id="9" w:name="_Toc105350464"/>
      <w:r w:rsidRPr="00BC4509">
        <w:t>References</w:t>
      </w:r>
      <w:bookmarkEnd w:id="9"/>
    </w:p>
    <w:sdt>
      <w:sdtPr>
        <w:id w:val="111145805"/>
        <w:bibliography/>
      </w:sdtPr>
      <w:sdtEndPr>
        <w:rPr>
          <w:rFonts w:eastAsia="Times New Roman"/>
          <w:sz w:val="24"/>
          <w:szCs w:val="24"/>
          <w:lang w:eastAsia="en-GB"/>
        </w:rPr>
      </w:sdtEndPr>
      <w:sdtContent>
        <w:sdt>
          <w:sdtPr>
            <w:id w:val="-610659398"/>
            <w:docPartObj>
              <w:docPartGallery w:val="Bibliographies"/>
              <w:docPartUnique/>
            </w:docPartObj>
          </w:sdtPr>
          <w:sdtEndPr>
            <w:rPr>
              <w:rFonts w:asciiTheme="minorHAnsi" w:eastAsiaTheme="minorHAnsi" w:hAnsiTheme="minorHAnsi" w:cstheme="minorBidi"/>
              <w:sz w:val="22"/>
              <w:szCs w:val="22"/>
            </w:rPr>
          </w:sdtEndPr>
          <w:sdtContent>
            <w:p w14:paraId="4F593AB9" w14:textId="6137C997" w:rsidR="00C72874" w:rsidRDefault="00C72874">
              <w:pPr>
                <w:pStyle w:val="Heading1"/>
              </w:pPr>
            </w:p>
            <w:sdt>
              <w:sdtPr>
                <w:id w:val="-573587230"/>
                <w:bibliography/>
              </w:sdtPr>
              <w:sdtContent>
                <w:p w14:paraId="2CAEA7DA" w14:textId="77777777" w:rsidR="003A26CB" w:rsidRDefault="00C72874" w:rsidP="003A26CB">
                  <w:pPr>
                    <w:pStyle w:val="Bibliography"/>
                    <w:rPr>
                      <w:noProof/>
                      <w:sz w:val="24"/>
                      <w:szCs w:val="24"/>
                    </w:rPr>
                  </w:pPr>
                  <w:r>
                    <w:fldChar w:fldCharType="begin"/>
                  </w:r>
                  <w:r>
                    <w:instrText xml:space="preserve"> BIBLIOGRAPHY </w:instrText>
                  </w:r>
                  <w:r>
                    <w:fldChar w:fldCharType="separate"/>
                  </w:r>
                  <w:r w:rsidR="003A26CB">
                    <w:rPr>
                      <w:noProof/>
                    </w:rPr>
                    <w:t xml:space="preserve">Alaniz, A., 2022. </w:t>
                  </w:r>
                  <w:r w:rsidR="003A26CB">
                    <w:rPr>
                      <w:i/>
                      <w:iCs/>
                      <w:noProof/>
                    </w:rPr>
                    <w:t xml:space="preserve">Motor1. </w:t>
                  </w:r>
                  <w:r w:rsidR="003A26CB">
                    <w:rPr>
                      <w:noProof/>
                    </w:rPr>
                    <w:t xml:space="preserve">[Online] </w:t>
                  </w:r>
                  <w:r w:rsidR="003A26CB">
                    <w:rPr>
                      <w:noProof/>
                    </w:rPr>
                    <w:br/>
                    <w:t xml:space="preserve">Available at: </w:t>
                  </w:r>
                  <w:r w:rsidR="003A26CB">
                    <w:rPr>
                      <w:noProof/>
                      <w:u w:val="single"/>
                    </w:rPr>
                    <w:t>https://uk.motor1.com/news/582516/new-mclaren-ceo-named-leiters/</w:t>
                  </w:r>
                  <w:r w:rsidR="003A26CB">
                    <w:rPr>
                      <w:noProof/>
                    </w:rPr>
                    <w:br/>
                    <w:t>[Accessed 4 June 2022].</w:t>
                  </w:r>
                </w:p>
                <w:p w14:paraId="436A130A" w14:textId="77777777" w:rsidR="003A26CB" w:rsidRDefault="003A26CB" w:rsidP="003A26CB">
                  <w:pPr>
                    <w:pStyle w:val="Bibliography"/>
                    <w:rPr>
                      <w:noProof/>
                    </w:rPr>
                  </w:pPr>
                  <w:r>
                    <w:rPr>
                      <w:noProof/>
                    </w:rPr>
                    <w:t xml:space="preserve">Alvarez, F. &amp; Fridson, M., 2002. </w:t>
                  </w:r>
                  <w:r>
                    <w:rPr>
                      <w:i/>
                      <w:iCs/>
                      <w:noProof/>
                    </w:rPr>
                    <w:t xml:space="preserve">Financial Statement Analysis: A Practitioner's Guide. </w:t>
                  </w:r>
                  <w:r>
                    <w:rPr>
                      <w:noProof/>
                    </w:rPr>
                    <w:t>3rd ed. Hoboken, New Jersey: Wiley.</w:t>
                  </w:r>
                </w:p>
                <w:p w14:paraId="57692CFD" w14:textId="77777777" w:rsidR="003A26CB" w:rsidRDefault="003A26CB" w:rsidP="003A26CB">
                  <w:pPr>
                    <w:pStyle w:val="Bibliography"/>
                    <w:rPr>
                      <w:noProof/>
                    </w:rPr>
                  </w:pPr>
                  <w:r>
                    <w:rPr>
                      <w:noProof/>
                    </w:rPr>
                    <w:t xml:space="preserve">Atrill, P., 2014. </w:t>
                  </w:r>
                  <w:r>
                    <w:rPr>
                      <w:i/>
                      <w:iCs/>
                      <w:noProof/>
                    </w:rPr>
                    <w:t xml:space="preserve">Financial Management for Decision Makers. </w:t>
                  </w:r>
                  <w:r>
                    <w:rPr>
                      <w:noProof/>
                    </w:rPr>
                    <w:t>7th ed. London: Pearson.</w:t>
                  </w:r>
                </w:p>
                <w:p w14:paraId="78EFD540" w14:textId="77777777" w:rsidR="003A26CB" w:rsidRDefault="003A26CB" w:rsidP="003A26CB">
                  <w:pPr>
                    <w:pStyle w:val="Bibliography"/>
                    <w:rPr>
                      <w:noProof/>
                    </w:rPr>
                  </w:pPr>
                  <w:r>
                    <w:rPr>
                      <w:noProof/>
                    </w:rPr>
                    <w:t xml:space="preserve">Fields, E., 2003. </w:t>
                  </w:r>
                  <w:r>
                    <w:rPr>
                      <w:i/>
                      <w:iCs/>
                      <w:noProof/>
                    </w:rPr>
                    <w:t xml:space="preserve">The Essentials of Finance and Accounting for Nonfinancial Managers. </w:t>
                  </w:r>
                  <w:r>
                    <w:rPr>
                      <w:noProof/>
                    </w:rPr>
                    <w:t>2nd ed. New York, New York: American Management Association.</w:t>
                  </w:r>
                </w:p>
                <w:p w14:paraId="23D4F54F" w14:textId="77777777" w:rsidR="003A26CB" w:rsidRDefault="003A26CB" w:rsidP="003A26CB">
                  <w:pPr>
                    <w:pStyle w:val="Bibliography"/>
                    <w:rPr>
                      <w:noProof/>
                    </w:rPr>
                  </w:pPr>
                  <w:r>
                    <w:rPr>
                      <w:noProof/>
                    </w:rPr>
                    <w:t xml:space="preserve">McLaren Holdings Limited, 2021. </w:t>
                  </w:r>
                  <w:r>
                    <w:rPr>
                      <w:i/>
                      <w:iCs/>
                      <w:noProof/>
                    </w:rPr>
                    <w:t xml:space="preserve">Annual report and consolidated financial statements 2021. </w:t>
                  </w:r>
                  <w:r>
                    <w:rPr>
                      <w:noProof/>
                    </w:rPr>
                    <w:t xml:space="preserve">[Online] </w:t>
                  </w:r>
                  <w:r>
                    <w:rPr>
                      <w:noProof/>
                    </w:rPr>
                    <w:br/>
                    <w:t xml:space="preserve">Available at: </w:t>
                  </w:r>
                  <w:r>
                    <w:rPr>
                      <w:noProof/>
                      <w:u w:val="single"/>
                    </w:rPr>
                    <w:t>https://investors.mclaren.com/sites/mclaren-ir/files/report-document/mclaren-holdings-limited-consolidated-financial-statements-2021-final-signed.pdf</w:t>
                  </w:r>
                  <w:r>
                    <w:rPr>
                      <w:noProof/>
                    </w:rPr>
                    <w:br/>
                    <w:t>[Accessed 4 June 2022].</w:t>
                  </w:r>
                </w:p>
                <w:p w14:paraId="2D2E9B62" w14:textId="64B9C8A1" w:rsidR="00C72874" w:rsidRDefault="00C72874" w:rsidP="003A26CB">
                  <w:r>
                    <w:rPr>
                      <w:b/>
                      <w:bCs/>
                      <w:noProof/>
                    </w:rPr>
                    <w:fldChar w:fldCharType="end"/>
                  </w:r>
                </w:p>
              </w:sdtContent>
            </w:sdt>
          </w:sdtContent>
        </w:sdt>
        <w:p w14:paraId="6B266A29" w14:textId="77777777" w:rsidR="00624C54" w:rsidRDefault="000E4F5A" w:rsidP="00624C54">
          <w:pPr>
            <w:pStyle w:val="paragraph"/>
            <w:spacing w:before="0" w:beforeAutospacing="0" w:after="0" w:afterAutospacing="0"/>
            <w:textAlignment w:val="baseline"/>
            <w:rPr>
              <w:rFonts w:ascii="Arial" w:hAnsi="Arial" w:cs="Arial"/>
            </w:rPr>
          </w:pPr>
        </w:p>
      </w:sdtContent>
    </w:sdt>
    <w:p w14:paraId="75E90C24" w14:textId="2CDCE5E1" w:rsidR="00624C54" w:rsidRPr="00624C54" w:rsidRDefault="00624C54" w:rsidP="00915D6D">
      <w:pPr>
        <w:pStyle w:val="paragraph"/>
        <w:spacing w:before="0" w:beforeAutospacing="0" w:after="0" w:afterAutospacing="0"/>
        <w:textAlignment w:val="baseline"/>
        <w:rPr>
          <w:rFonts w:ascii="Arial" w:hAnsi="Arial" w:cs="Arial"/>
          <w:sz w:val="20"/>
          <w:szCs w:val="20"/>
          <w:lang w:val="en-US"/>
        </w:rPr>
      </w:pPr>
      <w:r w:rsidRPr="00624C54">
        <w:rPr>
          <w:rStyle w:val="normaltextrun"/>
          <w:rFonts w:ascii="Arial" w:hAnsi="Arial"/>
          <w:b/>
          <w:bCs/>
          <w:color w:val="000000"/>
          <w:position w:val="2"/>
        </w:rPr>
        <w:t xml:space="preserve"> </w:t>
      </w:r>
    </w:p>
    <w:p w14:paraId="7F3CC056" w14:textId="77777777" w:rsidR="003A26CB" w:rsidRDefault="003A26CB">
      <w:pPr>
        <w:rPr>
          <w:rFonts w:ascii="Arial" w:eastAsiaTheme="majorEastAsia" w:hAnsi="Arial" w:cs="Arial"/>
          <w:sz w:val="32"/>
          <w:szCs w:val="32"/>
        </w:rPr>
      </w:pPr>
      <w:r>
        <w:br w:type="page"/>
      </w:r>
    </w:p>
    <w:p w14:paraId="6DC7CDD7" w14:textId="1F6EF86A" w:rsidR="003A26CB" w:rsidRDefault="003A26CB" w:rsidP="003A26CB">
      <w:pPr>
        <w:pStyle w:val="Heading1"/>
      </w:pPr>
      <w:bookmarkStart w:id="10" w:name="_Toc105350465"/>
      <w:r w:rsidRPr="00BC4509">
        <w:lastRenderedPageBreak/>
        <w:t>Appendices</w:t>
      </w:r>
      <w:bookmarkEnd w:id="10"/>
    </w:p>
    <w:p w14:paraId="253098CF" w14:textId="77777777" w:rsidR="003A26CB" w:rsidRDefault="003A26CB" w:rsidP="003A26CB">
      <w:pPr>
        <w:pStyle w:val="paragraph"/>
        <w:spacing w:before="0" w:beforeAutospacing="0" w:after="0" w:afterAutospacing="0"/>
        <w:textAlignment w:val="baseline"/>
        <w:rPr>
          <w:rStyle w:val="normaltextrun"/>
          <w:rFonts w:ascii="Arial" w:hAnsi="Arial"/>
          <w:color w:val="000000"/>
          <w:position w:val="2"/>
          <w:sz w:val="43"/>
          <w:szCs w:val="43"/>
        </w:rPr>
      </w:pPr>
    </w:p>
    <w:p w14:paraId="25BB889C" w14:textId="6C94D14E" w:rsidR="003A26CB" w:rsidRPr="00CA4ACD" w:rsidRDefault="003A26CB" w:rsidP="00CA4ACD">
      <w:pPr>
        <w:pStyle w:val="Heading2"/>
        <w:rPr>
          <w:rFonts w:ascii="Segoe UI" w:hAnsi="Segoe UI" w:cs="Segoe UI"/>
          <w:sz w:val="18"/>
          <w:szCs w:val="18"/>
          <w:lang w:val="en-US"/>
        </w:rPr>
      </w:pPr>
      <w:bookmarkStart w:id="11" w:name="_Toc105350466"/>
      <w:r>
        <w:rPr>
          <w:rStyle w:val="normaltextrun"/>
          <w:color w:val="000000"/>
          <w:position w:val="2"/>
          <w:sz w:val="43"/>
          <w:szCs w:val="43"/>
        </w:rPr>
        <w:t xml:space="preserve">Ratio </w:t>
      </w:r>
      <w:r>
        <w:rPr>
          <w:rStyle w:val="normaltextrun"/>
          <w:color w:val="000000"/>
          <w:position w:val="2"/>
          <w:sz w:val="43"/>
          <w:szCs w:val="43"/>
        </w:rPr>
        <w:t>C</w:t>
      </w:r>
      <w:r>
        <w:rPr>
          <w:rStyle w:val="normaltextrun"/>
          <w:color w:val="000000"/>
          <w:position w:val="2"/>
          <w:sz w:val="43"/>
          <w:szCs w:val="43"/>
        </w:rPr>
        <w:t>alculations </w:t>
      </w:r>
      <w:r>
        <w:rPr>
          <w:rStyle w:val="eop"/>
          <w:sz w:val="43"/>
          <w:szCs w:val="43"/>
          <w:lang w:val="en-US"/>
        </w:rPr>
        <w:t>​</w:t>
      </w:r>
      <w:bookmarkEnd w:id="11"/>
    </w:p>
    <w:p w14:paraId="5E6C883C" w14:textId="77777777" w:rsidR="003A26CB" w:rsidRPr="00624C54" w:rsidRDefault="003A26CB" w:rsidP="003A26CB"/>
    <w:p w14:paraId="04B33E97" w14:textId="77777777" w:rsidR="003A26CB" w:rsidRPr="00BC4509" w:rsidRDefault="003A26CB" w:rsidP="003A26CB">
      <w:pPr>
        <w:pStyle w:val="NoSpacing"/>
        <w:rPr>
          <w:rFonts w:ascii="Arial" w:hAnsi="Arial" w:cs="Arial"/>
        </w:rPr>
      </w:pPr>
    </w:p>
    <w:p w14:paraId="6B74E3B2" w14:textId="77777777" w:rsidR="003A26CB" w:rsidRPr="00BC4509" w:rsidRDefault="003A26CB" w:rsidP="003A26CB">
      <w:pPr>
        <w:pStyle w:val="NoSpacing"/>
        <w:ind w:left="-993"/>
        <w:rPr>
          <w:rFonts w:ascii="Arial" w:hAnsi="Arial" w:cs="Arial"/>
        </w:rPr>
      </w:pPr>
      <w:r>
        <w:rPr>
          <w:rFonts w:ascii="Arial" w:hAnsi="Arial" w:cs="Arial"/>
        </w:rPr>
        <w:object w:dxaOrig="25268" w:dyaOrig="17414" w14:anchorId="67BA36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564.65pt;height:388.35pt" o:ole="">
            <v:imagedata r:id="rId8" o:title=""/>
          </v:shape>
          <o:OLEObject Type="Embed" ProgID="Excel.Sheet.12" ShapeID="_x0000_i1057" DrawAspect="Content" ObjectID="_1715963305" r:id="rId9"/>
        </w:object>
      </w:r>
    </w:p>
    <w:p w14:paraId="5F92F033" w14:textId="0883A928" w:rsidR="00924D85" w:rsidRPr="00624C54" w:rsidRDefault="00924D85" w:rsidP="00624C54">
      <w:pPr>
        <w:rPr>
          <w:sz w:val="12"/>
          <w:szCs w:val="12"/>
        </w:rPr>
      </w:pPr>
    </w:p>
    <w:sectPr w:rsidR="00924D85" w:rsidRPr="00624C54" w:rsidSect="007D3F9D">
      <w:footerReference w:type="default" r:id="rId10"/>
      <w:pgSz w:w="11906" w:h="16838"/>
      <w:pgMar w:top="709"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4176D" w14:textId="77777777" w:rsidR="000E4F5A" w:rsidRDefault="000E4F5A" w:rsidP="00BE2CDC">
      <w:pPr>
        <w:spacing w:after="0" w:line="240" w:lineRule="auto"/>
      </w:pPr>
      <w:r>
        <w:separator/>
      </w:r>
    </w:p>
  </w:endnote>
  <w:endnote w:type="continuationSeparator" w:id="0">
    <w:p w14:paraId="3562C0B0" w14:textId="77777777" w:rsidR="000E4F5A" w:rsidRDefault="000E4F5A" w:rsidP="00BE2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A84BF" w14:textId="6A4A8A91" w:rsidR="000C1288" w:rsidRDefault="000C1288">
    <w:pPr>
      <w:pStyle w:val="Footer"/>
    </w:pPr>
    <w:r>
      <w:t xml:space="preserve">Page </w:t>
    </w:r>
    <w:sdt>
      <w:sdtPr>
        <w:id w:val="29679896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86D85" w14:textId="77777777" w:rsidR="000E4F5A" w:rsidRDefault="000E4F5A" w:rsidP="00BE2CDC">
      <w:pPr>
        <w:spacing w:after="0" w:line="240" w:lineRule="auto"/>
      </w:pPr>
      <w:r>
        <w:separator/>
      </w:r>
    </w:p>
  </w:footnote>
  <w:footnote w:type="continuationSeparator" w:id="0">
    <w:p w14:paraId="39B36BC9" w14:textId="77777777" w:rsidR="000E4F5A" w:rsidRDefault="000E4F5A" w:rsidP="00BE2C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D40FE"/>
    <w:multiLevelType w:val="hybridMultilevel"/>
    <w:tmpl w:val="1EB44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B069AB"/>
    <w:multiLevelType w:val="multilevel"/>
    <w:tmpl w:val="0FEC275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31177DB5"/>
    <w:multiLevelType w:val="hybridMultilevel"/>
    <w:tmpl w:val="AF62C2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401325"/>
    <w:multiLevelType w:val="hybridMultilevel"/>
    <w:tmpl w:val="5E288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41131A"/>
    <w:multiLevelType w:val="multilevel"/>
    <w:tmpl w:val="F7EA8D3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360F2D"/>
    <w:multiLevelType w:val="hybridMultilevel"/>
    <w:tmpl w:val="C57CD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785251"/>
    <w:multiLevelType w:val="hybridMultilevel"/>
    <w:tmpl w:val="50F2D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733B20"/>
    <w:multiLevelType w:val="hybridMultilevel"/>
    <w:tmpl w:val="ECD43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465915"/>
    <w:multiLevelType w:val="multilevel"/>
    <w:tmpl w:val="9D06817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9" w15:restartNumberingAfterBreak="0">
    <w:nsid w:val="528579A0"/>
    <w:multiLevelType w:val="hybridMultilevel"/>
    <w:tmpl w:val="A05C7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A01953"/>
    <w:multiLevelType w:val="multilevel"/>
    <w:tmpl w:val="762E4E1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BBD1EF1"/>
    <w:multiLevelType w:val="hybridMultilevel"/>
    <w:tmpl w:val="854C5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7B1DD7"/>
    <w:multiLevelType w:val="hybridMultilevel"/>
    <w:tmpl w:val="F7DC5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802C28"/>
    <w:multiLevelType w:val="multilevel"/>
    <w:tmpl w:val="698ECE9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6C77405"/>
    <w:multiLevelType w:val="hybridMultilevel"/>
    <w:tmpl w:val="5FD4A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EF7D5A"/>
    <w:multiLevelType w:val="multilevel"/>
    <w:tmpl w:val="8F9A6CF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B5D02AD"/>
    <w:multiLevelType w:val="hybridMultilevel"/>
    <w:tmpl w:val="E0CCA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347AD0"/>
    <w:multiLevelType w:val="hybridMultilevel"/>
    <w:tmpl w:val="9F667A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749035520">
    <w:abstractNumId w:val="3"/>
  </w:num>
  <w:num w:numId="2" w16cid:durableId="1211071514">
    <w:abstractNumId w:val="9"/>
  </w:num>
  <w:num w:numId="3" w16cid:durableId="1941985835">
    <w:abstractNumId w:val="16"/>
  </w:num>
  <w:num w:numId="4" w16cid:durableId="193007294">
    <w:abstractNumId w:val="7"/>
  </w:num>
  <w:num w:numId="5" w16cid:durableId="1139886464">
    <w:abstractNumId w:val="0"/>
  </w:num>
  <w:num w:numId="6" w16cid:durableId="1018657498">
    <w:abstractNumId w:val="6"/>
  </w:num>
  <w:num w:numId="7" w16cid:durableId="1683193582">
    <w:abstractNumId w:val="5"/>
  </w:num>
  <w:num w:numId="8" w16cid:durableId="1935744821">
    <w:abstractNumId w:val="12"/>
  </w:num>
  <w:num w:numId="9" w16cid:durableId="1565798056">
    <w:abstractNumId w:val="2"/>
  </w:num>
  <w:num w:numId="10" w16cid:durableId="170725566">
    <w:abstractNumId w:val="17"/>
  </w:num>
  <w:num w:numId="11" w16cid:durableId="1365059165">
    <w:abstractNumId w:val="14"/>
  </w:num>
  <w:num w:numId="12" w16cid:durableId="845440459">
    <w:abstractNumId w:val="11"/>
  </w:num>
  <w:num w:numId="13" w16cid:durableId="575241075">
    <w:abstractNumId w:val="15"/>
  </w:num>
  <w:num w:numId="14" w16cid:durableId="1143816818">
    <w:abstractNumId w:val="10"/>
  </w:num>
  <w:num w:numId="15" w16cid:durableId="1108353677">
    <w:abstractNumId w:val="8"/>
  </w:num>
  <w:num w:numId="16" w16cid:durableId="1155293203">
    <w:abstractNumId w:val="13"/>
  </w:num>
  <w:num w:numId="17" w16cid:durableId="2141027042">
    <w:abstractNumId w:val="4"/>
  </w:num>
  <w:num w:numId="18" w16cid:durableId="17299598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1A1"/>
    <w:rsid w:val="00001CB7"/>
    <w:rsid w:val="00024DA0"/>
    <w:rsid w:val="000323CD"/>
    <w:rsid w:val="00035789"/>
    <w:rsid w:val="0003782E"/>
    <w:rsid w:val="00053458"/>
    <w:rsid w:val="000711A1"/>
    <w:rsid w:val="00073C11"/>
    <w:rsid w:val="000770B5"/>
    <w:rsid w:val="000A0686"/>
    <w:rsid w:val="000B12D0"/>
    <w:rsid w:val="000C1288"/>
    <w:rsid w:val="000E4F5A"/>
    <w:rsid w:val="000F00C0"/>
    <w:rsid w:val="000F04D8"/>
    <w:rsid w:val="000F18E5"/>
    <w:rsid w:val="000F2121"/>
    <w:rsid w:val="00113404"/>
    <w:rsid w:val="00115A8D"/>
    <w:rsid w:val="00123DB4"/>
    <w:rsid w:val="00126886"/>
    <w:rsid w:val="00164E8B"/>
    <w:rsid w:val="00167463"/>
    <w:rsid w:val="001859AF"/>
    <w:rsid w:val="00191FA7"/>
    <w:rsid w:val="001A75C6"/>
    <w:rsid w:val="001B5044"/>
    <w:rsid w:val="001B7B32"/>
    <w:rsid w:val="001C433A"/>
    <w:rsid w:val="001C57BD"/>
    <w:rsid w:val="00200589"/>
    <w:rsid w:val="00204059"/>
    <w:rsid w:val="002138E4"/>
    <w:rsid w:val="00215DF8"/>
    <w:rsid w:val="00225DC6"/>
    <w:rsid w:val="00227052"/>
    <w:rsid w:val="00261838"/>
    <w:rsid w:val="002636A6"/>
    <w:rsid w:val="00285ACF"/>
    <w:rsid w:val="002941F7"/>
    <w:rsid w:val="002943AE"/>
    <w:rsid w:val="00294C20"/>
    <w:rsid w:val="002A6DE0"/>
    <w:rsid w:val="002B2C0A"/>
    <w:rsid w:val="002B6CD2"/>
    <w:rsid w:val="002C2405"/>
    <w:rsid w:val="002C2FAF"/>
    <w:rsid w:val="002C551F"/>
    <w:rsid w:val="002D66CA"/>
    <w:rsid w:val="002E577C"/>
    <w:rsid w:val="002E6E47"/>
    <w:rsid w:val="002F50EC"/>
    <w:rsid w:val="00306FE3"/>
    <w:rsid w:val="00315537"/>
    <w:rsid w:val="00330601"/>
    <w:rsid w:val="003334EF"/>
    <w:rsid w:val="00335896"/>
    <w:rsid w:val="003400E7"/>
    <w:rsid w:val="00352058"/>
    <w:rsid w:val="00352073"/>
    <w:rsid w:val="003544F5"/>
    <w:rsid w:val="003566DA"/>
    <w:rsid w:val="00376193"/>
    <w:rsid w:val="00380C94"/>
    <w:rsid w:val="00386F5B"/>
    <w:rsid w:val="003A26CB"/>
    <w:rsid w:val="003D78BA"/>
    <w:rsid w:val="0041121F"/>
    <w:rsid w:val="0041243E"/>
    <w:rsid w:val="004177D8"/>
    <w:rsid w:val="004200FC"/>
    <w:rsid w:val="00425B96"/>
    <w:rsid w:val="004260DF"/>
    <w:rsid w:val="004420C8"/>
    <w:rsid w:val="00453E67"/>
    <w:rsid w:val="00457758"/>
    <w:rsid w:val="004740EF"/>
    <w:rsid w:val="0048122E"/>
    <w:rsid w:val="00481513"/>
    <w:rsid w:val="00482EA3"/>
    <w:rsid w:val="00484573"/>
    <w:rsid w:val="00486DFA"/>
    <w:rsid w:val="004A0DB7"/>
    <w:rsid w:val="004A2AB1"/>
    <w:rsid w:val="004A675C"/>
    <w:rsid w:val="004B3FA3"/>
    <w:rsid w:val="004B7353"/>
    <w:rsid w:val="004D40DC"/>
    <w:rsid w:val="00514EA9"/>
    <w:rsid w:val="00516371"/>
    <w:rsid w:val="005173C2"/>
    <w:rsid w:val="0052296D"/>
    <w:rsid w:val="005238F3"/>
    <w:rsid w:val="00523DF1"/>
    <w:rsid w:val="00533296"/>
    <w:rsid w:val="00562E57"/>
    <w:rsid w:val="00573620"/>
    <w:rsid w:val="00582128"/>
    <w:rsid w:val="00584845"/>
    <w:rsid w:val="005A183A"/>
    <w:rsid w:val="005A3E6F"/>
    <w:rsid w:val="005A42C6"/>
    <w:rsid w:val="005A7458"/>
    <w:rsid w:val="005C42C7"/>
    <w:rsid w:val="005E06AD"/>
    <w:rsid w:val="005E3C74"/>
    <w:rsid w:val="00601832"/>
    <w:rsid w:val="00605C36"/>
    <w:rsid w:val="00610169"/>
    <w:rsid w:val="00622A85"/>
    <w:rsid w:val="00624C54"/>
    <w:rsid w:val="006273AC"/>
    <w:rsid w:val="00640972"/>
    <w:rsid w:val="00643355"/>
    <w:rsid w:val="00655C9E"/>
    <w:rsid w:val="00657C6E"/>
    <w:rsid w:val="00666A8D"/>
    <w:rsid w:val="0067785B"/>
    <w:rsid w:val="006856FF"/>
    <w:rsid w:val="00694825"/>
    <w:rsid w:val="00696A50"/>
    <w:rsid w:val="00697ED4"/>
    <w:rsid w:val="006B0134"/>
    <w:rsid w:val="006B68B2"/>
    <w:rsid w:val="006C23AB"/>
    <w:rsid w:val="006D28C9"/>
    <w:rsid w:val="006D2E57"/>
    <w:rsid w:val="006E4BD5"/>
    <w:rsid w:val="006F0B3F"/>
    <w:rsid w:val="007008FA"/>
    <w:rsid w:val="00702437"/>
    <w:rsid w:val="00702963"/>
    <w:rsid w:val="00714A3F"/>
    <w:rsid w:val="007358F3"/>
    <w:rsid w:val="00747820"/>
    <w:rsid w:val="00752E35"/>
    <w:rsid w:val="00757791"/>
    <w:rsid w:val="00763B7B"/>
    <w:rsid w:val="0077128C"/>
    <w:rsid w:val="00775091"/>
    <w:rsid w:val="00780EAA"/>
    <w:rsid w:val="00780FB6"/>
    <w:rsid w:val="007905EC"/>
    <w:rsid w:val="00793952"/>
    <w:rsid w:val="007A6488"/>
    <w:rsid w:val="007B3030"/>
    <w:rsid w:val="007C37CB"/>
    <w:rsid w:val="007D3F9D"/>
    <w:rsid w:val="007D3FEF"/>
    <w:rsid w:val="007E0D75"/>
    <w:rsid w:val="007E39ED"/>
    <w:rsid w:val="007F6241"/>
    <w:rsid w:val="00802329"/>
    <w:rsid w:val="008100EA"/>
    <w:rsid w:val="0081211C"/>
    <w:rsid w:val="00814A96"/>
    <w:rsid w:val="00824E58"/>
    <w:rsid w:val="00836CAB"/>
    <w:rsid w:val="008439D8"/>
    <w:rsid w:val="008454DB"/>
    <w:rsid w:val="008532EE"/>
    <w:rsid w:val="008720B6"/>
    <w:rsid w:val="008779AA"/>
    <w:rsid w:val="008809FC"/>
    <w:rsid w:val="0088308E"/>
    <w:rsid w:val="0088798B"/>
    <w:rsid w:val="008A1933"/>
    <w:rsid w:val="008A557F"/>
    <w:rsid w:val="008B1A4E"/>
    <w:rsid w:val="008C5659"/>
    <w:rsid w:val="008D002C"/>
    <w:rsid w:val="008D17AF"/>
    <w:rsid w:val="008D1D1A"/>
    <w:rsid w:val="008D37C4"/>
    <w:rsid w:val="008E388D"/>
    <w:rsid w:val="008E6E22"/>
    <w:rsid w:val="008F11A0"/>
    <w:rsid w:val="008F328D"/>
    <w:rsid w:val="008F3B9E"/>
    <w:rsid w:val="00910D61"/>
    <w:rsid w:val="00911A36"/>
    <w:rsid w:val="00915D6D"/>
    <w:rsid w:val="00924D85"/>
    <w:rsid w:val="009328F9"/>
    <w:rsid w:val="00947747"/>
    <w:rsid w:val="00963C62"/>
    <w:rsid w:val="00977910"/>
    <w:rsid w:val="0098308E"/>
    <w:rsid w:val="009915A5"/>
    <w:rsid w:val="009932A8"/>
    <w:rsid w:val="00995042"/>
    <w:rsid w:val="00996503"/>
    <w:rsid w:val="009979D0"/>
    <w:rsid w:val="009A2BFF"/>
    <w:rsid w:val="009A4CBF"/>
    <w:rsid w:val="009B1143"/>
    <w:rsid w:val="009B694F"/>
    <w:rsid w:val="009C6169"/>
    <w:rsid w:val="009D71A9"/>
    <w:rsid w:val="009E1C1A"/>
    <w:rsid w:val="009E6152"/>
    <w:rsid w:val="009E68EB"/>
    <w:rsid w:val="009F7CA4"/>
    <w:rsid w:val="00A05D5B"/>
    <w:rsid w:val="00A1433C"/>
    <w:rsid w:val="00A154F3"/>
    <w:rsid w:val="00A30878"/>
    <w:rsid w:val="00A30F5A"/>
    <w:rsid w:val="00A32AD4"/>
    <w:rsid w:val="00A51906"/>
    <w:rsid w:val="00A72031"/>
    <w:rsid w:val="00A72CBA"/>
    <w:rsid w:val="00A90424"/>
    <w:rsid w:val="00AA13EF"/>
    <w:rsid w:val="00AB14AC"/>
    <w:rsid w:val="00AD1DEE"/>
    <w:rsid w:val="00AD4095"/>
    <w:rsid w:val="00AE7086"/>
    <w:rsid w:val="00AF1A1F"/>
    <w:rsid w:val="00B000B0"/>
    <w:rsid w:val="00B047D2"/>
    <w:rsid w:val="00B25E53"/>
    <w:rsid w:val="00B412C5"/>
    <w:rsid w:val="00B41D8D"/>
    <w:rsid w:val="00B6184E"/>
    <w:rsid w:val="00B62ACF"/>
    <w:rsid w:val="00B62E83"/>
    <w:rsid w:val="00B6678B"/>
    <w:rsid w:val="00B6786B"/>
    <w:rsid w:val="00B81041"/>
    <w:rsid w:val="00B90352"/>
    <w:rsid w:val="00B970FE"/>
    <w:rsid w:val="00BC2B2F"/>
    <w:rsid w:val="00BC4509"/>
    <w:rsid w:val="00BC66F6"/>
    <w:rsid w:val="00BD380C"/>
    <w:rsid w:val="00BE2CDC"/>
    <w:rsid w:val="00BF2AD6"/>
    <w:rsid w:val="00C05F57"/>
    <w:rsid w:val="00C05FF1"/>
    <w:rsid w:val="00C1648E"/>
    <w:rsid w:val="00C226F5"/>
    <w:rsid w:val="00C24688"/>
    <w:rsid w:val="00C30F3E"/>
    <w:rsid w:val="00C36AD7"/>
    <w:rsid w:val="00C424D6"/>
    <w:rsid w:val="00C50201"/>
    <w:rsid w:val="00C51237"/>
    <w:rsid w:val="00C527F9"/>
    <w:rsid w:val="00C65BB6"/>
    <w:rsid w:val="00C72874"/>
    <w:rsid w:val="00C802A5"/>
    <w:rsid w:val="00C83B85"/>
    <w:rsid w:val="00C8489F"/>
    <w:rsid w:val="00C86B11"/>
    <w:rsid w:val="00C91617"/>
    <w:rsid w:val="00C93844"/>
    <w:rsid w:val="00CA0BDA"/>
    <w:rsid w:val="00CA4ACD"/>
    <w:rsid w:val="00CC0734"/>
    <w:rsid w:val="00CC56A9"/>
    <w:rsid w:val="00CD3231"/>
    <w:rsid w:val="00CD59DF"/>
    <w:rsid w:val="00CE0D92"/>
    <w:rsid w:val="00CF2B1C"/>
    <w:rsid w:val="00D1029A"/>
    <w:rsid w:val="00D12D3A"/>
    <w:rsid w:val="00D14102"/>
    <w:rsid w:val="00D15EA4"/>
    <w:rsid w:val="00D21C04"/>
    <w:rsid w:val="00D25F2A"/>
    <w:rsid w:val="00D26A36"/>
    <w:rsid w:val="00D30DC6"/>
    <w:rsid w:val="00D50D9E"/>
    <w:rsid w:val="00D5402A"/>
    <w:rsid w:val="00D54FAC"/>
    <w:rsid w:val="00D80599"/>
    <w:rsid w:val="00D95C8B"/>
    <w:rsid w:val="00D9653F"/>
    <w:rsid w:val="00DA1411"/>
    <w:rsid w:val="00DB67DE"/>
    <w:rsid w:val="00DF46AC"/>
    <w:rsid w:val="00E001F5"/>
    <w:rsid w:val="00E008D9"/>
    <w:rsid w:val="00E015F3"/>
    <w:rsid w:val="00E0496D"/>
    <w:rsid w:val="00E13A1B"/>
    <w:rsid w:val="00E14407"/>
    <w:rsid w:val="00E21E1F"/>
    <w:rsid w:val="00E32D0C"/>
    <w:rsid w:val="00E403E4"/>
    <w:rsid w:val="00E40A67"/>
    <w:rsid w:val="00E42623"/>
    <w:rsid w:val="00E43DD1"/>
    <w:rsid w:val="00E56913"/>
    <w:rsid w:val="00E6695D"/>
    <w:rsid w:val="00E90B63"/>
    <w:rsid w:val="00E96D51"/>
    <w:rsid w:val="00EA02C9"/>
    <w:rsid w:val="00EA3876"/>
    <w:rsid w:val="00EA595C"/>
    <w:rsid w:val="00EA7B04"/>
    <w:rsid w:val="00EC44C3"/>
    <w:rsid w:val="00EC6DAD"/>
    <w:rsid w:val="00ED386D"/>
    <w:rsid w:val="00EE5BE2"/>
    <w:rsid w:val="00EF12A7"/>
    <w:rsid w:val="00EF29E1"/>
    <w:rsid w:val="00EF5E2D"/>
    <w:rsid w:val="00F24183"/>
    <w:rsid w:val="00F32737"/>
    <w:rsid w:val="00F33BFE"/>
    <w:rsid w:val="00F52592"/>
    <w:rsid w:val="00F56BBC"/>
    <w:rsid w:val="00F67FEB"/>
    <w:rsid w:val="00F7669C"/>
    <w:rsid w:val="00F77557"/>
    <w:rsid w:val="00F816D8"/>
    <w:rsid w:val="00F93461"/>
    <w:rsid w:val="00F94407"/>
    <w:rsid w:val="00F9517A"/>
    <w:rsid w:val="00FB7AF1"/>
    <w:rsid w:val="00FD2AFC"/>
    <w:rsid w:val="00FE0548"/>
    <w:rsid w:val="00FE08FA"/>
    <w:rsid w:val="00FF4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0F3BF"/>
  <w15:chartTrackingRefBased/>
  <w15:docId w15:val="{BC4CFE4E-A4A8-46BD-8FB7-65350A25A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77C"/>
  </w:style>
  <w:style w:type="paragraph" w:styleId="Heading1">
    <w:name w:val="heading 1"/>
    <w:basedOn w:val="Normal"/>
    <w:next w:val="Normal"/>
    <w:link w:val="Heading1Char"/>
    <w:uiPriority w:val="9"/>
    <w:qFormat/>
    <w:rsid w:val="002E577C"/>
    <w:pPr>
      <w:keepNext/>
      <w:keepLines/>
      <w:spacing w:before="240" w:after="0"/>
      <w:outlineLvl w:val="0"/>
    </w:pPr>
    <w:rPr>
      <w:rFonts w:ascii="Arial" w:eastAsiaTheme="majorEastAsia" w:hAnsi="Arial" w:cs="Arial"/>
      <w:sz w:val="32"/>
      <w:szCs w:val="32"/>
    </w:rPr>
  </w:style>
  <w:style w:type="paragraph" w:styleId="Heading2">
    <w:name w:val="heading 2"/>
    <w:basedOn w:val="Heading1"/>
    <w:next w:val="Normal"/>
    <w:link w:val="Heading2Char"/>
    <w:qFormat/>
    <w:rsid w:val="002E577C"/>
    <w:pPr>
      <w:tabs>
        <w:tab w:val="center" w:pos="4513"/>
      </w:tabs>
      <w:spacing w:line="240" w:lineRule="auto"/>
      <w:jc w:val="both"/>
      <w:outlineLvl w:val="1"/>
    </w:pPr>
    <w:rPr>
      <w:rFonts w:eastAsia="Times New Roman"/>
      <w:bCs/>
      <w:sz w:val="28"/>
      <w:szCs w:val="28"/>
      <w:lang w:eastAsia="en-GB"/>
    </w:rPr>
  </w:style>
  <w:style w:type="paragraph" w:styleId="Heading3">
    <w:name w:val="heading 3"/>
    <w:basedOn w:val="Normal"/>
    <w:next w:val="Normal"/>
    <w:link w:val="Heading3Char"/>
    <w:uiPriority w:val="9"/>
    <w:unhideWhenUsed/>
    <w:qFormat/>
    <w:rsid w:val="00BD380C"/>
    <w:pPr>
      <w:keepNext/>
      <w:keepLines/>
      <w:spacing w:before="40" w:after="0"/>
      <w:outlineLvl w:val="2"/>
    </w:pPr>
    <w:rPr>
      <w:rFonts w:ascii="Arial" w:eastAsiaTheme="majorEastAsia" w:hAnsi="Arial" w:cstheme="majorBidi"/>
      <w:sz w:val="24"/>
      <w:szCs w:val="24"/>
    </w:rPr>
  </w:style>
  <w:style w:type="paragraph" w:styleId="Heading4">
    <w:name w:val="heading 4"/>
    <w:basedOn w:val="Normal"/>
    <w:next w:val="Normal"/>
    <w:link w:val="Heading4Char"/>
    <w:uiPriority w:val="9"/>
    <w:unhideWhenUsed/>
    <w:qFormat/>
    <w:rsid w:val="002E577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711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711A1"/>
  </w:style>
  <w:style w:type="character" w:customStyle="1" w:styleId="eop">
    <w:name w:val="eop"/>
    <w:basedOn w:val="DefaultParagraphFont"/>
    <w:rsid w:val="000711A1"/>
  </w:style>
  <w:style w:type="character" w:customStyle="1" w:styleId="Heading2Char">
    <w:name w:val="Heading 2 Char"/>
    <w:basedOn w:val="DefaultParagraphFont"/>
    <w:link w:val="Heading2"/>
    <w:rsid w:val="002E577C"/>
    <w:rPr>
      <w:rFonts w:asciiTheme="majorHAnsi" w:eastAsia="Times New Roman" w:hAnsiTheme="majorHAnsi" w:cs="Arial"/>
      <w:bCs/>
      <w:color w:val="2F5496" w:themeColor="accent1" w:themeShade="BF"/>
      <w:sz w:val="28"/>
      <w:szCs w:val="28"/>
      <w:lang w:eastAsia="en-GB"/>
    </w:rPr>
  </w:style>
  <w:style w:type="paragraph" w:styleId="Header">
    <w:name w:val="header"/>
    <w:basedOn w:val="Normal"/>
    <w:link w:val="HeaderChar"/>
    <w:unhideWhenUsed/>
    <w:rsid w:val="00BE2CDC"/>
    <w:pPr>
      <w:tabs>
        <w:tab w:val="center" w:pos="4513"/>
        <w:tab w:val="right" w:pos="9026"/>
      </w:tabs>
      <w:spacing w:after="0" w:line="240" w:lineRule="auto"/>
    </w:pPr>
  </w:style>
  <w:style w:type="character" w:customStyle="1" w:styleId="HeaderChar">
    <w:name w:val="Header Char"/>
    <w:basedOn w:val="DefaultParagraphFont"/>
    <w:link w:val="Header"/>
    <w:rsid w:val="00BE2CDC"/>
  </w:style>
  <w:style w:type="paragraph" w:styleId="Footer">
    <w:name w:val="footer"/>
    <w:basedOn w:val="Normal"/>
    <w:link w:val="FooterChar"/>
    <w:uiPriority w:val="99"/>
    <w:unhideWhenUsed/>
    <w:rsid w:val="00BE2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CDC"/>
  </w:style>
  <w:style w:type="character" w:customStyle="1" w:styleId="Heading1Char">
    <w:name w:val="Heading 1 Char"/>
    <w:basedOn w:val="DefaultParagraphFont"/>
    <w:link w:val="Heading1"/>
    <w:uiPriority w:val="9"/>
    <w:rsid w:val="002E577C"/>
    <w:rPr>
      <w:rFonts w:ascii="Arial" w:eastAsiaTheme="majorEastAsia" w:hAnsi="Arial" w:cs="Arial"/>
      <w:sz w:val="32"/>
      <w:szCs w:val="32"/>
    </w:rPr>
  </w:style>
  <w:style w:type="paragraph" w:styleId="TOCHeading">
    <w:name w:val="TOC Heading"/>
    <w:basedOn w:val="Heading1"/>
    <w:next w:val="Normal"/>
    <w:uiPriority w:val="39"/>
    <w:unhideWhenUsed/>
    <w:qFormat/>
    <w:rsid w:val="00D80599"/>
    <w:pPr>
      <w:outlineLvl w:val="9"/>
    </w:pPr>
    <w:rPr>
      <w:lang w:val="en-US"/>
    </w:rPr>
  </w:style>
  <w:style w:type="paragraph" w:styleId="TOC1">
    <w:name w:val="toc 1"/>
    <w:basedOn w:val="Normal"/>
    <w:next w:val="Normal"/>
    <w:autoRedefine/>
    <w:uiPriority w:val="39"/>
    <w:unhideWhenUsed/>
    <w:rsid w:val="008809FC"/>
    <w:pPr>
      <w:tabs>
        <w:tab w:val="right" w:leader="dot" w:pos="9016"/>
      </w:tabs>
      <w:spacing w:after="100"/>
    </w:pPr>
  </w:style>
  <w:style w:type="character" w:styleId="Hyperlink">
    <w:name w:val="Hyperlink"/>
    <w:basedOn w:val="DefaultParagraphFont"/>
    <w:uiPriority w:val="99"/>
    <w:unhideWhenUsed/>
    <w:rsid w:val="0041243E"/>
    <w:rPr>
      <w:color w:val="0563C1" w:themeColor="hyperlink"/>
      <w:u w:val="single"/>
    </w:rPr>
  </w:style>
  <w:style w:type="character" w:customStyle="1" w:styleId="Heading3Char">
    <w:name w:val="Heading 3 Char"/>
    <w:basedOn w:val="DefaultParagraphFont"/>
    <w:link w:val="Heading3"/>
    <w:uiPriority w:val="9"/>
    <w:rsid w:val="00BD380C"/>
    <w:rPr>
      <w:rFonts w:ascii="Arial" w:eastAsiaTheme="majorEastAsia" w:hAnsi="Arial" w:cstheme="majorBidi"/>
      <w:sz w:val="24"/>
      <w:szCs w:val="24"/>
    </w:rPr>
  </w:style>
  <w:style w:type="paragraph" w:styleId="TOC2">
    <w:name w:val="toc 2"/>
    <w:basedOn w:val="Normal"/>
    <w:next w:val="Normal"/>
    <w:autoRedefine/>
    <w:uiPriority w:val="39"/>
    <w:unhideWhenUsed/>
    <w:rsid w:val="004A2AB1"/>
    <w:pPr>
      <w:spacing w:after="100"/>
      <w:ind w:left="220"/>
    </w:pPr>
  </w:style>
  <w:style w:type="paragraph" w:styleId="TOC3">
    <w:name w:val="toc 3"/>
    <w:basedOn w:val="Normal"/>
    <w:next w:val="Normal"/>
    <w:autoRedefine/>
    <w:uiPriority w:val="39"/>
    <w:unhideWhenUsed/>
    <w:rsid w:val="004A2AB1"/>
    <w:pPr>
      <w:spacing w:after="100"/>
      <w:ind w:left="440"/>
    </w:pPr>
  </w:style>
  <w:style w:type="character" w:styleId="UnresolvedMention">
    <w:name w:val="Unresolved Mention"/>
    <w:basedOn w:val="DefaultParagraphFont"/>
    <w:uiPriority w:val="99"/>
    <w:semiHidden/>
    <w:unhideWhenUsed/>
    <w:rsid w:val="008E6E22"/>
    <w:rPr>
      <w:color w:val="605E5C"/>
      <w:shd w:val="clear" w:color="auto" w:fill="E1DFDD"/>
    </w:rPr>
  </w:style>
  <w:style w:type="paragraph" w:styleId="Bibliography">
    <w:name w:val="Bibliography"/>
    <w:basedOn w:val="Normal"/>
    <w:next w:val="Normal"/>
    <w:uiPriority w:val="37"/>
    <w:unhideWhenUsed/>
    <w:rsid w:val="009E1C1A"/>
  </w:style>
  <w:style w:type="paragraph" w:styleId="ListParagraph">
    <w:name w:val="List Paragraph"/>
    <w:basedOn w:val="Normal"/>
    <w:uiPriority w:val="34"/>
    <w:qFormat/>
    <w:rsid w:val="00E13A1B"/>
    <w:pPr>
      <w:ind w:left="720"/>
      <w:contextualSpacing/>
    </w:pPr>
  </w:style>
  <w:style w:type="paragraph" w:styleId="NormalWeb">
    <w:name w:val="Normal (Web)"/>
    <w:basedOn w:val="Normal"/>
    <w:uiPriority w:val="99"/>
    <w:semiHidden/>
    <w:unhideWhenUsed/>
    <w:rsid w:val="00024D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Quote">
    <w:name w:val="Quote"/>
    <w:basedOn w:val="Normal"/>
    <w:next w:val="Normal"/>
    <w:link w:val="QuoteChar"/>
    <w:autoRedefine/>
    <w:uiPriority w:val="29"/>
    <w:qFormat/>
    <w:rsid w:val="00C72874"/>
    <w:pPr>
      <w:spacing w:before="200"/>
      <w:ind w:left="864" w:right="864"/>
      <w:jc w:val="both"/>
    </w:pPr>
    <w:rPr>
      <w:i/>
      <w:iCs/>
      <w:color w:val="404040" w:themeColor="text1" w:themeTint="BF"/>
    </w:rPr>
  </w:style>
  <w:style w:type="character" w:customStyle="1" w:styleId="QuoteChar">
    <w:name w:val="Quote Char"/>
    <w:basedOn w:val="DefaultParagraphFont"/>
    <w:link w:val="Quote"/>
    <w:uiPriority w:val="29"/>
    <w:rsid w:val="00C72874"/>
    <w:rPr>
      <w:i/>
      <w:iCs/>
      <w:color w:val="404040" w:themeColor="text1" w:themeTint="BF"/>
    </w:rPr>
  </w:style>
  <w:style w:type="character" w:styleId="FollowedHyperlink">
    <w:name w:val="FollowedHyperlink"/>
    <w:basedOn w:val="DefaultParagraphFont"/>
    <w:uiPriority w:val="99"/>
    <w:semiHidden/>
    <w:unhideWhenUsed/>
    <w:rsid w:val="00911A36"/>
    <w:rPr>
      <w:color w:val="954F72" w:themeColor="followedHyperlink"/>
      <w:u w:val="single"/>
    </w:rPr>
  </w:style>
  <w:style w:type="character" w:customStyle="1" w:styleId="Heading4Char">
    <w:name w:val="Heading 4 Char"/>
    <w:basedOn w:val="DefaultParagraphFont"/>
    <w:link w:val="Heading4"/>
    <w:uiPriority w:val="9"/>
    <w:rsid w:val="002E577C"/>
    <w:rPr>
      <w:rFonts w:asciiTheme="majorHAnsi" w:eastAsiaTheme="majorEastAsia" w:hAnsiTheme="majorHAnsi" w:cstheme="majorBidi"/>
      <w:i/>
      <w:iCs/>
      <w:color w:val="2F5496" w:themeColor="accent1" w:themeShade="BF"/>
    </w:rPr>
  </w:style>
  <w:style w:type="paragraph" w:styleId="NoSpacing">
    <w:name w:val="No Spacing"/>
    <w:uiPriority w:val="1"/>
    <w:qFormat/>
    <w:rsid w:val="0052296D"/>
    <w:pPr>
      <w:spacing w:after="0" w:line="240" w:lineRule="auto"/>
    </w:pPr>
  </w:style>
  <w:style w:type="character" w:customStyle="1" w:styleId="contextualspellingandgrammarerror">
    <w:name w:val="contextualspellingandgrammarerror"/>
    <w:basedOn w:val="DefaultParagraphFont"/>
    <w:rsid w:val="00624C54"/>
  </w:style>
  <w:style w:type="character" w:styleId="CommentReference">
    <w:name w:val="annotation reference"/>
    <w:basedOn w:val="DefaultParagraphFont"/>
    <w:uiPriority w:val="99"/>
    <w:semiHidden/>
    <w:unhideWhenUsed/>
    <w:rsid w:val="008809FC"/>
    <w:rPr>
      <w:sz w:val="16"/>
      <w:szCs w:val="16"/>
    </w:rPr>
  </w:style>
  <w:style w:type="paragraph" w:styleId="CommentText">
    <w:name w:val="annotation text"/>
    <w:basedOn w:val="Normal"/>
    <w:link w:val="CommentTextChar"/>
    <w:uiPriority w:val="99"/>
    <w:semiHidden/>
    <w:unhideWhenUsed/>
    <w:rsid w:val="008809FC"/>
    <w:pPr>
      <w:spacing w:line="240" w:lineRule="auto"/>
    </w:pPr>
    <w:rPr>
      <w:sz w:val="20"/>
      <w:szCs w:val="20"/>
    </w:rPr>
  </w:style>
  <w:style w:type="character" w:customStyle="1" w:styleId="CommentTextChar">
    <w:name w:val="Comment Text Char"/>
    <w:basedOn w:val="DefaultParagraphFont"/>
    <w:link w:val="CommentText"/>
    <w:uiPriority w:val="99"/>
    <w:semiHidden/>
    <w:rsid w:val="008809FC"/>
    <w:rPr>
      <w:sz w:val="20"/>
      <w:szCs w:val="20"/>
    </w:rPr>
  </w:style>
  <w:style w:type="paragraph" w:styleId="CommentSubject">
    <w:name w:val="annotation subject"/>
    <w:basedOn w:val="CommentText"/>
    <w:next w:val="CommentText"/>
    <w:link w:val="CommentSubjectChar"/>
    <w:uiPriority w:val="99"/>
    <w:semiHidden/>
    <w:unhideWhenUsed/>
    <w:rsid w:val="008809FC"/>
    <w:rPr>
      <w:b/>
      <w:bCs/>
    </w:rPr>
  </w:style>
  <w:style w:type="character" w:customStyle="1" w:styleId="CommentSubjectChar">
    <w:name w:val="Comment Subject Char"/>
    <w:basedOn w:val="CommentTextChar"/>
    <w:link w:val="CommentSubject"/>
    <w:uiPriority w:val="99"/>
    <w:semiHidden/>
    <w:rsid w:val="008809FC"/>
    <w:rPr>
      <w:b/>
      <w:bCs/>
      <w:sz w:val="20"/>
      <w:szCs w:val="20"/>
    </w:rPr>
  </w:style>
  <w:style w:type="paragraph" w:styleId="Revision">
    <w:name w:val="Revision"/>
    <w:hidden/>
    <w:uiPriority w:val="99"/>
    <w:semiHidden/>
    <w:rsid w:val="008809FC"/>
    <w:pPr>
      <w:spacing w:after="0" w:line="240" w:lineRule="auto"/>
    </w:pPr>
  </w:style>
  <w:style w:type="paragraph" w:customStyle="1" w:styleId="Tableheading">
    <w:name w:val="Table heading"/>
    <w:basedOn w:val="Heading2"/>
    <w:next w:val="Normal"/>
    <w:link w:val="TableheadingChar"/>
    <w:qFormat/>
    <w:rsid w:val="004B7353"/>
    <w:rPr>
      <w:sz w:val="20"/>
      <w:szCs w:val="20"/>
    </w:rPr>
  </w:style>
  <w:style w:type="character" w:customStyle="1" w:styleId="TableheadingChar">
    <w:name w:val="Table heading Char"/>
    <w:basedOn w:val="Heading2Char"/>
    <w:link w:val="Tableheading"/>
    <w:rsid w:val="004B7353"/>
    <w:rPr>
      <w:rFonts w:ascii="Arial" w:eastAsia="Times New Roman" w:hAnsi="Arial" w:cs="Arial"/>
      <w:bCs/>
      <w:color w:val="2F5496" w:themeColor="accent1" w:themeShade="BF"/>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9497">
      <w:bodyDiv w:val="1"/>
      <w:marLeft w:val="0"/>
      <w:marRight w:val="0"/>
      <w:marTop w:val="0"/>
      <w:marBottom w:val="0"/>
      <w:divBdr>
        <w:top w:val="none" w:sz="0" w:space="0" w:color="auto"/>
        <w:left w:val="none" w:sz="0" w:space="0" w:color="auto"/>
        <w:bottom w:val="none" w:sz="0" w:space="0" w:color="auto"/>
        <w:right w:val="none" w:sz="0" w:space="0" w:color="auto"/>
      </w:divBdr>
    </w:div>
    <w:div w:id="47728812">
      <w:bodyDiv w:val="1"/>
      <w:marLeft w:val="0"/>
      <w:marRight w:val="0"/>
      <w:marTop w:val="0"/>
      <w:marBottom w:val="0"/>
      <w:divBdr>
        <w:top w:val="none" w:sz="0" w:space="0" w:color="auto"/>
        <w:left w:val="none" w:sz="0" w:space="0" w:color="auto"/>
        <w:bottom w:val="none" w:sz="0" w:space="0" w:color="auto"/>
        <w:right w:val="none" w:sz="0" w:space="0" w:color="auto"/>
      </w:divBdr>
    </w:div>
    <w:div w:id="48723130">
      <w:bodyDiv w:val="1"/>
      <w:marLeft w:val="0"/>
      <w:marRight w:val="0"/>
      <w:marTop w:val="0"/>
      <w:marBottom w:val="0"/>
      <w:divBdr>
        <w:top w:val="none" w:sz="0" w:space="0" w:color="auto"/>
        <w:left w:val="none" w:sz="0" w:space="0" w:color="auto"/>
        <w:bottom w:val="none" w:sz="0" w:space="0" w:color="auto"/>
        <w:right w:val="none" w:sz="0" w:space="0" w:color="auto"/>
      </w:divBdr>
    </w:div>
    <w:div w:id="50007477">
      <w:bodyDiv w:val="1"/>
      <w:marLeft w:val="0"/>
      <w:marRight w:val="0"/>
      <w:marTop w:val="0"/>
      <w:marBottom w:val="0"/>
      <w:divBdr>
        <w:top w:val="none" w:sz="0" w:space="0" w:color="auto"/>
        <w:left w:val="none" w:sz="0" w:space="0" w:color="auto"/>
        <w:bottom w:val="none" w:sz="0" w:space="0" w:color="auto"/>
        <w:right w:val="none" w:sz="0" w:space="0" w:color="auto"/>
      </w:divBdr>
    </w:div>
    <w:div w:id="80219845">
      <w:bodyDiv w:val="1"/>
      <w:marLeft w:val="0"/>
      <w:marRight w:val="0"/>
      <w:marTop w:val="0"/>
      <w:marBottom w:val="0"/>
      <w:divBdr>
        <w:top w:val="none" w:sz="0" w:space="0" w:color="auto"/>
        <w:left w:val="none" w:sz="0" w:space="0" w:color="auto"/>
        <w:bottom w:val="none" w:sz="0" w:space="0" w:color="auto"/>
        <w:right w:val="none" w:sz="0" w:space="0" w:color="auto"/>
      </w:divBdr>
    </w:div>
    <w:div w:id="101533444">
      <w:bodyDiv w:val="1"/>
      <w:marLeft w:val="0"/>
      <w:marRight w:val="0"/>
      <w:marTop w:val="0"/>
      <w:marBottom w:val="0"/>
      <w:divBdr>
        <w:top w:val="none" w:sz="0" w:space="0" w:color="auto"/>
        <w:left w:val="none" w:sz="0" w:space="0" w:color="auto"/>
        <w:bottom w:val="none" w:sz="0" w:space="0" w:color="auto"/>
        <w:right w:val="none" w:sz="0" w:space="0" w:color="auto"/>
      </w:divBdr>
    </w:div>
    <w:div w:id="103236496">
      <w:bodyDiv w:val="1"/>
      <w:marLeft w:val="0"/>
      <w:marRight w:val="0"/>
      <w:marTop w:val="0"/>
      <w:marBottom w:val="0"/>
      <w:divBdr>
        <w:top w:val="none" w:sz="0" w:space="0" w:color="auto"/>
        <w:left w:val="none" w:sz="0" w:space="0" w:color="auto"/>
        <w:bottom w:val="none" w:sz="0" w:space="0" w:color="auto"/>
        <w:right w:val="none" w:sz="0" w:space="0" w:color="auto"/>
      </w:divBdr>
    </w:div>
    <w:div w:id="128860956">
      <w:bodyDiv w:val="1"/>
      <w:marLeft w:val="0"/>
      <w:marRight w:val="0"/>
      <w:marTop w:val="0"/>
      <w:marBottom w:val="0"/>
      <w:divBdr>
        <w:top w:val="none" w:sz="0" w:space="0" w:color="auto"/>
        <w:left w:val="none" w:sz="0" w:space="0" w:color="auto"/>
        <w:bottom w:val="none" w:sz="0" w:space="0" w:color="auto"/>
        <w:right w:val="none" w:sz="0" w:space="0" w:color="auto"/>
      </w:divBdr>
    </w:div>
    <w:div w:id="131598613">
      <w:bodyDiv w:val="1"/>
      <w:marLeft w:val="0"/>
      <w:marRight w:val="0"/>
      <w:marTop w:val="0"/>
      <w:marBottom w:val="0"/>
      <w:divBdr>
        <w:top w:val="none" w:sz="0" w:space="0" w:color="auto"/>
        <w:left w:val="none" w:sz="0" w:space="0" w:color="auto"/>
        <w:bottom w:val="none" w:sz="0" w:space="0" w:color="auto"/>
        <w:right w:val="none" w:sz="0" w:space="0" w:color="auto"/>
      </w:divBdr>
    </w:div>
    <w:div w:id="170141066">
      <w:bodyDiv w:val="1"/>
      <w:marLeft w:val="0"/>
      <w:marRight w:val="0"/>
      <w:marTop w:val="0"/>
      <w:marBottom w:val="0"/>
      <w:divBdr>
        <w:top w:val="none" w:sz="0" w:space="0" w:color="auto"/>
        <w:left w:val="none" w:sz="0" w:space="0" w:color="auto"/>
        <w:bottom w:val="none" w:sz="0" w:space="0" w:color="auto"/>
        <w:right w:val="none" w:sz="0" w:space="0" w:color="auto"/>
      </w:divBdr>
    </w:div>
    <w:div w:id="179782319">
      <w:bodyDiv w:val="1"/>
      <w:marLeft w:val="0"/>
      <w:marRight w:val="0"/>
      <w:marTop w:val="0"/>
      <w:marBottom w:val="0"/>
      <w:divBdr>
        <w:top w:val="none" w:sz="0" w:space="0" w:color="auto"/>
        <w:left w:val="none" w:sz="0" w:space="0" w:color="auto"/>
        <w:bottom w:val="none" w:sz="0" w:space="0" w:color="auto"/>
        <w:right w:val="none" w:sz="0" w:space="0" w:color="auto"/>
      </w:divBdr>
    </w:div>
    <w:div w:id="183597473">
      <w:bodyDiv w:val="1"/>
      <w:marLeft w:val="0"/>
      <w:marRight w:val="0"/>
      <w:marTop w:val="0"/>
      <w:marBottom w:val="0"/>
      <w:divBdr>
        <w:top w:val="none" w:sz="0" w:space="0" w:color="auto"/>
        <w:left w:val="none" w:sz="0" w:space="0" w:color="auto"/>
        <w:bottom w:val="none" w:sz="0" w:space="0" w:color="auto"/>
        <w:right w:val="none" w:sz="0" w:space="0" w:color="auto"/>
      </w:divBdr>
    </w:div>
    <w:div w:id="195852434">
      <w:bodyDiv w:val="1"/>
      <w:marLeft w:val="0"/>
      <w:marRight w:val="0"/>
      <w:marTop w:val="0"/>
      <w:marBottom w:val="0"/>
      <w:divBdr>
        <w:top w:val="none" w:sz="0" w:space="0" w:color="auto"/>
        <w:left w:val="none" w:sz="0" w:space="0" w:color="auto"/>
        <w:bottom w:val="none" w:sz="0" w:space="0" w:color="auto"/>
        <w:right w:val="none" w:sz="0" w:space="0" w:color="auto"/>
      </w:divBdr>
    </w:div>
    <w:div w:id="228884015">
      <w:bodyDiv w:val="1"/>
      <w:marLeft w:val="0"/>
      <w:marRight w:val="0"/>
      <w:marTop w:val="0"/>
      <w:marBottom w:val="0"/>
      <w:divBdr>
        <w:top w:val="none" w:sz="0" w:space="0" w:color="auto"/>
        <w:left w:val="none" w:sz="0" w:space="0" w:color="auto"/>
        <w:bottom w:val="none" w:sz="0" w:space="0" w:color="auto"/>
        <w:right w:val="none" w:sz="0" w:space="0" w:color="auto"/>
      </w:divBdr>
    </w:div>
    <w:div w:id="237834370">
      <w:bodyDiv w:val="1"/>
      <w:marLeft w:val="0"/>
      <w:marRight w:val="0"/>
      <w:marTop w:val="0"/>
      <w:marBottom w:val="0"/>
      <w:divBdr>
        <w:top w:val="none" w:sz="0" w:space="0" w:color="auto"/>
        <w:left w:val="none" w:sz="0" w:space="0" w:color="auto"/>
        <w:bottom w:val="none" w:sz="0" w:space="0" w:color="auto"/>
        <w:right w:val="none" w:sz="0" w:space="0" w:color="auto"/>
      </w:divBdr>
    </w:div>
    <w:div w:id="248275609">
      <w:bodyDiv w:val="1"/>
      <w:marLeft w:val="0"/>
      <w:marRight w:val="0"/>
      <w:marTop w:val="0"/>
      <w:marBottom w:val="0"/>
      <w:divBdr>
        <w:top w:val="none" w:sz="0" w:space="0" w:color="auto"/>
        <w:left w:val="none" w:sz="0" w:space="0" w:color="auto"/>
        <w:bottom w:val="none" w:sz="0" w:space="0" w:color="auto"/>
        <w:right w:val="none" w:sz="0" w:space="0" w:color="auto"/>
      </w:divBdr>
    </w:div>
    <w:div w:id="272439928">
      <w:bodyDiv w:val="1"/>
      <w:marLeft w:val="0"/>
      <w:marRight w:val="0"/>
      <w:marTop w:val="0"/>
      <w:marBottom w:val="0"/>
      <w:divBdr>
        <w:top w:val="none" w:sz="0" w:space="0" w:color="auto"/>
        <w:left w:val="none" w:sz="0" w:space="0" w:color="auto"/>
        <w:bottom w:val="none" w:sz="0" w:space="0" w:color="auto"/>
        <w:right w:val="none" w:sz="0" w:space="0" w:color="auto"/>
      </w:divBdr>
    </w:div>
    <w:div w:id="279343096">
      <w:bodyDiv w:val="1"/>
      <w:marLeft w:val="0"/>
      <w:marRight w:val="0"/>
      <w:marTop w:val="0"/>
      <w:marBottom w:val="0"/>
      <w:divBdr>
        <w:top w:val="none" w:sz="0" w:space="0" w:color="auto"/>
        <w:left w:val="none" w:sz="0" w:space="0" w:color="auto"/>
        <w:bottom w:val="none" w:sz="0" w:space="0" w:color="auto"/>
        <w:right w:val="none" w:sz="0" w:space="0" w:color="auto"/>
      </w:divBdr>
    </w:div>
    <w:div w:id="282734012">
      <w:bodyDiv w:val="1"/>
      <w:marLeft w:val="0"/>
      <w:marRight w:val="0"/>
      <w:marTop w:val="0"/>
      <w:marBottom w:val="0"/>
      <w:divBdr>
        <w:top w:val="none" w:sz="0" w:space="0" w:color="auto"/>
        <w:left w:val="none" w:sz="0" w:space="0" w:color="auto"/>
        <w:bottom w:val="none" w:sz="0" w:space="0" w:color="auto"/>
        <w:right w:val="none" w:sz="0" w:space="0" w:color="auto"/>
      </w:divBdr>
    </w:div>
    <w:div w:id="284387252">
      <w:bodyDiv w:val="1"/>
      <w:marLeft w:val="0"/>
      <w:marRight w:val="0"/>
      <w:marTop w:val="0"/>
      <w:marBottom w:val="0"/>
      <w:divBdr>
        <w:top w:val="none" w:sz="0" w:space="0" w:color="auto"/>
        <w:left w:val="none" w:sz="0" w:space="0" w:color="auto"/>
        <w:bottom w:val="none" w:sz="0" w:space="0" w:color="auto"/>
        <w:right w:val="none" w:sz="0" w:space="0" w:color="auto"/>
      </w:divBdr>
    </w:div>
    <w:div w:id="294406856">
      <w:bodyDiv w:val="1"/>
      <w:marLeft w:val="0"/>
      <w:marRight w:val="0"/>
      <w:marTop w:val="0"/>
      <w:marBottom w:val="0"/>
      <w:divBdr>
        <w:top w:val="none" w:sz="0" w:space="0" w:color="auto"/>
        <w:left w:val="none" w:sz="0" w:space="0" w:color="auto"/>
        <w:bottom w:val="none" w:sz="0" w:space="0" w:color="auto"/>
        <w:right w:val="none" w:sz="0" w:space="0" w:color="auto"/>
      </w:divBdr>
    </w:div>
    <w:div w:id="313339600">
      <w:bodyDiv w:val="1"/>
      <w:marLeft w:val="0"/>
      <w:marRight w:val="0"/>
      <w:marTop w:val="0"/>
      <w:marBottom w:val="0"/>
      <w:divBdr>
        <w:top w:val="none" w:sz="0" w:space="0" w:color="auto"/>
        <w:left w:val="none" w:sz="0" w:space="0" w:color="auto"/>
        <w:bottom w:val="none" w:sz="0" w:space="0" w:color="auto"/>
        <w:right w:val="none" w:sz="0" w:space="0" w:color="auto"/>
      </w:divBdr>
    </w:div>
    <w:div w:id="324820004">
      <w:bodyDiv w:val="1"/>
      <w:marLeft w:val="0"/>
      <w:marRight w:val="0"/>
      <w:marTop w:val="0"/>
      <w:marBottom w:val="0"/>
      <w:divBdr>
        <w:top w:val="none" w:sz="0" w:space="0" w:color="auto"/>
        <w:left w:val="none" w:sz="0" w:space="0" w:color="auto"/>
        <w:bottom w:val="none" w:sz="0" w:space="0" w:color="auto"/>
        <w:right w:val="none" w:sz="0" w:space="0" w:color="auto"/>
      </w:divBdr>
    </w:div>
    <w:div w:id="351885275">
      <w:bodyDiv w:val="1"/>
      <w:marLeft w:val="0"/>
      <w:marRight w:val="0"/>
      <w:marTop w:val="0"/>
      <w:marBottom w:val="0"/>
      <w:divBdr>
        <w:top w:val="none" w:sz="0" w:space="0" w:color="auto"/>
        <w:left w:val="none" w:sz="0" w:space="0" w:color="auto"/>
        <w:bottom w:val="none" w:sz="0" w:space="0" w:color="auto"/>
        <w:right w:val="none" w:sz="0" w:space="0" w:color="auto"/>
      </w:divBdr>
    </w:div>
    <w:div w:id="354356151">
      <w:bodyDiv w:val="1"/>
      <w:marLeft w:val="0"/>
      <w:marRight w:val="0"/>
      <w:marTop w:val="0"/>
      <w:marBottom w:val="0"/>
      <w:divBdr>
        <w:top w:val="none" w:sz="0" w:space="0" w:color="auto"/>
        <w:left w:val="none" w:sz="0" w:space="0" w:color="auto"/>
        <w:bottom w:val="none" w:sz="0" w:space="0" w:color="auto"/>
        <w:right w:val="none" w:sz="0" w:space="0" w:color="auto"/>
      </w:divBdr>
    </w:div>
    <w:div w:id="354887108">
      <w:bodyDiv w:val="1"/>
      <w:marLeft w:val="0"/>
      <w:marRight w:val="0"/>
      <w:marTop w:val="0"/>
      <w:marBottom w:val="0"/>
      <w:divBdr>
        <w:top w:val="none" w:sz="0" w:space="0" w:color="auto"/>
        <w:left w:val="none" w:sz="0" w:space="0" w:color="auto"/>
        <w:bottom w:val="none" w:sz="0" w:space="0" w:color="auto"/>
        <w:right w:val="none" w:sz="0" w:space="0" w:color="auto"/>
      </w:divBdr>
    </w:div>
    <w:div w:id="397019917">
      <w:bodyDiv w:val="1"/>
      <w:marLeft w:val="0"/>
      <w:marRight w:val="0"/>
      <w:marTop w:val="0"/>
      <w:marBottom w:val="0"/>
      <w:divBdr>
        <w:top w:val="none" w:sz="0" w:space="0" w:color="auto"/>
        <w:left w:val="none" w:sz="0" w:space="0" w:color="auto"/>
        <w:bottom w:val="none" w:sz="0" w:space="0" w:color="auto"/>
        <w:right w:val="none" w:sz="0" w:space="0" w:color="auto"/>
      </w:divBdr>
    </w:div>
    <w:div w:id="419833713">
      <w:bodyDiv w:val="1"/>
      <w:marLeft w:val="0"/>
      <w:marRight w:val="0"/>
      <w:marTop w:val="0"/>
      <w:marBottom w:val="0"/>
      <w:divBdr>
        <w:top w:val="none" w:sz="0" w:space="0" w:color="auto"/>
        <w:left w:val="none" w:sz="0" w:space="0" w:color="auto"/>
        <w:bottom w:val="none" w:sz="0" w:space="0" w:color="auto"/>
        <w:right w:val="none" w:sz="0" w:space="0" w:color="auto"/>
      </w:divBdr>
    </w:div>
    <w:div w:id="420417791">
      <w:bodyDiv w:val="1"/>
      <w:marLeft w:val="0"/>
      <w:marRight w:val="0"/>
      <w:marTop w:val="0"/>
      <w:marBottom w:val="0"/>
      <w:divBdr>
        <w:top w:val="none" w:sz="0" w:space="0" w:color="auto"/>
        <w:left w:val="none" w:sz="0" w:space="0" w:color="auto"/>
        <w:bottom w:val="none" w:sz="0" w:space="0" w:color="auto"/>
        <w:right w:val="none" w:sz="0" w:space="0" w:color="auto"/>
      </w:divBdr>
    </w:div>
    <w:div w:id="424113914">
      <w:bodyDiv w:val="1"/>
      <w:marLeft w:val="0"/>
      <w:marRight w:val="0"/>
      <w:marTop w:val="0"/>
      <w:marBottom w:val="0"/>
      <w:divBdr>
        <w:top w:val="none" w:sz="0" w:space="0" w:color="auto"/>
        <w:left w:val="none" w:sz="0" w:space="0" w:color="auto"/>
        <w:bottom w:val="none" w:sz="0" w:space="0" w:color="auto"/>
        <w:right w:val="none" w:sz="0" w:space="0" w:color="auto"/>
      </w:divBdr>
    </w:div>
    <w:div w:id="448470114">
      <w:bodyDiv w:val="1"/>
      <w:marLeft w:val="0"/>
      <w:marRight w:val="0"/>
      <w:marTop w:val="0"/>
      <w:marBottom w:val="0"/>
      <w:divBdr>
        <w:top w:val="none" w:sz="0" w:space="0" w:color="auto"/>
        <w:left w:val="none" w:sz="0" w:space="0" w:color="auto"/>
        <w:bottom w:val="none" w:sz="0" w:space="0" w:color="auto"/>
        <w:right w:val="none" w:sz="0" w:space="0" w:color="auto"/>
      </w:divBdr>
    </w:div>
    <w:div w:id="455947611">
      <w:bodyDiv w:val="1"/>
      <w:marLeft w:val="0"/>
      <w:marRight w:val="0"/>
      <w:marTop w:val="0"/>
      <w:marBottom w:val="0"/>
      <w:divBdr>
        <w:top w:val="none" w:sz="0" w:space="0" w:color="auto"/>
        <w:left w:val="none" w:sz="0" w:space="0" w:color="auto"/>
        <w:bottom w:val="none" w:sz="0" w:space="0" w:color="auto"/>
        <w:right w:val="none" w:sz="0" w:space="0" w:color="auto"/>
      </w:divBdr>
    </w:div>
    <w:div w:id="456291045">
      <w:bodyDiv w:val="1"/>
      <w:marLeft w:val="0"/>
      <w:marRight w:val="0"/>
      <w:marTop w:val="0"/>
      <w:marBottom w:val="0"/>
      <w:divBdr>
        <w:top w:val="none" w:sz="0" w:space="0" w:color="auto"/>
        <w:left w:val="none" w:sz="0" w:space="0" w:color="auto"/>
        <w:bottom w:val="none" w:sz="0" w:space="0" w:color="auto"/>
        <w:right w:val="none" w:sz="0" w:space="0" w:color="auto"/>
      </w:divBdr>
    </w:div>
    <w:div w:id="463692673">
      <w:bodyDiv w:val="1"/>
      <w:marLeft w:val="0"/>
      <w:marRight w:val="0"/>
      <w:marTop w:val="0"/>
      <w:marBottom w:val="0"/>
      <w:divBdr>
        <w:top w:val="none" w:sz="0" w:space="0" w:color="auto"/>
        <w:left w:val="none" w:sz="0" w:space="0" w:color="auto"/>
        <w:bottom w:val="none" w:sz="0" w:space="0" w:color="auto"/>
        <w:right w:val="none" w:sz="0" w:space="0" w:color="auto"/>
      </w:divBdr>
    </w:div>
    <w:div w:id="465516493">
      <w:bodyDiv w:val="1"/>
      <w:marLeft w:val="0"/>
      <w:marRight w:val="0"/>
      <w:marTop w:val="0"/>
      <w:marBottom w:val="0"/>
      <w:divBdr>
        <w:top w:val="none" w:sz="0" w:space="0" w:color="auto"/>
        <w:left w:val="none" w:sz="0" w:space="0" w:color="auto"/>
        <w:bottom w:val="none" w:sz="0" w:space="0" w:color="auto"/>
        <w:right w:val="none" w:sz="0" w:space="0" w:color="auto"/>
      </w:divBdr>
    </w:div>
    <w:div w:id="466896180">
      <w:bodyDiv w:val="1"/>
      <w:marLeft w:val="0"/>
      <w:marRight w:val="0"/>
      <w:marTop w:val="0"/>
      <w:marBottom w:val="0"/>
      <w:divBdr>
        <w:top w:val="none" w:sz="0" w:space="0" w:color="auto"/>
        <w:left w:val="none" w:sz="0" w:space="0" w:color="auto"/>
        <w:bottom w:val="none" w:sz="0" w:space="0" w:color="auto"/>
        <w:right w:val="none" w:sz="0" w:space="0" w:color="auto"/>
      </w:divBdr>
    </w:div>
    <w:div w:id="489255695">
      <w:bodyDiv w:val="1"/>
      <w:marLeft w:val="0"/>
      <w:marRight w:val="0"/>
      <w:marTop w:val="0"/>
      <w:marBottom w:val="0"/>
      <w:divBdr>
        <w:top w:val="none" w:sz="0" w:space="0" w:color="auto"/>
        <w:left w:val="none" w:sz="0" w:space="0" w:color="auto"/>
        <w:bottom w:val="none" w:sz="0" w:space="0" w:color="auto"/>
        <w:right w:val="none" w:sz="0" w:space="0" w:color="auto"/>
      </w:divBdr>
    </w:div>
    <w:div w:id="509216911">
      <w:bodyDiv w:val="1"/>
      <w:marLeft w:val="0"/>
      <w:marRight w:val="0"/>
      <w:marTop w:val="0"/>
      <w:marBottom w:val="0"/>
      <w:divBdr>
        <w:top w:val="none" w:sz="0" w:space="0" w:color="auto"/>
        <w:left w:val="none" w:sz="0" w:space="0" w:color="auto"/>
        <w:bottom w:val="none" w:sz="0" w:space="0" w:color="auto"/>
        <w:right w:val="none" w:sz="0" w:space="0" w:color="auto"/>
      </w:divBdr>
    </w:div>
    <w:div w:id="511339525">
      <w:bodyDiv w:val="1"/>
      <w:marLeft w:val="0"/>
      <w:marRight w:val="0"/>
      <w:marTop w:val="0"/>
      <w:marBottom w:val="0"/>
      <w:divBdr>
        <w:top w:val="none" w:sz="0" w:space="0" w:color="auto"/>
        <w:left w:val="none" w:sz="0" w:space="0" w:color="auto"/>
        <w:bottom w:val="none" w:sz="0" w:space="0" w:color="auto"/>
        <w:right w:val="none" w:sz="0" w:space="0" w:color="auto"/>
      </w:divBdr>
    </w:div>
    <w:div w:id="512912928">
      <w:bodyDiv w:val="1"/>
      <w:marLeft w:val="0"/>
      <w:marRight w:val="0"/>
      <w:marTop w:val="0"/>
      <w:marBottom w:val="0"/>
      <w:divBdr>
        <w:top w:val="none" w:sz="0" w:space="0" w:color="auto"/>
        <w:left w:val="none" w:sz="0" w:space="0" w:color="auto"/>
        <w:bottom w:val="none" w:sz="0" w:space="0" w:color="auto"/>
        <w:right w:val="none" w:sz="0" w:space="0" w:color="auto"/>
      </w:divBdr>
    </w:div>
    <w:div w:id="515509122">
      <w:bodyDiv w:val="1"/>
      <w:marLeft w:val="0"/>
      <w:marRight w:val="0"/>
      <w:marTop w:val="0"/>
      <w:marBottom w:val="0"/>
      <w:divBdr>
        <w:top w:val="none" w:sz="0" w:space="0" w:color="auto"/>
        <w:left w:val="none" w:sz="0" w:space="0" w:color="auto"/>
        <w:bottom w:val="none" w:sz="0" w:space="0" w:color="auto"/>
        <w:right w:val="none" w:sz="0" w:space="0" w:color="auto"/>
      </w:divBdr>
    </w:div>
    <w:div w:id="521746115">
      <w:bodyDiv w:val="1"/>
      <w:marLeft w:val="0"/>
      <w:marRight w:val="0"/>
      <w:marTop w:val="0"/>
      <w:marBottom w:val="0"/>
      <w:divBdr>
        <w:top w:val="none" w:sz="0" w:space="0" w:color="auto"/>
        <w:left w:val="none" w:sz="0" w:space="0" w:color="auto"/>
        <w:bottom w:val="none" w:sz="0" w:space="0" w:color="auto"/>
        <w:right w:val="none" w:sz="0" w:space="0" w:color="auto"/>
      </w:divBdr>
    </w:div>
    <w:div w:id="544951823">
      <w:bodyDiv w:val="1"/>
      <w:marLeft w:val="0"/>
      <w:marRight w:val="0"/>
      <w:marTop w:val="0"/>
      <w:marBottom w:val="0"/>
      <w:divBdr>
        <w:top w:val="none" w:sz="0" w:space="0" w:color="auto"/>
        <w:left w:val="none" w:sz="0" w:space="0" w:color="auto"/>
        <w:bottom w:val="none" w:sz="0" w:space="0" w:color="auto"/>
        <w:right w:val="none" w:sz="0" w:space="0" w:color="auto"/>
      </w:divBdr>
    </w:div>
    <w:div w:id="548536582">
      <w:bodyDiv w:val="1"/>
      <w:marLeft w:val="0"/>
      <w:marRight w:val="0"/>
      <w:marTop w:val="0"/>
      <w:marBottom w:val="0"/>
      <w:divBdr>
        <w:top w:val="none" w:sz="0" w:space="0" w:color="auto"/>
        <w:left w:val="none" w:sz="0" w:space="0" w:color="auto"/>
        <w:bottom w:val="none" w:sz="0" w:space="0" w:color="auto"/>
        <w:right w:val="none" w:sz="0" w:space="0" w:color="auto"/>
      </w:divBdr>
    </w:div>
    <w:div w:id="549533609">
      <w:bodyDiv w:val="1"/>
      <w:marLeft w:val="0"/>
      <w:marRight w:val="0"/>
      <w:marTop w:val="0"/>
      <w:marBottom w:val="0"/>
      <w:divBdr>
        <w:top w:val="none" w:sz="0" w:space="0" w:color="auto"/>
        <w:left w:val="none" w:sz="0" w:space="0" w:color="auto"/>
        <w:bottom w:val="none" w:sz="0" w:space="0" w:color="auto"/>
        <w:right w:val="none" w:sz="0" w:space="0" w:color="auto"/>
      </w:divBdr>
    </w:div>
    <w:div w:id="556286813">
      <w:bodyDiv w:val="1"/>
      <w:marLeft w:val="0"/>
      <w:marRight w:val="0"/>
      <w:marTop w:val="0"/>
      <w:marBottom w:val="0"/>
      <w:divBdr>
        <w:top w:val="none" w:sz="0" w:space="0" w:color="auto"/>
        <w:left w:val="none" w:sz="0" w:space="0" w:color="auto"/>
        <w:bottom w:val="none" w:sz="0" w:space="0" w:color="auto"/>
        <w:right w:val="none" w:sz="0" w:space="0" w:color="auto"/>
      </w:divBdr>
    </w:div>
    <w:div w:id="577637174">
      <w:bodyDiv w:val="1"/>
      <w:marLeft w:val="0"/>
      <w:marRight w:val="0"/>
      <w:marTop w:val="0"/>
      <w:marBottom w:val="0"/>
      <w:divBdr>
        <w:top w:val="none" w:sz="0" w:space="0" w:color="auto"/>
        <w:left w:val="none" w:sz="0" w:space="0" w:color="auto"/>
        <w:bottom w:val="none" w:sz="0" w:space="0" w:color="auto"/>
        <w:right w:val="none" w:sz="0" w:space="0" w:color="auto"/>
      </w:divBdr>
    </w:div>
    <w:div w:id="583418280">
      <w:bodyDiv w:val="1"/>
      <w:marLeft w:val="0"/>
      <w:marRight w:val="0"/>
      <w:marTop w:val="0"/>
      <w:marBottom w:val="0"/>
      <w:divBdr>
        <w:top w:val="none" w:sz="0" w:space="0" w:color="auto"/>
        <w:left w:val="none" w:sz="0" w:space="0" w:color="auto"/>
        <w:bottom w:val="none" w:sz="0" w:space="0" w:color="auto"/>
        <w:right w:val="none" w:sz="0" w:space="0" w:color="auto"/>
      </w:divBdr>
    </w:div>
    <w:div w:id="596523426">
      <w:bodyDiv w:val="1"/>
      <w:marLeft w:val="0"/>
      <w:marRight w:val="0"/>
      <w:marTop w:val="0"/>
      <w:marBottom w:val="0"/>
      <w:divBdr>
        <w:top w:val="none" w:sz="0" w:space="0" w:color="auto"/>
        <w:left w:val="none" w:sz="0" w:space="0" w:color="auto"/>
        <w:bottom w:val="none" w:sz="0" w:space="0" w:color="auto"/>
        <w:right w:val="none" w:sz="0" w:space="0" w:color="auto"/>
      </w:divBdr>
    </w:div>
    <w:div w:id="597250516">
      <w:bodyDiv w:val="1"/>
      <w:marLeft w:val="0"/>
      <w:marRight w:val="0"/>
      <w:marTop w:val="0"/>
      <w:marBottom w:val="0"/>
      <w:divBdr>
        <w:top w:val="none" w:sz="0" w:space="0" w:color="auto"/>
        <w:left w:val="none" w:sz="0" w:space="0" w:color="auto"/>
        <w:bottom w:val="none" w:sz="0" w:space="0" w:color="auto"/>
        <w:right w:val="none" w:sz="0" w:space="0" w:color="auto"/>
      </w:divBdr>
    </w:div>
    <w:div w:id="598147377">
      <w:bodyDiv w:val="1"/>
      <w:marLeft w:val="0"/>
      <w:marRight w:val="0"/>
      <w:marTop w:val="0"/>
      <w:marBottom w:val="0"/>
      <w:divBdr>
        <w:top w:val="none" w:sz="0" w:space="0" w:color="auto"/>
        <w:left w:val="none" w:sz="0" w:space="0" w:color="auto"/>
        <w:bottom w:val="none" w:sz="0" w:space="0" w:color="auto"/>
        <w:right w:val="none" w:sz="0" w:space="0" w:color="auto"/>
      </w:divBdr>
    </w:div>
    <w:div w:id="615254119">
      <w:bodyDiv w:val="1"/>
      <w:marLeft w:val="0"/>
      <w:marRight w:val="0"/>
      <w:marTop w:val="0"/>
      <w:marBottom w:val="0"/>
      <w:divBdr>
        <w:top w:val="none" w:sz="0" w:space="0" w:color="auto"/>
        <w:left w:val="none" w:sz="0" w:space="0" w:color="auto"/>
        <w:bottom w:val="none" w:sz="0" w:space="0" w:color="auto"/>
        <w:right w:val="none" w:sz="0" w:space="0" w:color="auto"/>
      </w:divBdr>
    </w:div>
    <w:div w:id="620185246">
      <w:bodyDiv w:val="1"/>
      <w:marLeft w:val="0"/>
      <w:marRight w:val="0"/>
      <w:marTop w:val="0"/>
      <w:marBottom w:val="0"/>
      <w:divBdr>
        <w:top w:val="none" w:sz="0" w:space="0" w:color="auto"/>
        <w:left w:val="none" w:sz="0" w:space="0" w:color="auto"/>
        <w:bottom w:val="none" w:sz="0" w:space="0" w:color="auto"/>
        <w:right w:val="none" w:sz="0" w:space="0" w:color="auto"/>
      </w:divBdr>
    </w:div>
    <w:div w:id="626620330">
      <w:bodyDiv w:val="1"/>
      <w:marLeft w:val="0"/>
      <w:marRight w:val="0"/>
      <w:marTop w:val="0"/>
      <w:marBottom w:val="0"/>
      <w:divBdr>
        <w:top w:val="none" w:sz="0" w:space="0" w:color="auto"/>
        <w:left w:val="none" w:sz="0" w:space="0" w:color="auto"/>
        <w:bottom w:val="none" w:sz="0" w:space="0" w:color="auto"/>
        <w:right w:val="none" w:sz="0" w:space="0" w:color="auto"/>
      </w:divBdr>
    </w:div>
    <w:div w:id="636640328">
      <w:bodyDiv w:val="1"/>
      <w:marLeft w:val="0"/>
      <w:marRight w:val="0"/>
      <w:marTop w:val="0"/>
      <w:marBottom w:val="0"/>
      <w:divBdr>
        <w:top w:val="none" w:sz="0" w:space="0" w:color="auto"/>
        <w:left w:val="none" w:sz="0" w:space="0" w:color="auto"/>
        <w:bottom w:val="none" w:sz="0" w:space="0" w:color="auto"/>
        <w:right w:val="none" w:sz="0" w:space="0" w:color="auto"/>
      </w:divBdr>
    </w:div>
    <w:div w:id="640311102">
      <w:bodyDiv w:val="1"/>
      <w:marLeft w:val="0"/>
      <w:marRight w:val="0"/>
      <w:marTop w:val="0"/>
      <w:marBottom w:val="0"/>
      <w:divBdr>
        <w:top w:val="none" w:sz="0" w:space="0" w:color="auto"/>
        <w:left w:val="none" w:sz="0" w:space="0" w:color="auto"/>
        <w:bottom w:val="none" w:sz="0" w:space="0" w:color="auto"/>
        <w:right w:val="none" w:sz="0" w:space="0" w:color="auto"/>
      </w:divBdr>
    </w:div>
    <w:div w:id="660692241">
      <w:bodyDiv w:val="1"/>
      <w:marLeft w:val="0"/>
      <w:marRight w:val="0"/>
      <w:marTop w:val="0"/>
      <w:marBottom w:val="0"/>
      <w:divBdr>
        <w:top w:val="none" w:sz="0" w:space="0" w:color="auto"/>
        <w:left w:val="none" w:sz="0" w:space="0" w:color="auto"/>
        <w:bottom w:val="none" w:sz="0" w:space="0" w:color="auto"/>
        <w:right w:val="none" w:sz="0" w:space="0" w:color="auto"/>
      </w:divBdr>
    </w:div>
    <w:div w:id="661086247">
      <w:bodyDiv w:val="1"/>
      <w:marLeft w:val="0"/>
      <w:marRight w:val="0"/>
      <w:marTop w:val="0"/>
      <w:marBottom w:val="0"/>
      <w:divBdr>
        <w:top w:val="none" w:sz="0" w:space="0" w:color="auto"/>
        <w:left w:val="none" w:sz="0" w:space="0" w:color="auto"/>
        <w:bottom w:val="none" w:sz="0" w:space="0" w:color="auto"/>
        <w:right w:val="none" w:sz="0" w:space="0" w:color="auto"/>
      </w:divBdr>
    </w:div>
    <w:div w:id="671836172">
      <w:bodyDiv w:val="1"/>
      <w:marLeft w:val="0"/>
      <w:marRight w:val="0"/>
      <w:marTop w:val="0"/>
      <w:marBottom w:val="0"/>
      <w:divBdr>
        <w:top w:val="none" w:sz="0" w:space="0" w:color="auto"/>
        <w:left w:val="none" w:sz="0" w:space="0" w:color="auto"/>
        <w:bottom w:val="none" w:sz="0" w:space="0" w:color="auto"/>
        <w:right w:val="none" w:sz="0" w:space="0" w:color="auto"/>
      </w:divBdr>
    </w:div>
    <w:div w:id="686054830">
      <w:bodyDiv w:val="1"/>
      <w:marLeft w:val="0"/>
      <w:marRight w:val="0"/>
      <w:marTop w:val="0"/>
      <w:marBottom w:val="0"/>
      <w:divBdr>
        <w:top w:val="none" w:sz="0" w:space="0" w:color="auto"/>
        <w:left w:val="none" w:sz="0" w:space="0" w:color="auto"/>
        <w:bottom w:val="none" w:sz="0" w:space="0" w:color="auto"/>
        <w:right w:val="none" w:sz="0" w:space="0" w:color="auto"/>
      </w:divBdr>
    </w:div>
    <w:div w:id="702369072">
      <w:bodyDiv w:val="1"/>
      <w:marLeft w:val="0"/>
      <w:marRight w:val="0"/>
      <w:marTop w:val="0"/>
      <w:marBottom w:val="0"/>
      <w:divBdr>
        <w:top w:val="none" w:sz="0" w:space="0" w:color="auto"/>
        <w:left w:val="none" w:sz="0" w:space="0" w:color="auto"/>
        <w:bottom w:val="none" w:sz="0" w:space="0" w:color="auto"/>
        <w:right w:val="none" w:sz="0" w:space="0" w:color="auto"/>
      </w:divBdr>
    </w:div>
    <w:div w:id="702563287">
      <w:bodyDiv w:val="1"/>
      <w:marLeft w:val="0"/>
      <w:marRight w:val="0"/>
      <w:marTop w:val="0"/>
      <w:marBottom w:val="0"/>
      <w:divBdr>
        <w:top w:val="none" w:sz="0" w:space="0" w:color="auto"/>
        <w:left w:val="none" w:sz="0" w:space="0" w:color="auto"/>
        <w:bottom w:val="none" w:sz="0" w:space="0" w:color="auto"/>
        <w:right w:val="none" w:sz="0" w:space="0" w:color="auto"/>
      </w:divBdr>
    </w:div>
    <w:div w:id="703480524">
      <w:bodyDiv w:val="1"/>
      <w:marLeft w:val="0"/>
      <w:marRight w:val="0"/>
      <w:marTop w:val="0"/>
      <w:marBottom w:val="0"/>
      <w:divBdr>
        <w:top w:val="none" w:sz="0" w:space="0" w:color="auto"/>
        <w:left w:val="none" w:sz="0" w:space="0" w:color="auto"/>
        <w:bottom w:val="none" w:sz="0" w:space="0" w:color="auto"/>
        <w:right w:val="none" w:sz="0" w:space="0" w:color="auto"/>
      </w:divBdr>
    </w:div>
    <w:div w:id="713621863">
      <w:bodyDiv w:val="1"/>
      <w:marLeft w:val="0"/>
      <w:marRight w:val="0"/>
      <w:marTop w:val="0"/>
      <w:marBottom w:val="0"/>
      <w:divBdr>
        <w:top w:val="none" w:sz="0" w:space="0" w:color="auto"/>
        <w:left w:val="none" w:sz="0" w:space="0" w:color="auto"/>
        <w:bottom w:val="none" w:sz="0" w:space="0" w:color="auto"/>
        <w:right w:val="none" w:sz="0" w:space="0" w:color="auto"/>
      </w:divBdr>
    </w:div>
    <w:div w:id="717825054">
      <w:bodyDiv w:val="1"/>
      <w:marLeft w:val="0"/>
      <w:marRight w:val="0"/>
      <w:marTop w:val="0"/>
      <w:marBottom w:val="0"/>
      <w:divBdr>
        <w:top w:val="none" w:sz="0" w:space="0" w:color="auto"/>
        <w:left w:val="none" w:sz="0" w:space="0" w:color="auto"/>
        <w:bottom w:val="none" w:sz="0" w:space="0" w:color="auto"/>
        <w:right w:val="none" w:sz="0" w:space="0" w:color="auto"/>
      </w:divBdr>
    </w:div>
    <w:div w:id="718674207">
      <w:bodyDiv w:val="1"/>
      <w:marLeft w:val="0"/>
      <w:marRight w:val="0"/>
      <w:marTop w:val="0"/>
      <w:marBottom w:val="0"/>
      <w:divBdr>
        <w:top w:val="none" w:sz="0" w:space="0" w:color="auto"/>
        <w:left w:val="none" w:sz="0" w:space="0" w:color="auto"/>
        <w:bottom w:val="none" w:sz="0" w:space="0" w:color="auto"/>
        <w:right w:val="none" w:sz="0" w:space="0" w:color="auto"/>
      </w:divBdr>
    </w:div>
    <w:div w:id="732853762">
      <w:bodyDiv w:val="1"/>
      <w:marLeft w:val="0"/>
      <w:marRight w:val="0"/>
      <w:marTop w:val="0"/>
      <w:marBottom w:val="0"/>
      <w:divBdr>
        <w:top w:val="none" w:sz="0" w:space="0" w:color="auto"/>
        <w:left w:val="none" w:sz="0" w:space="0" w:color="auto"/>
        <w:bottom w:val="none" w:sz="0" w:space="0" w:color="auto"/>
        <w:right w:val="none" w:sz="0" w:space="0" w:color="auto"/>
      </w:divBdr>
    </w:div>
    <w:div w:id="738019959">
      <w:bodyDiv w:val="1"/>
      <w:marLeft w:val="0"/>
      <w:marRight w:val="0"/>
      <w:marTop w:val="0"/>
      <w:marBottom w:val="0"/>
      <w:divBdr>
        <w:top w:val="none" w:sz="0" w:space="0" w:color="auto"/>
        <w:left w:val="none" w:sz="0" w:space="0" w:color="auto"/>
        <w:bottom w:val="none" w:sz="0" w:space="0" w:color="auto"/>
        <w:right w:val="none" w:sz="0" w:space="0" w:color="auto"/>
      </w:divBdr>
    </w:div>
    <w:div w:id="758478243">
      <w:bodyDiv w:val="1"/>
      <w:marLeft w:val="0"/>
      <w:marRight w:val="0"/>
      <w:marTop w:val="0"/>
      <w:marBottom w:val="0"/>
      <w:divBdr>
        <w:top w:val="none" w:sz="0" w:space="0" w:color="auto"/>
        <w:left w:val="none" w:sz="0" w:space="0" w:color="auto"/>
        <w:bottom w:val="none" w:sz="0" w:space="0" w:color="auto"/>
        <w:right w:val="none" w:sz="0" w:space="0" w:color="auto"/>
      </w:divBdr>
    </w:div>
    <w:div w:id="762996955">
      <w:bodyDiv w:val="1"/>
      <w:marLeft w:val="0"/>
      <w:marRight w:val="0"/>
      <w:marTop w:val="0"/>
      <w:marBottom w:val="0"/>
      <w:divBdr>
        <w:top w:val="none" w:sz="0" w:space="0" w:color="auto"/>
        <w:left w:val="none" w:sz="0" w:space="0" w:color="auto"/>
        <w:bottom w:val="none" w:sz="0" w:space="0" w:color="auto"/>
        <w:right w:val="none" w:sz="0" w:space="0" w:color="auto"/>
      </w:divBdr>
      <w:divsChild>
        <w:div w:id="2121292504">
          <w:marLeft w:val="0"/>
          <w:marRight w:val="0"/>
          <w:marTop w:val="0"/>
          <w:marBottom w:val="0"/>
          <w:divBdr>
            <w:top w:val="none" w:sz="0" w:space="0" w:color="auto"/>
            <w:left w:val="none" w:sz="0" w:space="0" w:color="auto"/>
            <w:bottom w:val="none" w:sz="0" w:space="0" w:color="auto"/>
            <w:right w:val="none" w:sz="0" w:space="0" w:color="auto"/>
          </w:divBdr>
        </w:div>
        <w:div w:id="911432124">
          <w:marLeft w:val="0"/>
          <w:marRight w:val="0"/>
          <w:marTop w:val="0"/>
          <w:marBottom w:val="0"/>
          <w:divBdr>
            <w:top w:val="none" w:sz="0" w:space="0" w:color="auto"/>
            <w:left w:val="none" w:sz="0" w:space="0" w:color="auto"/>
            <w:bottom w:val="none" w:sz="0" w:space="0" w:color="auto"/>
            <w:right w:val="none" w:sz="0" w:space="0" w:color="auto"/>
          </w:divBdr>
        </w:div>
        <w:div w:id="363865705">
          <w:marLeft w:val="0"/>
          <w:marRight w:val="0"/>
          <w:marTop w:val="0"/>
          <w:marBottom w:val="0"/>
          <w:divBdr>
            <w:top w:val="none" w:sz="0" w:space="0" w:color="auto"/>
            <w:left w:val="none" w:sz="0" w:space="0" w:color="auto"/>
            <w:bottom w:val="none" w:sz="0" w:space="0" w:color="auto"/>
            <w:right w:val="none" w:sz="0" w:space="0" w:color="auto"/>
          </w:divBdr>
        </w:div>
      </w:divsChild>
    </w:div>
    <w:div w:id="768434068">
      <w:bodyDiv w:val="1"/>
      <w:marLeft w:val="0"/>
      <w:marRight w:val="0"/>
      <w:marTop w:val="0"/>
      <w:marBottom w:val="0"/>
      <w:divBdr>
        <w:top w:val="none" w:sz="0" w:space="0" w:color="auto"/>
        <w:left w:val="none" w:sz="0" w:space="0" w:color="auto"/>
        <w:bottom w:val="none" w:sz="0" w:space="0" w:color="auto"/>
        <w:right w:val="none" w:sz="0" w:space="0" w:color="auto"/>
      </w:divBdr>
    </w:div>
    <w:div w:id="788202307">
      <w:bodyDiv w:val="1"/>
      <w:marLeft w:val="0"/>
      <w:marRight w:val="0"/>
      <w:marTop w:val="0"/>
      <w:marBottom w:val="0"/>
      <w:divBdr>
        <w:top w:val="none" w:sz="0" w:space="0" w:color="auto"/>
        <w:left w:val="none" w:sz="0" w:space="0" w:color="auto"/>
        <w:bottom w:val="none" w:sz="0" w:space="0" w:color="auto"/>
        <w:right w:val="none" w:sz="0" w:space="0" w:color="auto"/>
      </w:divBdr>
    </w:div>
    <w:div w:id="791436424">
      <w:bodyDiv w:val="1"/>
      <w:marLeft w:val="0"/>
      <w:marRight w:val="0"/>
      <w:marTop w:val="0"/>
      <w:marBottom w:val="0"/>
      <w:divBdr>
        <w:top w:val="none" w:sz="0" w:space="0" w:color="auto"/>
        <w:left w:val="none" w:sz="0" w:space="0" w:color="auto"/>
        <w:bottom w:val="none" w:sz="0" w:space="0" w:color="auto"/>
        <w:right w:val="none" w:sz="0" w:space="0" w:color="auto"/>
      </w:divBdr>
    </w:div>
    <w:div w:id="794444362">
      <w:bodyDiv w:val="1"/>
      <w:marLeft w:val="0"/>
      <w:marRight w:val="0"/>
      <w:marTop w:val="0"/>
      <w:marBottom w:val="0"/>
      <w:divBdr>
        <w:top w:val="none" w:sz="0" w:space="0" w:color="auto"/>
        <w:left w:val="none" w:sz="0" w:space="0" w:color="auto"/>
        <w:bottom w:val="none" w:sz="0" w:space="0" w:color="auto"/>
        <w:right w:val="none" w:sz="0" w:space="0" w:color="auto"/>
      </w:divBdr>
    </w:div>
    <w:div w:id="804739826">
      <w:bodyDiv w:val="1"/>
      <w:marLeft w:val="0"/>
      <w:marRight w:val="0"/>
      <w:marTop w:val="0"/>
      <w:marBottom w:val="0"/>
      <w:divBdr>
        <w:top w:val="none" w:sz="0" w:space="0" w:color="auto"/>
        <w:left w:val="none" w:sz="0" w:space="0" w:color="auto"/>
        <w:bottom w:val="none" w:sz="0" w:space="0" w:color="auto"/>
        <w:right w:val="none" w:sz="0" w:space="0" w:color="auto"/>
      </w:divBdr>
    </w:div>
    <w:div w:id="830371680">
      <w:bodyDiv w:val="1"/>
      <w:marLeft w:val="0"/>
      <w:marRight w:val="0"/>
      <w:marTop w:val="0"/>
      <w:marBottom w:val="0"/>
      <w:divBdr>
        <w:top w:val="none" w:sz="0" w:space="0" w:color="auto"/>
        <w:left w:val="none" w:sz="0" w:space="0" w:color="auto"/>
        <w:bottom w:val="none" w:sz="0" w:space="0" w:color="auto"/>
        <w:right w:val="none" w:sz="0" w:space="0" w:color="auto"/>
      </w:divBdr>
    </w:div>
    <w:div w:id="836336748">
      <w:bodyDiv w:val="1"/>
      <w:marLeft w:val="0"/>
      <w:marRight w:val="0"/>
      <w:marTop w:val="0"/>
      <w:marBottom w:val="0"/>
      <w:divBdr>
        <w:top w:val="none" w:sz="0" w:space="0" w:color="auto"/>
        <w:left w:val="none" w:sz="0" w:space="0" w:color="auto"/>
        <w:bottom w:val="none" w:sz="0" w:space="0" w:color="auto"/>
        <w:right w:val="none" w:sz="0" w:space="0" w:color="auto"/>
      </w:divBdr>
    </w:div>
    <w:div w:id="870067662">
      <w:bodyDiv w:val="1"/>
      <w:marLeft w:val="0"/>
      <w:marRight w:val="0"/>
      <w:marTop w:val="0"/>
      <w:marBottom w:val="0"/>
      <w:divBdr>
        <w:top w:val="none" w:sz="0" w:space="0" w:color="auto"/>
        <w:left w:val="none" w:sz="0" w:space="0" w:color="auto"/>
        <w:bottom w:val="none" w:sz="0" w:space="0" w:color="auto"/>
        <w:right w:val="none" w:sz="0" w:space="0" w:color="auto"/>
      </w:divBdr>
    </w:div>
    <w:div w:id="881212035">
      <w:bodyDiv w:val="1"/>
      <w:marLeft w:val="0"/>
      <w:marRight w:val="0"/>
      <w:marTop w:val="0"/>
      <w:marBottom w:val="0"/>
      <w:divBdr>
        <w:top w:val="none" w:sz="0" w:space="0" w:color="auto"/>
        <w:left w:val="none" w:sz="0" w:space="0" w:color="auto"/>
        <w:bottom w:val="none" w:sz="0" w:space="0" w:color="auto"/>
        <w:right w:val="none" w:sz="0" w:space="0" w:color="auto"/>
      </w:divBdr>
    </w:div>
    <w:div w:id="885532724">
      <w:bodyDiv w:val="1"/>
      <w:marLeft w:val="0"/>
      <w:marRight w:val="0"/>
      <w:marTop w:val="0"/>
      <w:marBottom w:val="0"/>
      <w:divBdr>
        <w:top w:val="none" w:sz="0" w:space="0" w:color="auto"/>
        <w:left w:val="none" w:sz="0" w:space="0" w:color="auto"/>
        <w:bottom w:val="none" w:sz="0" w:space="0" w:color="auto"/>
        <w:right w:val="none" w:sz="0" w:space="0" w:color="auto"/>
      </w:divBdr>
    </w:div>
    <w:div w:id="897473151">
      <w:bodyDiv w:val="1"/>
      <w:marLeft w:val="0"/>
      <w:marRight w:val="0"/>
      <w:marTop w:val="0"/>
      <w:marBottom w:val="0"/>
      <w:divBdr>
        <w:top w:val="none" w:sz="0" w:space="0" w:color="auto"/>
        <w:left w:val="none" w:sz="0" w:space="0" w:color="auto"/>
        <w:bottom w:val="none" w:sz="0" w:space="0" w:color="auto"/>
        <w:right w:val="none" w:sz="0" w:space="0" w:color="auto"/>
      </w:divBdr>
    </w:div>
    <w:div w:id="900334446">
      <w:bodyDiv w:val="1"/>
      <w:marLeft w:val="0"/>
      <w:marRight w:val="0"/>
      <w:marTop w:val="0"/>
      <w:marBottom w:val="0"/>
      <w:divBdr>
        <w:top w:val="none" w:sz="0" w:space="0" w:color="auto"/>
        <w:left w:val="none" w:sz="0" w:space="0" w:color="auto"/>
        <w:bottom w:val="none" w:sz="0" w:space="0" w:color="auto"/>
        <w:right w:val="none" w:sz="0" w:space="0" w:color="auto"/>
      </w:divBdr>
    </w:div>
    <w:div w:id="908853626">
      <w:bodyDiv w:val="1"/>
      <w:marLeft w:val="0"/>
      <w:marRight w:val="0"/>
      <w:marTop w:val="0"/>
      <w:marBottom w:val="0"/>
      <w:divBdr>
        <w:top w:val="none" w:sz="0" w:space="0" w:color="auto"/>
        <w:left w:val="none" w:sz="0" w:space="0" w:color="auto"/>
        <w:bottom w:val="none" w:sz="0" w:space="0" w:color="auto"/>
        <w:right w:val="none" w:sz="0" w:space="0" w:color="auto"/>
      </w:divBdr>
    </w:div>
    <w:div w:id="925648115">
      <w:bodyDiv w:val="1"/>
      <w:marLeft w:val="0"/>
      <w:marRight w:val="0"/>
      <w:marTop w:val="0"/>
      <w:marBottom w:val="0"/>
      <w:divBdr>
        <w:top w:val="none" w:sz="0" w:space="0" w:color="auto"/>
        <w:left w:val="none" w:sz="0" w:space="0" w:color="auto"/>
        <w:bottom w:val="none" w:sz="0" w:space="0" w:color="auto"/>
        <w:right w:val="none" w:sz="0" w:space="0" w:color="auto"/>
      </w:divBdr>
    </w:div>
    <w:div w:id="929894137">
      <w:bodyDiv w:val="1"/>
      <w:marLeft w:val="0"/>
      <w:marRight w:val="0"/>
      <w:marTop w:val="0"/>
      <w:marBottom w:val="0"/>
      <w:divBdr>
        <w:top w:val="none" w:sz="0" w:space="0" w:color="auto"/>
        <w:left w:val="none" w:sz="0" w:space="0" w:color="auto"/>
        <w:bottom w:val="none" w:sz="0" w:space="0" w:color="auto"/>
        <w:right w:val="none" w:sz="0" w:space="0" w:color="auto"/>
      </w:divBdr>
    </w:div>
    <w:div w:id="940799739">
      <w:bodyDiv w:val="1"/>
      <w:marLeft w:val="0"/>
      <w:marRight w:val="0"/>
      <w:marTop w:val="0"/>
      <w:marBottom w:val="0"/>
      <w:divBdr>
        <w:top w:val="none" w:sz="0" w:space="0" w:color="auto"/>
        <w:left w:val="none" w:sz="0" w:space="0" w:color="auto"/>
        <w:bottom w:val="none" w:sz="0" w:space="0" w:color="auto"/>
        <w:right w:val="none" w:sz="0" w:space="0" w:color="auto"/>
      </w:divBdr>
    </w:div>
    <w:div w:id="941378074">
      <w:bodyDiv w:val="1"/>
      <w:marLeft w:val="0"/>
      <w:marRight w:val="0"/>
      <w:marTop w:val="0"/>
      <w:marBottom w:val="0"/>
      <w:divBdr>
        <w:top w:val="none" w:sz="0" w:space="0" w:color="auto"/>
        <w:left w:val="none" w:sz="0" w:space="0" w:color="auto"/>
        <w:bottom w:val="none" w:sz="0" w:space="0" w:color="auto"/>
        <w:right w:val="none" w:sz="0" w:space="0" w:color="auto"/>
      </w:divBdr>
    </w:div>
    <w:div w:id="959919093">
      <w:bodyDiv w:val="1"/>
      <w:marLeft w:val="0"/>
      <w:marRight w:val="0"/>
      <w:marTop w:val="0"/>
      <w:marBottom w:val="0"/>
      <w:divBdr>
        <w:top w:val="none" w:sz="0" w:space="0" w:color="auto"/>
        <w:left w:val="none" w:sz="0" w:space="0" w:color="auto"/>
        <w:bottom w:val="none" w:sz="0" w:space="0" w:color="auto"/>
        <w:right w:val="none" w:sz="0" w:space="0" w:color="auto"/>
      </w:divBdr>
    </w:div>
    <w:div w:id="964968596">
      <w:bodyDiv w:val="1"/>
      <w:marLeft w:val="0"/>
      <w:marRight w:val="0"/>
      <w:marTop w:val="0"/>
      <w:marBottom w:val="0"/>
      <w:divBdr>
        <w:top w:val="none" w:sz="0" w:space="0" w:color="auto"/>
        <w:left w:val="none" w:sz="0" w:space="0" w:color="auto"/>
        <w:bottom w:val="none" w:sz="0" w:space="0" w:color="auto"/>
        <w:right w:val="none" w:sz="0" w:space="0" w:color="auto"/>
      </w:divBdr>
    </w:div>
    <w:div w:id="987393706">
      <w:bodyDiv w:val="1"/>
      <w:marLeft w:val="0"/>
      <w:marRight w:val="0"/>
      <w:marTop w:val="0"/>
      <w:marBottom w:val="0"/>
      <w:divBdr>
        <w:top w:val="none" w:sz="0" w:space="0" w:color="auto"/>
        <w:left w:val="none" w:sz="0" w:space="0" w:color="auto"/>
        <w:bottom w:val="none" w:sz="0" w:space="0" w:color="auto"/>
        <w:right w:val="none" w:sz="0" w:space="0" w:color="auto"/>
      </w:divBdr>
    </w:div>
    <w:div w:id="990987786">
      <w:bodyDiv w:val="1"/>
      <w:marLeft w:val="0"/>
      <w:marRight w:val="0"/>
      <w:marTop w:val="0"/>
      <w:marBottom w:val="0"/>
      <w:divBdr>
        <w:top w:val="none" w:sz="0" w:space="0" w:color="auto"/>
        <w:left w:val="none" w:sz="0" w:space="0" w:color="auto"/>
        <w:bottom w:val="none" w:sz="0" w:space="0" w:color="auto"/>
        <w:right w:val="none" w:sz="0" w:space="0" w:color="auto"/>
      </w:divBdr>
    </w:div>
    <w:div w:id="999306128">
      <w:bodyDiv w:val="1"/>
      <w:marLeft w:val="0"/>
      <w:marRight w:val="0"/>
      <w:marTop w:val="0"/>
      <w:marBottom w:val="0"/>
      <w:divBdr>
        <w:top w:val="none" w:sz="0" w:space="0" w:color="auto"/>
        <w:left w:val="none" w:sz="0" w:space="0" w:color="auto"/>
        <w:bottom w:val="none" w:sz="0" w:space="0" w:color="auto"/>
        <w:right w:val="none" w:sz="0" w:space="0" w:color="auto"/>
      </w:divBdr>
    </w:div>
    <w:div w:id="1001353896">
      <w:bodyDiv w:val="1"/>
      <w:marLeft w:val="0"/>
      <w:marRight w:val="0"/>
      <w:marTop w:val="0"/>
      <w:marBottom w:val="0"/>
      <w:divBdr>
        <w:top w:val="none" w:sz="0" w:space="0" w:color="auto"/>
        <w:left w:val="none" w:sz="0" w:space="0" w:color="auto"/>
        <w:bottom w:val="none" w:sz="0" w:space="0" w:color="auto"/>
        <w:right w:val="none" w:sz="0" w:space="0" w:color="auto"/>
      </w:divBdr>
    </w:div>
    <w:div w:id="1031149796">
      <w:bodyDiv w:val="1"/>
      <w:marLeft w:val="0"/>
      <w:marRight w:val="0"/>
      <w:marTop w:val="0"/>
      <w:marBottom w:val="0"/>
      <w:divBdr>
        <w:top w:val="none" w:sz="0" w:space="0" w:color="auto"/>
        <w:left w:val="none" w:sz="0" w:space="0" w:color="auto"/>
        <w:bottom w:val="none" w:sz="0" w:space="0" w:color="auto"/>
        <w:right w:val="none" w:sz="0" w:space="0" w:color="auto"/>
      </w:divBdr>
    </w:div>
    <w:div w:id="1082869690">
      <w:bodyDiv w:val="1"/>
      <w:marLeft w:val="0"/>
      <w:marRight w:val="0"/>
      <w:marTop w:val="0"/>
      <w:marBottom w:val="0"/>
      <w:divBdr>
        <w:top w:val="none" w:sz="0" w:space="0" w:color="auto"/>
        <w:left w:val="none" w:sz="0" w:space="0" w:color="auto"/>
        <w:bottom w:val="none" w:sz="0" w:space="0" w:color="auto"/>
        <w:right w:val="none" w:sz="0" w:space="0" w:color="auto"/>
      </w:divBdr>
    </w:div>
    <w:div w:id="1090198817">
      <w:bodyDiv w:val="1"/>
      <w:marLeft w:val="0"/>
      <w:marRight w:val="0"/>
      <w:marTop w:val="0"/>
      <w:marBottom w:val="0"/>
      <w:divBdr>
        <w:top w:val="none" w:sz="0" w:space="0" w:color="auto"/>
        <w:left w:val="none" w:sz="0" w:space="0" w:color="auto"/>
        <w:bottom w:val="none" w:sz="0" w:space="0" w:color="auto"/>
        <w:right w:val="none" w:sz="0" w:space="0" w:color="auto"/>
      </w:divBdr>
    </w:div>
    <w:div w:id="1123304428">
      <w:bodyDiv w:val="1"/>
      <w:marLeft w:val="0"/>
      <w:marRight w:val="0"/>
      <w:marTop w:val="0"/>
      <w:marBottom w:val="0"/>
      <w:divBdr>
        <w:top w:val="none" w:sz="0" w:space="0" w:color="auto"/>
        <w:left w:val="none" w:sz="0" w:space="0" w:color="auto"/>
        <w:bottom w:val="none" w:sz="0" w:space="0" w:color="auto"/>
        <w:right w:val="none" w:sz="0" w:space="0" w:color="auto"/>
      </w:divBdr>
    </w:div>
    <w:div w:id="1151681052">
      <w:bodyDiv w:val="1"/>
      <w:marLeft w:val="0"/>
      <w:marRight w:val="0"/>
      <w:marTop w:val="0"/>
      <w:marBottom w:val="0"/>
      <w:divBdr>
        <w:top w:val="none" w:sz="0" w:space="0" w:color="auto"/>
        <w:left w:val="none" w:sz="0" w:space="0" w:color="auto"/>
        <w:bottom w:val="none" w:sz="0" w:space="0" w:color="auto"/>
        <w:right w:val="none" w:sz="0" w:space="0" w:color="auto"/>
      </w:divBdr>
    </w:div>
    <w:div w:id="1201868419">
      <w:bodyDiv w:val="1"/>
      <w:marLeft w:val="0"/>
      <w:marRight w:val="0"/>
      <w:marTop w:val="0"/>
      <w:marBottom w:val="0"/>
      <w:divBdr>
        <w:top w:val="none" w:sz="0" w:space="0" w:color="auto"/>
        <w:left w:val="none" w:sz="0" w:space="0" w:color="auto"/>
        <w:bottom w:val="none" w:sz="0" w:space="0" w:color="auto"/>
        <w:right w:val="none" w:sz="0" w:space="0" w:color="auto"/>
      </w:divBdr>
    </w:div>
    <w:div w:id="1227759210">
      <w:bodyDiv w:val="1"/>
      <w:marLeft w:val="0"/>
      <w:marRight w:val="0"/>
      <w:marTop w:val="0"/>
      <w:marBottom w:val="0"/>
      <w:divBdr>
        <w:top w:val="none" w:sz="0" w:space="0" w:color="auto"/>
        <w:left w:val="none" w:sz="0" w:space="0" w:color="auto"/>
        <w:bottom w:val="none" w:sz="0" w:space="0" w:color="auto"/>
        <w:right w:val="none" w:sz="0" w:space="0" w:color="auto"/>
      </w:divBdr>
    </w:div>
    <w:div w:id="1230261811">
      <w:bodyDiv w:val="1"/>
      <w:marLeft w:val="0"/>
      <w:marRight w:val="0"/>
      <w:marTop w:val="0"/>
      <w:marBottom w:val="0"/>
      <w:divBdr>
        <w:top w:val="none" w:sz="0" w:space="0" w:color="auto"/>
        <w:left w:val="none" w:sz="0" w:space="0" w:color="auto"/>
        <w:bottom w:val="none" w:sz="0" w:space="0" w:color="auto"/>
        <w:right w:val="none" w:sz="0" w:space="0" w:color="auto"/>
      </w:divBdr>
    </w:div>
    <w:div w:id="1241867826">
      <w:bodyDiv w:val="1"/>
      <w:marLeft w:val="0"/>
      <w:marRight w:val="0"/>
      <w:marTop w:val="0"/>
      <w:marBottom w:val="0"/>
      <w:divBdr>
        <w:top w:val="none" w:sz="0" w:space="0" w:color="auto"/>
        <w:left w:val="none" w:sz="0" w:space="0" w:color="auto"/>
        <w:bottom w:val="none" w:sz="0" w:space="0" w:color="auto"/>
        <w:right w:val="none" w:sz="0" w:space="0" w:color="auto"/>
      </w:divBdr>
    </w:div>
    <w:div w:id="1246494801">
      <w:bodyDiv w:val="1"/>
      <w:marLeft w:val="0"/>
      <w:marRight w:val="0"/>
      <w:marTop w:val="0"/>
      <w:marBottom w:val="0"/>
      <w:divBdr>
        <w:top w:val="none" w:sz="0" w:space="0" w:color="auto"/>
        <w:left w:val="none" w:sz="0" w:space="0" w:color="auto"/>
        <w:bottom w:val="none" w:sz="0" w:space="0" w:color="auto"/>
        <w:right w:val="none" w:sz="0" w:space="0" w:color="auto"/>
      </w:divBdr>
    </w:div>
    <w:div w:id="1260679855">
      <w:bodyDiv w:val="1"/>
      <w:marLeft w:val="0"/>
      <w:marRight w:val="0"/>
      <w:marTop w:val="0"/>
      <w:marBottom w:val="0"/>
      <w:divBdr>
        <w:top w:val="none" w:sz="0" w:space="0" w:color="auto"/>
        <w:left w:val="none" w:sz="0" w:space="0" w:color="auto"/>
        <w:bottom w:val="none" w:sz="0" w:space="0" w:color="auto"/>
        <w:right w:val="none" w:sz="0" w:space="0" w:color="auto"/>
      </w:divBdr>
    </w:div>
    <w:div w:id="1262185130">
      <w:bodyDiv w:val="1"/>
      <w:marLeft w:val="0"/>
      <w:marRight w:val="0"/>
      <w:marTop w:val="0"/>
      <w:marBottom w:val="0"/>
      <w:divBdr>
        <w:top w:val="none" w:sz="0" w:space="0" w:color="auto"/>
        <w:left w:val="none" w:sz="0" w:space="0" w:color="auto"/>
        <w:bottom w:val="none" w:sz="0" w:space="0" w:color="auto"/>
        <w:right w:val="none" w:sz="0" w:space="0" w:color="auto"/>
      </w:divBdr>
    </w:div>
    <w:div w:id="1262952649">
      <w:bodyDiv w:val="1"/>
      <w:marLeft w:val="0"/>
      <w:marRight w:val="0"/>
      <w:marTop w:val="0"/>
      <w:marBottom w:val="0"/>
      <w:divBdr>
        <w:top w:val="none" w:sz="0" w:space="0" w:color="auto"/>
        <w:left w:val="none" w:sz="0" w:space="0" w:color="auto"/>
        <w:bottom w:val="none" w:sz="0" w:space="0" w:color="auto"/>
        <w:right w:val="none" w:sz="0" w:space="0" w:color="auto"/>
      </w:divBdr>
    </w:div>
    <w:div w:id="1308897901">
      <w:bodyDiv w:val="1"/>
      <w:marLeft w:val="0"/>
      <w:marRight w:val="0"/>
      <w:marTop w:val="0"/>
      <w:marBottom w:val="0"/>
      <w:divBdr>
        <w:top w:val="none" w:sz="0" w:space="0" w:color="auto"/>
        <w:left w:val="none" w:sz="0" w:space="0" w:color="auto"/>
        <w:bottom w:val="none" w:sz="0" w:space="0" w:color="auto"/>
        <w:right w:val="none" w:sz="0" w:space="0" w:color="auto"/>
      </w:divBdr>
    </w:div>
    <w:div w:id="1349720603">
      <w:bodyDiv w:val="1"/>
      <w:marLeft w:val="0"/>
      <w:marRight w:val="0"/>
      <w:marTop w:val="0"/>
      <w:marBottom w:val="0"/>
      <w:divBdr>
        <w:top w:val="none" w:sz="0" w:space="0" w:color="auto"/>
        <w:left w:val="none" w:sz="0" w:space="0" w:color="auto"/>
        <w:bottom w:val="none" w:sz="0" w:space="0" w:color="auto"/>
        <w:right w:val="none" w:sz="0" w:space="0" w:color="auto"/>
      </w:divBdr>
    </w:div>
    <w:div w:id="1379237691">
      <w:bodyDiv w:val="1"/>
      <w:marLeft w:val="0"/>
      <w:marRight w:val="0"/>
      <w:marTop w:val="0"/>
      <w:marBottom w:val="0"/>
      <w:divBdr>
        <w:top w:val="none" w:sz="0" w:space="0" w:color="auto"/>
        <w:left w:val="none" w:sz="0" w:space="0" w:color="auto"/>
        <w:bottom w:val="none" w:sz="0" w:space="0" w:color="auto"/>
        <w:right w:val="none" w:sz="0" w:space="0" w:color="auto"/>
      </w:divBdr>
    </w:div>
    <w:div w:id="1393312937">
      <w:bodyDiv w:val="1"/>
      <w:marLeft w:val="0"/>
      <w:marRight w:val="0"/>
      <w:marTop w:val="0"/>
      <w:marBottom w:val="0"/>
      <w:divBdr>
        <w:top w:val="none" w:sz="0" w:space="0" w:color="auto"/>
        <w:left w:val="none" w:sz="0" w:space="0" w:color="auto"/>
        <w:bottom w:val="none" w:sz="0" w:space="0" w:color="auto"/>
        <w:right w:val="none" w:sz="0" w:space="0" w:color="auto"/>
      </w:divBdr>
    </w:div>
    <w:div w:id="1403480633">
      <w:bodyDiv w:val="1"/>
      <w:marLeft w:val="0"/>
      <w:marRight w:val="0"/>
      <w:marTop w:val="0"/>
      <w:marBottom w:val="0"/>
      <w:divBdr>
        <w:top w:val="none" w:sz="0" w:space="0" w:color="auto"/>
        <w:left w:val="none" w:sz="0" w:space="0" w:color="auto"/>
        <w:bottom w:val="none" w:sz="0" w:space="0" w:color="auto"/>
        <w:right w:val="none" w:sz="0" w:space="0" w:color="auto"/>
      </w:divBdr>
    </w:div>
    <w:div w:id="1413233017">
      <w:bodyDiv w:val="1"/>
      <w:marLeft w:val="0"/>
      <w:marRight w:val="0"/>
      <w:marTop w:val="0"/>
      <w:marBottom w:val="0"/>
      <w:divBdr>
        <w:top w:val="none" w:sz="0" w:space="0" w:color="auto"/>
        <w:left w:val="none" w:sz="0" w:space="0" w:color="auto"/>
        <w:bottom w:val="none" w:sz="0" w:space="0" w:color="auto"/>
        <w:right w:val="none" w:sz="0" w:space="0" w:color="auto"/>
      </w:divBdr>
    </w:div>
    <w:div w:id="1415862580">
      <w:bodyDiv w:val="1"/>
      <w:marLeft w:val="0"/>
      <w:marRight w:val="0"/>
      <w:marTop w:val="0"/>
      <w:marBottom w:val="0"/>
      <w:divBdr>
        <w:top w:val="none" w:sz="0" w:space="0" w:color="auto"/>
        <w:left w:val="none" w:sz="0" w:space="0" w:color="auto"/>
        <w:bottom w:val="none" w:sz="0" w:space="0" w:color="auto"/>
        <w:right w:val="none" w:sz="0" w:space="0" w:color="auto"/>
      </w:divBdr>
    </w:div>
    <w:div w:id="1423642555">
      <w:bodyDiv w:val="1"/>
      <w:marLeft w:val="0"/>
      <w:marRight w:val="0"/>
      <w:marTop w:val="0"/>
      <w:marBottom w:val="0"/>
      <w:divBdr>
        <w:top w:val="none" w:sz="0" w:space="0" w:color="auto"/>
        <w:left w:val="none" w:sz="0" w:space="0" w:color="auto"/>
        <w:bottom w:val="none" w:sz="0" w:space="0" w:color="auto"/>
        <w:right w:val="none" w:sz="0" w:space="0" w:color="auto"/>
      </w:divBdr>
    </w:div>
    <w:div w:id="1440442868">
      <w:bodyDiv w:val="1"/>
      <w:marLeft w:val="0"/>
      <w:marRight w:val="0"/>
      <w:marTop w:val="0"/>
      <w:marBottom w:val="0"/>
      <w:divBdr>
        <w:top w:val="none" w:sz="0" w:space="0" w:color="auto"/>
        <w:left w:val="none" w:sz="0" w:space="0" w:color="auto"/>
        <w:bottom w:val="none" w:sz="0" w:space="0" w:color="auto"/>
        <w:right w:val="none" w:sz="0" w:space="0" w:color="auto"/>
      </w:divBdr>
    </w:div>
    <w:div w:id="1441803216">
      <w:bodyDiv w:val="1"/>
      <w:marLeft w:val="0"/>
      <w:marRight w:val="0"/>
      <w:marTop w:val="0"/>
      <w:marBottom w:val="0"/>
      <w:divBdr>
        <w:top w:val="none" w:sz="0" w:space="0" w:color="auto"/>
        <w:left w:val="none" w:sz="0" w:space="0" w:color="auto"/>
        <w:bottom w:val="none" w:sz="0" w:space="0" w:color="auto"/>
        <w:right w:val="none" w:sz="0" w:space="0" w:color="auto"/>
      </w:divBdr>
    </w:div>
    <w:div w:id="1448352745">
      <w:bodyDiv w:val="1"/>
      <w:marLeft w:val="0"/>
      <w:marRight w:val="0"/>
      <w:marTop w:val="0"/>
      <w:marBottom w:val="0"/>
      <w:divBdr>
        <w:top w:val="none" w:sz="0" w:space="0" w:color="auto"/>
        <w:left w:val="none" w:sz="0" w:space="0" w:color="auto"/>
        <w:bottom w:val="none" w:sz="0" w:space="0" w:color="auto"/>
        <w:right w:val="none" w:sz="0" w:space="0" w:color="auto"/>
      </w:divBdr>
    </w:div>
    <w:div w:id="1462764200">
      <w:bodyDiv w:val="1"/>
      <w:marLeft w:val="0"/>
      <w:marRight w:val="0"/>
      <w:marTop w:val="0"/>
      <w:marBottom w:val="0"/>
      <w:divBdr>
        <w:top w:val="none" w:sz="0" w:space="0" w:color="auto"/>
        <w:left w:val="none" w:sz="0" w:space="0" w:color="auto"/>
        <w:bottom w:val="none" w:sz="0" w:space="0" w:color="auto"/>
        <w:right w:val="none" w:sz="0" w:space="0" w:color="auto"/>
      </w:divBdr>
    </w:div>
    <w:div w:id="1486242850">
      <w:bodyDiv w:val="1"/>
      <w:marLeft w:val="0"/>
      <w:marRight w:val="0"/>
      <w:marTop w:val="0"/>
      <w:marBottom w:val="0"/>
      <w:divBdr>
        <w:top w:val="none" w:sz="0" w:space="0" w:color="auto"/>
        <w:left w:val="none" w:sz="0" w:space="0" w:color="auto"/>
        <w:bottom w:val="none" w:sz="0" w:space="0" w:color="auto"/>
        <w:right w:val="none" w:sz="0" w:space="0" w:color="auto"/>
      </w:divBdr>
    </w:div>
    <w:div w:id="1505782337">
      <w:bodyDiv w:val="1"/>
      <w:marLeft w:val="0"/>
      <w:marRight w:val="0"/>
      <w:marTop w:val="0"/>
      <w:marBottom w:val="0"/>
      <w:divBdr>
        <w:top w:val="none" w:sz="0" w:space="0" w:color="auto"/>
        <w:left w:val="none" w:sz="0" w:space="0" w:color="auto"/>
        <w:bottom w:val="none" w:sz="0" w:space="0" w:color="auto"/>
        <w:right w:val="none" w:sz="0" w:space="0" w:color="auto"/>
      </w:divBdr>
    </w:div>
    <w:div w:id="1508594777">
      <w:bodyDiv w:val="1"/>
      <w:marLeft w:val="0"/>
      <w:marRight w:val="0"/>
      <w:marTop w:val="0"/>
      <w:marBottom w:val="0"/>
      <w:divBdr>
        <w:top w:val="none" w:sz="0" w:space="0" w:color="auto"/>
        <w:left w:val="none" w:sz="0" w:space="0" w:color="auto"/>
        <w:bottom w:val="none" w:sz="0" w:space="0" w:color="auto"/>
        <w:right w:val="none" w:sz="0" w:space="0" w:color="auto"/>
      </w:divBdr>
    </w:div>
    <w:div w:id="1512797616">
      <w:bodyDiv w:val="1"/>
      <w:marLeft w:val="0"/>
      <w:marRight w:val="0"/>
      <w:marTop w:val="0"/>
      <w:marBottom w:val="0"/>
      <w:divBdr>
        <w:top w:val="none" w:sz="0" w:space="0" w:color="auto"/>
        <w:left w:val="none" w:sz="0" w:space="0" w:color="auto"/>
        <w:bottom w:val="none" w:sz="0" w:space="0" w:color="auto"/>
        <w:right w:val="none" w:sz="0" w:space="0" w:color="auto"/>
      </w:divBdr>
    </w:div>
    <w:div w:id="1532260137">
      <w:bodyDiv w:val="1"/>
      <w:marLeft w:val="0"/>
      <w:marRight w:val="0"/>
      <w:marTop w:val="0"/>
      <w:marBottom w:val="0"/>
      <w:divBdr>
        <w:top w:val="none" w:sz="0" w:space="0" w:color="auto"/>
        <w:left w:val="none" w:sz="0" w:space="0" w:color="auto"/>
        <w:bottom w:val="none" w:sz="0" w:space="0" w:color="auto"/>
        <w:right w:val="none" w:sz="0" w:space="0" w:color="auto"/>
      </w:divBdr>
    </w:div>
    <w:div w:id="1533806117">
      <w:bodyDiv w:val="1"/>
      <w:marLeft w:val="0"/>
      <w:marRight w:val="0"/>
      <w:marTop w:val="0"/>
      <w:marBottom w:val="0"/>
      <w:divBdr>
        <w:top w:val="none" w:sz="0" w:space="0" w:color="auto"/>
        <w:left w:val="none" w:sz="0" w:space="0" w:color="auto"/>
        <w:bottom w:val="none" w:sz="0" w:space="0" w:color="auto"/>
        <w:right w:val="none" w:sz="0" w:space="0" w:color="auto"/>
      </w:divBdr>
    </w:div>
    <w:div w:id="1536044711">
      <w:bodyDiv w:val="1"/>
      <w:marLeft w:val="0"/>
      <w:marRight w:val="0"/>
      <w:marTop w:val="0"/>
      <w:marBottom w:val="0"/>
      <w:divBdr>
        <w:top w:val="none" w:sz="0" w:space="0" w:color="auto"/>
        <w:left w:val="none" w:sz="0" w:space="0" w:color="auto"/>
        <w:bottom w:val="none" w:sz="0" w:space="0" w:color="auto"/>
        <w:right w:val="none" w:sz="0" w:space="0" w:color="auto"/>
      </w:divBdr>
    </w:div>
    <w:div w:id="1546604768">
      <w:bodyDiv w:val="1"/>
      <w:marLeft w:val="0"/>
      <w:marRight w:val="0"/>
      <w:marTop w:val="0"/>
      <w:marBottom w:val="0"/>
      <w:divBdr>
        <w:top w:val="none" w:sz="0" w:space="0" w:color="auto"/>
        <w:left w:val="none" w:sz="0" w:space="0" w:color="auto"/>
        <w:bottom w:val="none" w:sz="0" w:space="0" w:color="auto"/>
        <w:right w:val="none" w:sz="0" w:space="0" w:color="auto"/>
      </w:divBdr>
    </w:div>
    <w:div w:id="1547990007">
      <w:bodyDiv w:val="1"/>
      <w:marLeft w:val="0"/>
      <w:marRight w:val="0"/>
      <w:marTop w:val="0"/>
      <w:marBottom w:val="0"/>
      <w:divBdr>
        <w:top w:val="none" w:sz="0" w:space="0" w:color="auto"/>
        <w:left w:val="none" w:sz="0" w:space="0" w:color="auto"/>
        <w:bottom w:val="none" w:sz="0" w:space="0" w:color="auto"/>
        <w:right w:val="none" w:sz="0" w:space="0" w:color="auto"/>
      </w:divBdr>
    </w:div>
    <w:div w:id="1559315752">
      <w:bodyDiv w:val="1"/>
      <w:marLeft w:val="0"/>
      <w:marRight w:val="0"/>
      <w:marTop w:val="0"/>
      <w:marBottom w:val="0"/>
      <w:divBdr>
        <w:top w:val="none" w:sz="0" w:space="0" w:color="auto"/>
        <w:left w:val="none" w:sz="0" w:space="0" w:color="auto"/>
        <w:bottom w:val="none" w:sz="0" w:space="0" w:color="auto"/>
        <w:right w:val="none" w:sz="0" w:space="0" w:color="auto"/>
      </w:divBdr>
    </w:div>
    <w:div w:id="1576934767">
      <w:bodyDiv w:val="1"/>
      <w:marLeft w:val="0"/>
      <w:marRight w:val="0"/>
      <w:marTop w:val="0"/>
      <w:marBottom w:val="0"/>
      <w:divBdr>
        <w:top w:val="none" w:sz="0" w:space="0" w:color="auto"/>
        <w:left w:val="none" w:sz="0" w:space="0" w:color="auto"/>
        <w:bottom w:val="none" w:sz="0" w:space="0" w:color="auto"/>
        <w:right w:val="none" w:sz="0" w:space="0" w:color="auto"/>
      </w:divBdr>
    </w:div>
    <w:div w:id="1587106540">
      <w:bodyDiv w:val="1"/>
      <w:marLeft w:val="0"/>
      <w:marRight w:val="0"/>
      <w:marTop w:val="0"/>
      <w:marBottom w:val="0"/>
      <w:divBdr>
        <w:top w:val="none" w:sz="0" w:space="0" w:color="auto"/>
        <w:left w:val="none" w:sz="0" w:space="0" w:color="auto"/>
        <w:bottom w:val="none" w:sz="0" w:space="0" w:color="auto"/>
        <w:right w:val="none" w:sz="0" w:space="0" w:color="auto"/>
      </w:divBdr>
    </w:div>
    <w:div w:id="1595816977">
      <w:bodyDiv w:val="1"/>
      <w:marLeft w:val="0"/>
      <w:marRight w:val="0"/>
      <w:marTop w:val="0"/>
      <w:marBottom w:val="0"/>
      <w:divBdr>
        <w:top w:val="none" w:sz="0" w:space="0" w:color="auto"/>
        <w:left w:val="none" w:sz="0" w:space="0" w:color="auto"/>
        <w:bottom w:val="none" w:sz="0" w:space="0" w:color="auto"/>
        <w:right w:val="none" w:sz="0" w:space="0" w:color="auto"/>
      </w:divBdr>
    </w:div>
    <w:div w:id="1604416181">
      <w:bodyDiv w:val="1"/>
      <w:marLeft w:val="0"/>
      <w:marRight w:val="0"/>
      <w:marTop w:val="0"/>
      <w:marBottom w:val="0"/>
      <w:divBdr>
        <w:top w:val="none" w:sz="0" w:space="0" w:color="auto"/>
        <w:left w:val="none" w:sz="0" w:space="0" w:color="auto"/>
        <w:bottom w:val="none" w:sz="0" w:space="0" w:color="auto"/>
        <w:right w:val="none" w:sz="0" w:space="0" w:color="auto"/>
      </w:divBdr>
    </w:div>
    <w:div w:id="1609504644">
      <w:bodyDiv w:val="1"/>
      <w:marLeft w:val="0"/>
      <w:marRight w:val="0"/>
      <w:marTop w:val="0"/>
      <w:marBottom w:val="0"/>
      <w:divBdr>
        <w:top w:val="none" w:sz="0" w:space="0" w:color="auto"/>
        <w:left w:val="none" w:sz="0" w:space="0" w:color="auto"/>
        <w:bottom w:val="none" w:sz="0" w:space="0" w:color="auto"/>
        <w:right w:val="none" w:sz="0" w:space="0" w:color="auto"/>
      </w:divBdr>
    </w:div>
    <w:div w:id="1610968612">
      <w:bodyDiv w:val="1"/>
      <w:marLeft w:val="0"/>
      <w:marRight w:val="0"/>
      <w:marTop w:val="0"/>
      <w:marBottom w:val="0"/>
      <w:divBdr>
        <w:top w:val="none" w:sz="0" w:space="0" w:color="auto"/>
        <w:left w:val="none" w:sz="0" w:space="0" w:color="auto"/>
        <w:bottom w:val="none" w:sz="0" w:space="0" w:color="auto"/>
        <w:right w:val="none" w:sz="0" w:space="0" w:color="auto"/>
      </w:divBdr>
    </w:div>
    <w:div w:id="1623532707">
      <w:bodyDiv w:val="1"/>
      <w:marLeft w:val="0"/>
      <w:marRight w:val="0"/>
      <w:marTop w:val="0"/>
      <w:marBottom w:val="0"/>
      <w:divBdr>
        <w:top w:val="none" w:sz="0" w:space="0" w:color="auto"/>
        <w:left w:val="none" w:sz="0" w:space="0" w:color="auto"/>
        <w:bottom w:val="none" w:sz="0" w:space="0" w:color="auto"/>
        <w:right w:val="none" w:sz="0" w:space="0" w:color="auto"/>
      </w:divBdr>
      <w:divsChild>
        <w:div w:id="1896774563">
          <w:marLeft w:val="0"/>
          <w:marRight w:val="0"/>
          <w:marTop w:val="0"/>
          <w:marBottom w:val="0"/>
          <w:divBdr>
            <w:top w:val="none" w:sz="0" w:space="0" w:color="auto"/>
            <w:left w:val="none" w:sz="0" w:space="0" w:color="auto"/>
            <w:bottom w:val="none" w:sz="0" w:space="0" w:color="auto"/>
            <w:right w:val="none" w:sz="0" w:space="0" w:color="auto"/>
          </w:divBdr>
        </w:div>
        <w:div w:id="1182937399">
          <w:marLeft w:val="0"/>
          <w:marRight w:val="0"/>
          <w:marTop w:val="0"/>
          <w:marBottom w:val="0"/>
          <w:divBdr>
            <w:top w:val="none" w:sz="0" w:space="0" w:color="auto"/>
            <w:left w:val="none" w:sz="0" w:space="0" w:color="auto"/>
            <w:bottom w:val="none" w:sz="0" w:space="0" w:color="auto"/>
            <w:right w:val="none" w:sz="0" w:space="0" w:color="auto"/>
          </w:divBdr>
        </w:div>
        <w:div w:id="643001437">
          <w:marLeft w:val="0"/>
          <w:marRight w:val="0"/>
          <w:marTop w:val="0"/>
          <w:marBottom w:val="0"/>
          <w:divBdr>
            <w:top w:val="none" w:sz="0" w:space="0" w:color="auto"/>
            <w:left w:val="none" w:sz="0" w:space="0" w:color="auto"/>
            <w:bottom w:val="none" w:sz="0" w:space="0" w:color="auto"/>
            <w:right w:val="none" w:sz="0" w:space="0" w:color="auto"/>
          </w:divBdr>
        </w:div>
      </w:divsChild>
    </w:div>
    <w:div w:id="1636257212">
      <w:bodyDiv w:val="1"/>
      <w:marLeft w:val="0"/>
      <w:marRight w:val="0"/>
      <w:marTop w:val="0"/>
      <w:marBottom w:val="0"/>
      <w:divBdr>
        <w:top w:val="none" w:sz="0" w:space="0" w:color="auto"/>
        <w:left w:val="none" w:sz="0" w:space="0" w:color="auto"/>
        <w:bottom w:val="none" w:sz="0" w:space="0" w:color="auto"/>
        <w:right w:val="none" w:sz="0" w:space="0" w:color="auto"/>
      </w:divBdr>
    </w:div>
    <w:div w:id="1649284428">
      <w:bodyDiv w:val="1"/>
      <w:marLeft w:val="0"/>
      <w:marRight w:val="0"/>
      <w:marTop w:val="0"/>
      <w:marBottom w:val="0"/>
      <w:divBdr>
        <w:top w:val="none" w:sz="0" w:space="0" w:color="auto"/>
        <w:left w:val="none" w:sz="0" w:space="0" w:color="auto"/>
        <w:bottom w:val="none" w:sz="0" w:space="0" w:color="auto"/>
        <w:right w:val="none" w:sz="0" w:space="0" w:color="auto"/>
      </w:divBdr>
    </w:div>
    <w:div w:id="1670213038">
      <w:bodyDiv w:val="1"/>
      <w:marLeft w:val="0"/>
      <w:marRight w:val="0"/>
      <w:marTop w:val="0"/>
      <w:marBottom w:val="0"/>
      <w:divBdr>
        <w:top w:val="none" w:sz="0" w:space="0" w:color="auto"/>
        <w:left w:val="none" w:sz="0" w:space="0" w:color="auto"/>
        <w:bottom w:val="none" w:sz="0" w:space="0" w:color="auto"/>
        <w:right w:val="none" w:sz="0" w:space="0" w:color="auto"/>
      </w:divBdr>
    </w:div>
    <w:div w:id="1697466241">
      <w:bodyDiv w:val="1"/>
      <w:marLeft w:val="0"/>
      <w:marRight w:val="0"/>
      <w:marTop w:val="0"/>
      <w:marBottom w:val="0"/>
      <w:divBdr>
        <w:top w:val="none" w:sz="0" w:space="0" w:color="auto"/>
        <w:left w:val="none" w:sz="0" w:space="0" w:color="auto"/>
        <w:bottom w:val="none" w:sz="0" w:space="0" w:color="auto"/>
        <w:right w:val="none" w:sz="0" w:space="0" w:color="auto"/>
      </w:divBdr>
    </w:div>
    <w:div w:id="1711565461">
      <w:bodyDiv w:val="1"/>
      <w:marLeft w:val="0"/>
      <w:marRight w:val="0"/>
      <w:marTop w:val="0"/>
      <w:marBottom w:val="0"/>
      <w:divBdr>
        <w:top w:val="none" w:sz="0" w:space="0" w:color="auto"/>
        <w:left w:val="none" w:sz="0" w:space="0" w:color="auto"/>
        <w:bottom w:val="none" w:sz="0" w:space="0" w:color="auto"/>
        <w:right w:val="none" w:sz="0" w:space="0" w:color="auto"/>
      </w:divBdr>
    </w:div>
    <w:div w:id="1713379684">
      <w:bodyDiv w:val="1"/>
      <w:marLeft w:val="0"/>
      <w:marRight w:val="0"/>
      <w:marTop w:val="0"/>
      <w:marBottom w:val="0"/>
      <w:divBdr>
        <w:top w:val="none" w:sz="0" w:space="0" w:color="auto"/>
        <w:left w:val="none" w:sz="0" w:space="0" w:color="auto"/>
        <w:bottom w:val="none" w:sz="0" w:space="0" w:color="auto"/>
        <w:right w:val="none" w:sz="0" w:space="0" w:color="auto"/>
      </w:divBdr>
    </w:div>
    <w:div w:id="1717772071">
      <w:bodyDiv w:val="1"/>
      <w:marLeft w:val="0"/>
      <w:marRight w:val="0"/>
      <w:marTop w:val="0"/>
      <w:marBottom w:val="0"/>
      <w:divBdr>
        <w:top w:val="none" w:sz="0" w:space="0" w:color="auto"/>
        <w:left w:val="none" w:sz="0" w:space="0" w:color="auto"/>
        <w:bottom w:val="none" w:sz="0" w:space="0" w:color="auto"/>
        <w:right w:val="none" w:sz="0" w:space="0" w:color="auto"/>
      </w:divBdr>
    </w:div>
    <w:div w:id="1727794658">
      <w:bodyDiv w:val="1"/>
      <w:marLeft w:val="0"/>
      <w:marRight w:val="0"/>
      <w:marTop w:val="0"/>
      <w:marBottom w:val="0"/>
      <w:divBdr>
        <w:top w:val="none" w:sz="0" w:space="0" w:color="auto"/>
        <w:left w:val="none" w:sz="0" w:space="0" w:color="auto"/>
        <w:bottom w:val="none" w:sz="0" w:space="0" w:color="auto"/>
        <w:right w:val="none" w:sz="0" w:space="0" w:color="auto"/>
      </w:divBdr>
    </w:div>
    <w:div w:id="1730031612">
      <w:bodyDiv w:val="1"/>
      <w:marLeft w:val="0"/>
      <w:marRight w:val="0"/>
      <w:marTop w:val="0"/>
      <w:marBottom w:val="0"/>
      <w:divBdr>
        <w:top w:val="none" w:sz="0" w:space="0" w:color="auto"/>
        <w:left w:val="none" w:sz="0" w:space="0" w:color="auto"/>
        <w:bottom w:val="none" w:sz="0" w:space="0" w:color="auto"/>
        <w:right w:val="none" w:sz="0" w:space="0" w:color="auto"/>
      </w:divBdr>
    </w:div>
    <w:div w:id="1730152481">
      <w:bodyDiv w:val="1"/>
      <w:marLeft w:val="0"/>
      <w:marRight w:val="0"/>
      <w:marTop w:val="0"/>
      <w:marBottom w:val="0"/>
      <w:divBdr>
        <w:top w:val="none" w:sz="0" w:space="0" w:color="auto"/>
        <w:left w:val="none" w:sz="0" w:space="0" w:color="auto"/>
        <w:bottom w:val="none" w:sz="0" w:space="0" w:color="auto"/>
        <w:right w:val="none" w:sz="0" w:space="0" w:color="auto"/>
      </w:divBdr>
    </w:div>
    <w:div w:id="1743679002">
      <w:bodyDiv w:val="1"/>
      <w:marLeft w:val="0"/>
      <w:marRight w:val="0"/>
      <w:marTop w:val="0"/>
      <w:marBottom w:val="0"/>
      <w:divBdr>
        <w:top w:val="none" w:sz="0" w:space="0" w:color="auto"/>
        <w:left w:val="none" w:sz="0" w:space="0" w:color="auto"/>
        <w:bottom w:val="none" w:sz="0" w:space="0" w:color="auto"/>
        <w:right w:val="none" w:sz="0" w:space="0" w:color="auto"/>
      </w:divBdr>
    </w:div>
    <w:div w:id="1757508253">
      <w:bodyDiv w:val="1"/>
      <w:marLeft w:val="0"/>
      <w:marRight w:val="0"/>
      <w:marTop w:val="0"/>
      <w:marBottom w:val="0"/>
      <w:divBdr>
        <w:top w:val="none" w:sz="0" w:space="0" w:color="auto"/>
        <w:left w:val="none" w:sz="0" w:space="0" w:color="auto"/>
        <w:bottom w:val="none" w:sz="0" w:space="0" w:color="auto"/>
        <w:right w:val="none" w:sz="0" w:space="0" w:color="auto"/>
      </w:divBdr>
    </w:div>
    <w:div w:id="1772319275">
      <w:bodyDiv w:val="1"/>
      <w:marLeft w:val="0"/>
      <w:marRight w:val="0"/>
      <w:marTop w:val="0"/>
      <w:marBottom w:val="0"/>
      <w:divBdr>
        <w:top w:val="none" w:sz="0" w:space="0" w:color="auto"/>
        <w:left w:val="none" w:sz="0" w:space="0" w:color="auto"/>
        <w:bottom w:val="none" w:sz="0" w:space="0" w:color="auto"/>
        <w:right w:val="none" w:sz="0" w:space="0" w:color="auto"/>
      </w:divBdr>
    </w:div>
    <w:div w:id="1776166497">
      <w:bodyDiv w:val="1"/>
      <w:marLeft w:val="0"/>
      <w:marRight w:val="0"/>
      <w:marTop w:val="0"/>
      <w:marBottom w:val="0"/>
      <w:divBdr>
        <w:top w:val="none" w:sz="0" w:space="0" w:color="auto"/>
        <w:left w:val="none" w:sz="0" w:space="0" w:color="auto"/>
        <w:bottom w:val="none" w:sz="0" w:space="0" w:color="auto"/>
        <w:right w:val="none" w:sz="0" w:space="0" w:color="auto"/>
      </w:divBdr>
    </w:div>
    <w:div w:id="1783379370">
      <w:bodyDiv w:val="1"/>
      <w:marLeft w:val="0"/>
      <w:marRight w:val="0"/>
      <w:marTop w:val="0"/>
      <w:marBottom w:val="0"/>
      <w:divBdr>
        <w:top w:val="none" w:sz="0" w:space="0" w:color="auto"/>
        <w:left w:val="none" w:sz="0" w:space="0" w:color="auto"/>
        <w:bottom w:val="none" w:sz="0" w:space="0" w:color="auto"/>
        <w:right w:val="none" w:sz="0" w:space="0" w:color="auto"/>
      </w:divBdr>
    </w:div>
    <w:div w:id="1783919702">
      <w:bodyDiv w:val="1"/>
      <w:marLeft w:val="0"/>
      <w:marRight w:val="0"/>
      <w:marTop w:val="0"/>
      <w:marBottom w:val="0"/>
      <w:divBdr>
        <w:top w:val="none" w:sz="0" w:space="0" w:color="auto"/>
        <w:left w:val="none" w:sz="0" w:space="0" w:color="auto"/>
        <w:bottom w:val="none" w:sz="0" w:space="0" w:color="auto"/>
        <w:right w:val="none" w:sz="0" w:space="0" w:color="auto"/>
      </w:divBdr>
    </w:div>
    <w:div w:id="1784811492">
      <w:bodyDiv w:val="1"/>
      <w:marLeft w:val="0"/>
      <w:marRight w:val="0"/>
      <w:marTop w:val="0"/>
      <w:marBottom w:val="0"/>
      <w:divBdr>
        <w:top w:val="none" w:sz="0" w:space="0" w:color="auto"/>
        <w:left w:val="none" w:sz="0" w:space="0" w:color="auto"/>
        <w:bottom w:val="none" w:sz="0" w:space="0" w:color="auto"/>
        <w:right w:val="none" w:sz="0" w:space="0" w:color="auto"/>
      </w:divBdr>
    </w:div>
    <w:div w:id="1788158061">
      <w:bodyDiv w:val="1"/>
      <w:marLeft w:val="0"/>
      <w:marRight w:val="0"/>
      <w:marTop w:val="0"/>
      <w:marBottom w:val="0"/>
      <w:divBdr>
        <w:top w:val="none" w:sz="0" w:space="0" w:color="auto"/>
        <w:left w:val="none" w:sz="0" w:space="0" w:color="auto"/>
        <w:bottom w:val="none" w:sz="0" w:space="0" w:color="auto"/>
        <w:right w:val="none" w:sz="0" w:space="0" w:color="auto"/>
      </w:divBdr>
    </w:div>
    <w:div w:id="1795055665">
      <w:bodyDiv w:val="1"/>
      <w:marLeft w:val="0"/>
      <w:marRight w:val="0"/>
      <w:marTop w:val="0"/>
      <w:marBottom w:val="0"/>
      <w:divBdr>
        <w:top w:val="none" w:sz="0" w:space="0" w:color="auto"/>
        <w:left w:val="none" w:sz="0" w:space="0" w:color="auto"/>
        <w:bottom w:val="none" w:sz="0" w:space="0" w:color="auto"/>
        <w:right w:val="none" w:sz="0" w:space="0" w:color="auto"/>
      </w:divBdr>
    </w:div>
    <w:div w:id="1802839493">
      <w:bodyDiv w:val="1"/>
      <w:marLeft w:val="0"/>
      <w:marRight w:val="0"/>
      <w:marTop w:val="0"/>
      <w:marBottom w:val="0"/>
      <w:divBdr>
        <w:top w:val="none" w:sz="0" w:space="0" w:color="auto"/>
        <w:left w:val="none" w:sz="0" w:space="0" w:color="auto"/>
        <w:bottom w:val="none" w:sz="0" w:space="0" w:color="auto"/>
        <w:right w:val="none" w:sz="0" w:space="0" w:color="auto"/>
      </w:divBdr>
    </w:div>
    <w:div w:id="1804999267">
      <w:bodyDiv w:val="1"/>
      <w:marLeft w:val="0"/>
      <w:marRight w:val="0"/>
      <w:marTop w:val="0"/>
      <w:marBottom w:val="0"/>
      <w:divBdr>
        <w:top w:val="none" w:sz="0" w:space="0" w:color="auto"/>
        <w:left w:val="none" w:sz="0" w:space="0" w:color="auto"/>
        <w:bottom w:val="none" w:sz="0" w:space="0" w:color="auto"/>
        <w:right w:val="none" w:sz="0" w:space="0" w:color="auto"/>
      </w:divBdr>
    </w:div>
    <w:div w:id="1809127868">
      <w:bodyDiv w:val="1"/>
      <w:marLeft w:val="0"/>
      <w:marRight w:val="0"/>
      <w:marTop w:val="0"/>
      <w:marBottom w:val="0"/>
      <w:divBdr>
        <w:top w:val="none" w:sz="0" w:space="0" w:color="auto"/>
        <w:left w:val="none" w:sz="0" w:space="0" w:color="auto"/>
        <w:bottom w:val="none" w:sz="0" w:space="0" w:color="auto"/>
        <w:right w:val="none" w:sz="0" w:space="0" w:color="auto"/>
      </w:divBdr>
    </w:div>
    <w:div w:id="1822650647">
      <w:bodyDiv w:val="1"/>
      <w:marLeft w:val="0"/>
      <w:marRight w:val="0"/>
      <w:marTop w:val="0"/>
      <w:marBottom w:val="0"/>
      <w:divBdr>
        <w:top w:val="none" w:sz="0" w:space="0" w:color="auto"/>
        <w:left w:val="none" w:sz="0" w:space="0" w:color="auto"/>
        <w:bottom w:val="none" w:sz="0" w:space="0" w:color="auto"/>
        <w:right w:val="none" w:sz="0" w:space="0" w:color="auto"/>
      </w:divBdr>
    </w:div>
    <w:div w:id="1882786423">
      <w:bodyDiv w:val="1"/>
      <w:marLeft w:val="0"/>
      <w:marRight w:val="0"/>
      <w:marTop w:val="0"/>
      <w:marBottom w:val="0"/>
      <w:divBdr>
        <w:top w:val="none" w:sz="0" w:space="0" w:color="auto"/>
        <w:left w:val="none" w:sz="0" w:space="0" w:color="auto"/>
        <w:bottom w:val="none" w:sz="0" w:space="0" w:color="auto"/>
        <w:right w:val="none" w:sz="0" w:space="0" w:color="auto"/>
      </w:divBdr>
    </w:div>
    <w:div w:id="1883787169">
      <w:bodyDiv w:val="1"/>
      <w:marLeft w:val="0"/>
      <w:marRight w:val="0"/>
      <w:marTop w:val="0"/>
      <w:marBottom w:val="0"/>
      <w:divBdr>
        <w:top w:val="none" w:sz="0" w:space="0" w:color="auto"/>
        <w:left w:val="none" w:sz="0" w:space="0" w:color="auto"/>
        <w:bottom w:val="none" w:sz="0" w:space="0" w:color="auto"/>
        <w:right w:val="none" w:sz="0" w:space="0" w:color="auto"/>
      </w:divBdr>
    </w:div>
    <w:div w:id="1886745996">
      <w:bodyDiv w:val="1"/>
      <w:marLeft w:val="0"/>
      <w:marRight w:val="0"/>
      <w:marTop w:val="0"/>
      <w:marBottom w:val="0"/>
      <w:divBdr>
        <w:top w:val="none" w:sz="0" w:space="0" w:color="auto"/>
        <w:left w:val="none" w:sz="0" w:space="0" w:color="auto"/>
        <w:bottom w:val="none" w:sz="0" w:space="0" w:color="auto"/>
        <w:right w:val="none" w:sz="0" w:space="0" w:color="auto"/>
      </w:divBdr>
    </w:div>
    <w:div w:id="1896575682">
      <w:bodyDiv w:val="1"/>
      <w:marLeft w:val="0"/>
      <w:marRight w:val="0"/>
      <w:marTop w:val="0"/>
      <w:marBottom w:val="0"/>
      <w:divBdr>
        <w:top w:val="none" w:sz="0" w:space="0" w:color="auto"/>
        <w:left w:val="none" w:sz="0" w:space="0" w:color="auto"/>
        <w:bottom w:val="none" w:sz="0" w:space="0" w:color="auto"/>
        <w:right w:val="none" w:sz="0" w:space="0" w:color="auto"/>
      </w:divBdr>
    </w:div>
    <w:div w:id="1903787166">
      <w:bodyDiv w:val="1"/>
      <w:marLeft w:val="0"/>
      <w:marRight w:val="0"/>
      <w:marTop w:val="0"/>
      <w:marBottom w:val="0"/>
      <w:divBdr>
        <w:top w:val="none" w:sz="0" w:space="0" w:color="auto"/>
        <w:left w:val="none" w:sz="0" w:space="0" w:color="auto"/>
        <w:bottom w:val="none" w:sz="0" w:space="0" w:color="auto"/>
        <w:right w:val="none" w:sz="0" w:space="0" w:color="auto"/>
      </w:divBdr>
    </w:div>
    <w:div w:id="1929462121">
      <w:bodyDiv w:val="1"/>
      <w:marLeft w:val="0"/>
      <w:marRight w:val="0"/>
      <w:marTop w:val="0"/>
      <w:marBottom w:val="0"/>
      <w:divBdr>
        <w:top w:val="none" w:sz="0" w:space="0" w:color="auto"/>
        <w:left w:val="none" w:sz="0" w:space="0" w:color="auto"/>
        <w:bottom w:val="none" w:sz="0" w:space="0" w:color="auto"/>
        <w:right w:val="none" w:sz="0" w:space="0" w:color="auto"/>
      </w:divBdr>
    </w:div>
    <w:div w:id="1944603160">
      <w:bodyDiv w:val="1"/>
      <w:marLeft w:val="0"/>
      <w:marRight w:val="0"/>
      <w:marTop w:val="0"/>
      <w:marBottom w:val="0"/>
      <w:divBdr>
        <w:top w:val="none" w:sz="0" w:space="0" w:color="auto"/>
        <w:left w:val="none" w:sz="0" w:space="0" w:color="auto"/>
        <w:bottom w:val="none" w:sz="0" w:space="0" w:color="auto"/>
        <w:right w:val="none" w:sz="0" w:space="0" w:color="auto"/>
      </w:divBdr>
    </w:div>
    <w:div w:id="1946037221">
      <w:bodyDiv w:val="1"/>
      <w:marLeft w:val="0"/>
      <w:marRight w:val="0"/>
      <w:marTop w:val="0"/>
      <w:marBottom w:val="0"/>
      <w:divBdr>
        <w:top w:val="none" w:sz="0" w:space="0" w:color="auto"/>
        <w:left w:val="none" w:sz="0" w:space="0" w:color="auto"/>
        <w:bottom w:val="none" w:sz="0" w:space="0" w:color="auto"/>
        <w:right w:val="none" w:sz="0" w:space="0" w:color="auto"/>
      </w:divBdr>
    </w:div>
    <w:div w:id="1979257448">
      <w:bodyDiv w:val="1"/>
      <w:marLeft w:val="0"/>
      <w:marRight w:val="0"/>
      <w:marTop w:val="0"/>
      <w:marBottom w:val="0"/>
      <w:divBdr>
        <w:top w:val="none" w:sz="0" w:space="0" w:color="auto"/>
        <w:left w:val="none" w:sz="0" w:space="0" w:color="auto"/>
        <w:bottom w:val="none" w:sz="0" w:space="0" w:color="auto"/>
        <w:right w:val="none" w:sz="0" w:space="0" w:color="auto"/>
      </w:divBdr>
    </w:div>
    <w:div w:id="1979846221">
      <w:bodyDiv w:val="1"/>
      <w:marLeft w:val="0"/>
      <w:marRight w:val="0"/>
      <w:marTop w:val="0"/>
      <w:marBottom w:val="0"/>
      <w:divBdr>
        <w:top w:val="none" w:sz="0" w:space="0" w:color="auto"/>
        <w:left w:val="none" w:sz="0" w:space="0" w:color="auto"/>
        <w:bottom w:val="none" w:sz="0" w:space="0" w:color="auto"/>
        <w:right w:val="none" w:sz="0" w:space="0" w:color="auto"/>
      </w:divBdr>
    </w:div>
    <w:div w:id="1997562898">
      <w:bodyDiv w:val="1"/>
      <w:marLeft w:val="0"/>
      <w:marRight w:val="0"/>
      <w:marTop w:val="0"/>
      <w:marBottom w:val="0"/>
      <w:divBdr>
        <w:top w:val="none" w:sz="0" w:space="0" w:color="auto"/>
        <w:left w:val="none" w:sz="0" w:space="0" w:color="auto"/>
        <w:bottom w:val="none" w:sz="0" w:space="0" w:color="auto"/>
        <w:right w:val="none" w:sz="0" w:space="0" w:color="auto"/>
      </w:divBdr>
    </w:div>
    <w:div w:id="2015449222">
      <w:bodyDiv w:val="1"/>
      <w:marLeft w:val="0"/>
      <w:marRight w:val="0"/>
      <w:marTop w:val="0"/>
      <w:marBottom w:val="0"/>
      <w:divBdr>
        <w:top w:val="none" w:sz="0" w:space="0" w:color="auto"/>
        <w:left w:val="none" w:sz="0" w:space="0" w:color="auto"/>
        <w:bottom w:val="none" w:sz="0" w:space="0" w:color="auto"/>
        <w:right w:val="none" w:sz="0" w:space="0" w:color="auto"/>
      </w:divBdr>
      <w:divsChild>
        <w:div w:id="1015494396">
          <w:marLeft w:val="0"/>
          <w:marRight w:val="0"/>
          <w:marTop w:val="0"/>
          <w:marBottom w:val="0"/>
          <w:divBdr>
            <w:top w:val="none" w:sz="0" w:space="0" w:color="auto"/>
            <w:left w:val="none" w:sz="0" w:space="0" w:color="auto"/>
            <w:bottom w:val="none" w:sz="0" w:space="0" w:color="auto"/>
            <w:right w:val="none" w:sz="0" w:space="0" w:color="auto"/>
          </w:divBdr>
        </w:div>
        <w:div w:id="2130976681">
          <w:marLeft w:val="0"/>
          <w:marRight w:val="0"/>
          <w:marTop w:val="0"/>
          <w:marBottom w:val="0"/>
          <w:divBdr>
            <w:top w:val="none" w:sz="0" w:space="0" w:color="auto"/>
            <w:left w:val="none" w:sz="0" w:space="0" w:color="auto"/>
            <w:bottom w:val="none" w:sz="0" w:space="0" w:color="auto"/>
            <w:right w:val="none" w:sz="0" w:space="0" w:color="auto"/>
          </w:divBdr>
        </w:div>
        <w:div w:id="572392928">
          <w:marLeft w:val="0"/>
          <w:marRight w:val="0"/>
          <w:marTop w:val="0"/>
          <w:marBottom w:val="0"/>
          <w:divBdr>
            <w:top w:val="none" w:sz="0" w:space="0" w:color="auto"/>
            <w:left w:val="none" w:sz="0" w:space="0" w:color="auto"/>
            <w:bottom w:val="none" w:sz="0" w:space="0" w:color="auto"/>
            <w:right w:val="none" w:sz="0" w:space="0" w:color="auto"/>
          </w:divBdr>
        </w:div>
      </w:divsChild>
    </w:div>
    <w:div w:id="2025286061">
      <w:bodyDiv w:val="1"/>
      <w:marLeft w:val="0"/>
      <w:marRight w:val="0"/>
      <w:marTop w:val="0"/>
      <w:marBottom w:val="0"/>
      <w:divBdr>
        <w:top w:val="none" w:sz="0" w:space="0" w:color="auto"/>
        <w:left w:val="none" w:sz="0" w:space="0" w:color="auto"/>
        <w:bottom w:val="none" w:sz="0" w:space="0" w:color="auto"/>
        <w:right w:val="none" w:sz="0" w:space="0" w:color="auto"/>
      </w:divBdr>
    </w:div>
    <w:div w:id="2041662975">
      <w:bodyDiv w:val="1"/>
      <w:marLeft w:val="0"/>
      <w:marRight w:val="0"/>
      <w:marTop w:val="0"/>
      <w:marBottom w:val="0"/>
      <w:divBdr>
        <w:top w:val="none" w:sz="0" w:space="0" w:color="auto"/>
        <w:left w:val="none" w:sz="0" w:space="0" w:color="auto"/>
        <w:bottom w:val="none" w:sz="0" w:space="0" w:color="auto"/>
        <w:right w:val="none" w:sz="0" w:space="0" w:color="auto"/>
      </w:divBdr>
    </w:div>
    <w:div w:id="2045522924">
      <w:bodyDiv w:val="1"/>
      <w:marLeft w:val="0"/>
      <w:marRight w:val="0"/>
      <w:marTop w:val="0"/>
      <w:marBottom w:val="0"/>
      <w:divBdr>
        <w:top w:val="none" w:sz="0" w:space="0" w:color="auto"/>
        <w:left w:val="none" w:sz="0" w:space="0" w:color="auto"/>
        <w:bottom w:val="none" w:sz="0" w:space="0" w:color="auto"/>
        <w:right w:val="none" w:sz="0" w:space="0" w:color="auto"/>
      </w:divBdr>
    </w:div>
    <w:div w:id="2058581452">
      <w:bodyDiv w:val="1"/>
      <w:marLeft w:val="0"/>
      <w:marRight w:val="0"/>
      <w:marTop w:val="0"/>
      <w:marBottom w:val="0"/>
      <w:divBdr>
        <w:top w:val="none" w:sz="0" w:space="0" w:color="auto"/>
        <w:left w:val="none" w:sz="0" w:space="0" w:color="auto"/>
        <w:bottom w:val="none" w:sz="0" w:space="0" w:color="auto"/>
        <w:right w:val="none" w:sz="0" w:space="0" w:color="auto"/>
      </w:divBdr>
    </w:div>
    <w:div w:id="2076270379">
      <w:bodyDiv w:val="1"/>
      <w:marLeft w:val="0"/>
      <w:marRight w:val="0"/>
      <w:marTop w:val="0"/>
      <w:marBottom w:val="0"/>
      <w:divBdr>
        <w:top w:val="none" w:sz="0" w:space="0" w:color="auto"/>
        <w:left w:val="none" w:sz="0" w:space="0" w:color="auto"/>
        <w:bottom w:val="none" w:sz="0" w:space="0" w:color="auto"/>
        <w:right w:val="none" w:sz="0" w:space="0" w:color="auto"/>
      </w:divBdr>
    </w:div>
    <w:div w:id="2090884903">
      <w:bodyDiv w:val="1"/>
      <w:marLeft w:val="0"/>
      <w:marRight w:val="0"/>
      <w:marTop w:val="0"/>
      <w:marBottom w:val="0"/>
      <w:divBdr>
        <w:top w:val="none" w:sz="0" w:space="0" w:color="auto"/>
        <w:left w:val="none" w:sz="0" w:space="0" w:color="auto"/>
        <w:bottom w:val="none" w:sz="0" w:space="0" w:color="auto"/>
        <w:right w:val="none" w:sz="0" w:space="0" w:color="auto"/>
      </w:divBdr>
    </w:div>
    <w:div w:id="2111274489">
      <w:bodyDiv w:val="1"/>
      <w:marLeft w:val="0"/>
      <w:marRight w:val="0"/>
      <w:marTop w:val="0"/>
      <w:marBottom w:val="0"/>
      <w:divBdr>
        <w:top w:val="none" w:sz="0" w:space="0" w:color="auto"/>
        <w:left w:val="none" w:sz="0" w:space="0" w:color="auto"/>
        <w:bottom w:val="none" w:sz="0" w:space="0" w:color="auto"/>
        <w:right w:val="none" w:sz="0" w:space="0" w:color="auto"/>
      </w:divBdr>
    </w:div>
    <w:div w:id="2115243094">
      <w:bodyDiv w:val="1"/>
      <w:marLeft w:val="0"/>
      <w:marRight w:val="0"/>
      <w:marTop w:val="0"/>
      <w:marBottom w:val="0"/>
      <w:divBdr>
        <w:top w:val="none" w:sz="0" w:space="0" w:color="auto"/>
        <w:left w:val="none" w:sz="0" w:space="0" w:color="auto"/>
        <w:bottom w:val="none" w:sz="0" w:space="0" w:color="auto"/>
        <w:right w:val="none" w:sz="0" w:space="0" w:color="auto"/>
      </w:divBdr>
    </w:div>
    <w:div w:id="2123375674">
      <w:bodyDiv w:val="1"/>
      <w:marLeft w:val="0"/>
      <w:marRight w:val="0"/>
      <w:marTop w:val="0"/>
      <w:marBottom w:val="0"/>
      <w:divBdr>
        <w:top w:val="none" w:sz="0" w:space="0" w:color="auto"/>
        <w:left w:val="none" w:sz="0" w:space="0" w:color="auto"/>
        <w:bottom w:val="none" w:sz="0" w:space="0" w:color="auto"/>
        <w:right w:val="none" w:sz="0" w:space="0" w:color="auto"/>
      </w:divBdr>
    </w:div>
    <w:div w:id="213196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package" Target="embeddings/Microsoft_Excel_Worksheet.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Alv02</b:Tag>
    <b:SourceType>Book</b:SourceType>
    <b:Guid>{EE90399E-B119-4F8C-B6B9-E2F23A92F630}</b:Guid>
    <b:Author>
      <b:Author>
        <b:NameList>
          <b:Person>
            <b:Last>Alvarez</b:Last>
            <b:First>Fernando</b:First>
          </b:Person>
          <b:Person>
            <b:Last>Fridson</b:Last>
            <b:First>Martin</b:First>
          </b:Person>
        </b:NameList>
      </b:Author>
    </b:Author>
    <b:Title>Financial Statement Analysis: A Practitioner's Guide</b:Title>
    <b:Year>2002</b:Year>
    <b:Publisher>Wiley</b:Publisher>
    <b:Edition>3rd</b:Edition>
    <b:City>Hoboken, New Jersey</b:City>
    <b:RefOrder>1</b:RefOrder>
  </b:Source>
  <b:Source>
    <b:Tag>Fil03</b:Tag>
    <b:SourceType>Book</b:SourceType>
    <b:Guid>{5CFFE1A3-14D0-4431-8300-33F8803DBB9C}</b:Guid>
    <b:Author>
      <b:Author>
        <b:NameList>
          <b:Person>
            <b:Last>Fields</b:Last>
            <b:First>Edward</b:First>
          </b:Person>
        </b:NameList>
      </b:Author>
    </b:Author>
    <b:Title>The Essentials of Finance and Accounting for Nonfinancial Managers</b:Title>
    <b:Year>2003</b:Year>
    <b:City>New York, New York</b:City>
    <b:Publisher>American Management Association</b:Publisher>
    <b:Edition>2nd</b:Edition>
    <b:RefOrder>2</b:RefOrder>
  </b:Source>
  <b:Source>
    <b:Tag>McL21</b:Tag>
    <b:SourceType>DocumentFromInternetSite</b:SourceType>
    <b:Guid>{476D56A0-35FD-4A36-A59B-E2F9230B3D32}</b:Guid>
    <b:Title>Annual report and consolidated financial statements 2021</b:Title>
    <b:Year>2021</b:Year>
    <b:Author>
      <b:Author>
        <b:Corporate>McLaren Holdings Limited</b:Corporate>
      </b:Author>
    </b:Author>
    <b:Month>April</b:Month>
    <b:Day>28</b:Day>
    <b:YearAccessed>2022</b:YearAccessed>
    <b:MonthAccessed>June</b:MonthAccessed>
    <b:DayAccessed>4</b:DayAccessed>
    <b:URL>https://investors.mclaren.com/sites/mclaren-ir/files/report-document/mclaren-holdings-limited-consolidated-financial-statements-2021-final-signed.pdf</b:URL>
    <b:RefOrder>3</b:RefOrder>
  </b:Source>
  <b:Source>
    <b:Tag>Atr14</b:Tag>
    <b:SourceType>Book</b:SourceType>
    <b:Guid>{2D0650D6-F699-4E24-A78B-71DC5E5D4898}</b:Guid>
    <b:Title>Financial Management for Decision Makers</b:Title>
    <b:Year>2014</b:Year>
    <b:Author>
      <b:Author>
        <b:NameList>
          <b:Person>
            <b:Last>Atrill</b:Last>
            <b:First>Peter</b:First>
          </b:Person>
        </b:NameList>
      </b:Author>
    </b:Author>
    <b:City>London</b:City>
    <b:Publisher>Pearson</b:Publisher>
    <b:Edition>7th</b:Edition>
    <b:RefOrder>4</b:RefOrder>
  </b:Source>
  <b:Source>
    <b:Tag>Ala22</b:Tag>
    <b:SourceType>InternetSite</b:SourceType>
    <b:Guid>{ED11DC90-770D-46EC-AC06-B12A32F37A13}</b:Guid>
    <b:Title>Motor1</b:Title>
    <b:Year>2022</b:Year>
    <b:YearAccessed>2022</b:YearAccessed>
    <b:MonthAccessed>June</b:MonthAccessed>
    <b:DayAccessed>4</b:DayAccessed>
    <b:URL>https://uk.motor1.com/news/582516/new-mclaren-ceo-named-leiters/</b:URL>
    <b:Author>
      <b:Author>
        <b:NameList>
          <b:Person>
            <b:Last>Alaniz</b:Last>
            <b:First>Anthony</b:First>
          </b:Person>
        </b:NameList>
      </b:Author>
    </b:Author>
    <b:RefOrder>5</b:RefOrder>
  </b:Source>
</b:Sources>
</file>

<file path=customXml/itemProps1.xml><?xml version="1.0" encoding="utf-8"?>
<ds:datastoreItem xmlns:ds="http://schemas.openxmlformats.org/officeDocument/2006/customXml" ds:itemID="{733C3B47-5B29-410D-BE80-FBD247F7B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3554</Words>
  <Characters>20260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John West (2030244)</dc:creator>
  <cp:keywords/>
  <dc:description/>
  <cp:lastModifiedBy>Steve West (2030244)</cp:lastModifiedBy>
  <cp:revision>2</cp:revision>
  <dcterms:created xsi:type="dcterms:W3CDTF">2022-06-05T18:42:00Z</dcterms:created>
  <dcterms:modified xsi:type="dcterms:W3CDTF">2022-06-05T18:42:00Z</dcterms:modified>
</cp:coreProperties>
</file>