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B2550" w14:textId="77777777" w:rsidR="00B01CF6" w:rsidRPr="00B01CF6" w:rsidRDefault="00B01CF6" w:rsidP="00B01CF6">
      <w:pPr>
        <w:spacing w:line="360" w:lineRule="auto"/>
        <w:jc w:val="both"/>
        <w:rPr>
          <w:rFonts w:ascii="Arial" w:hAnsi="Arial" w:cs="Arial"/>
          <w:b/>
          <w:bCs/>
          <w:sz w:val="32"/>
          <w:szCs w:val="32"/>
        </w:rPr>
      </w:pPr>
      <w:r w:rsidRPr="00B01CF6">
        <w:rPr>
          <w:rFonts w:ascii="Arial" w:hAnsi="Arial" w:cs="Arial"/>
          <w:b/>
          <w:bCs/>
          <w:sz w:val="32"/>
          <w:szCs w:val="32"/>
        </w:rPr>
        <w:t>Financial Management for the Hotel Industry</w:t>
      </w:r>
    </w:p>
    <w:p w14:paraId="1B535EC2" w14:textId="77777777" w:rsidR="00B01CF6" w:rsidRPr="00B01CF6" w:rsidRDefault="00B01CF6" w:rsidP="00B01CF6">
      <w:pPr>
        <w:spacing w:line="360" w:lineRule="auto"/>
        <w:jc w:val="both"/>
        <w:rPr>
          <w:rFonts w:ascii="Arial" w:hAnsi="Arial" w:cs="Arial"/>
          <w:b/>
          <w:bCs/>
          <w:sz w:val="32"/>
          <w:szCs w:val="32"/>
        </w:rPr>
      </w:pPr>
      <w:r w:rsidRPr="00B01CF6">
        <w:rPr>
          <w:rFonts w:ascii="Arial" w:hAnsi="Arial" w:cs="Arial"/>
          <w:b/>
          <w:bCs/>
          <w:sz w:val="32"/>
          <w:szCs w:val="32"/>
        </w:rPr>
        <w:t>BMIH5007</w:t>
      </w:r>
    </w:p>
    <w:p w14:paraId="6866F325" w14:textId="77777777" w:rsidR="00B01CF6" w:rsidRPr="00B01CF6" w:rsidRDefault="00B01CF6" w:rsidP="00B01CF6">
      <w:pPr>
        <w:spacing w:line="360" w:lineRule="auto"/>
        <w:jc w:val="both"/>
        <w:rPr>
          <w:rFonts w:ascii="Arial" w:hAnsi="Arial" w:cs="Arial"/>
          <w:b/>
          <w:bCs/>
          <w:sz w:val="36"/>
          <w:szCs w:val="36"/>
        </w:rPr>
      </w:pPr>
    </w:p>
    <w:p w14:paraId="508AB4E6" w14:textId="77777777" w:rsidR="00B01CF6" w:rsidRPr="00B01CF6" w:rsidRDefault="00B01CF6" w:rsidP="00B01CF6">
      <w:pPr>
        <w:spacing w:line="360" w:lineRule="auto"/>
        <w:jc w:val="both"/>
        <w:rPr>
          <w:rFonts w:ascii="Arial" w:hAnsi="Arial" w:cs="Arial"/>
          <w:b/>
          <w:bCs/>
          <w:sz w:val="24"/>
          <w:szCs w:val="24"/>
        </w:rPr>
      </w:pPr>
      <w:r w:rsidRPr="00B01CF6">
        <w:rPr>
          <w:rFonts w:ascii="Arial" w:hAnsi="Arial" w:cs="Arial"/>
          <w:b/>
          <w:bCs/>
          <w:sz w:val="24"/>
          <w:szCs w:val="24"/>
        </w:rPr>
        <w:t>Business Report - Comparison of Two Hospitality Organisations</w:t>
      </w:r>
    </w:p>
    <w:p w14:paraId="744AA8F4" w14:textId="77777777" w:rsidR="00B01CF6" w:rsidRPr="00B01CF6" w:rsidRDefault="00B01CF6" w:rsidP="00B01CF6">
      <w:pPr>
        <w:spacing w:line="360" w:lineRule="auto"/>
        <w:jc w:val="both"/>
        <w:rPr>
          <w:rFonts w:ascii="Arial" w:hAnsi="Arial" w:cs="Arial"/>
          <w:sz w:val="24"/>
          <w:szCs w:val="24"/>
        </w:rPr>
      </w:pPr>
    </w:p>
    <w:p w14:paraId="6F408AD4" w14:textId="77777777" w:rsidR="00B01CF6" w:rsidRPr="00B01CF6" w:rsidRDefault="00B01CF6" w:rsidP="00B01CF6">
      <w:pPr>
        <w:spacing w:line="360" w:lineRule="auto"/>
        <w:jc w:val="both"/>
        <w:rPr>
          <w:rFonts w:ascii="Arial" w:hAnsi="Arial" w:cs="Arial"/>
          <w:sz w:val="24"/>
          <w:szCs w:val="24"/>
        </w:rPr>
      </w:pPr>
    </w:p>
    <w:p w14:paraId="1A1AE054" w14:textId="4F655782" w:rsidR="00B01CF6" w:rsidRPr="00B01CF6" w:rsidRDefault="00B01CF6" w:rsidP="00B01CF6">
      <w:pPr>
        <w:spacing w:line="360" w:lineRule="auto"/>
        <w:jc w:val="both"/>
        <w:rPr>
          <w:rFonts w:ascii="Arial" w:hAnsi="Arial" w:cs="Arial"/>
          <w:sz w:val="24"/>
          <w:szCs w:val="24"/>
        </w:rPr>
      </w:pPr>
      <w:r w:rsidRPr="00B01CF6">
        <w:rPr>
          <w:rFonts w:ascii="Arial" w:hAnsi="Arial" w:cs="Arial"/>
          <w:sz w:val="24"/>
          <w:szCs w:val="24"/>
        </w:rPr>
        <w:t>Lecturer</w:t>
      </w:r>
      <w:r>
        <w:rPr>
          <w:rFonts w:ascii="Arial" w:hAnsi="Arial" w:cs="Arial"/>
          <w:sz w:val="24"/>
          <w:szCs w:val="24"/>
        </w:rPr>
        <w:t xml:space="preserve"> name:</w:t>
      </w:r>
      <w:r w:rsidR="003C674B">
        <w:rPr>
          <w:rFonts w:ascii="Arial" w:hAnsi="Arial" w:cs="Arial"/>
          <w:sz w:val="24"/>
          <w:szCs w:val="24"/>
        </w:rPr>
        <w:t xml:space="preserve"> </w:t>
      </w:r>
      <w:r w:rsidR="003C674B" w:rsidRPr="003C674B">
        <w:rPr>
          <w:rFonts w:ascii="Arial" w:hAnsi="Arial" w:cs="Arial"/>
          <w:sz w:val="24"/>
          <w:szCs w:val="24"/>
        </w:rPr>
        <w:t>Tristan Hawkins</w:t>
      </w:r>
    </w:p>
    <w:p w14:paraId="141CACFE" w14:textId="590B9D86" w:rsidR="00B01CF6" w:rsidRPr="00B01CF6" w:rsidRDefault="00B01CF6" w:rsidP="00B01CF6">
      <w:pPr>
        <w:spacing w:line="360" w:lineRule="auto"/>
        <w:jc w:val="both"/>
        <w:rPr>
          <w:rFonts w:ascii="Arial" w:hAnsi="Arial" w:cs="Arial"/>
          <w:sz w:val="24"/>
          <w:szCs w:val="24"/>
        </w:rPr>
      </w:pPr>
      <w:r w:rsidRPr="00B01CF6">
        <w:rPr>
          <w:rFonts w:ascii="Arial" w:hAnsi="Arial" w:cs="Arial"/>
          <w:sz w:val="24"/>
          <w:szCs w:val="24"/>
        </w:rPr>
        <w:t xml:space="preserve">Student name: </w:t>
      </w:r>
      <w:r w:rsidR="009E5DBC">
        <w:rPr>
          <w:rFonts w:ascii="Arial" w:hAnsi="Arial" w:cs="Arial"/>
          <w:sz w:val="24"/>
          <w:szCs w:val="24"/>
        </w:rPr>
        <w:t>Roxana Jurj</w:t>
      </w:r>
    </w:p>
    <w:p w14:paraId="2B2541C6" w14:textId="540BE4D4" w:rsidR="00B01CF6" w:rsidRPr="00B01CF6" w:rsidRDefault="00B01CF6" w:rsidP="00B01CF6">
      <w:pPr>
        <w:spacing w:line="360" w:lineRule="auto"/>
        <w:jc w:val="both"/>
        <w:rPr>
          <w:rFonts w:ascii="Arial" w:hAnsi="Arial" w:cs="Arial"/>
          <w:sz w:val="24"/>
          <w:szCs w:val="24"/>
        </w:rPr>
      </w:pPr>
      <w:r w:rsidRPr="00B01CF6">
        <w:rPr>
          <w:rFonts w:ascii="Arial" w:hAnsi="Arial" w:cs="Arial"/>
          <w:sz w:val="24"/>
          <w:szCs w:val="24"/>
        </w:rPr>
        <w:t xml:space="preserve">Student id: </w:t>
      </w:r>
      <w:r w:rsidR="003C674B" w:rsidRPr="003C674B">
        <w:rPr>
          <w:rFonts w:ascii="Arial" w:hAnsi="Arial" w:cs="Arial"/>
          <w:sz w:val="24"/>
          <w:szCs w:val="24"/>
        </w:rPr>
        <w:t>2126298</w:t>
      </w:r>
    </w:p>
    <w:p w14:paraId="4F5916EE" w14:textId="7CE1C4F7" w:rsidR="00B01CF6" w:rsidRDefault="00B01CF6" w:rsidP="00B01CF6">
      <w:pPr>
        <w:spacing w:line="360" w:lineRule="auto"/>
        <w:jc w:val="both"/>
        <w:rPr>
          <w:rFonts w:ascii="Arial" w:hAnsi="Arial" w:cs="Arial"/>
          <w:sz w:val="24"/>
          <w:szCs w:val="24"/>
        </w:rPr>
      </w:pPr>
      <w:r w:rsidRPr="00B01CF6">
        <w:rPr>
          <w:rFonts w:ascii="Arial" w:hAnsi="Arial" w:cs="Arial"/>
          <w:sz w:val="24"/>
          <w:szCs w:val="24"/>
        </w:rPr>
        <w:t xml:space="preserve">Word count: </w:t>
      </w:r>
      <w:r w:rsidR="00E37533">
        <w:rPr>
          <w:rFonts w:ascii="Arial" w:hAnsi="Arial" w:cs="Arial"/>
          <w:sz w:val="24"/>
          <w:szCs w:val="24"/>
        </w:rPr>
        <w:t>2106</w:t>
      </w:r>
    </w:p>
    <w:p w14:paraId="24FB57CA" w14:textId="77777777" w:rsidR="00B01CF6" w:rsidRDefault="00B01CF6" w:rsidP="00B01CF6">
      <w:pPr>
        <w:spacing w:line="360" w:lineRule="auto"/>
        <w:jc w:val="both"/>
        <w:rPr>
          <w:rFonts w:ascii="Arial" w:hAnsi="Arial" w:cs="Arial"/>
          <w:sz w:val="24"/>
          <w:szCs w:val="24"/>
        </w:rPr>
      </w:pPr>
    </w:p>
    <w:p w14:paraId="60B85C37" w14:textId="77777777" w:rsidR="00B01CF6" w:rsidRDefault="00B01CF6" w:rsidP="00B01CF6">
      <w:pPr>
        <w:spacing w:line="360" w:lineRule="auto"/>
        <w:jc w:val="both"/>
        <w:rPr>
          <w:rFonts w:ascii="Arial" w:hAnsi="Arial" w:cs="Arial"/>
          <w:sz w:val="24"/>
          <w:szCs w:val="24"/>
        </w:rPr>
      </w:pPr>
    </w:p>
    <w:p w14:paraId="46B1E104" w14:textId="77777777" w:rsidR="00B01CF6" w:rsidRDefault="00B01CF6" w:rsidP="00B01CF6">
      <w:pPr>
        <w:spacing w:line="360" w:lineRule="auto"/>
        <w:jc w:val="both"/>
        <w:rPr>
          <w:rFonts w:ascii="Arial" w:hAnsi="Arial" w:cs="Arial"/>
          <w:sz w:val="24"/>
          <w:szCs w:val="24"/>
        </w:rPr>
      </w:pPr>
    </w:p>
    <w:p w14:paraId="247140C9" w14:textId="77777777" w:rsidR="00B01CF6" w:rsidRDefault="00B01CF6" w:rsidP="00B01CF6">
      <w:pPr>
        <w:spacing w:line="360" w:lineRule="auto"/>
        <w:jc w:val="both"/>
        <w:rPr>
          <w:rFonts w:ascii="Arial" w:hAnsi="Arial" w:cs="Arial"/>
          <w:sz w:val="24"/>
          <w:szCs w:val="24"/>
        </w:rPr>
      </w:pPr>
    </w:p>
    <w:p w14:paraId="5388C44F" w14:textId="77777777" w:rsidR="00B01CF6" w:rsidRDefault="00B01CF6" w:rsidP="00B01CF6">
      <w:pPr>
        <w:spacing w:line="360" w:lineRule="auto"/>
        <w:jc w:val="both"/>
        <w:rPr>
          <w:rFonts w:ascii="Arial" w:hAnsi="Arial" w:cs="Arial"/>
          <w:sz w:val="24"/>
          <w:szCs w:val="24"/>
        </w:rPr>
      </w:pPr>
    </w:p>
    <w:p w14:paraId="69B6A3A3" w14:textId="77777777" w:rsidR="00B01CF6" w:rsidRDefault="00B01CF6" w:rsidP="00B01CF6">
      <w:pPr>
        <w:spacing w:line="360" w:lineRule="auto"/>
        <w:jc w:val="both"/>
        <w:rPr>
          <w:rFonts w:ascii="Arial" w:hAnsi="Arial" w:cs="Arial"/>
          <w:sz w:val="24"/>
          <w:szCs w:val="24"/>
        </w:rPr>
      </w:pPr>
    </w:p>
    <w:p w14:paraId="7719ABA3" w14:textId="77777777" w:rsidR="00B01CF6" w:rsidRDefault="00B01CF6" w:rsidP="00B01CF6">
      <w:pPr>
        <w:spacing w:line="360" w:lineRule="auto"/>
        <w:jc w:val="both"/>
        <w:rPr>
          <w:rFonts w:ascii="Arial" w:hAnsi="Arial" w:cs="Arial"/>
          <w:sz w:val="24"/>
          <w:szCs w:val="24"/>
        </w:rPr>
      </w:pPr>
    </w:p>
    <w:p w14:paraId="12328C12" w14:textId="77777777" w:rsidR="00B01CF6" w:rsidRDefault="00B01CF6" w:rsidP="00B01CF6">
      <w:pPr>
        <w:spacing w:line="360" w:lineRule="auto"/>
        <w:jc w:val="both"/>
        <w:rPr>
          <w:rFonts w:ascii="Arial" w:hAnsi="Arial" w:cs="Arial"/>
          <w:sz w:val="24"/>
          <w:szCs w:val="24"/>
        </w:rPr>
      </w:pPr>
    </w:p>
    <w:p w14:paraId="497BF21D" w14:textId="77777777" w:rsidR="00B01CF6" w:rsidRDefault="00B01CF6" w:rsidP="00B01CF6">
      <w:pPr>
        <w:spacing w:line="360" w:lineRule="auto"/>
        <w:jc w:val="both"/>
        <w:rPr>
          <w:rFonts w:ascii="Arial" w:hAnsi="Arial" w:cs="Arial"/>
          <w:sz w:val="24"/>
          <w:szCs w:val="24"/>
        </w:rPr>
      </w:pPr>
    </w:p>
    <w:p w14:paraId="40E3B37C" w14:textId="77777777" w:rsidR="00B01CF6" w:rsidRDefault="00B01CF6" w:rsidP="00B01CF6">
      <w:pPr>
        <w:spacing w:line="360" w:lineRule="auto"/>
        <w:jc w:val="both"/>
        <w:rPr>
          <w:rFonts w:ascii="Arial" w:hAnsi="Arial" w:cs="Arial"/>
          <w:sz w:val="24"/>
          <w:szCs w:val="24"/>
        </w:rPr>
      </w:pPr>
    </w:p>
    <w:p w14:paraId="3BA86DF5" w14:textId="77777777" w:rsidR="00B01CF6" w:rsidRDefault="00B01CF6" w:rsidP="00B01CF6">
      <w:pPr>
        <w:spacing w:line="360" w:lineRule="auto"/>
        <w:jc w:val="both"/>
        <w:rPr>
          <w:rFonts w:ascii="Arial" w:hAnsi="Arial" w:cs="Arial"/>
          <w:sz w:val="24"/>
          <w:szCs w:val="24"/>
        </w:rPr>
      </w:pPr>
    </w:p>
    <w:p w14:paraId="569BFF4D" w14:textId="77777777" w:rsidR="00B01CF6" w:rsidRDefault="00B01CF6" w:rsidP="00B01CF6">
      <w:pPr>
        <w:spacing w:line="360" w:lineRule="auto"/>
        <w:jc w:val="both"/>
        <w:rPr>
          <w:rFonts w:ascii="Arial" w:hAnsi="Arial" w:cs="Arial"/>
          <w:sz w:val="24"/>
          <w:szCs w:val="24"/>
        </w:rPr>
      </w:pPr>
    </w:p>
    <w:p w14:paraId="7E83AAB7" w14:textId="77777777" w:rsidR="00B01CF6" w:rsidRDefault="00B01CF6" w:rsidP="00B01CF6">
      <w:pPr>
        <w:spacing w:line="360" w:lineRule="auto"/>
        <w:jc w:val="both"/>
        <w:rPr>
          <w:rFonts w:ascii="Arial" w:hAnsi="Arial" w:cs="Arial"/>
          <w:sz w:val="24"/>
          <w:szCs w:val="24"/>
        </w:rPr>
      </w:pPr>
    </w:p>
    <w:p w14:paraId="38981CF4" w14:textId="77777777" w:rsidR="00E53B89" w:rsidRDefault="00E53B89" w:rsidP="00B01CF6">
      <w:pPr>
        <w:spacing w:line="360" w:lineRule="auto"/>
        <w:jc w:val="both"/>
        <w:rPr>
          <w:rFonts w:ascii="Arial" w:hAnsi="Arial" w:cs="Arial"/>
          <w:sz w:val="24"/>
          <w:szCs w:val="24"/>
        </w:rPr>
      </w:pPr>
    </w:p>
    <w:p w14:paraId="42E87915" w14:textId="008DD11F" w:rsidR="00B01CF6" w:rsidRPr="00E53B89" w:rsidRDefault="005565C9" w:rsidP="005565C9">
      <w:pPr>
        <w:pStyle w:val="ListParagraph"/>
        <w:numPr>
          <w:ilvl w:val="0"/>
          <w:numId w:val="1"/>
        </w:numPr>
        <w:spacing w:line="360" w:lineRule="auto"/>
        <w:jc w:val="both"/>
        <w:rPr>
          <w:rFonts w:ascii="Arial" w:hAnsi="Arial" w:cs="Arial"/>
          <w:b/>
          <w:bCs/>
        </w:rPr>
      </w:pPr>
      <w:r w:rsidRPr="00E53B89">
        <w:rPr>
          <w:rFonts w:ascii="Arial" w:hAnsi="Arial" w:cs="Arial"/>
          <w:b/>
          <w:bCs/>
        </w:rPr>
        <w:t xml:space="preserve">Executive summary </w:t>
      </w:r>
    </w:p>
    <w:p w14:paraId="65E3EEDB" w14:textId="55D0E7CD" w:rsidR="00B151A8" w:rsidRDefault="0062195C" w:rsidP="009E5DBC">
      <w:pPr>
        <w:spacing w:line="360" w:lineRule="auto"/>
        <w:jc w:val="both"/>
        <w:rPr>
          <w:rFonts w:ascii="Arial" w:hAnsi="Arial" w:cs="Arial"/>
        </w:rPr>
      </w:pPr>
      <w:r>
        <w:rPr>
          <w:rFonts w:ascii="Arial" w:hAnsi="Arial" w:cs="Arial"/>
        </w:rPr>
        <w:t xml:space="preserve">This report seeks to </w:t>
      </w:r>
      <w:r w:rsidR="001248CF">
        <w:rPr>
          <w:rFonts w:ascii="Arial" w:hAnsi="Arial" w:cs="Arial"/>
        </w:rPr>
        <w:t xml:space="preserve">draw attention to  </w:t>
      </w:r>
      <w:r w:rsidR="009E5DBC" w:rsidRPr="009E5DBC">
        <w:rPr>
          <w:rFonts w:ascii="Arial" w:hAnsi="Arial" w:cs="Arial"/>
        </w:rPr>
        <w:t>the comparison among Premier Inn and Mandarin Oriental Hotel Group, two prominent participants in the UK hotel market. The analysis assesses their financial performance, market positioning, development forecasts, and corporate social responsibility (CSR) commitment. Premier Inn, which mostly operates in the United Kingdom, increased income by 54% in fiscal year 23 by focusing on midscale and economy lodgings. Mandarin Oriental, a worldwide luxury brand, recorded a 49% gain in income thanks to considerable international development. Both brands have diverse market positioning strategies and target different customer demographics. Premier Inn is the market leader in the United Kingdom and may seek worldwide development, whereas Mandarin Oriental concentrates on the premium category and may diversify into lifestyle activities. Both corporations make major investments in CSR, focusing on environmental sustainability and social equity. Despite their varied strategic approaches, the research shows that both have high growth potential and substantial CSR commitments.</w:t>
      </w:r>
    </w:p>
    <w:p w14:paraId="3A9C79AA" w14:textId="77777777" w:rsidR="005565C9" w:rsidRDefault="005565C9" w:rsidP="00B01CF6">
      <w:pPr>
        <w:jc w:val="both"/>
        <w:rPr>
          <w:rFonts w:ascii="Arial" w:hAnsi="Arial" w:cs="Arial"/>
        </w:rPr>
      </w:pPr>
    </w:p>
    <w:p w14:paraId="77E59A85" w14:textId="77777777" w:rsidR="005565C9" w:rsidRDefault="005565C9" w:rsidP="00B01CF6">
      <w:pPr>
        <w:jc w:val="both"/>
        <w:rPr>
          <w:rFonts w:ascii="Arial" w:hAnsi="Arial" w:cs="Arial"/>
        </w:rPr>
      </w:pPr>
    </w:p>
    <w:p w14:paraId="655A8060" w14:textId="77777777" w:rsidR="005565C9" w:rsidRDefault="005565C9" w:rsidP="00B01CF6">
      <w:pPr>
        <w:jc w:val="both"/>
        <w:rPr>
          <w:rFonts w:ascii="Arial" w:hAnsi="Arial" w:cs="Arial"/>
        </w:rPr>
      </w:pPr>
    </w:p>
    <w:p w14:paraId="654C9596" w14:textId="77777777" w:rsidR="005565C9" w:rsidRDefault="005565C9" w:rsidP="00B01CF6">
      <w:pPr>
        <w:jc w:val="both"/>
        <w:rPr>
          <w:rFonts w:ascii="Arial" w:hAnsi="Arial" w:cs="Arial"/>
        </w:rPr>
      </w:pPr>
    </w:p>
    <w:p w14:paraId="78C1B369" w14:textId="77777777" w:rsidR="005565C9" w:rsidRDefault="005565C9" w:rsidP="00B01CF6">
      <w:pPr>
        <w:jc w:val="both"/>
        <w:rPr>
          <w:rFonts w:ascii="Arial" w:hAnsi="Arial" w:cs="Arial"/>
        </w:rPr>
      </w:pPr>
    </w:p>
    <w:p w14:paraId="16E59CB3" w14:textId="77777777" w:rsidR="005565C9" w:rsidRDefault="005565C9" w:rsidP="00B01CF6">
      <w:pPr>
        <w:jc w:val="both"/>
        <w:rPr>
          <w:rFonts w:ascii="Arial" w:hAnsi="Arial" w:cs="Arial"/>
        </w:rPr>
      </w:pPr>
    </w:p>
    <w:p w14:paraId="3A9C5BF9" w14:textId="77777777" w:rsidR="005565C9" w:rsidRDefault="005565C9" w:rsidP="00B01CF6">
      <w:pPr>
        <w:jc w:val="both"/>
        <w:rPr>
          <w:rFonts w:ascii="Arial" w:hAnsi="Arial" w:cs="Arial"/>
        </w:rPr>
      </w:pPr>
    </w:p>
    <w:p w14:paraId="46F8E75D" w14:textId="77777777" w:rsidR="005565C9" w:rsidRDefault="005565C9" w:rsidP="00B01CF6">
      <w:pPr>
        <w:jc w:val="both"/>
        <w:rPr>
          <w:rFonts w:ascii="Arial" w:hAnsi="Arial" w:cs="Arial"/>
        </w:rPr>
      </w:pPr>
    </w:p>
    <w:p w14:paraId="4188FCFD" w14:textId="77777777" w:rsidR="005565C9" w:rsidRDefault="005565C9" w:rsidP="00B01CF6">
      <w:pPr>
        <w:jc w:val="both"/>
        <w:rPr>
          <w:rFonts w:ascii="Arial" w:hAnsi="Arial" w:cs="Arial"/>
        </w:rPr>
      </w:pPr>
    </w:p>
    <w:p w14:paraId="1FD5CE0C" w14:textId="77777777" w:rsidR="005565C9" w:rsidRDefault="005565C9" w:rsidP="00B01CF6">
      <w:pPr>
        <w:jc w:val="both"/>
        <w:rPr>
          <w:rFonts w:ascii="Arial" w:hAnsi="Arial" w:cs="Arial"/>
        </w:rPr>
      </w:pPr>
    </w:p>
    <w:p w14:paraId="203A04AD" w14:textId="77777777" w:rsidR="005565C9" w:rsidRDefault="005565C9" w:rsidP="00B01CF6">
      <w:pPr>
        <w:jc w:val="both"/>
        <w:rPr>
          <w:rFonts w:ascii="Arial" w:hAnsi="Arial" w:cs="Arial"/>
        </w:rPr>
      </w:pPr>
    </w:p>
    <w:p w14:paraId="538D7860" w14:textId="77777777" w:rsidR="005565C9" w:rsidRDefault="005565C9" w:rsidP="00B01CF6">
      <w:pPr>
        <w:jc w:val="both"/>
        <w:rPr>
          <w:rFonts w:ascii="Arial" w:hAnsi="Arial" w:cs="Arial"/>
        </w:rPr>
      </w:pPr>
    </w:p>
    <w:p w14:paraId="1197CE0E" w14:textId="77777777" w:rsidR="005565C9" w:rsidRDefault="005565C9" w:rsidP="00B01CF6">
      <w:pPr>
        <w:jc w:val="both"/>
        <w:rPr>
          <w:rFonts w:ascii="Arial" w:hAnsi="Arial" w:cs="Arial"/>
        </w:rPr>
      </w:pPr>
    </w:p>
    <w:p w14:paraId="36594843" w14:textId="77777777" w:rsidR="005565C9" w:rsidRDefault="005565C9" w:rsidP="00B01CF6">
      <w:pPr>
        <w:jc w:val="both"/>
        <w:rPr>
          <w:rFonts w:ascii="Arial" w:hAnsi="Arial" w:cs="Arial"/>
        </w:rPr>
      </w:pPr>
    </w:p>
    <w:p w14:paraId="25B4DB70" w14:textId="77777777" w:rsidR="005565C9" w:rsidRDefault="005565C9" w:rsidP="00B01CF6">
      <w:pPr>
        <w:jc w:val="both"/>
        <w:rPr>
          <w:rFonts w:ascii="Arial" w:hAnsi="Arial" w:cs="Arial"/>
        </w:rPr>
      </w:pPr>
    </w:p>
    <w:p w14:paraId="5DCB7A4E" w14:textId="77777777" w:rsidR="005565C9" w:rsidRDefault="005565C9" w:rsidP="00B01CF6">
      <w:pPr>
        <w:jc w:val="both"/>
        <w:rPr>
          <w:rFonts w:ascii="Arial" w:hAnsi="Arial" w:cs="Arial"/>
        </w:rPr>
      </w:pPr>
    </w:p>
    <w:p w14:paraId="7BA4B823" w14:textId="77777777" w:rsidR="005565C9" w:rsidRDefault="005565C9" w:rsidP="00B01CF6">
      <w:pPr>
        <w:jc w:val="both"/>
        <w:rPr>
          <w:rFonts w:ascii="Arial" w:hAnsi="Arial" w:cs="Arial"/>
        </w:rPr>
      </w:pPr>
    </w:p>
    <w:p w14:paraId="1CD816A4" w14:textId="77777777" w:rsidR="005565C9" w:rsidRDefault="005565C9" w:rsidP="00B01CF6">
      <w:pPr>
        <w:jc w:val="both"/>
        <w:rPr>
          <w:rFonts w:ascii="Arial" w:hAnsi="Arial" w:cs="Arial"/>
        </w:rPr>
      </w:pPr>
    </w:p>
    <w:p w14:paraId="1866F79F" w14:textId="77777777" w:rsidR="005565C9" w:rsidRDefault="005565C9" w:rsidP="00B01CF6">
      <w:pPr>
        <w:jc w:val="both"/>
        <w:rPr>
          <w:rFonts w:ascii="Arial" w:hAnsi="Arial" w:cs="Arial"/>
        </w:rPr>
      </w:pPr>
    </w:p>
    <w:p w14:paraId="5CC28B5C" w14:textId="77777777" w:rsidR="005565C9" w:rsidRDefault="005565C9" w:rsidP="00B01CF6">
      <w:pPr>
        <w:jc w:val="both"/>
        <w:rPr>
          <w:rFonts w:ascii="Arial" w:hAnsi="Arial" w:cs="Arial"/>
        </w:rPr>
      </w:pPr>
    </w:p>
    <w:p w14:paraId="165387F9" w14:textId="77777777" w:rsidR="005565C9" w:rsidRDefault="005565C9" w:rsidP="00B01CF6">
      <w:pPr>
        <w:jc w:val="both"/>
        <w:rPr>
          <w:rFonts w:ascii="Arial" w:hAnsi="Arial" w:cs="Arial"/>
        </w:rPr>
      </w:pPr>
    </w:p>
    <w:p w14:paraId="35CA3B41" w14:textId="77777777" w:rsidR="005565C9" w:rsidRDefault="005565C9" w:rsidP="00B01CF6">
      <w:pPr>
        <w:jc w:val="both"/>
        <w:rPr>
          <w:rFonts w:ascii="Arial" w:hAnsi="Arial" w:cs="Arial"/>
        </w:rPr>
      </w:pPr>
    </w:p>
    <w:p w14:paraId="5C7BB1A5" w14:textId="77777777" w:rsidR="005565C9" w:rsidRPr="00645142" w:rsidRDefault="005565C9" w:rsidP="00B01CF6">
      <w:pPr>
        <w:jc w:val="both"/>
        <w:rPr>
          <w:rFonts w:ascii="Arial" w:hAnsi="Arial" w:cs="Arial"/>
          <w:b/>
          <w:bCs/>
        </w:rPr>
      </w:pPr>
    </w:p>
    <w:p w14:paraId="125B2A93" w14:textId="77777777" w:rsidR="00E53B89" w:rsidRPr="00645142" w:rsidRDefault="00E53B89" w:rsidP="00E53B89">
      <w:pPr>
        <w:pStyle w:val="TOCHeading"/>
        <w:jc w:val="center"/>
        <w:rPr>
          <w:rFonts w:ascii="Arial" w:hAnsi="Arial" w:cs="Arial"/>
          <w:b/>
          <w:bCs/>
          <w:color w:val="auto"/>
          <w:sz w:val="22"/>
          <w:szCs w:val="22"/>
        </w:rPr>
      </w:pPr>
      <w:r w:rsidRPr="00645142">
        <w:rPr>
          <w:rFonts w:ascii="Arial" w:hAnsi="Arial" w:cs="Arial"/>
          <w:b/>
          <w:bCs/>
          <w:color w:val="auto"/>
          <w:sz w:val="22"/>
          <w:szCs w:val="22"/>
        </w:rPr>
        <w:t>Table of Contents</w:t>
      </w:r>
    </w:p>
    <w:p w14:paraId="4E7CF981" w14:textId="77777777" w:rsidR="00E53B89" w:rsidRPr="00E53B89" w:rsidRDefault="00E53B89" w:rsidP="00E53B89">
      <w:pPr>
        <w:spacing w:line="360" w:lineRule="auto"/>
        <w:rPr>
          <w:rFonts w:ascii="Arial" w:hAnsi="Arial" w:cs="Arial"/>
          <w:lang w:val="en-US"/>
        </w:rPr>
      </w:pPr>
    </w:p>
    <w:p w14:paraId="2B7CBB3B" w14:textId="77777777" w:rsidR="00E53B89" w:rsidRPr="00E53B89" w:rsidRDefault="00E53B89" w:rsidP="00E53B89">
      <w:pPr>
        <w:pStyle w:val="TOC1"/>
        <w:numPr>
          <w:ilvl w:val="0"/>
          <w:numId w:val="2"/>
        </w:numPr>
        <w:spacing w:line="360" w:lineRule="auto"/>
        <w:jc w:val="both"/>
        <w:rPr>
          <w:rFonts w:ascii="Arial" w:hAnsi="Arial" w:cs="Arial"/>
        </w:rPr>
      </w:pPr>
      <w:r w:rsidRPr="00E53B89">
        <w:rPr>
          <w:rFonts w:ascii="Arial" w:hAnsi="Arial" w:cs="Arial"/>
        </w:rPr>
        <w:t>Executive summary</w:t>
      </w:r>
      <w:r w:rsidRPr="00E53B89">
        <w:rPr>
          <w:rFonts w:ascii="Arial" w:hAnsi="Arial" w:cs="Arial"/>
        </w:rPr>
        <w:ptab w:relativeTo="margin" w:alignment="right" w:leader="dot"/>
      </w:r>
      <w:r w:rsidRPr="00E53B89">
        <w:rPr>
          <w:rFonts w:ascii="Arial" w:hAnsi="Arial" w:cs="Arial"/>
        </w:rPr>
        <w:t>2</w:t>
      </w:r>
    </w:p>
    <w:p w14:paraId="6B279974" w14:textId="77777777" w:rsidR="00E53B89" w:rsidRPr="00E53B89" w:rsidRDefault="00E53B89" w:rsidP="00E53B89">
      <w:pPr>
        <w:pStyle w:val="TOC2"/>
        <w:numPr>
          <w:ilvl w:val="0"/>
          <w:numId w:val="2"/>
        </w:numPr>
        <w:spacing w:line="360" w:lineRule="auto"/>
        <w:jc w:val="both"/>
        <w:rPr>
          <w:rFonts w:ascii="Arial" w:hAnsi="Arial" w:cs="Arial"/>
        </w:rPr>
      </w:pPr>
      <w:r w:rsidRPr="00E53B89">
        <w:rPr>
          <w:rFonts w:ascii="Arial" w:hAnsi="Arial" w:cs="Arial"/>
        </w:rPr>
        <w:t>Introduction</w:t>
      </w:r>
      <w:r w:rsidRPr="00E53B89">
        <w:rPr>
          <w:rFonts w:ascii="Arial" w:hAnsi="Arial" w:cs="Arial"/>
        </w:rPr>
        <w:ptab w:relativeTo="margin" w:alignment="right" w:leader="dot"/>
      </w:r>
      <w:r w:rsidRPr="00E53B89">
        <w:rPr>
          <w:rFonts w:ascii="Arial" w:hAnsi="Arial" w:cs="Arial"/>
        </w:rPr>
        <w:t>4</w:t>
      </w:r>
    </w:p>
    <w:p w14:paraId="6936DADE" w14:textId="77777777" w:rsidR="00E53B89" w:rsidRPr="00E53B89" w:rsidRDefault="00E53B89" w:rsidP="00E53B89">
      <w:pPr>
        <w:pStyle w:val="TOC3"/>
        <w:numPr>
          <w:ilvl w:val="0"/>
          <w:numId w:val="2"/>
        </w:numPr>
        <w:spacing w:line="360" w:lineRule="auto"/>
        <w:jc w:val="both"/>
        <w:rPr>
          <w:rFonts w:ascii="Arial" w:hAnsi="Arial" w:cs="Arial"/>
        </w:rPr>
      </w:pPr>
      <w:r w:rsidRPr="00E53B89">
        <w:rPr>
          <w:rFonts w:ascii="Arial" w:hAnsi="Arial" w:cs="Arial"/>
        </w:rPr>
        <w:t>Total Revenue</w:t>
      </w:r>
      <w:r w:rsidRPr="00E53B89">
        <w:rPr>
          <w:rFonts w:ascii="Arial" w:hAnsi="Arial" w:cs="Arial"/>
        </w:rPr>
        <w:ptab w:relativeTo="margin" w:alignment="right" w:leader="dot"/>
      </w:r>
      <w:r w:rsidRPr="00E53B89">
        <w:rPr>
          <w:rFonts w:ascii="Arial" w:hAnsi="Arial" w:cs="Arial"/>
        </w:rPr>
        <w:t>4</w:t>
      </w:r>
    </w:p>
    <w:p w14:paraId="78776DDB" w14:textId="278DF97B" w:rsidR="00E53B89" w:rsidRPr="00E53B89" w:rsidRDefault="00E53B89" w:rsidP="00E53B89">
      <w:pPr>
        <w:pStyle w:val="TOC1"/>
        <w:numPr>
          <w:ilvl w:val="0"/>
          <w:numId w:val="2"/>
        </w:numPr>
        <w:spacing w:line="360" w:lineRule="auto"/>
        <w:jc w:val="both"/>
        <w:rPr>
          <w:rFonts w:ascii="Arial" w:hAnsi="Arial" w:cs="Arial"/>
        </w:rPr>
      </w:pPr>
      <w:r w:rsidRPr="00E53B89">
        <w:rPr>
          <w:rFonts w:ascii="Arial" w:hAnsi="Arial" w:cs="Arial"/>
        </w:rPr>
        <w:t>Market Position</w:t>
      </w:r>
      <w:r w:rsidRPr="00E53B89">
        <w:rPr>
          <w:rFonts w:ascii="Arial" w:hAnsi="Arial" w:cs="Arial"/>
        </w:rPr>
        <w:ptab w:relativeTo="margin" w:alignment="right" w:leader="dot"/>
      </w:r>
      <w:r w:rsidR="009E5DBC">
        <w:rPr>
          <w:rFonts w:ascii="Arial" w:hAnsi="Arial" w:cs="Arial"/>
        </w:rPr>
        <w:t>5</w:t>
      </w:r>
    </w:p>
    <w:p w14:paraId="18BE6A64" w14:textId="3F509CCD" w:rsidR="00E53B89" w:rsidRPr="00E53B89" w:rsidRDefault="00E53B89" w:rsidP="00E53B89">
      <w:pPr>
        <w:pStyle w:val="TOC2"/>
        <w:numPr>
          <w:ilvl w:val="0"/>
          <w:numId w:val="2"/>
        </w:numPr>
        <w:spacing w:line="360" w:lineRule="auto"/>
        <w:jc w:val="both"/>
        <w:rPr>
          <w:rFonts w:ascii="Arial" w:hAnsi="Arial" w:cs="Arial"/>
        </w:rPr>
      </w:pPr>
      <w:r w:rsidRPr="00E53B89">
        <w:rPr>
          <w:rFonts w:ascii="Arial" w:hAnsi="Arial" w:cs="Arial"/>
        </w:rPr>
        <w:t>Growth Potential</w:t>
      </w:r>
      <w:r w:rsidRPr="00E53B89">
        <w:rPr>
          <w:rFonts w:ascii="Arial" w:hAnsi="Arial" w:cs="Arial"/>
        </w:rPr>
        <w:ptab w:relativeTo="margin" w:alignment="right" w:leader="dot"/>
      </w:r>
      <w:r w:rsidR="009E5DBC">
        <w:rPr>
          <w:rFonts w:ascii="Arial" w:hAnsi="Arial" w:cs="Arial"/>
        </w:rPr>
        <w:t>6</w:t>
      </w:r>
    </w:p>
    <w:p w14:paraId="5C042D4F" w14:textId="0FFB0A22" w:rsidR="00E53B89" w:rsidRPr="00E53B89" w:rsidRDefault="00E53B89" w:rsidP="00E53B89">
      <w:pPr>
        <w:pStyle w:val="TOC3"/>
        <w:numPr>
          <w:ilvl w:val="0"/>
          <w:numId w:val="2"/>
        </w:numPr>
        <w:spacing w:line="360" w:lineRule="auto"/>
        <w:jc w:val="both"/>
        <w:rPr>
          <w:rFonts w:ascii="Arial" w:hAnsi="Arial" w:cs="Arial"/>
        </w:rPr>
      </w:pPr>
      <w:r w:rsidRPr="00E53B89">
        <w:rPr>
          <w:rFonts w:ascii="Arial" w:hAnsi="Arial" w:cs="Arial"/>
        </w:rPr>
        <w:t>Financial commitment to CSR</w:t>
      </w:r>
      <w:r w:rsidRPr="00E53B89">
        <w:rPr>
          <w:rFonts w:ascii="Arial" w:hAnsi="Arial" w:cs="Arial"/>
        </w:rPr>
        <w:ptab w:relativeTo="margin" w:alignment="right" w:leader="dot"/>
      </w:r>
      <w:r w:rsidR="009E5DBC">
        <w:rPr>
          <w:rFonts w:ascii="Arial" w:hAnsi="Arial" w:cs="Arial"/>
        </w:rPr>
        <w:t>7</w:t>
      </w:r>
    </w:p>
    <w:p w14:paraId="274B0545" w14:textId="6E4AA3C9" w:rsidR="00E53B89" w:rsidRPr="00E53B89" w:rsidRDefault="00E53B89" w:rsidP="00E53B89">
      <w:pPr>
        <w:pStyle w:val="ListParagraph"/>
        <w:numPr>
          <w:ilvl w:val="0"/>
          <w:numId w:val="2"/>
        </w:numPr>
        <w:spacing w:line="360" w:lineRule="auto"/>
        <w:rPr>
          <w:rFonts w:ascii="Arial" w:hAnsi="Arial" w:cs="Arial"/>
        </w:rPr>
      </w:pPr>
      <w:r w:rsidRPr="00E53B89">
        <w:rPr>
          <w:rFonts w:ascii="Arial" w:hAnsi="Arial" w:cs="Arial"/>
        </w:rPr>
        <w:t>Conclusion</w:t>
      </w:r>
      <w:r w:rsidRPr="00E53B89">
        <w:rPr>
          <w:rFonts w:ascii="Arial" w:hAnsi="Arial" w:cs="Arial"/>
        </w:rPr>
        <w:ptab w:relativeTo="margin" w:alignment="right" w:leader="dot"/>
      </w:r>
      <w:r w:rsidR="009E5DBC">
        <w:rPr>
          <w:rFonts w:ascii="Arial" w:hAnsi="Arial" w:cs="Arial"/>
        </w:rPr>
        <w:t>8</w:t>
      </w:r>
    </w:p>
    <w:p w14:paraId="10C9E9AD" w14:textId="30E5D379" w:rsidR="00E53B89" w:rsidRPr="00E53B89" w:rsidRDefault="00E53B89" w:rsidP="00E53B89">
      <w:pPr>
        <w:pStyle w:val="ListParagraph"/>
        <w:numPr>
          <w:ilvl w:val="0"/>
          <w:numId w:val="2"/>
        </w:numPr>
        <w:spacing w:line="360" w:lineRule="auto"/>
        <w:rPr>
          <w:rFonts w:ascii="Arial" w:hAnsi="Arial" w:cs="Arial"/>
        </w:rPr>
      </w:pPr>
      <w:r w:rsidRPr="00E53B89">
        <w:rPr>
          <w:rFonts w:ascii="Arial" w:hAnsi="Arial" w:cs="Arial"/>
        </w:rPr>
        <w:t>Recommendations</w:t>
      </w:r>
      <w:r w:rsidRPr="00E53B89">
        <w:rPr>
          <w:rFonts w:ascii="Arial" w:hAnsi="Arial" w:cs="Arial"/>
        </w:rPr>
        <w:ptab w:relativeTo="margin" w:alignment="right" w:leader="dot"/>
      </w:r>
      <w:r w:rsidR="009E5DBC">
        <w:rPr>
          <w:rFonts w:ascii="Arial" w:hAnsi="Arial" w:cs="Arial"/>
        </w:rPr>
        <w:t>8</w:t>
      </w:r>
    </w:p>
    <w:p w14:paraId="0CA72537" w14:textId="426A3AF8" w:rsidR="005565C9" w:rsidRDefault="00E53B89" w:rsidP="00E53B89">
      <w:pPr>
        <w:pStyle w:val="ListParagraph"/>
        <w:numPr>
          <w:ilvl w:val="0"/>
          <w:numId w:val="2"/>
        </w:numPr>
        <w:jc w:val="both"/>
        <w:rPr>
          <w:rFonts w:ascii="Arial" w:hAnsi="Arial" w:cs="Arial"/>
        </w:rPr>
      </w:pPr>
      <w:r w:rsidRPr="00E53B89">
        <w:rPr>
          <w:rFonts w:ascii="Arial" w:hAnsi="Arial" w:cs="Arial"/>
        </w:rPr>
        <w:t>References</w:t>
      </w:r>
      <w:r w:rsidRPr="00E53B89">
        <w:rPr>
          <w:rFonts w:ascii="Arial" w:hAnsi="Arial" w:cs="Arial"/>
        </w:rPr>
        <w:ptab w:relativeTo="margin" w:alignment="right" w:leader="dot"/>
      </w:r>
      <w:r w:rsidR="00C21F70">
        <w:rPr>
          <w:rFonts w:ascii="Arial" w:hAnsi="Arial" w:cs="Arial"/>
        </w:rPr>
        <w:t>10</w:t>
      </w:r>
    </w:p>
    <w:p w14:paraId="6E7925ED" w14:textId="77777777" w:rsidR="00E53B89" w:rsidRDefault="00E53B89" w:rsidP="00E53B89">
      <w:pPr>
        <w:jc w:val="both"/>
        <w:rPr>
          <w:rFonts w:ascii="Arial" w:hAnsi="Arial" w:cs="Arial"/>
        </w:rPr>
      </w:pPr>
    </w:p>
    <w:p w14:paraId="3DCD1F5C" w14:textId="77777777" w:rsidR="00E53B89" w:rsidRDefault="00E53B89" w:rsidP="00E53B89">
      <w:pPr>
        <w:jc w:val="both"/>
        <w:rPr>
          <w:rFonts w:ascii="Arial" w:hAnsi="Arial" w:cs="Arial"/>
        </w:rPr>
      </w:pPr>
    </w:p>
    <w:p w14:paraId="7E28B28B" w14:textId="77777777" w:rsidR="00E53B89" w:rsidRDefault="00E53B89" w:rsidP="00E53B89">
      <w:pPr>
        <w:jc w:val="both"/>
        <w:rPr>
          <w:rFonts w:ascii="Arial" w:hAnsi="Arial" w:cs="Arial"/>
        </w:rPr>
      </w:pPr>
    </w:p>
    <w:p w14:paraId="63BA7123" w14:textId="77777777" w:rsidR="00E53B89" w:rsidRDefault="00E53B89" w:rsidP="00E53B89">
      <w:pPr>
        <w:jc w:val="both"/>
        <w:rPr>
          <w:rFonts w:ascii="Arial" w:hAnsi="Arial" w:cs="Arial"/>
        </w:rPr>
      </w:pPr>
    </w:p>
    <w:p w14:paraId="66F41221" w14:textId="77777777" w:rsidR="00E53B89" w:rsidRDefault="00E53B89" w:rsidP="00E53B89">
      <w:pPr>
        <w:jc w:val="both"/>
        <w:rPr>
          <w:rFonts w:ascii="Arial" w:hAnsi="Arial" w:cs="Arial"/>
        </w:rPr>
      </w:pPr>
    </w:p>
    <w:p w14:paraId="0BCDF661" w14:textId="77777777" w:rsidR="00E53B89" w:rsidRDefault="00E53B89" w:rsidP="00E53B89">
      <w:pPr>
        <w:jc w:val="both"/>
        <w:rPr>
          <w:rFonts w:ascii="Arial" w:hAnsi="Arial" w:cs="Arial"/>
        </w:rPr>
      </w:pPr>
    </w:p>
    <w:p w14:paraId="5F7C6B4B" w14:textId="77777777" w:rsidR="00E53B89" w:rsidRDefault="00E53B89" w:rsidP="00E53B89">
      <w:pPr>
        <w:jc w:val="both"/>
        <w:rPr>
          <w:rFonts w:ascii="Arial" w:hAnsi="Arial" w:cs="Arial"/>
        </w:rPr>
      </w:pPr>
    </w:p>
    <w:p w14:paraId="311162D6" w14:textId="77777777" w:rsidR="00E53B89" w:rsidRDefault="00E53B89" w:rsidP="00E53B89">
      <w:pPr>
        <w:jc w:val="both"/>
        <w:rPr>
          <w:rFonts w:ascii="Arial" w:hAnsi="Arial" w:cs="Arial"/>
        </w:rPr>
      </w:pPr>
    </w:p>
    <w:p w14:paraId="1BAD60F7" w14:textId="77777777" w:rsidR="00E53B89" w:rsidRDefault="00E53B89" w:rsidP="00E53B89">
      <w:pPr>
        <w:jc w:val="both"/>
        <w:rPr>
          <w:rFonts w:ascii="Arial" w:hAnsi="Arial" w:cs="Arial"/>
        </w:rPr>
      </w:pPr>
    </w:p>
    <w:p w14:paraId="385A346A" w14:textId="77777777" w:rsidR="00E53B89" w:rsidRDefault="00E53B89" w:rsidP="00E53B89">
      <w:pPr>
        <w:jc w:val="both"/>
        <w:rPr>
          <w:rFonts w:ascii="Arial" w:hAnsi="Arial" w:cs="Arial"/>
        </w:rPr>
      </w:pPr>
    </w:p>
    <w:p w14:paraId="57C3D4E1" w14:textId="77777777" w:rsidR="00E53B89" w:rsidRDefault="00E53B89" w:rsidP="00E53B89">
      <w:pPr>
        <w:jc w:val="both"/>
        <w:rPr>
          <w:rFonts w:ascii="Arial" w:hAnsi="Arial" w:cs="Arial"/>
        </w:rPr>
      </w:pPr>
    </w:p>
    <w:p w14:paraId="0E600EDA" w14:textId="77777777" w:rsidR="00E53B89" w:rsidRDefault="00E53B89" w:rsidP="00E53B89">
      <w:pPr>
        <w:jc w:val="both"/>
        <w:rPr>
          <w:rFonts w:ascii="Arial" w:hAnsi="Arial" w:cs="Arial"/>
        </w:rPr>
      </w:pPr>
    </w:p>
    <w:p w14:paraId="5E846311" w14:textId="77777777" w:rsidR="00E53B89" w:rsidRDefault="00E53B89" w:rsidP="00E53B89">
      <w:pPr>
        <w:jc w:val="both"/>
        <w:rPr>
          <w:rFonts w:ascii="Arial" w:hAnsi="Arial" w:cs="Arial"/>
        </w:rPr>
      </w:pPr>
    </w:p>
    <w:p w14:paraId="09ACAA4D" w14:textId="77777777" w:rsidR="00E53B89" w:rsidRDefault="00E53B89" w:rsidP="00E53B89">
      <w:pPr>
        <w:jc w:val="both"/>
        <w:rPr>
          <w:rFonts w:ascii="Arial" w:hAnsi="Arial" w:cs="Arial"/>
        </w:rPr>
      </w:pPr>
    </w:p>
    <w:p w14:paraId="3488AB21" w14:textId="77777777" w:rsidR="00E53B89" w:rsidRDefault="00E53B89" w:rsidP="00E53B89">
      <w:pPr>
        <w:jc w:val="both"/>
        <w:rPr>
          <w:rFonts w:ascii="Arial" w:hAnsi="Arial" w:cs="Arial"/>
        </w:rPr>
      </w:pPr>
    </w:p>
    <w:p w14:paraId="4DEFC716" w14:textId="77777777" w:rsidR="00E53B89" w:rsidRPr="00E37533" w:rsidRDefault="00E53B89" w:rsidP="00E53B89">
      <w:pPr>
        <w:jc w:val="both"/>
        <w:rPr>
          <w:rFonts w:ascii="Arial" w:hAnsi="Arial" w:cs="Arial"/>
          <w:color w:val="000000" w:themeColor="text1"/>
        </w:rPr>
      </w:pPr>
    </w:p>
    <w:p w14:paraId="05FB69F3" w14:textId="04B52546" w:rsidR="00E53B89" w:rsidRPr="00E37533" w:rsidRDefault="00757E04" w:rsidP="002B2066">
      <w:pPr>
        <w:spacing w:line="360" w:lineRule="auto"/>
        <w:jc w:val="center"/>
        <w:rPr>
          <w:rFonts w:ascii="Arial" w:hAnsi="Arial" w:cs="Arial"/>
          <w:b/>
          <w:bCs/>
          <w:color w:val="000000" w:themeColor="text1"/>
        </w:rPr>
      </w:pPr>
      <w:r w:rsidRPr="00E37533">
        <w:rPr>
          <w:rFonts w:ascii="Arial" w:hAnsi="Arial" w:cs="Arial"/>
          <w:b/>
          <w:bCs/>
          <w:color w:val="000000" w:themeColor="text1"/>
        </w:rPr>
        <w:t xml:space="preserve">Premier Inn </w:t>
      </w:r>
      <w:r w:rsidR="00F3450A" w:rsidRPr="00E37533">
        <w:rPr>
          <w:rFonts w:ascii="Arial" w:hAnsi="Arial" w:cs="Arial"/>
          <w:b/>
          <w:bCs/>
          <w:color w:val="000000" w:themeColor="text1"/>
        </w:rPr>
        <w:t>contrasted with Mandarin Oriental</w:t>
      </w:r>
    </w:p>
    <w:p w14:paraId="6D3B9378" w14:textId="77777777" w:rsidR="00F3450A" w:rsidRPr="00E37533" w:rsidRDefault="00F3450A" w:rsidP="002B2066">
      <w:pPr>
        <w:spacing w:line="360" w:lineRule="auto"/>
        <w:jc w:val="both"/>
        <w:rPr>
          <w:rFonts w:ascii="Arial" w:hAnsi="Arial" w:cs="Arial"/>
          <w:b/>
          <w:bCs/>
          <w:color w:val="000000" w:themeColor="text1"/>
        </w:rPr>
      </w:pPr>
    </w:p>
    <w:p w14:paraId="4F8C1563" w14:textId="27C975D9" w:rsidR="00E53B89" w:rsidRPr="00E37533" w:rsidRDefault="00E53B89" w:rsidP="002B2066">
      <w:pPr>
        <w:pStyle w:val="ListParagraph"/>
        <w:numPr>
          <w:ilvl w:val="0"/>
          <w:numId w:val="1"/>
        </w:numPr>
        <w:spacing w:line="360" w:lineRule="auto"/>
        <w:jc w:val="both"/>
        <w:rPr>
          <w:rFonts w:ascii="Arial" w:hAnsi="Arial" w:cs="Arial"/>
          <w:b/>
          <w:bCs/>
          <w:color w:val="000000" w:themeColor="text1"/>
        </w:rPr>
      </w:pPr>
      <w:r w:rsidRPr="00E37533">
        <w:rPr>
          <w:rFonts w:ascii="Arial" w:hAnsi="Arial" w:cs="Arial"/>
          <w:b/>
          <w:bCs/>
          <w:color w:val="000000" w:themeColor="text1"/>
        </w:rPr>
        <w:t xml:space="preserve">Introduction </w:t>
      </w:r>
    </w:p>
    <w:p w14:paraId="500480D7" w14:textId="11406C2B" w:rsidR="00E53B89" w:rsidRPr="00E37533" w:rsidRDefault="00AD4683" w:rsidP="002B2066">
      <w:pPr>
        <w:spacing w:line="360" w:lineRule="auto"/>
        <w:jc w:val="both"/>
        <w:rPr>
          <w:rFonts w:ascii="Arial" w:hAnsi="Arial" w:cs="Arial"/>
          <w:color w:val="000000" w:themeColor="text1"/>
        </w:rPr>
      </w:pPr>
      <w:r w:rsidRPr="00E37533">
        <w:rPr>
          <w:rFonts w:ascii="Arial" w:hAnsi="Arial" w:cs="Arial"/>
          <w:color w:val="000000" w:themeColor="text1"/>
        </w:rPr>
        <w:t>This report seeks to evaluate and contrast the economic output, market standing, expansion possibilities, and corporate social responsibility initiatives of the two foremost players in the industry, Mandarin Oriental Hotel Group and Premier Inn.</w:t>
      </w:r>
      <w:r w:rsidR="009835E7" w:rsidRPr="00E37533">
        <w:rPr>
          <w:rFonts w:ascii="Arial" w:hAnsi="Arial" w:cs="Arial"/>
          <w:color w:val="000000" w:themeColor="text1"/>
        </w:rPr>
        <w:t xml:space="preserve"> Whitbread-owned Premier Inn is the biggest hotel chain in Britain, providing good value lodgings. It has a network of over 800 hotels mainly in the UK, with some in Ireland and Germany.</w:t>
      </w:r>
      <w:r w:rsidR="00FF0E1A" w:rsidRPr="00E37533">
        <w:rPr>
          <w:rFonts w:ascii="Arial" w:hAnsi="Arial" w:cs="Arial"/>
          <w:color w:val="000000" w:themeColor="text1"/>
        </w:rPr>
        <w:t xml:space="preserve"> </w:t>
      </w:r>
      <w:r w:rsidR="00D45D15" w:rsidRPr="00E37533">
        <w:rPr>
          <w:rFonts w:ascii="Arial" w:hAnsi="Arial" w:cs="Arial"/>
          <w:color w:val="000000" w:themeColor="text1"/>
        </w:rPr>
        <w:t>Boasting constant service and comfortable rooms, Premier Inn caters to both corporate and vacationing guests. The establishment has built a reputation for providing immaculate, efficient lodgings with a variety of amenities, including its own restaurants (</w:t>
      </w:r>
      <w:r w:rsidR="00531368" w:rsidRPr="00E37533">
        <w:rPr>
          <w:rFonts w:ascii="Arial" w:hAnsi="Arial" w:cs="Arial"/>
          <w:color w:val="000000" w:themeColor="text1"/>
        </w:rPr>
        <w:t xml:space="preserve">Premier Inn, 2022). </w:t>
      </w:r>
      <w:r w:rsidR="007218C8" w:rsidRPr="00E37533">
        <w:rPr>
          <w:rFonts w:ascii="Arial" w:hAnsi="Arial" w:cs="Arial"/>
          <w:color w:val="000000" w:themeColor="text1"/>
        </w:rPr>
        <w:t>Mandarin Oriental is a worldwide luxury hotel brand that operates in many countries, and its London property, the Mandarin Oriental Hyde Park, is particularly renowned. Its prime location in Knightsbridge provides a perfect synthesis of traditional grandeur and modern amenities.</w:t>
      </w:r>
      <w:r w:rsidR="007B2BFC" w:rsidRPr="00E37533">
        <w:rPr>
          <w:rFonts w:ascii="Arial" w:hAnsi="Arial" w:cs="Arial"/>
          <w:color w:val="000000" w:themeColor="text1"/>
        </w:rPr>
        <w:t xml:space="preserve"> Founded in Hong Kong, the London division of the Mandarin Oriental Hotel Group adheres to the philosophy of combining Oriental allure with British sophistication</w:t>
      </w:r>
      <w:r w:rsidR="004D4755" w:rsidRPr="00E37533">
        <w:rPr>
          <w:rFonts w:ascii="Arial" w:hAnsi="Arial" w:cs="Arial"/>
          <w:color w:val="000000" w:themeColor="text1"/>
        </w:rPr>
        <w:t xml:space="preserve"> </w:t>
      </w:r>
      <w:r w:rsidR="004D4755" w:rsidRPr="00E37533">
        <w:rPr>
          <w:rFonts w:ascii="Arial" w:hAnsi="Arial" w:cs="Arial"/>
          <w:color w:val="000000" w:themeColor="text1"/>
          <w:shd w:val="clear" w:color="auto" w:fill="FFFFFF"/>
        </w:rPr>
        <w:t>(Corporate Site, n.d.)</w:t>
      </w:r>
      <w:r w:rsidR="007B2BFC" w:rsidRPr="00E37533">
        <w:rPr>
          <w:rFonts w:ascii="Arial" w:hAnsi="Arial" w:cs="Arial"/>
          <w:color w:val="000000" w:themeColor="text1"/>
        </w:rPr>
        <w:t xml:space="preserve"> It is renowned for its remarkable service, luxurious designs, and fine dining selections, providing a hospitality experience unrivalled by any other.</w:t>
      </w:r>
      <w:r w:rsidR="00393C2A" w:rsidRPr="00E37533">
        <w:rPr>
          <w:rFonts w:ascii="Arial" w:hAnsi="Arial" w:cs="Arial"/>
          <w:color w:val="000000" w:themeColor="text1"/>
        </w:rPr>
        <w:t xml:space="preserve"> Not limiting itself to leisure travellers, Mandarin Oriental is also well-equipped to cater to its business clientele with modern conference and meeting facilities</w:t>
      </w:r>
      <w:r w:rsidR="007A6658" w:rsidRPr="00E37533">
        <w:rPr>
          <w:rFonts w:ascii="Arial" w:hAnsi="Arial" w:cs="Arial"/>
          <w:color w:val="000000" w:themeColor="text1"/>
        </w:rPr>
        <w:t xml:space="preserve"> </w:t>
      </w:r>
      <w:r w:rsidR="007A6658" w:rsidRPr="00E37533">
        <w:rPr>
          <w:rFonts w:ascii="Arial" w:hAnsi="Arial" w:cs="Arial"/>
          <w:color w:val="000000" w:themeColor="text1"/>
          <w:shd w:val="clear" w:color="auto" w:fill="FFFFFF"/>
        </w:rPr>
        <w:t> (Corporate Site, n.d.)</w:t>
      </w:r>
      <w:r w:rsidR="00393C2A" w:rsidRPr="00E37533">
        <w:rPr>
          <w:rFonts w:ascii="Arial" w:hAnsi="Arial" w:cs="Arial"/>
          <w:color w:val="000000" w:themeColor="text1"/>
        </w:rPr>
        <w:t xml:space="preserve"> Over the years, it has become a symbol of excellence in the luxury hospitality sector, setting stellar standards of quality and customer contentment.</w:t>
      </w:r>
    </w:p>
    <w:p w14:paraId="2D24AEE6" w14:textId="77777777" w:rsidR="00DD5103" w:rsidRPr="00E37533" w:rsidRDefault="00DD5103" w:rsidP="002B2066">
      <w:pPr>
        <w:spacing w:line="360" w:lineRule="auto"/>
        <w:jc w:val="both"/>
        <w:rPr>
          <w:rFonts w:ascii="Arial" w:hAnsi="Arial" w:cs="Arial"/>
          <w:color w:val="000000" w:themeColor="text1"/>
        </w:rPr>
      </w:pPr>
    </w:p>
    <w:p w14:paraId="579B1620" w14:textId="374DE6E2" w:rsidR="00DD5103" w:rsidRPr="00E37533" w:rsidRDefault="00DD5103" w:rsidP="002B2066">
      <w:pPr>
        <w:pStyle w:val="ListParagraph"/>
        <w:numPr>
          <w:ilvl w:val="0"/>
          <w:numId w:val="1"/>
        </w:numPr>
        <w:spacing w:line="360" w:lineRule="auto"/>
        <w:jc w:val="both"/>
        <w:rPr>
          <w:rFonts w:ascii="Arial" w:hAnsi="Arial" w:cs="Arial"/>
          <w:b/>
          <w:bCs/>
          <w:color w:val="000000" w:themeColor="text1"/>
        </w:rPr>
      </w:pPr>
      <w:r w:rsidRPr="00E37533">
        <w:rPr>
          <w:rFonts w:ascii="Arial" w:hAnsi="Arial" w:cs="Arial"/>
          <w:b/>
          <w:bCs/>
          <w:color w:val="000000" w:themeColor="text1"/>
        </w:rPr>
        <w:t>Total revenue</w:t>
      </w:r>
    </w:p>
    <w:p w14:paraId="4ABB8E80" w14:textId="725B4FD4" w:rsidR="00531368" w:rsidRPr="00E37533" w:rsidRDefault="00A53D37" w:rsidP="002B2066">
      <w:pPr>
        <w:spacing w:line="360" w:lineRule="auto"/>
        <w:jc w:val="both"/>
        <w:rPr>
          <w:rFonts w:ascii="Arial" w:hAnsi="Arial" w:cs="Arial"/>
          <w:color w:val="000000" w:themeColor="text1"/>
        </w:rPr>
      </w:pPr>
      <w:r w:rsidRPr="00E37533">
        <w:rPr>
          <w:rFonts w:ascii="Arial" w:hAnsi="Arial" w:cs="Arial"/>
          <w:color w:val="000000" w:themeColor="text1"/>
        </w:rPr>
        <w:t>Premier Inn and Mandarin Oriental both had significant revenue increase in FY23, however the reasons and forms of this growth differed. Premier Inn's overall revenue in FY23 was £2,625 million, up 54% from the previous year.</w:t>
      </w:r>
      <w:r w:rsidR="000C4E06" w:rsidRPr="00E37533">
        <w:rPr>
          <w:rFonts w:ascii="Arial" w:hAnsi="Arial" w:cs="Arial"/>
          <w:color w:val="000000" w:themeColor="text1"/>
        </w:rPr>
        <w:t xml:space="preserve"> The majority of the company's revenue comes from its hotel services and Food &amp; Beverage  sales</w:t>
      </w:r>
      <w:r w:rsidR="00C21F70" w:rsidRPr="00E37533">
        <w:rPr>
          <w:rFonts w:ascii="Arial" w:hAnsi="Arial" w:cs="Arial"/>
          <w:color w:val="000000" w:themeColor="text1"/>
        </w:rPr>
        <w:t xml:space="preserve"> (Whitebread, 2023). Drury (2021)</w:t>
      </w:r>
      <w:r w:rsidR="000C4E06" w:rsidRPr="00E37533">
        <w:rPr>
          <w:rFonts w:ascii="Arial" w:hAnsi="Arial" w:cs="Arial"/>
          <w:color w:val="000000" w:themeColor="text1"/>
        </w:rPr>
        <w:t xml:space="preserve"> suggest that organisations prosper when they focus on their core capabilities. Premier Inn's strength clearly resides in its midscale and economy accommodation offerings, as seen by a 55% year-over-year increase in this sector compared to a 40% increase in F&amp;B sales.</w:t>
      </w:r>
      <w:r w:rsidR="004A495A" w:rsidRPr="00E37533">
        <w:rPr>
          <w:rFonts w:ascii="Arial" w:hAnsi="Arial" w:cs="Arial"/>
          <w:color w:val="000000" w:themeColor="text1"/>
        </w:rPr>
        <w:t xml:space="preserve"> Mandarin Oriental, on the other hand, estimates revenue of $1.568 billion in 2022, a 49% increase over the previous year</w:t>
      </w:r>
      <w:r w:rsidR="00C21F70" w:rsidRPr="00E37533">
        <w:rPr>
          <w:rFonts w:ascii="Arial" w:hAnsi="Arial" w:cs="Arial"/>
          <w:color w:val="000000" w:themeColor="text1"/>
        </w:rPr>
        <w:t xml:space="preserve"> (Whitebread, 2023). </w:t>
      </w:r>
      <w:r w:rsidR="004A495A" w:rsidRPr="00E37533">
        <w:rPr>
          <w:rFonts w:ascii="Arial" w:hAnsi="Arial" w:cs="Arial"/>
          <w:color w:val="000000" w:themeColor="text1"/>
        </w:rPr>
        <w:t>Unlike Premier Inn, which primarily operates in the United Kingdom, Mandarin Oriental had significant expansion throughout Europe, the Middle East, and the United States. Revenue per available room  and average daily rate indicators boosted revenue from these regions. According to Drury's (2021) cost accounting standards, Mandarin Oriental's operational performance is demonstrated by an EBITDA of $111 million and a net profit of $8 million. The Group's "World of Fans" strategy appears to have improved customer retention, which may have contributed to the increase in RevPAR and ADR</w:t>
      </w:r>
      <w:r w:rsidR="00C21F70" w:rsidRPr="00E37533">
        <w:rPr>
          <w:rFonts w:ascii="Arial" w:hAnsi="Arial" w:cs="Arial"/>
          <w:color w:val="000000" w:themeColor="text1"/>
        </w:rPr>
        <w:t xml:space="preserve"> (Mandarin Oriental, 2022). </w:t>
      </w:r>
      <w:r w:rsidR="006112C8" w:rsidRPr="00E37533">
        <w:rPr>
          <w:rFonts w:ascii="Arial" w:hAnsi="Arial" w:cs="Arial"/>
          <w:color w:val="000000" w:themeColor="text1"/>
        </w:rPr>
        <w:t>When the elements driving revenue growth are examined, Premier Inn's capacity of adapting and modify its operations corresponds to Teece's (200</w:t>
      </w:r>
      <w:r w:rsidR="00C21F70" w:rsidRPr="00E37533">
        <w:rPr>
          <w:rFonts w:ascii="Arial" w:hAnsi="Arial" w:cs="Arial"/>
          <w:color w:val="000000" w:themeColor="text1"/>
        </w:rPr>
        <w:t>9</w:t>
      </w:r>
      <w:r w:rsidR="006112C8" w:rsidRPr="00E37533">
        <w:rPr>
          <w:rFonts w:ascii="Arial" w:hAnsi="Arial" w:cs="Arial"/>
          <w:color w:val="000000" w:themeColor="text1"/>
        </w:rPr>
        <w:t xml:space="preserve">) notion of dynamic capacities. </w:t>
      </w:r>
      <w:r w:rsidR="000D5B39" w:rsidRPr="00E37533">
        <w:rPr>
          <w:rFonts w:ascii="Arial" w:hAnsi="Arial" w:cs="Arial"/>
          <w:color w:val="000000" w:themeColor="text1"/>
        </w:rPr>
        <w:t>According to Teece's (200</w:t>
      </w:r>
      <w:r w:rsidR="00C21F70" w:rsidRPr="00E37533">
        <w:rPr>
          <w:rFonts w:ascii="Arial" w:hAnsi="Arial" w:cs="Arial"/>
          <w:color w:val="000000" w:themeColor="text1"/>
        </w:rPr>
        <w:t>9</w:t>
      </w:r>
      <w:r w:rsidR="000D5B39" w:rsidRPr="00E37533">
        <w:rPr>
          <w:rFonts w:ascii="Arial" w:hAnsi="Arial" w:cs="Arial"/>
          <w:color w:val="000000" w:themeColor="text1"/>
        </w:rPr>
        <w:t xml:space="preserve">) idea of dynamic capabilities, firms that can adapt, integrate, and reconfigure their internal and external skills have a greater ability to adjust to constantly changing surroundings. Dynamic capabilities entail  how well a company can alter and adapt these resources to satisfy changing market needs. In Premier Inn's example, the firm's remarkable revenue increase of 54% year on year in FY23 demonstrates that such skills were effectively deployed. </w:t>
      </w:r>
      <w:r w:rsidR="006112C8" w:rsidRPr="00E37533">
        <w:rPr>
          <w:rFonts w:ascii="Arial" w:hAnsi="Arial" w:cs="Arial"/>
          <w:color w:val="000000" w:themeColor="text1"/>
        </w:rPr>
        <w:t>Their key skills in delivering midscale and economical lodging appear to be driving increase in hotel sales. In contrast, revenue growth at Mandarin Oriental is driven by smart cost control and diversity across countries and client categories</w:t>
      </w:r>
      <w:r w:rsidR="00BC5A07" w:rsidRPr="00E37533">
        <w:rPr>
          <w:rFonts w:ascii="Arial" w:hAnsi="Arial" w:cs="Arial"/>
          <w:color w:val="000000" w:themeColor="text1"/>
        </w:rPr>
        <w:t xml:space="preserve"> (Seal, 2019).</w:t>
      </w:r>
      <w:r w:rsidR="00065185" w:rsidRPr="00E37533">
        <w:rPr>
          <w:rFonts w:ascii="Arial" w:hAnsi="Arial" w:cs="Arial"/>
          <w:color w:val="000000" w:themeColor="text1"/>
        </w:rPr>
        <w:t xml:space="preserve"> Furthermore, as shown by an improvement in key performance measures like as RevPAR and ADR, Mandarin Oriental appears to be focusing on optimising pricing and inventory tactics. Although both organisations have proven operational competence, their revenue compositions and growth drivers indicate differing strategic priorities. Premier Inn focuses on its core capabilities in a somewhat localised market, whereas Mandarin Oriental strives for worldwide diversification and excellence in client involvement.</w:t>
      </w:r>
      <w:r w:rsidR="00806441" w:rsidRPr="00E37533">
        <w:rPr>
          <w:rFonts w:ascii="Arial" w:hAnsi="Arial" w:cs="Arial"/>
          <w:color w:val="000000" w:themeColor="text1"/>
        </w:rPr>
        <w:t xml:space="preserve"> Lastly, both Premier Inn and Mandarin Oriental have seen excellent revenue growth, owing to diverse methods geared to their core capabilities and market positioning. Premier Inn used its expertise in midscale and economy hotels in the United Kingdom, while Mandarin Oriental used worldwide cost management and customer engagement tactics.</w:t>
      </w:r>
    </w:p>
    <w:p w14:paraId="772A2EA7" w14:textId="77777777" w:rsidR="00806441" w:rsidRPr="00E37533" w:rsidRDefault="00806441" w:rsidP="002B2066">
      <w:pPr>
        <w:spacing w:line="360" w:lineRule="auto"/>
        <w:jc w:val="both"/>
        <w:rPr>
          <w:rFonts w:ascii="Arial" w:hAnsi="Arial" w:cs="Arial"/>
          <w:color w:val="000000" w:themeColor="text1"/>
        </w:rPr>
      </w:pPr>
    </w:p>
    <w:p w14:paraId="22F3A8F7" w14:textId="08426035" w:rsidR="00806441" w:rsidRPr="00E37533" w:rsidRDefault="00200C47" w:rsidP="002B2066">
      <w:pPr>
        <w:pStyle w:val="ListParagraph"/>
        <w:numPr>
          <w:ilvl w:val="0"/>
          <w:numId w:val="1"/>
        </w:numPr>
        <w:spacing w:line="360" w:lineRule="auto"/>
        <w:jc w:val="both"/>
        <w:rPr>
          <w:rFonts w:ascii="Arial" w:hAnsi="Arial" w:cs="Arial"/>
          <w:b/>
          <w:bCs/>
          <w:color w:val="000000" w:themeColor="text1"/>
        </w:rPr>
      </w:pPr>
      <w:r w:rsidRPr="00E37533">
        <w:rPr>
          <w:rFonts w:ascii="Arial" w:hAnsi="Arial" w:cs="Arial"/>
          <w:b/>
          <w:bCs/>
          <w:color w:val="000000" w:themeColor="text1"/>
        </w:rPr>
        <w:t xml:space="preserve">Market position </w:t>
      </w:r>
    </w:p>
    <w:p w14:paraId="23E1A397" w14:textId="57FEC08C" w:rsidR="00531368" w:rsidRPr="00E37533" w:rsidRDefault="00CC3CEE" w:rsidP="002B2066">
      <w:pPr>
        <w:spacing w:line="360" w:lineRule="auto"/>
        <w:jc w:val="both"/>
        <w:rPr>
          <w:rFonts w:ascii="Arial" w:hAnsi="Arial" w:cs="Arial"/>
          <w:color w:val="000000" w:themeColor="text1"/>
        </w:rPr>
      </w:pPr>
      <w:r w:rsidRPr="00E37533">
        <w:rPr>
          <w:rFonts w:ascii="Arial" w:hAnsi="Arial" w:cs="Arial"/>
          <w:color w:val="000000" w:themeColor="text1"/>
        </w:rPr>
        <w:t>Mandarin Oriental Hotel Group and Premier Inn have very different market positioning, which is mostly determined by the market sectors they target and the consumer demographics they appeal to</w:t>
      </w:r>
      <w:r w:rsidR="00BC5A07" w:rsidRPr="00E37533">
        <w:rPr>
          <w:rFonts w:ascii="Arial" w:hAnsi="Arial" w:cs="Arial"/>
          <w:color w:val="000000" w:themeColor="text1"/>
        </w:rPr>
        <w:t xml:space="preserve"> (Drury, 2021). </w:t>
      </w:r>
      <w:r w:rsidRPr="00E37533">
        <w:rPr>
          <w:rFonts w:ascii="Arial" w:hAnsi="Arial" w:cs="Arial"/>
          <w:color w:val="000000" w:themeColor="text1"/>
        </w:rPr>
        <w:t xml:space="preserve">Mandarin Oriental is known as a luxury brand, catering to affluent consumers ready to pay higher prices for extravagant experiences. Premier Inn, on the other hand, caters to the midscale and budget categories, drawing a more price-sensitive clientele (Kotler </w:t>
      </w:r>
      <w:r w:rsidR="00BC5A07" w:rsidRPr="00E37533">
        <w:rPr>
          <w:rFonts w:ascii="Arial" w:hAnsi="Arial" w:cs="Arial"/>
          <w:color w:val="000000" w:themeColor="text1"/>
        </w:rPr>
        <w:t xml:space="preserve">and </w:t>
      </w:r>
      <w:r w:rsidRPr="00E37533">
        <w:rPr>
          <w:rFonts w:ascii="Arial" w:hAnsi="Arial" w:cs="Arial"/>
          <w:color w:val="000000" w:themeColor="text1"/>
        </w:rPr>
        <w:t xml:space="preserve"> Keller, 2016). Both groups' revenue indicators, such as Revenue Per Available Room and Average Daily Rate, indicate these positioning efforts. Mandarin Oriental has a high ADR of $244, implying that it seeks to maximise income per client at the expense of market volume</w:t>
      </w:r>
      <w:r w:rsidR="00BC5A07" w:rsidRPr="00E37533">
        <w:rPr>
          <w:rFonts w:ascii="Arial" w:hAnsi="Arial" w:cs="Arial"/>
          <w:color w:val="000000" w:themeColor="text1"/>
        </w:rPr>
        <w:t xml:space="preserve"> (Mandarin Oriental, 2022).</w:t>
      </w:r>
      <w:r w:rsidR="00BE02FF" w:rsidRPr="00E37533">
        <w:rPr>
          <w:rFonts w:ascii="Arial" w:hAnsi="Arial" w:cs="Arial"/>
          <w:color w:val="000000" w:themeColor="text1"/>
        </w:rPr>
        <w:t xml:space="preserve"> Premier Inn has a more solid presence in the UK, focusing on its extensive network of hotels across the country</w:t>
      </w:r>
      <w:r w:rsidR="00BC5A07" w:rsidRPr="00E37533">
        <w:rPr>
          <w:rFonts w:ascii="Arial" w:hAnsi="Arial" w:cs="Arial"/>
          <w:color w:val="000000" w:themeColor="text1"/>
        </w:rPr>
        <w:t xml:space="preserve"> (Whitebread, 2023). </w:t>
      </w:r>
      <w:r w:rsidR="00890327" w:rsidRPr="00E37533">
        <w:rPr>
          <w:rFonts w:ascii="Arial" w:hAnsi="Arial" w:cs="Arial"/>
          <w:color w:val="000000" w:themeColor="text1"/>
        </w:rPr>
        <w:t>For instance, of all hoteliers in the United Kingdom, Premier Inn is one of the largest, constituting 12 percent of the overall hotel industry</w:t>
      </w:r>
      <w:r w:rsidR="00BC5A07" w:rsidRPr="00E37533">
        <w:rPr>
          <w:rFonts w:ascii="Arial" w:hAnsi="Arial" w:cs="Arial"/>
          <w:color w:val="000000" w:themeColor="text1"/>
        </w:rPr>
        <w:t xml:space="preserve"> (Premier Inn Raport, 2022).</w:t>
      </w:r>
      <w:r w:rsidR="00BE02FF" w:rsidRPr="00E37533">
        <w:rPr>
          <w:rFonts w:ascii="Arial" w:hAnsi="Arial" w:cs="Arial"/>
          <w:color w:val="000000" w:themeColor="text1"/>
        </w:rPr>
        <w:t xml:space="preserve"> This extensive presence will very certainly lead to a higher market share in this region. Mandarin Oriental, on the other hand, has a stronger worldwide footprint, focusing on growing markets like as Europe, the Middle East, and America.</w:t>
      </w:r>
      <w:r w:rsidR="00723486" w:rsidRPr="00E37533">
        <w:rPr>
          <w:rFonts w:ascii="Arial" w:hAnsi="Arial" w:cs="Arial"/>
          <w:color w:val="000000" w:themeColor="text1"/>
        </w:rPr>
        <w:t xml:space="preserve"> Due to data limitat</w:t>
      </w:r>
      <w:r w:rsidR="00185E6B" w:rsidRPr="00E37533">
        <w:rPr>
          <w:rFonts w:ascii="Arial" w:hAnsi="Arial" w:cs="Arial"/>
          <w:color w:val="000000" w:themeColor="text1"/>
        </w:rPr>
        <w:t xml:space="preserve">ions the market share of Mandarin Oriental is unknown. However, </w:t>
      </w:r>
      <w:r w:rsidR="005372C9" w:rsidRPr="00E37533">
        <w:rPr>
          <w:rFonts w:ascii="Arial" w:hAnsi="Arial" w:cs="Arial"/>
          <w:color w:val="000000" w:themeColor="text1"/>
        </w:rPr>
        <w:t>Mandarin Oriental's concentration on foreign markets suggests that it is ready to give up market share in certain locations in exchange for a more diverse worldwide portfolio (</w:t>
      </w:r>
      <w:proofErr w:type="spellStart"/>
      <w:r w:rsidR="003F3B22" w:rsidRPr="00E37533">
        <w:rPr>
          <w:rFonts w:ascii="Arial" w:hAnsi="Arial" w:cs="Arial"/>
          <w:color w:val="000000" w:themeColor="text1"/>
        </w:rPr>
        <w:t>Volberda</w:t>
      </w:r>
      <w:proofErr w:type="spellEnd"/>
      <w:r w:rsidR="003F3B22" w:rsidRPr="00E37533">
        <w:rPr>
          <w:rFonts w:ascii="Arial" w:hAnsi="Arial" w:cs="Arial"/>
          <w:color w:val="000000" w:themeColor="text1"/>
        </w:rPr>
        <w:t xml:space="preserve"> et al., </w:t>
      </w:r>
      <w:r w:rsidR="005372C9" w:rsidRPr="00E37533">
        <w:rPr>
          <w:rFonts w:ascii="Arial" w:hAnsi="Arial" w:cs="Arial"/>
          <w:color w:val="000000" w:themeColor="text1"/>
        </w:rPr>
        <w:t>, 20</w:t>
      </w:r>
      <w:r w:rsidR="003F3B22" w:rsidRPr="00E37533">
        <w:rPr>
          <w:rFonts w:ascii="Arial" w:hAnsi="Arial" w:cs="Arial"/>
          <w:color w:val="000000" w:themeColor="text1"/>
        </w:rPr>
        <w:t>1</w:t>
      </w:r>
      <w:r w:rsidR="005372C9" w:rsidRPr="00E37533">
        <w:rPr>
          <w:rFonts w:ascii="Arial" w:hAnsi="Arial" w:cs="Arial"/>
          <w:color w:val="000000" w:themeColor="text1"/>
        </w:rPr>
        <w:t>1).</w:t>
      </w:r>
      <w:r w:rsidR="007B6781" w:rsidRPr="00E37533">
        <w:rPr>
          <w:rFonts w:ascii="Arial" w:hAnsi="Arial" w:cs="Arial"/>
          <w:color w:val="000000" w:themeColor="text1"/>
        </w:rPr>
        <w:t xml:space="preserve"> Another critical part of market positioning is customer demographics. Given its affluent positioning and pricing, the Mandarin Oriental's customer base is likely to include corporate leaders, rich vacationers, and celebrities. Premier Inn, with its focus on midscale and budget lodging, is more inclined to appeal to families, budget travellers, and business travellers searching for low-cost solutions (Kotler </w:t>
      </w:r>
      <w:r w:rsidR="003F3B22" w:rsidRPr="00E37533">
        <w:rPr>
          <w:rFonts w:ascii="Arial" w:hAnsi="Arial" w:cs="Arial"/>
          <w:color w:val="000000" w:themeColor="text1"/>
        </w:rPr>
        <w:t>and</w:t>
      </w:r>
      <w:r w:rsidR="007B6781" w:rsidRPr="00E37533">
        <w:rPr>
          <w:rFonts w:ascii="Arial" w:hAnsi="Arial" w:cs="Arial"/>
          <w:color w:val="000000" w:themeColor="text1"/>
        </w:rPr>
        <w:t xml:space="preserve"> Keller, 2016).</w:t>
      </w:r>
      <w:r w:rsidR="00327238" w:rsidRPr="00E37533">
        <w:rPr>
          <w:rFonts w:ascii="Arial" w:hAnsi="Arial" w:cs="Arial"/>
          <w:color w:val="000000" w:themeColor="text1"/>
        </w:rPr>
        <w:t xml:space="preserve"> Both organisations' market standing is heavily influenced by brand perception. The "World of Fans" strategy proposed by Mandarin Oriental recommends a concentrated strategy for building brand loyalty through personalised interactions. The Premier Inn brand is founded on cost without reducing quality, which largely adds to its durability and capacity to recover even under difficult market conditions such as the pandemic.</w:t>
      </w:r>
      <w:r w:rsidR="00503367" w:rsidRPr="00E37533">
        <w:rPr>
          <w:rFonts w:ascii="Arial" w:hAnsi="Arial" w:cs="Arial"/>
          <w:color w:val="000000" w:themeColor="text1"/>
        </w:rPr>
        <w:t xml:space="preserve"> Lats not least, Premier Inn's superior performance. of the Midscale and Economy sector, as well as Mandarin Oriental's shift from a primary loss to a profit, communicate the substantial brand equity these firms have established</w:t>
      </w:r>
      <w:r w:rsidR="003F3B22" w:rsidRPr="00E37533">
        <w:rPr>
          <w:rFonts w:ascii="Arial" w:hAnsi="Arial" w:cs="Arial"/>
          <w:color w:val="000000" w:themeColor="text1"/>
        </w:rPr>
        <w:t xml:space="preserve"> (Walker, 2021).</w:t>
      </w:r>
    </w:p>
    <w:p w14:paraId="17DDBFE7" w14:textId="77777777" w:rsidR="00531368" w:rsidRPr="00E37533" w:rsidRDefault="00531368" w:rsidP="002B2066">
      <w:pPr>
        <w:spacing w:line="360" w:lineRule="auto"/>
        <w:jc w:val="both"/>
        <w:rPr>
          <w:rFonts w:ascii="Arial" w:hAnsi="Arial" w:cs="Arial"/>
          <w:color w:val="000000" w:themeColor="text1"/>
        </w:rPr>
      </w:pPr>
    </w:p>
    <w:p w14:paraId="75D4F3D5" w14:textId="3C367ED0" w:rsidR="00531368" w:rsidRPr="00E37533" w:rsidRDefault="00F83FB6" w:rsidP="002B2066">
      <w:pPr>
        <w:pStyle w:val="ListParagraph"/>
        <w:numPr>
          <w:ilvl w:val="0"/>
          <w:numId w:val="1"/>
        </w:numPr>
        <w:spacing w:line="360" w:lineRule="auto"/>
        <w:jc w:val="both"/>
        <w:rPr>
          <w:rFonts w:ascii="Arial" w:hAnsi="Arial" w:cs="Arial"/>
          <w:b/>
          <w:bCs/>
          <w:color w:val="000000" w:themeColor="text1"/>
        </w:rPr>
      </w:pPr>
      <w:r w:rsidRPr="00E37533">
        <w:rPr>
          <w:rFonts w:ascii="Arial" w:hAnsi="Arial" w:cs="Arial"/>
          <w:b/>
          <w:bCs/>
          <w:color w:val="000000" w:themeColor="text1"/>
        </w:rPr>
        <w:t xml:space="preserve">Growth potential </w:t>
      </w:r>
    </w:p>
    <w:p w14:paraId="1D1AD79D" w14:textId="44DB3000" w:rsidR="0098477C" w:rsidRPr="00E37533" w:rsidRDefault="0098477C" w:rsidP="002B2066">
      <w:pPr>
        <w:spacing w:line="360" w:lineRule="auto"/>
        <w:jc w:val="both"/>
        <w:rPr>
          <w:rFonts w:ascii="Arial" w:hAnsi="Arial" w:cs="Arial"/>
          <w:color w:val="000000" w:themeColor="text1"/>
        </w:rPr>
      </w:pPr>
      <w:r w:rsidRPr="00E37533">
        <w:rPr>
          <w:rFonts w:ascii="Arial" w:hAnsi="Arial" w:cs="Arial"/>
          <w:color w:val="000000" w:themeColor="text1"/>
        </w:rPr>
        <w:t>Both Mandarin Oriental Hotel Group and Premier Inn have different development possibilities due to different strategy focuses, market circumstances, and possible impediments.</w:t>
      </w:r>
      <w:r w:rsidR="00C96603" w:rsidRPr="00E37533">
        <w:rPr>
          <w:rFonts w:ascii="Arial" w:hAnsi="Arial" w:cs="Arial"/>
          <w:color w:val="000000" w:themeColor="text1"/>
        </w:rPr>
        <w:t xml:space="preserve"> Firstly, Premier Inn, and its brand has seen substantial development, especially in FY23, when sales increased by 54% over the previous fiscal year (</w:t>
      </w:r>
      <w:r w:rsidR="003F3B22" w:rsidRPr="00E37533">
        <w:rPr>
          <w:rFonts w:ascii="Arial" w:hAnsi="Arial" w:cs="Arial"/>
          <w:color w:val="000000" w:themeColor="text1"/>
        </w:rPr>
        <w:t>Premier Inn, 2023</w:t>
      </w:r>
      <w:r w:rsidR="00C96603" w:rsidRPr="00E37533">
        <w:rPr>
          <w:rFonts w:ascii="Arial" w:hAnsi="Arial" w:cs="Arial"/>
          <w:color w:val="000000" w:themeColor="text1"/>
        </w:rPr>
        <w:t>). The corporation appears to be skilled at using its dynamic skills, especially in the United Kingdom, where it has a dominance (</w:t>
      </w:r>
      <w:r w:rsidR="003F3B22" w:rsidRPr="00E37533">
        <w:rPr>
          <w:rFonts w:ascii="Arial" w:hAnsi="Arial" w:cs="Arial"/>
          <w:color w:val="000000" w:themeColor="text1"/>
        </w:rPr>
        <w:t>Walker, 2021</w:t>
      </w:r>
      <w:r w:rsidR="00C96603" w:rsidRPr="00E37533">
        <w:rPr>
          <w:rFonts w:ascii="Arial" w:hAnsi="Arial" w:cs="Arial"/>
          <w:color w:val="000000" w:themeColor="text1"/>
        </w:rPr>
        <w:t>). Expansion tactics might include expanding into additional foreign markets or broadening services inside current locations, such as improving Food &amp; Beverage offerings. This is especially important given that  F&amp;B sales lag after accommodation sales. Market prospects may exist in underdeveloped rural areas or crowded city areas where economical, dependable lodging is in high demand</w:t>
      </w:r>
      <w:r w:rsidR="003F3B22" w:rsidRPr="00E37533">
        <w:rPr>
          <w:rFonts w:ascii="Arial" w:hAnsi="Arial" w:cs="Arial"/>
          <w:color w:val="000000" w:themeColor="text1"/>
        </w:rPr>
        <w:t xml:space="preserve"> </w:t>
      </w:r>
      <w:r w:rsidR="003F3B22" w:rsidRPr="00E37533">
        <w:rPr>
          <w:rFonts w:ascii="Arial" w:hAnsi="Arial" w:cs="Arial"/>
          <w:color w:val="000000" w:themeColor="text1"/>
          <w:shd w:val="clear" w:color="auto" w:fill="FFFFFF"/>
        </w:rPr>
        <w:t>(Mikuli</w:t>
      </w:r>
      <w:r w:rsidR="003F3B22" w:rsidRPr="00E37533">
        <w:rPr>
          <w:rFonts w:ascii="Arial" w:hAnsi="Arial" w:cs="Arial"/>
          <w:color w:val="000000" w:themeColor="text1"/>
          <w:shd w:val="clear" w:color="auto" w:fill="FFFFFF"/>
        </w:rPr>
        <w:t>c</w:t>
      </w:r>
      <w:r w:rsidR="003F3B22" w:rsidRPr="00E37533">
        <w:rPr>
          <w:rFonts w:ascii="Arial" w:hAnsi="Arial" w:cs="Arial"/>
          <w:color w:val="000000" w:themeColor="text1"/>
          <w:shd w:val="clear" w:color="auto" w:fill="FFFFFF"/>
        </w:rPr>
        <w:t xml:space="preserve"> et al., 2021)</w:t>
      </w:r>
      <w:r w:rsidR="003F3B22" w:rsidRPr="00E37533">
        <w:rPr>
          <w:rFonts w:ascii="Arial" w:hAnsi="Arial" w:cs="Arial"/>
          <w:color w:val="000000" w:themeColor="text1"/>
          <w:shd w:val="clear" w:color="auto" w:fill="FFFFFF"/>
        </w:rPr>
        <w:t>.</w:t>
      </w:r>
      <w:r w:rsidR="00C96603" w:rsidRPr="00E37533">
        <w:rPr>
          <w:rFonts w:ascii="Arial" w:hAnsi="Arial" w:cs="Arial"/>
          <w:color w:val="000000" w:themeColor="text1"/>
        </w:rPr>
        <w:t xml:space="preserve"> The greatest obstacle to development in the UK might be market saturation, necessitating foreign expansion or service diversification in order to maintain revenue growth</w:t>
      </w:r>
      <w:r w:rsidR="003F3B22" w:rsidRPr="00E37533">
        <w:rPr>
          <w:rFonts w:ascii="Arial" w:hAnsi="Arial" w:cs="Arial"/>
          <w:color w:val="000000" w:themeColor="text1"/>
        </w:rPr>
        <w:t xml:space="preserve"> (</w:t>
      </w:r>
      <w:proofErr w:type="spellStart"/>
      <w:r w:rsidR="003F3B22" w:rsidRPr="00E37533">
        <w:rPr>
          <w:rFonts w:ascii="Arial" w:hAnsi="Arial" w:cs="Arial"/>
          <w:color w:val="000000" w:themeColor="text1"/>
        </w:rPr>
        <w:t>Atrill</w:t>
      </w:r>
      <w:proofErr w:type="spellEnd"/>
      <w:r w:rsidR="003F3B22" w:rsidRPr="00E37533">
        <w:rPr>
          <w:rFonts w:ascii="Arial" w:hAnsi="Arial" w:cs="Arial"/>
          <w:color w:val="000000" w:themeColor="text1"/>
        </w:rPr>
        <w:t xml:space="preserve"> and McLaney, 2021). </w:t>
      </w:r>
      <w:r w:rsidR="00512F73" w:rsidRPr="00E37533">
        <w:rPr>
          <w:rFonts w:ascii="Arial" w:hAnsi="Arial" w:cs="Arial"/>
          <w:color w:val="000000" w:themeColor="text1"/>
        </w:rPr>
        <w:t>Mandarin Oriental, on the other hand, appears to target affluent luxury markets, in particular Europe, the Middle East, and America. A 49% increase in income in operated hotels implies that the brand is on the rise (Drury, 2021). The company's "World of Fans" strategy shows a focus on strengthening customer connections and increasing brand loyalty, while also providing potential for development through client retention and increased spending per customer. One possible growth plan would be to enter new regions where there is a growing rich class prepared to</w:t>
      </w:r>
      <w:r w:rsidR="00D9516B" w:rsidRPr="00E37533">
        <w:rPr>
          <w:rFonts w:ascii="Arial" w:hAnsi="Arial" w:cs="Arial"/>
          <w:color w:val="000000" w:themeColor="text1"/>
        </w:rPr>
        <w:t xml:space="preserve"> pay higher rates for luxury hotel rooms.</w:t>
      </w:r>
      <w:r w:rsidR="0074330C" w:rsidRPr="00E37533">
        <w:rPr>
          <w:rFonts w:ascii="Arial" w:hAnsi="Arial" w:cs="Arial"/>
          <w:color w:val="000000" w:themeColor="text1"/>
        </w:rPr>
        <w:t xml:space="preserve"> However, recessions that heavily impact the luxury hotel sector, as well as geopolitical difficulties in the locations in which they operate, might be drawbacks to expansion</w:t>
      </w:r>
      <w:r w:rsidR="003F3B22" w:rsidRPr="00E37533">
        <w:rPr>
          <w:rFonts w:ascii="Arial" w:hAnsi="Arial" w:cs="Arial"/>
          <w:color w:val="000000" w:themeColor="text1"/>
        </w:rPr>
        <w:t xml:space="preserve"> </w:t>
      </w:r>
      <w:r w:rsidR="003F3B22" w:rsidRPr="00E37533">
        <w:rPr>
          <w:rFonts w:ascii="Arial" w:hAnsi="Arial" w:cs="Arial"/>
          <w:color w:val="000000" w:themeColor="text1"/>
          <w:shd w:val="clear" w:color="auto" w:fill="FFFFFF"/>
        </w:rPr>
        <w:t>(Yılmaz, 2013)</w:t>
      </w:r>
      <w:r w:rsidR="003F3B22" w:rsidRPr="00E37533">
        <w:rPr>
          <w:rFonts w:ascii="Arial" w:hAnsi="Arial" w:cs="Arial"/>
          <w:color w:val="000000" w:themeColor="text1"/>
          <w:shd w:val="clear" w:color="auto" w:fill="FFFFFF"/>
        </w:rPr>
        <w:t>.</w:t>
      </w:r>
      <w:r w:rsidR="00202BEA" w:rsidRPr="00E37533">
        <w:rPr>
          <w:rFonts w:ascii="Arial" w:hAnsi="Arial" w:cs="Arial"/>
          <w:color w:val="000000" w:themeColor="text1"/>
        </w:rPr>
        <w:t xml:space="preserve"> Both of the companies confront broad challenges such as tight laws, rising operating expenses, and uncertainty caused by global events such as pandemics or economic downturns. Furthermore, digital disruption in the shape of platforms like Airbnb, which provide alternative housing alternatives for both cheap and luxury travellers, could create a problem (Guttentag, 2015).</w:t>
      </w:r>
      <w:r w:rsidR="00757E04" w:rsidRPr="00E37533">
        <w:rPr>
          <w:rFonts w:ascii="Arial" w:hAnsi="Arial" w:cs="Arial"/>
          <w:color w:val="000000" w:themeColor="text1"/>
        </w:rPr>
        <w:t xml:space="preserve"> Thus, both Premier Inn and Mandarin Oriental have great development possibilities, although in opposite directions.</w:t>
      </w:r>
    </w:p>
    <w:p w14:paraId="0DEDE05E" w14:textId="77777777" w:rsidR="00D872CB" w:rsidRPr="00E37533" w:rsidRDefault="00D872CB" w:rsidP="002B2066">
      <w:pPr>
        <w:spacing w:line="360" w:lineRule="auto"/>
        <w:jc w:val="both"/>
        <w:rPr>
          <w:rFonts w:ascii="Arial" w:hAnsi="Arial" w:cs="Arial"/>
          <w:b/>
          <w:bCs/>
          <w:color w:val="000000" w:themeColor="text1"/>
        </w:rPr>
      </w:pPr>
    </w:p>
    <w:p w14:paraId="2F40A0AC" w14:textId="13128E54" w:rsidR="00531368" w:rsidRPr="00E37533" w:rsidRDefault="00D872CB" w:rsidP="002B2066">
      <w:pPr>
        <w:pStyle w:val="ListParagraph"/>
        <w:numPr>
          <w:ilvl w:val="0"/>
          <w:numId w:val="1"/>
        </w:numPr>
        <w:spacing w:line="360" w:lineRule="auto"/>
        <w:jc w:val="both"/>
        <w:rPr>
          <w:rFonts w:ascii="Arial" w:hAnsi="Arial" w:cs="Arial"/>
          <w:b/>
          <w:bCs/>
          <w:color w:val="000000" w:themeColor="text1"/>
        </w:rPr>
      </w:pPr>
      <w:r w:rsidRPr="00E37533">
        <w:rPr>
          <w:rFonts w:ascii="Arial" w:hAnsi="Arial" w:cs="Arial"/>
          <w:b/>
          <w:bCs/>
          <w:color w:val="000000" w:themeColor="text1"/>
        </w:rPr>
        <w:t>Financial commitment to CSR</w:t>
      </w:r>
    </w:p>
    <w:p w14:paraId="6069483B" w14:textId="49EE528F" w:rsidR="00531368" w:rsidRPr="00E37533" w:rsidRDefault="000A7282" w:rsidP="002B2066">
      <w:pPr>
        <w:spacing w:line="360" w:lineRule="auto"/>
        <w:jc w:val="both"/>
        <w:rPr>
          <w:rFonts w:ascii="Arial" w:hAnsi="Arial" w:cs="Arial"/>
          <w:color w:val="000000" w:themeColor="text1"/>
        </w:rPr>
      </w:pPr>
      <w:r w:rsidRPr="00E37533">
        <w:rPr>
          <w:rFonts w:ascii="Arial" w:hAnsi="Arial" w:cs="Arial"/>
          <w:color w:val="000000" w:themeColor="text1"/>
        </w:rPr>
        <w:t xml:space="preserve">Both Premier Inn and Mandarin Oriental Hotel Group have recognised the necessity of Corporate Social Responsibility, though to varying degrees and through various focal areas. According to </w:t>
      </w:r>
      <w:r w:rsidR="003C674B" w:rsidRPr="00E37533">
        <w:rPr>
          <w:rFonts w:ascii="Arial" w:hAnsi="Arial" w:cs="Arial"/>
          <w:color w:val="000000" w:themeColor="text1"/>
          <w:shd w:val="clear" w:color="auto" w:fill="FFFFFF"/>
        </w:rPr>
        <w:t xml:space="preserve">Rangan, Chase and Karim, </w:t>
      </w:r>
      <w:r w:rsidR="003C674B" w:rsidRPr="00E37533">
        <w:rPr>
          <w:rFonts w:ascii="Arial" w:hAnsi="Arial" w:cs="Arial"/>
          <w:color w:val="000000" w:themeColor="text1"/>
          <w:shd w:val="clear" w:color="auto" w:fill="FFFFFF"/>
        </w:rPr>
        <w:t>(</w:t>
      </w:r>
      <w:r w:rsidR="003C674B" w:rsidRPr="00E37533">
        <w:rPr>
          <w:rFonts w:ascii="Arial" w:hAnsi="Arial" w:cs="Arial"/>
          <w:color w:val="000000" w:themeColor="text1"/>
          <w:shd w:val="clear" w:color="auto" w:fill="FFFFFF"/>
        </w:rPr>
        <w:t>2015)</w:t>
      </w:r>
      <w:r w:rsidR="003C674B" w:rsidRPr="00E37533">
        <w:rPr>
          <w:rFonts w:ascii="Arial" w:hAnsi="Arial" w:cs="Arial"/>
          <w:color w:val="000000" w:themeColor="text1"/>
          <w:shd w:val="clear" w:color="auto" w:fill="FFFFFF"/>
        </w:rPr>
        <w:t xml:space="preserve">, </w:t>
      </w:r>
      <w:r w:rsidRPr="00E37533">
        <w:rPr>
          <w:rFonts w:ascii="Arial" w:hAnsi="Arial" w:cs="Arial"/>
          <w:color w:val="000000" w:themeColor="text1"/>
        </w:rPr>
        <w:t>CSR is not a separate department inside an organisation, but rather a critical component of corporate strategy that may deliver long-term economic gains while also helping society.</w:t>
      </w:r>
      <w:r w:rsidR="00553700" w:rsidRPr="00E37533">
        <w:rPr>
          <w:rFonts w:ascii="Arial" w:hAnsi="Arial" w:cs="Arial"/>
          <w:color w:val="000000" w:themeColor="text1"/>
        </w:rPr>
        <w:t xml:space="preserve"> Premier Inn exemplifies a variety of approaches to Corporate Social Responsibility that is consistent with industry best. They dedicate financial resources to sustainable technology, with the goal of reducing carbon emissions by half by 2025 and reaching net-zero by 2040. This includes investment in improved heat recovery boilers and charging facilities for electric vehicles </w:t>
      </w:r>
      <w:r w:rsidR="003C674B" w:rsidRPr="00E37533">
        <w:rPr>
          <w:rFonts w:ascii="Arial" w:hAnsi="Arial" w:cs="Arial"/>
          <w:color w:val="000000" w:themeColor="text1"/>
        </w:rPr>
        <w:t>practises (Whitebread, 2022</w:t>
      </w:r>
      <w:r w:rsidR="00553700" w:rsidRPr="00E37533">
        <w:rPr>
          <w:rFonts w:ascii="Arial" w:hAnsi="Arial" w:cs="Arial"/>
          <w:color w:val="000000" w:themeColor="text1"/>
        </w:rPr>
        <w:t>). The hotel business also places a high priority on social responsibility, generating cash for hospitals and educating team members in COVID-19 guidelines</w:t>
      </w:r>
      <w:r w:rsidR="003C674B" w:rsidRPr="00E37533">
        <w:rPr>
          <w:rFonts w:ascii="Arial" w:hAnsi="Arial" w:cs="Arial"/>
          <w:color w:val="000000" w:themeColor="text1"/>
        </w:rPr>
        <w:t xml:space="preserve">. </w:t>
      </w:r>
      <w:r w:rsidR="00553700" w:rsidRPr="00E37533">
        <w:rPr>
          <w:rFonts w:ascii="Arial" w:hAnsi="Arial" w:cs="Arial"/>
          <w:color w:val="000000" w:themeColor="text1"/>
        </w:rPr>
        <w:t>Furthermore, with particular corporate aims and community networks, Premier Inn prioritises diversity and inclusion (</w:t>
      </w:r>
      <w:r w:rsidR="003C674B" w:rsidRPr="00E37533">
        <w:rPr>
          <w:rFonts w:ascii="Arial" w:hAnsi="Arial" w:cs="Arial"/>
          <w:color w:val="000000" w:themeColor="text1"/>
        </w:rPr>
        <w:t>Whitebread, 2022</w:t>
      </w:r>
      <w:r w:rsidR="00553700" w:rsidRPr="00E37533">
        <w:rPr>
          <w:rFonts w:ascii="Arial" w:hAnsi="Arial" w:cs="Arial"/>
          <w:color w:val="000000" w:themeColor="text1"/>
        </w:rPr>
        <w:t xml:space="preserve">). They use a metrics-based approach to CSR, reporting on sustainability indices on a yearly basis and working to harmonise with the Taskforce on Climate Related Financial Disclosures. This comprehensive plan implies a significant financial investment in CSR projects. On the other hand, </w:t>
      </w:r>
      <w:r w:rsidR="00A51190" w:rsidRPr="00E37533">
        <w:rPr>
          <w:rFonts w:ascii="Arial" w:hAnsi="Arial" w:cs="Arial"/>
          <w:color w:val="000000" w:themeColor="text1"/>
        </w:rPr>
        <w:t>principles that guide Mandarin Oriental's Corporate Social Responsibility framework focus on environmental impact, social fairness, and strong governance systems. By amending its Code of Conduct in 2022, the corporation has included sustainability into its decision-making process. They are dedicated to decreasing inefficiencies in energy and material procurement for climate action, with the first TCFD report identifying climate-related financial risks (</w:t>
      </w:r>
      <w:r w:rsidR="003C674B" w:rsidRPr="00E37533">
        <w:rPr>
          <w:rFonts w:ascii="Arial" w:hAnsi="Arial" w:cs="Arial"/>
          <w:color w:val="000000" w:themeColor="text1"/>
        </w:rPr>
        <w:t>Mandarin Oriental, 2022</w:t>
      </w:r>
      <w:r w:rsidR="00A51190" w:rsidRPr="00E37533">
        <w:rPr>
          <w:rFonts w:ascii="Arial" w:hAnsi="Arial" w:cs="Arial"/>
          <w:color w:val="000000" w:themeColor="text1"/>
        </w:rPr>
        <w:t>). Since 2012, they have reduced energy intensity per square metre by 27% while increasing renewable energy consumption to 8%. In terms of social responsibility, Mandarin Oriental prioritises diversity and inclusion, as well as fair HR practises and supplier behaviour (</w:t>
      </w:r>
      <w:r w:rsidR="00E37533" w:rsidRPr="00E37533">
        <w:rPr>
          <w:rFonts w:ascii="Arial" w:hAnsi="Arial" w:cs="Arial"/>
          <w:color w:val="000000" w:themeColor="text1"/>
          <w:shd w:val="clear" w:color="auto" w:fill="FFFFFF"/>
        </w:rPr>
        <w:t>Govindan, Shaw and Majumdar, 2020</w:t>
      </w:r>
      <w:r w:rsidR="00A51190" w:rsidRPr="00E37533">
        <w:rPr>
          <w:rFonts w:ascii="Arial" w:hAnsi="Arial" w:cs="Arial"/>
          <w:color w:val="000000" w:themeColor="text1"/>
        </w:rPr>
        <w:t xml:space="preserve">). Their organised governance, which includes many layers and organisations, strives to efficiently </w:t>
      </w:r>
      <w:r w:rsidR="00D4628C" w:rsidRPr="00E37533">
        <w:rPr>
          <w:rFonts w:ascii="Arial" w:hAnsi="Arial" w:cs="Arial"/>
          <w:color w:val="000000" w:themeColor="text1"/>
        </w:rPr>
        <w:t>coordinate,</w:t>
      </w:r>
      <w:r w:rsidR="00A51190" w:rsidRPr="00E37533">
        <w:rPr>
          <w:rFonts w:ascii="Arial" w:hAnsi="Arial" w:cs="Arial"/>
          <w:color w:val="000000" w:themeColor="text1"/>
        </w:rPr>
        <w:t xml:space="preserve"> and implement sustainability activities (</w:t>
      </w:r>
      <w:r w:rsidR="00E37533" w:rsidRPr="00E37533">
        <w:rPr>
          <w:rFonts w:ascii="Arial" w:hAnsi="Arial" w:cs="Arial"/>
          <w:color w:val="000000" w:themeColor="text1"/>
        </w:rPr>
        <w:t>Jagels, 2007</w:t>
      </w:r>
      <w:r w:rsidR="00A51190" w:rsidRPr="00E37533">
        <w:rPr>
          <w:rFonts w:ascii="Arial" w:hAnsi="Arial" w:cs="Arial"/>
          <w:color w:val="000000" w:themeColor="text1"/>
        </w:rPr>
        <w:t>).</w:t>
      </w:r>
    </w:p>
    <w:p w14:paraId="3CD6CB00" w14:textId="77777777" w:rsidR="00D4628C" w:rsidRPr="00E37533" w:rsidRDefault="00D4628C" w:rsidP="002B2066">
      <w:pPr>
        <w:spacing w:line="360" w:lineRule="auto"/>
        <w:jc w:val="both"/>
        <w:rPr>
          <w:rFonts w:ascii="Arial" w:hAnsi="Arial" w:cs="Arial"/>
          <w:b/>
          <w:bCs/>
          <w:color w:val="000000" w:themeColor="text1"/>
        </w:rPr>
      </w:pPr>
    </w:p>
    <w:p w14:paraId="22F73446" w14:textId="3C759383" w:rsidR="00D4628C" w:rsidRPr="00E37533" w:rsidRDefault="00D4628C" w:rsidP="002B2066">
      <w:pPr>
        <w:pStyle w:val="ListParagraph"/>
        <w:numPr>
          <w:ilvl w:val="0"/>
          <w:numId w:val="1"/>
        </w:numPr>
        <w:spacing w:line="360" w:lineRule="auto"/>
        <w:jc w:val="both"/>
        <w:rPr>
          <w:rFonts w:ascii="Arial" w:hAnsi="Arial" w:cs="Arial"/>
          <w:b/>
          <w:bCs/>
          <w:color w:val="000000" w:themeColor="text1"/>
        </w:rPr>
      </w:pPr>
      <w:r w:rsidRPr="00E37533">
        <w:rPr>
          <w:rFonts w:ascii="Arial" w:hAnsi="Arial" w:cs="Arial"/>
          <w:b/>
          <w:bCs/>
          <w:color w:val="000000" w:themeColor="text1"/>
        </w:rPr>
        <w:t xml:space="preserve">Conclusion </w:t>
      </w:r>
    </w:p>
    <w:p w14:paraId="5431C900" w14:textId="65DA82C5" w:rsidR="00531368" w:rsidRPr="00E37533" w:rsidRDefault="00405435" w:rsidP="002B2066">
      <w:pPr>
        <w:spacing w:line="360" w:lineRule="auto"/>
        <w:jc w:val="both"/>
        <w:rPr>
          <w:rFonts w:ascii="Arial" w:hAnsi="Arial" w:cs="Arial"/>
          <w:color w:val="000000" w:themeColor="text1"/>
        </w:rPr>
      </w:pPr>
      <w:r w:rsidRPr="00E37533">
        <w:rPr>
          <w:rFonts w:ascii="Arial" w:hAnsi="Arial" w:cs="Arial"/>
          <w:color w:val="000000" w:themeColor="text1"/>
        </w:rPr>
        <w:t>In conclusion, Premier Inn and Mandarin Oriental represent two distinct yet effective tactics in the UK hotel industry. Premier Inn has solidified itself as the leading hotel chain in the United Kingdom by capitalising on its strengths in midscale and budget hotels. The brand's 54% year on year sales rise in FY23 demonstrates its excellent concentration on key competencies. Mandarin Oriental, on the other hand, thrives in the premium market through worldwide diversification and customer involvement, with a 49% revenue increase. Despite differences in market positioning and target demographics, both show strong development potential, although in opposite directions. Premier Inn may strive to expand into overseas markets or improve existing offerings, whilst Mandarin Oriental may seek to enter rising wealthy areas. Both corporations also make significant investments in Corporate Social Responsibility, with varied degrees of emphasis on sustainability and social fairness.</w:t>
      </w:r>
      <w:r w:rsidR="007B7D06" w:rsidRPr="00E37533">
        <w:rPr>
          <w:rFonts w:ascii="Arial" w:hAnsi="Arial" w:cs="Arial"/>
          <w:color w:val="000000" w:themeColor="text1"/>
        </w:rPr>
        <w:t xml:space="preserve"> These hotel </w:t>
      </w:r>
      <w:r w:rsidR="001306C7" w:rsidRPr="00E37533">
        <w:rPr>
          <w:rFonts w:ascii="Arial" w:hAnsi="Arial" w:cs="Arial"/>
          <w:color w:val="000000" w:themeColor="text1"/>
        </w:rPr>
        <w:t>giants’</w:t>
      </w:r>
      <w:r w:rsidR="007B7D06" w:rsidRPr="00E37533">
        <w:rPr>
          <w:rFonts w:ascii="Arial" w:hAnsi="Arial" w:cs="Arial"/>
          <w:color w:val="000000" w:themeColor="text1"/>
        </w:rPr>
        <w:t> disparate methods demonstrate the several roads to success in the evolving hospitality industry.</w:t>
      </w:r>
    </w:p>
    <w:p w14:paraId="29B186F7" w14:textId="77777777" w:rsidR="001306C7" w:rsidRPr="00E37533" w:rsidRDefault="001306C7" w:rsidP="002B2066">
      <w:pPr>
        <w:spacing w:line="360" w:lineRule="auto"/>
        <w:jc w:val="both"/>
        <w:rPr>
          <w:rFonts w:ascii="Arial" w:hAnsi="Arial" w:cs="Arial"/>
          <w:color w:val="000000" w:themeColor="text1"/>
        </w:rPr>
      </w:pPr>
    </w:p>
    <w:p w14:paraId="248D0932" w14:textId="27CDBA68" w:rsidR="001306C7" w:rsidRPr="00E37533" w:rsidRDefault="001306C7" w:rsidP="002B2066">
      <w:pPr>
        <w:pStyle w:val="ListParagraph"/>
        <w:numPr>
          <w:ilvl w:val="0"/>
          <w:numId w:val="1"/>
        </w:numPr>
        <w:spacing w:line="360" w:lineRule="auto"/>
        <w:jc w:val="both"/>
        <w:rPr>
          <w:rFonts w:ascii="Arial" w:hAnsi="Arial" w:cs="Arial"/>
          <w:b/>
          <w:bCs/>
          <w:color w:val="000000" w:themeColor="text1"/>
        </w:rPr>
      </w:pPr>
      <w:r w:rsidRPr="00E37533">
        <w:rPr>
          <w:rFonts w:ascii="Arial" w:hAnsi="Arial" w:cs="Arial"/>
          <w:b/>
          <w:bCs/>
          <w:color w:val="000000" w:themeColor="text1"/>
        </w:rPr>
        <w:t xml:space="preserve">Recommendations </w:t>
      </w:r>
    </w:p>
    <w:p w14:paraId="4A0E294F" w14:textId="537D1DF9" w:rsidR="002F2561" w:rsidRPr="00E37533" w:rsidRDefault="002F2561" w:rsidP="002B2066">
      <w:pPr>
        <w:pStyle w:val="ListParagraph"/>
        <w:numPr>
          <w:ilvl w:val="0"/>
          <w:numId w:val="3"/>
        </w:numPr>
        <w:spacing w:line="360" w:lineRule="auto"/>
        <w:jc w:val="both"/>
        <w:rPr>
          <w:rFonts w:ascii="Arial" w:hAnsi="Arial" w:cs="Arial"/>
          <w:color w:val="000000" w:themeColor="text1"/>
        </w:rPr>
      </w:pPr>
      <w:r w:rsidRPr="00E37533">
        <w:rPr>
          <w:rFonts w:ascii="Arial" w:hAnsi="Arial" w:cs="Arial"/>
          <w:color w:val="000000" w:themeColor="text1"/>
        </w:rPr>
        <w:t>Premier Inn should widen its offerings inside the United Kingdom while also looking at worldwide development. The company's 54% year-on-year sales increase in FY23 reflects high brand value and operational efficiency, particularly in the mid-scale and economy sectors (Teece, 200</w:t>
      </w:r>
      <w:r w:rsidR="00E37533" w:rsidRPr="00E37533">
        <w:rPr>
          <w:rFonts w:ascii="Arial" w:hAnsi="Arial" w:cs="Arial"/>
          <w:color w:val="000000" w:themeColor="text1"/>
        </w:rPr>
        <w:t>9</w:t>
      </w:r>
      <w:r w:rsidRPr="00E37533">
        <w:rPr>
          <w:rFonts w:ascii="Arial" w:hAnsi="Arial" w:cs="Arial"/>
          <w:color w:val="000000" w:themeColor="text1"/>
        </w:rPr>
        <w:t>). Given the possibility of market saturation in the UK, foreign expansion might provide fresh opportunities for growth. Furthermore, Premier Inn can extend its Food &amp; Beverage options within current sites, which showed a 40% rise but still lag behind hotel sales</w:t>
      </w:r>
      <w:r w:rsidR="00E37533" w:rsidRPr="00E37533">
        <w:rPr>
          <w:rFonts w:ascii="Arial" w:hAnsi="Arial" w:cs="Arial"/>
          <w:color w:val="000000" w:themeColor="text1"/>
        </w:rPr>
        <w:t xml:space="preserve"> (Whitebread, 2023).</w:t>
      </w:r>
    </w:p>
    <w:p w14:paraId="222A696F" w14:textId="740D732B" w:rsidR="00531368" w:rsidRPr="00E37533" w:rsidRDefault="002B2066" w:rsidP="00FF0E1A">
      <w:pPr>
        <w:pStyle w:val="ListParagraph"/>
        <w:numPr>
          <w:ilvl w:val="0"/>
          <w:numId w:val="3"/>
        </w:numPr>
        <w:spacing w:line="360" w:lineRule="auto"/>
        <w:jc w:val="both"/>
        <w:rPr>
          <w:rFonts w:ascii="Arial" w:hAnsi="Arial" w:cs="Arial"/>
          <w:color w:val="000000" w:themeColor="text1"/>
        </w:rPr>
      </w:pPr>
      <w:r w:rsidRPr="00E37533">
        <w:rPr>
          <w:rFonts w:ascii="Arial" w:hAnsi="Arial" w:cs="Arial"/>
          <w:color w:val="000000" w:themeColor="text1"/>
        </w:rPr>
        <w:t>Diversification into lifestyle pursuits might be a profitable path for Mandarin Oriental. Mandarin Oriental may expand its range to include luxury health centres or customised travel experiences, for example, since wealthy customers seek for unique and personalised experiences</w:t>
      </w:r>
      <w:r w:rsidR="00E37533" w:rsidRPr="00E37533">
        <w:rPr>
          <w:rFonts w:ascii="Arial" w:hAnsi="Arial" w:cs="Arial"/>
          <w:color w:val="000000" w:themeColor="text1"/>
        </w:rPr>
        <w:t xml:space="preserve"> (Thomas, 2013). </w:t>
      </w:r>
      <w:r w:rsidRPr="00E37533">
        <w:rPr>
          <w:rFonts w:ascii="Arial" w:hAnsi="Arial" w:cs="Arial"/>
          <w:color w:val="000000" w:themeColor="text1"/>
        </w:rPr>
        <w:t xml:space="preserve">This is in accordance with their "World of Fans" approach, which aims to increase consumer involvement and loyalty (Kotler </w:t>
      </w:r>
      <w:r w:rsidR="00E37533" w:rsidRPr="00E37533">
        <w:rPr>
          <w:rFonts w:ascii="Arial" w:hAnsi="Arial" w:cs="Arial"/>
          <w:color w:val="000000" w:themeColor="text1"/>
        </w:rPr>
        <w:t xml:space="preserve">and </w:t>
      </w:r>
      <w:r w:rsidRPr="00E37533">
        <w:rPr>
          <w:rFonts w:ascii="Arial" w:hAnsi="Arial" w:cs="Arial"/>
          <w:color w:val="000000" w:themeColor="text1"/>
        </w:rPr>
        <w:t>Keller, 2016).</w:t>
      </w:r>
    </w:p>
    <w:p w14:paraId="235E71E1" w14:textId="77777777" w:rsidR="00C21F70" w:rsidRDefault="00C21F70" w:rsidP="00C21F70">
      <w:pPr>
        <w:spacing w:line="360" w:lineRule="auto"/>
        <w:jc w:val="both"/>
        <w:rPr>
          <w:rFonts w:ascii="Arial" w:hAnsi="Arial" w:cs="Arial"/>
        </w:rPr>
      </w:pPr>
    </w:p>
    <w:p w14:paraId="52953215" w14:textId="77777777" w:rsidR="00C21F70" w:rsidRDefault="00C21F70" w:rsidP="00C21F70">
      <w:pPr>
        <w:spacing w:line="360" w:lineRule="auto"/>
        <w:jc w:val="both"/>
        <w:rPr>
          <w:rFonts w:ascii="Arial" w:hAnsi="Arial" w:cs="Arial"/>
        </w:rPr>
      </w:pPr>
    </w:p>
    <w:p w14:paraId="1CC51C06" w14:textId="77777777" w:rsidR="00C21F70" w:rsidRDefault="00C21F70" w:rsidP="00C21F70">
      <w:pPr>
        <w:spacing w:line="360" w:lineRule="auto"/>
        <w:jc w:val="both"/>
        <w:rPr>
          <w:rFonts w:ascii="Arial" w:hAnsi="Arial" w:cs="Arial"/>
        </w:rPr>
      </w:pPr>
    </w:p>
    <w:p w14:paraId="772CADD1" w14:textId="77777777" w:rsidR="00C21F70" w:rsidRDefault="00C21F70" w:rsidP="00C21F70">
      <w:pPr>
        <w:spacing w:line="360" w:lineRule="auto"/>
        <w:jc w:val="both"/>
        <w:rPr>
          <w:rFonts w:ascii="Arial" w:hAnsi="Arial" w:cs="Arial"/>
        </w:rPr>
      </w:pPr>
    </w:p>
    <w:p w14:paraId="2E3E6D15" w14:textId="77777777" w:rsidR="00C21F70" w:rsidRDefault="00C21F70" w:rsidP="00C21F70">
      <w:pPr>
        <w:spacing w:line="360" w:lineRule="auto"/>
        <w:jc w:val="both"/>
        <w:rPr>
          <w:rFonts w:ascii="Arial" w:hAnsi="Arial" w:cs="Arial"/>
        </w:rPr>
      </w:pPr>
    </w:p>
    <w:p w14:paraId="06E934EB" w14:textId="77777777" w:rsidR="00C21F70" w:rsidRDefault="00C21F70" w:rsidP="00C21F70">
      <w:pPr>
        <w:spacing w:line="360" w:lineRule="auto"/>
        <w:jc w:val="both"/>
        <w:rPr>
          <w:rFonts w:ascii="Arial" w:hAnsi="Arial" w:cs="Arial"/>
        </w:rPr>
      </w:pPr>
    </w:p>
    <w:p w14:paraId="7CBB0D68" w14:textId="77777777" w:rsidR="00C21F70" w:rsidRDefault="00C21F70" w:rsidP="00C21F70">
      <w:pPr>
        <w:spacing w:line="360" w:lineRule="auto"/>
        <w:jc w:val="both"/>
        <w:rPr>
          <w:rFonts w:ascii="Arial" w:hAnsi="Arial" w:cs="Arial"/>
        </w:rPr>
      </w:pPr>
    </w:p>
    <w:p w14:paraId="6BAA9C91" w14:textId="77777777" w:rsidR="00C21F70" w:rsidRDefault="00C21F70" w:rsidP="00C21F70">
      <w:pPr>
        <w:spacing w:line="360" w:lineRule="auto"/>
        <w:jc w:val="both"/>
        <w:rPr>
          <w:rFonts w:ascii="Arial" w:hAnsi="Arial" w:cs="Arial"/>
        </w:rPr>
      </w:pPr>
    </w:p>
    <w:p w14:paraId="7E74CF7B" w14:textId="77777777" w:rsidR="00C21F70" w:rsidRDefault="00C21F70" w:rsidP="00C21F70">
      <w:pPr>
        <w:spacing w:line="360" w:lineRule="auto"/>
        <w:jc w:val="both"/>
        <w:rPr>
          <w:rFonts w:ascii="Arial" w:hAnsi="Arial" w:cs="Arial"/>
        </w:rPr>
      </w:pPr>
    </w:p>
    <w:p w14:paraId="18C1E46B" w14:textId="77777777" w:rsidR="00C21F70" w:rsidRDefault="00C21F70" w:rsidP="00C21F70">
      <w:pPr>
        <w:spacing w:line="360" w:lineRule="auto"/>
        <w:jc w:val="both"/>
        <w:rPr>
          <w:rFonts w:ascii="Arial" w:hAnsi="Arial" w:cs="Arial"/>
        </w:rPr>
      </w:pPr>
    </w:p>
    <w:p w14:paraId="69FF9822" w14:textId="77777777" w:rsidR="00C21F70" w:rsidRDefault="00C21F70" w:rsidP="00C21F70">
      <w:pPr>
        <w:spacing w:line="360" w:lineRule="auto"/>
        <w:jc w:val="both"/>
        <w:rPr>
          <w:rFonts w:ascii="Arial" w:hAnsi="Arial" w:cs="Arial"/>
        </w:rPr>
      </w:pPr>
    </w:p>
    <w:p w14:paraId="6FF84522" w14:textId="77777777" w:rsidR="00C21F70" w:rsidRDefault="00C21F70" w:rsidP="00C21F70">
      <w:pPr>
        <w:spacing w:line="360" w:lineRule="auto"/>
        <w:jc w:val="both"/>
        <w:rPr>
          <w:rFonts w:ascii="Arial" w:hAnsi="Arial" w:cs="Arial"/>
        </w:rPr>
      </w:pPr>
    </w:p>
    <w:p w14:paraId="4E8EB0A4" w14:textId="77777777" w:rsidR="00C21F70" w:rsidRDefault="00C21F70" w:rsidP="00C21F70">
      <w:pPr>
        <w:spacing w:line="360" w:lineRule="auto"/>
        <w:jc w:val="both"/>
        <w:rPr>
          <w:rFonts w:ascii="Arial" w:hAnsi="Arial" w:cs="Arial"/>
        </w:rPr>
      </w:pPr>
    </w:p>
    <w:p w14:paraId="5EB8A290" w14:textId="77777777" w:rsidR="00C21F70" w:rsidRDefault="00C21F70" w:rsidP="00C21F70">
      <w:pPr>
        <w:spacing w:line="360" w:lineRule="auto"/>
        <w:jc w:val="both"/>
        <w:rPr>
          <w:rFonts w:ascii="Arial" w:hAnsi="Arial" w:cs="Arial"/>
        </w:rPr>
      </w:pPr>
    </w:p>
    <w:p w14:paraId="22E68A66" w14:textId="77777777" w:rsidR="00C21F70" w:rsidRDefault="00C21F70" w:rsidP="00C21F70">
      <w:pPr>
        <w:spacing w:line="360" w:lineRule="auto"/>
        <w:jc w:val="both"/>
        <w:rPr>
          <w:rFonts w:ascii="Arial" w:hAnsi="Arial" w:cs="Arial"/>
        </w:rPr>
      </w:pPr>
    </w:p>
    <w:p w14:paraId="2DE58A14" w14:textId="77777777" w:rsidR="00C21F70" w:rsidRDefault="00C21F70" w:rsidP="00C21F70">
      <w:pPr>
        <w:spacing w:line="360" w:lineRule="auto"/>
        <w:jc w:val="both"/>
        <w:rPr>
          <w:rFonts w:ascii="Arial" w:hAnsi="Arial" w:cs="Arial"/>
        </w:rPr>
      </w:pPr>
    </w:p>
    <w:p w14:paraId="3D6C7747" w14:textId="77777777" w:rsidR="00C21F70" w:rsidRDefault="00C21F70" w:rsidP="00C21F70">
      <w:pPr>
        <w:spacing w:line="360" w:lineRule="auto"/>
        <w:jc w:val="both"/>
        <w:rPr>
          <w:rFonts w:ascii="Arial" w:hAnsi="Arial" w:cs="Arial"/>
        </w:rPr>
      </w:pPr>
    </w:p>
    <w:p w14:paraId="08597858" w14:textId="77777777" w:rsidR="00C21F70" w:rsidRDefault="00C21F70" w:rsidP="00C21F70">
      <w:pPr>
        <w:spacing w:line="360" w:lineRule="auto"/>
        <w:jc w:val="both"/>
        <w:rPr>
          <w:rFonts w:ascii="Arial" w:hAnsi="Arial" w:cs="Arial"/>
        </w:rPr>
      </w:pPr>
    </w:p>
    <w:p w14:paraId="6E7BFCAE" w14:textId="77777777" w:rsidR="00C21F70" w:rsidRDefault="00C21F70" w:rsidP="00C21F70">
      <w:pPr>
        <w:spacing w:line="360" w:lineRule="auto"/>
        <w:jc w:val="both"/>
        <w:rPr>
          <w:rFonts w:ascii="Arial" w:hAnsi="Arial" w:cs="Arial"/>
        </w:rPr>
      </w:pPr>
    </w:p>
    <w:p w14:paraId="0E779A6F" w14:textId="77777777" w:rsidR="00C21F70" w:rsidRDefault="00C21F70" w:rsidP="00C21F70">
      <w:pPr>
        <w:spacing w:line="360" w:lineRule="auto"/>
        <w:jc w:val="both"/>
        <w:rPr>
          <w:rFonts w:ascii="Arial" w:hAnsi="Arial" w:cs="Arial"/>
        </w:rPr>
      </w:pPr>
    </w:p>
    <w:p w14:paraId="60475B68" w14:textId="77777777" w:rsidR="00C21F70" w:rsidRDefault="00C21F70" w:rsidP="00C21F70">
      <w:pPr>
        <w:spacing w:line="360" w:lineRule="auto"/>
        <w:jc w:val="both"/>
        <w:rPr>
          <w:rFonts w:ascii="Arial" w:hAnsi="Arial" w:cs="Arial"/>
        </w:rPr>
      </w:pPr>
    </w:p>
    <w:p w14:paraId="5BAC22F4" w14:textId="77777777" w:rsidR="00C21F70" w:rsidRDefault="00C21F70" w:rsidP="00C21F70">
      <w:pPr>
        <w:spacing w:line="360" w:lineRule="auto"/>
        <w:jc w:val="both"/>
        <w:rPr>
          <w:rFonts w:ascii="Arial" w:hAnsi="Arial" w:cs="Arial"/>
        </w:rPr>
      </w:pPr>
    </w:p>
    <w:p w14:paraId="4128FC2C" w14:textId="77777777" w:rsidR="00C21F70" w:rsidRDefault="00C21F70" w:rsidP="00C21F70">
      <w:pPr>
        <w:spacing w:line="360" w:lineRule="auto"/>
        <w:jc w:val="both"/>
        <w:rPr>
          <w:rFonts w:ascii="Arial" w:hAnsi="Arial" w:cs="Arial"/>
        </w:rPr>
      </w:pPr>
    </w:p>
    <w:p w14:paraId="182A93C4" w14:textId="77777777" w:rsidR="00C21F70" w:rsidRPr="00E37533" w:rsidRDefault="00C21F70" w:rsidP="00E37533">
      <w:pPr>
        <w:spacing w:line="360" w:lineRule="auto"/>
        <w:jc w:val="both"/>
        <w:rPr>
          <w:rFonts w:ascii="Arial" w:hAnsi="Arial" w:cs="Arial"/>
          <w:color w:val="000000" w:themeColor="text1"/>
        </w:rPr>
      </w:pPr>
    </w:p>
    <w:p w14:paraId="497979B0" w14:textId="0868A42F" w:rsidR="00531368" w:rsidRPr="00E37533" w:rsidRDefault="00531368" w:rsidP="00E37533">
      <w:pPr>
        <w:pStyle w:val="ListParagraph"/>
        <w:numPr>
          <w:ilvl w:val="0"/>
          <w:numId w:val="1"/>
        </w:numPr>
        <w:spacing w:line="360" w:lineRule="auto"/>
        <w:jc w:val="both"/>
        <w:rPr>
          <w:rFonts w:ascii="Arial" w:hAnsi="Arial" w:cs="Arial"/>
          <w:b/>
          <w:bCs/>
          <w:color w:val="000000" w:themeColor="text1"/>
        </w:rPr>
      </w:pPr>
      <w:r w:rsidRPr="00E37533">
        <w:rPr>
          <w:rFonts w:ascii="Arial" w:hAnsi="Arial" w:cs="Arial"/>
          <w:b/>
          <w:bCs/>
          <w:color w:val="000000" w:themeColor="text1"/>
        </w:rPr>
        <w:t>References:</w:t>
      </w:r>
    </w:p>
    <w:p w14:paraId="70761E1D" w14:textId="77777777" w:rsidR="00531368" w:rsidRPr="00E37533" w:rsidRDefault="00531368" w:rsidP="00E37533">
      <w:pPr>
        <w:spacing w:line="360" w:lineRule="auto"/>
        <w:jc w:val="both"/>
        <w:rPr>
          <w:rFonts w:ascii="Arial" w:hAnsi="Arial" w:cs="Arial"/>
          <w:color w:val="000000" w:themeColor="text1"/>
        </w:rPr>
      </w:pPr>
    </w:p>
    <w:p w14:paraId="535B539F" w14:textId="5541F245" w:rsidR="00C21F70" w:rsidRPr="00E37533" w:rsidRDefault="003F3B22" w:rsidP="00E37533">
      <w:pPr>
        <w:pStyle w:val="NormalWeb"/>
        <w:spacing w:before="0" w:beforeAutospacing="0" w:after="0" w:afterAutospacing="0" w:line="360" w:lineRule="auto"/>
        <w:jc w:val="both"/>
        <w:rPr>
          <w:rFonts w:ascii="Arial" w:hAnsi="Arial" w:cs="Arial"/>
          <w:color w:val="000000" w:themeColor="text1"/>
          <w:sz w:val="22"/>
          <w:szCs w:val="22"/>
        </w:rPr>
      </w:pPr>
      <w:proofErr w:type="spellStart"/>
      <w:r w:rsidRPr="00E37533">
        <w:rPr>
          <w:rFonts w:ascii="Arial" w:hAnsi="Arial" w:cs="Arial"/>
          <w:color w:val="000000" w:themeColor="text1"/>
          <w:sz w:val="22"/>
          <w:szCs w:val="22"/>
        </w:rPr>
        <w:t>Atrill</w:t>
      </w:r>
      <w:proofErr w:type="spellEnd"/>
      <w:r w:rsidRPr="00E37533">
        <w:rPr>
          <w:rFonts w:ascii="Arial" w:hAnsi="Arial" w:cs="Arial"/>
          <w:color w:val="000000" w:themeColor="text1"/>
          <w:sz w:val="22"/>
          <w:szCs w:val="22"/>
        </w:rPr>
        <w:t xml:space="preserve"> P, McLaney E (2021) Management Accounting for Decision Makers, FT Prentice Hall </w:t>
      </w:r>
      <w:r w:rsidR="00102012" w:rsidRPr="00E37533">
        <w:rPr>
          <w:rFonts w:ascii="Arial" w:hAnsi="Arial" w:cs="Arial"/>
          <w:color w:val="000000" w:themeColor="text1"/>
          <w:sz w:val="22"/>
          <w:szCs w:val="22"/>
        </w:rPr>
        <w:t>Corporate Site. (n.d.). </w:t>
      </w:r>
      <w:r w:rsidR="00102012" w:rsidRPr="00E37533">
        <w:rPr>
          <w:rFonts w:ascii="Arial" w:hAnsi="Arial" w:cs="Arial"/>
          <w:i/>
          <w:iCs/>
          <w:color w:val="000000" w:themeColor="text1"/>
          <w:sz w:val="22"/>
          <w:szCs w:val="22"/>
        </w:rPr>
        <w:t>MANDARIN ORIENTAL HYDE PARK, LONDON | Luxury 5 Star Hotel</w:t>
      </w:r>
      <w:r w:rsidR="00102012" w:rsidRPr="00E37533">
        <w:rPr>
          <w:rFonts w:ascii="Arial" w:hAnsi="Arial" w:cs="Arial"/>
          <w:color w:val="000000" w:themeColor="text1"/>
          <w:sz w:val="22"/>
          <w:szCs w:val="22"/>
        </w:rPr>
        <w:t xml:space="preserve">. [online] Available at: </w:t>
      </w:r>
      <w:hyperlink r:id="rId7" w:history="1">
        <w:r w:rsidR="00DD5103" w:rsidRPr="00E37533">
          <w:rPr>
            <w:rStyle w:val="Hyperlink"/>
            <w:rFonts w:ascii="Arial" w:hAnsi="Arial" w:cs="Arial"/>
            <w:color w:val="000000" w:themeColor="text1"/>
            <w:sz w:val="22"/>
            <w:szCs w:val="22"/>
          </w:rPr>
          <w:t>https://www.mandarinoriental.com/en/london/hyde-park</w:t>
        </w:r>
      </w:hyperlink>
      <w:r w:rsidR="00102012" w:rsidRPr="00E37533">
        <w:rPr>
          <w:rFonts w:ascii="Arial" w:hAnsi="Arial" w:cs="Arial"/>
          <w:color w:val="000000" w:themeColor="text1"/>
          <w:sz w:val="22"/>
          <w:szCs w:val="22"/>
        </w:rPr>
        <w:t>.</w:t>
      </w:r>
    </w:p>
    <w:p w14:paraId="6565D1AD" w14:textId="77777777" w:rsidR="00DD5103" w:rsidRPr="00E37533" w:rsidRDefault="00DD5103" w:rsidP="00E37533">
      <w:pPr>
        <w:pStyle w:val="NormalWeb"/>
        <w:spacing w:before="0" w:beforeAutospacing="0" w:after="0" w:afterAutospacing="0" w:line="360" w:lineRule="auto"/>
        <w:jc w:val="both"/>
        <w:rPr>
          <w:rFonts w:ascii="Arial" w:hAnsi="Arial" w:cs="Arial"/>
          <w:color w:val="000000" w:themeColor="text1"/>
          <w:sz w:val="22"/>
          <w:szCs w:val="22"/>
        </w:rPr>
      </w:pPr>
    </w:p>
    <w:p w14:paraId="44374F91" w14:textId="457A4255" w:rsidR="00DD5103" w:rsidRPr="00E37533" w:rsidRDefault="00DD5103" w:rsidP="00E37533">
      <w:pPr>
        <w:pStyle w:val="NormalWeb"/>
        <w:spacing w:before="0" w:beforeAutospacing="0" w:after="0" w:afterAutospacing="0" w:line="360" w:lineRule="auto"/>
        <w:jc w:val="both"/>
        <w:rPr>
          <w:rFonts w:ascii="Arial" w:hAnsi="Arial" w:cs="Arial"/>
          <w:color w:val="000000" w:themeColor="text1"/>
          <w:sz w:val="22"/>
          <w:szCs w:val="22"/>
        </w:rPr>
      </w:pPr>
      <w:r w:rsidRPr="00E37533">
        <w:rPr>
          <w:rFonts w:ascii="Arial" w:hAnsi="Arial" w:cs="Arial"/>
          <w:color w:val="000000" w:themeColor="text1"/>
          <w:sz w:val="22"/>
          <w:szCs w:val="22"/>
        </w:rPr>
        <w:t>Corporate Site. (n.d.). </w:t>
      </w:r>
      <w:r w:rsidRPr="00E37533">
        <w:rPr>
          <w:rFonts w:ascii="Arial" w:hAnsi="Arial" w:cs="Arial"/>
          <w:i/>
          <w:iCs/>
          <w:color w:val="000000" w:themeColor="text1"/>
          <w:sz w:val="22"/>
          <w:szCs w:val="22"/>
        </w:rPr>
        <w:t>Our Company - Overview</w:t>
      </w:r>
      <w:r w:rsidRPr="00E37533">
        <w:rPr>
          <w:rFonts w:ascii="Arial" w:hAnsi="Arial" w:cs="Arial"/>
          <w:color w:val="000000" w:themeColor="text1"/>
          <w:sz w:val="22"/>
          <w:szCs w:val="22"/>
        </w:rPr>
        <w:t xml:space="preserve">. [online] Available at: </w:t>
      </w:r>
      <w:hyperlink r:id="rId8" w:history="1">
        <w:r w:rsidR="00C21F70" w:rsidRPr="00E37533">
          <w:rPr>
            <w:rStyle w:val="Hyperlink"/>
            <w:rFonts w:ascii="Arial" w:hAnsi="Arial" w:cs="Arial"/>
            <w:color w:val="000000" w:themeColor="text1"/>
            <w:sz w:val="22"/>
            <w:szCs w:val="22"/>
          </w:rPr>
          <w:t>https://www.mandarinoriental.com/en/our-company</w:t>
        </w:r>
      </w:hyperlink>
      <w:r w:rsidRPr="00E37533">
        <w:rPr>
          <w:rFonts w:ascii="Arial" w:hAnsi="Arial" w:cs="Arial"/>
          <w:color w:val="000000" w:themeColor="text1"/>
          <w:sz w:val="22"/>
          <w:szCs w:val="22"/>
        </w:rPr>
        <w:t>.</w:t>
      </w:r>
    </w:p>
    <w:p w14:paraId="4542E27C" w14:textId="77777777" w:rsidR="00C21F70" w:rsidRPr="00E37533" w:rsidRDefault="00C21F70" w:rsidP="00E37533">
      <w:pPr>
        <w:pStyle w:val="NormalWeb"/>
        <w:spacing w:before="0" w:beforeAutospacing="0" w:after="0" w:afterAutospacing="0" w:line="360" w:lineRule="auto"/>
        <w:jc w:val="both"/>
        <w:rPr>
          <w:rFonts w:ascii="Arial" w:hAnsi="Arial" w:cs="Arial"/>
          <w:color w:val="000000" w:themeColor="text1"/>
          <w:sz w:val="22"/>
          <w:szCs w:val="22"/>
        </w:rPr>
      </w:pPr>
    </w:p>
    <w:p w14:paraId="030D3163" w14:textId="3EFEC0BC" w:rsidR="00C21F70" w:rsidRPr="00E37533" w:rsidRDefault="00C21F70" w:rsidP="00E37533">
      <w:pPr>
        <w:pStyle w:val="NormalWeb"/>
        <w:spacing w:before="0" w:beforeAutospacing="0" w:after="0" w:afterAutospacing="0" w:line="360" w:lineRule="auto"/>
        <w:jc w:val="both"/>
        <w:rPr>
          <w:rFonts w:ascii="Arial" w:hAnsi="Arial" w:cs="Arial"/>
          <w:color w:val="000000" w:themeColor="text1"/>
          <w:sz w:val="22"/>
          <w:szCs w:val="22"/>
        </w:rPr>
      </w:pPr>
      <w:r w:rsidRPr="00E37533">
        <w:rPr>
          <w:rFonts w:ascii="Arial" w:hAnsi="Arial" w:cs="Arial"/>
          <w:color w:val="000000" w:themeColor="text1"/>
          <w:sz w:val="22"/>
          <w:szCs w:val="22"/>
        </w:rPr>
        <w:t>Drury C (2021)</w:t>
      </w:r>
      <w:r w:rsidR="00E37533">
        <w:rPr>
          <w:rFonts w:ascii="Arial" w:hAnsi="Arial" w:cs="Arial"/>
          <w:color w:val="000000" w:themeColor="text1"/>
          <w:sz w:val="22"/>
          <w:szCs w:val="22"/>
        </w:rPr>
        <w:t xml:space="preserve">. </w:t>
      </w:r>
      <w:r w:rsidRPr="00E37533">
        <w:rPr>
          <w:rFonts w:ascii="Arial" w:hAnsi="Arial" w:cs="Arial"/>
          <w:color w:val="000000" w:themeColor="text1"/>
          <w:sz w:val="22"/>
          <w:szCs w:val="22"/>
        </w:rPr>
        <w:t>Management and Cost Accounting,</w:t>
      </w:r>
      <w:r w:rsidR="00E37533">
        <w:rPr>
          <w:rFonts w:ascii="Arial" w:hAnsi="Arial" w:cs="Arial"/>
          <w:color w:val="000000" w:themeColor="text1"/>
          <w:sz w:val="22"/>
          <w:szCs w:val="22"/>
        </w:rPr>
        <w:t xml:space="preserve"> </w:t>
      </w:r>
      <w:r w:rsidR="00E37533" w:rsidRPr="00E37533">
        <w:rPr>
          <w:rFonts w:ascii="Arial" w:hAnsi="Arial" w:cs="Arial"/>
          <w:color w:val="000000" w:themeColor="text1"/>
          <w:sz w:val="22"/>
          <w:szCs w:val="22"/>
        </w:rPr>
        <w:t>(11th Ed)</w:t>
      </w:r>
      <w:r w:rsidR="00E37533">
        <w:rPr>
          <w:rFonts w:ascii="Arial" w:hAnsi="Arial" w:cs="Arial"/>
          <w:color w:val="000000" w:themeColor="text1"/>
          <w:sz w:val="22"/>
          <w:szCs w:val="22"/>
        </w:rPr>
        <w:t>.</w:t>
      </w:r>
      <w:r w:rsidRPr="00E37533">
        <w:rPr>
          <w:rFonts w:ascii="Arial" w:hAnsi="Arial" w:cs="Arial"/>
          <w:color w:val="000000" w:themeColor="text1"/>
          <w:sz w:val="22"/>
          <w:szCs w:val="22"/>
        </w:rPr>
        <w:t xml:space="preserve"> London, Prentice Hall</w:t>
      </w:r>
    </w:p>
    <w:p w14:paraId="3D15BE6C" w14:textId="77777777" w:rsidR="00E37533" w:rsidRPr="00E37533" w:rsidRDefault="00E37533" w:rsidP="00E37533">
      <w:pPr>
        <w:pStyle w:val="NormalWeb"/>
        <w:spacing w:before="0" w:beforeAutospacing="0" w:after="0" w:afterAutospacing="0" w:line="360" w:lineRule="auto"/>
        <w:jc w:val="both"/>
        <w:rPr>
          <w:rFonts w:ascii="Arial" w:hAnsi="Arial" w:cs="Arial"/>
          <w:color w:val="000000" w:themeColor="text1"/>
          <w:sz w:val="22"/>
          <w:szCs w:val="22"/>
        </w:rPr>
      </w:pPr>
    </w:p>
    <w:p w14:paraId="07BA8F8E" w14:textId="337C5F9A" w:rsidR="00E37533" w:rsidRPr="00E37533" w:rsidRDefault="00E37533" w:rsidP="00E37533">
      <w:pPr>
        <w:pStyle w:val="NormalWeb"/>
        <w:spacing w:before="0" w:beforeAutospacing="0" w:after="0" w:afterAutospacing="0" w:line="360" w:lineRule="auto"/>
        <w:jc w:val="both"/>
        <w:rPr>
          <w:rFonts w:ascii="Arial" w:hAnsi="Arial" w:cs="Arial"/>
          <w:color w:val="000000" w:themeColor="text1"/>
          <w:sz w:val="22"/>
          <w:szCs w:val="22"/>
        </w:rPr>
      </w:pPr>
      <w:r w:rsidRPr="00E37533">
        <w:rPr>
          <w:rFonts w:ascii="Arial" w:hAnsi="Arial" w:cs="Arial"/>
          <w:color w:val="000000" w:themeColor="text1"/>
          <w:sz w:val="22"/>
          <w:szCs w:val="22"/>
        </w:rPr>
        <w:t>Govindan, K., Shaw, M. and Majumdar, A. (2020). Social Sustainability Tensions in Multi-tier Supply Chain: A Systematic Literature Review towards Conceptual Framework Development. </w:t>
      </w:r>
      <w:r w:rsidRPr="00E37533">
        <w:rPr>
          <w:rFonts w:ascii="Arial" w:hAnsi="Arial" w:cs="Arial"/>
          <w:i/>
          <w:iCs/>
          <w:color w:val="000000" w:themeColor="text1"/>
          <w:sz w:val="22"/>
          <w:szCs w:val="22"/>
        </w:rPr>
        <w:t>Journal of Cleaner Production</w:t>
      </w:r>
      <w:r w:rsidRPr="00E37533">
        <w:rPr>
          <w:rFonts w:ascii="Arial" w:hAnsi="Arial" w:cs="Arial"/>
          <w:color w:val="000000" w:themeColor="text1"/>
          <w:sz w:val="22"/>
          <w:szCs w:val="22"/>
        </w:rPr>
        <w:t xml:space="preserve">, [online] 279, p.123075. </w:t>
      </w:r>
      <w:proofErr w:type="spellStart"/>
      <w:r w:rsidRPr="00E37533">
        <w:rPr>
          <w:rFonts w:ascii="Arial" w:hAnsi="Arial" w:cs="Arial"/>
          <w:color w:val="000000" w:themeColor="text1"/>
          <w:sz w:val="22"/>
          <w:szCs w:val="22"/>
        </w:rPr>
        <w:t>doi:https</w:t>
      </w:r>
      <w:proofErr w:type="spellEnd"/>
      <w:r w:rsidRPr="00E37533">
        <w:rPr>
          <w:rFonts w:ascii="Arial" w:hAnsi="Arial" w:cs="Arial"/>
          <w:color w:val="000000" w:themeColor="text1"/>
          <w:sz w:val="22"/>
          <w:szCs w:val="22"/>
        </w:rPr>
        <w:t>://doi.org/10.1016/j.jclepro.2020.123075.</w:t>
      </w:r>
    </w:p>
    <w:p w14:paraId="79EB93F4" w14:textId="77777777" w:rsidR="003C674B" w:rsidRPr="00E37533" w:rsidRDefault="003C674B" w:rsidP="00E37533">
      <w:pPr>
        <w:pStyle w:val="NormalWeb"/>
        <w:spacing w:before="0" w:beforeAutospacing="0" w:after="0" w:afterAutospacing="0" w:line="360" w:lineRule="auto"/>
        <w:jc w:val="both"/>
        <w:rPr>
          <w:rFonts w:ascii="Arial" w:hAnsi="Arial" w:cs="Arial"/>
          <w:color w:val="000000" w:themeColor="text1"/>
          <w:sz w:val="22"/>
          <w:szCs w:val="22"/>
        </w:rPr>
      </w:pPr>
    </w:p>
    <w:p w14:paraId="4BF35F4E" w14:textId="77777777" w:rsidR="003C674B" w:rsidRPr="00E37533" w:rsidRDefault="003C674B" w:rsidP="00E37533">
      <w:pPr>
        <w:pStyle w:val="NormalWeb"/>
        <w:spacing w:before="0" w:beforeAutospacing="0" w:after="0" w:afterAutospacing="0" w:line="360" w:lineRule="auto"/>
        <w:jc w:val="both"/>
        <w:rPr>
          <w:rFonts w:ascii="Arial" w:hAnsi="Arial" w:cs="Arial"/>
          <w:color w:val="000000" w:themeColor="text1"/>
          <w:sz w:val="22"/>
          <w:szCs w:val="22"/>
        </w:rPr>
      </w:pPr>
      <w:r w:rsidRPr="00E37533">
        <w:rPr>
          <w:rFonts w:ascii="Arial" w:hAnsi="Arial" w:cs="Arial"/>
          <w:color w:val="000000" w:themeColor="text1"/>
          <w:sz w:val="22"/>
          <w:szCs w:val="22"/>
        </w:rPr>
        <w:t>Guttentag, D. (2015). Airbnb: disruptive innovation and the rise of an informal tourism accommodation sector. </w:t>
      </w:r>
      <w:r w:rsidRPr="00E37533">
        <w:rPr>
          <w:rFonts w:ascii="Arial" w:hAnsi="Arial" w:cs="Arial"/>
          <w:i/>
          <w:iCs/>
          <w:color w:val="000000" w:themeColor="text1"/>
          <w:sz w:val="22"/>
          <w:szCs w:val="22"/>
        </w:rPr>
        <w:t>Current Issues in Tourism</w:t>
      </w:r>
      <w:r w:rsidRPr="00E37533">
        <w:rPr>
          <w:rFonts w:ascii="Arial" w:hAnsi="Arial" w:cs="Arial"/>
          <w:color w:val="000000" w:themeColor="text1"/>
          <w:sz w:val="22"/>
          <w:szCs w:val="22"/>
        </w:rPr>
        <w:t xml:space="preserve">, 18(12), pp.1192–1217. </w:t>
      </w:r>
      <w:proofErr w:type="spellStart"/>
      <w:r w:rsidRPr="00E37533">
        <w:rPr>
          <w:rFonts w:ascii="Arial" w:hAnsi="Arial" w:cs="Arial"/>
          <w:color w:val="000000" w:themeColor="text1"/>
          <w:sz w:val="22"/>
          <w:szCs w:val="22"/>
        </w:rPr>
        <w:t>doi:https</w:t>
      </w:r>
      <w:proofErr w:type="spellEnd"/>
      <w:r w:rsidRPr="00E37533">
        <w:rPr>
          <w:rFonts w:ascii="Arial" w:hAnsi="Arial" w:cs="Arial"/>
          <w:color w:val="000000" w:themeColor="text1"/>
          <w:sz w:val="22"/>
          <w:szCs w:val="22"/>
        </w:rPr>
        <w:t>://doi.org/10.1080/13683500.2013.827159.</w:t>
      </w:r>
    </w:p>
    <w:p w14:paraId="69EDDAAF" w14:textId="77777777" w:rsidR="00E37533" w:rsidRPr="00E37533" w:rsidRDefault="00E37533" w:rsidP="00E37533">
      <w:pPr>
        <w:pStyle w:val="NormalWeb"/>
        <w:spacing w:before="0" w:beforeAutospacing="0" w:after="0" w:afterAutospacing="0" w:line="360" w:lineRule="auto"/>
        <w:jc w:val="both"/>
        <w:rPr>
          <w:rFonts w:ascii="Arial" w:hAnsi="Arial" w:cs="Arial"/>
          <w:color w:val="000000" w:themeColor="text1"/>
          <w:sz w:val="22"/>
          <w:szCs w:val="22"/>
        </w:rPr>
      </w:pPr>
    </w:p>
    <w:p w14:paraId="27994769" w14:textId="3E6902FA" w:rsidR="003C674B" w:rsidRPr="00E37533" w:rsidRDefault="00E37533" w:rsidP="00E37533">
      <w:pPr>
        <w:pStyle w:val="NormalWeb"/>
        <w:spacing w:before="0" w:beforeAutospacing="0" w:after="0" w:afterAutospacing="0" w:line="360" w:lineRule="auto"/>
        <w:jc w:val="both"/>
        <w:rPr>
          <w:rFonts w:ascii="Arial" w:hAnsi="Arial" w:cs="Arial"/>
          <w:color w:val="000000" w:themeColor="text1"/>
          <w:sz w:val="22"/>
          <w:szCs w:val="22"/>
        </w:rPr>
      </w:pPr>
      <w:proofErr w:type="spellStart"/>
      <w:r w:rsidRPr="00E37533">
        <w:rPr>
          <w:rFonts w:ascii="Arial" w:hAnsi="Arial" w:cs="Arial"/>
          <w:color w:val="000000" w:themeColor="text1"/>
          <w:sz w:val="22"/>
          <w:szCs w:val="22"/>
        </w:rPr>
        <w:t>Jagels,M</w:t>
      </w:r>
      <w:proofErr w:type="spellEnd"/>
      <w:r w:rsidRPr="00E37533">
        <w:rPr>
          <w:rFonts w:ascii="Arial" w:hAnsi="Arial" w:cs="Arial"/>
          <w:color w:val="000000" w:themeColor="text1"/>
          <w:sz w:val="22"/>
          <w:szCs w:val="22"/>
        </w:rPr>
        <w:t>. (2007) Hospitality Management Accounting, London, Wiley.</w:t>
      </w:r>
    </w:p>
    <w:p w14:paraId="5D675B6F" w14:textId="54AD61E6" w:rsidR="00DD5103" w:rsidRPr="00E37533" w:rsidRDefault="00DD5103" w:rsidP="00E37533">
      <w:pPr>
        <w:pStyle w:val="NormalWeb"/>
        <w:spacing w:line="360" w:lineRule="auto"/>
        <w:jc w:val="both"/>
        <w:rPr>
          <w:rFonts w:ascii="Arial" w:hAnsi="Arial" w:cs="Arial"/>
          <w:color w:val="000000" w:themeColor="text1"/>
          <w:sz w:val="22"/>
          <w:szCs w:val="22"/>
        </w:rPr>
      </w:pPr>
      <w:r w:rsidRPr="00E37533">
        <w:rPr>
          <w:rFonts w:ascii="Arial" w:hAnsi="Arial" w:cs="Arial"/>
          <w:color w:val="000000" w:themeColor="text1"/>
          <w:sz w:val="22"/>
          <w:szCs w:val="22"/>
        </w:rPr>
        <w:t>‌</w:t>
      </w:r>
      <w:r w:rsidR="00BC5A07" w:rsidRPr="00E37533">
        <w:rPr>
          <w:rFonts w:ascii="Arial" w:hAnsi="Arial" w:cs="Arial"/>
          <w:color w:val="000000" w:themeColor="text1"/>
          <w:sz w:val="22"/>
          <w:szCs w:val="22"/>
          <w:shd w:val="clear" w:color="auto" w:fill="FFFFFF"/>
        </w:rPr>
        <w:t xml:space="preserve">Kotler, </w:t>
      </w:r>
      <w:proofErr w:type="gramStart"/>
      <w:r w:rsidR="00BC5A07" w:rsidRPr="00E37533">
        <w:rPr>
          <w:rFonts w:ascii="Arial" w:hAnsi="Arial" w:cs="Arial"/>
          <w:color w:val="000000" w:themeColor="text1"/>
          <w:sz w:val="22"/>
          <w:szCs w:val="22"/>
          <w:shd w:val="clear" w:color="auto" w:fill="FFFFFF"/>
        </w:rPr>
        <w:t>P.</w:t>
      </w:r>
      <w:proofErr w:type="gramEnd"/>
      <w:r w:rsidR="00BC5A07" w:rsidRPr="00E37533">
        <w:rPr>
          <w:rFonts w:ascii="Arial" w:hAnsi="Arial" w:cs="Arial"/>
          <w:color w:val="000000" w:themeColor="text1"/>
          <w:sz w:val="22"/>
          <w:szCs w:val="22"/>
          <w:shd w:val="clear" w:color="auto" w:fill="FFFFFF"/>
        </w:rPr>
        <w:t xml:space="preserve"> and Keller, K.L., 2016. </w:t>
      </w:r>
      <w:r w:rsidR="00BC5A07" w:rsidRPr="00E37533">
        <w:rPr>
          <w:rFonts w:ascii="Arial" w:hAnsi="Arial" w:cs="Arial"/>
          <w:i/>
          <w:iCs/>
          <w:color w:val="000000" w:themeColor="text1"/>
          <w:sz w:val="22"/>
          <w:szCs w:val="22"/>
          <w:shd w:val="clear" w:color="auto" w:fill="FFFFFF"/>
        </w:rPr>
        <w:t xml:space="preserve">Marketing Management </w:t>
      </w:r>
      <w:r w:rsidR="00BC5A07" w:rsidRPr="00E37533">
        <w:rPr>
          <w:rFonts w:ascii="Arial" w:hAnsi="Arial" w:cs="Arial"/>
          <w:i/>
          <w:iCs/>
          <w:color w:val="000000" w:themeColor="text1"/>
          <w:sz w:val="22"/>
          <w:szCs w:val="22"/>
          <w:shd w:val="clear" w:color="auto" w:fill="FFFFFF"/>
        </w:rPr>
        <w:t>by</w:t>
      </w:r>
      <w:r w:rsidR="00BC5A07" w:rsidRPr="00E37533">
        <w:rPr>
          <w:rFonts w:ascii="Arial" w:hAnsi="Arial" w:cs="Arial"/>
          <w:i/>
          <w:iCs/>
          <w:color w:val="000000" w:themeColor="text1"/>
          <w:sz w:val="22"/>
          <w:szCs w:val="22"/>
          <w:shd w:val="clear" w:color="auto" w:fill="FFFFFF"/>
        </w:rPr>
        <w:t xml:space="preserve"> Philip Kotler</w:t>
      </w:r>
      <w:r w:rsidR="00BC5A07" w:rsidRPr="00E37533">
        <w:rPr>
          <w:rFonts w:ascii="Arial" w:hAnsi="Arial" w:cs="Arial"/>
          <w:color w:val="000000" w:themeColor="text1"/>
          <w:sz w:val="22"/>
          <w:szCs w:val="22"/>
          <w:shd w:val="clear" w:color="auto" w:fill="FFFFFF"/>
        </w:rPr>
        <w:t>. Pearson Education Limited.</w:t>
      </w:r>
    </w:p>
    <w:p w14:paraId="54489E04" w14:textId="31BACEE8" w:rsidR="00102012" w:rsidRPr="00E37533" w:rsidRDefault="00102012" w:rsidP="00E37533">
      <w:pPr>
        <w:pStyle w:val="NormalWeb"/>
        <w:spacing w:line="360" w:lineRule="auto"/>
        <w:jc w:val="both"/>
        <w:rPr>
          <w:rFonts w:ascii="Arial" w:hAnsi="Arial" w:cs="Arial"/>
          <w:color w:val="000000" w:themeColor="text1"/>
          <w:sz w:val="22"/>
          <w:szCs w:val="22"/>
        </w:rPr>
      </w:pPr>
      <w:r w:rsidRPr="00E37533">
        <w:rPr>
          <w:rFonts w:ascii="Arial" w:hAnsi="Arial" w:cs="Arial"/>
          <w:color w:val="000000" w:themeColor="text1"/>
          <w:sz w:val="22"/>
          <w:szCs w:val="22"/>
        </w:rPr>
        <w:t>‌</w:t>
      </w:r>
      <w:r w:rsidR="00BC5A07" w:rsidRPr="00E37533">
        <w:rPr>
          <w:rFonts w:ascii="Arial" w:hAnsi="Arial" w:cs="Arial"/>
          <w:color w:val="000000" w:themeColor="text1"/>
          <w:sz w:val="22"/>
          <w:szCs w:val="22"/>
        </w:rPr>
        <w:t>Mandarin</w:t>
      </w:r>
      <w:r w:rsidR="00C21F70" w:rsidRPr="00E37533">
        <w:rPr>
          <w:rFonts w:ascii="Arial" w:hAnsi="Arial" w:cs="Arial"/>
          <w:color w:val="000000" w:themeColor="text1"/>
          <w:sz w:val="22"/>
          <w:szCs w:val="22"/>
        </w:rPr>
        <w:t xml:space="preserve"> Oriental (2022). Mandarin Oriental </w:t>
      </w:r>
      <w:proofErr w:type="spellStart"/>
      <w:r w:rsidR="00C21F70" w:rsidRPr="00E37533">
        <w:rPr>
          <w:rFonts w:ascii="Arial" w:hAnsi="Arial" w:cs="Arial"/>
          <w:color w:val="000000" w:themeColor="text1"/>
          <w:sz w:val="22"/>
          <w:szCs w:val="22"/>
        </w:rPr>
        <w:t>Intrenational</w:t>
      </w:r>
      <w:proofErr w:type="spellEnd"/>
      <w:r w:rsidR="00C21F70" w:rsidRPr="00E37533">
        <w:rPr>
          <w:rFonts w:ascii="Arial" w:hAnsi="Arial" w:cs="Arial"/>
          <w:color w:val="000000" w:themeColor="text1"/>
          <w:sz w:val="22"/>
          <w:szCs w:val="22"/>
        </w:rPr>
        <w:t xml:space="preserve"> Limited Annual Report 2022. Available at: </w:t>
      </w:r>
      <w:r w:rsidR="00C21F70" w:rsidRPr="00E37533">
        <w:rPr>
          <w:rFonts w:ascii="Arial" w:hAnsi="Arial" w:cs="Arial"/>
          <w:color w:val="000000" w:themeColor="text1"/>
          <w:sz w:val="22"/>
          <w:szCs w:val="22"/>
        </w:rPr>
        <w:t>https://photos.mandarinoriental.com/is/content/MandarinOriental/_Corporate/PDFs/Investors/Analyst%20Presentations/corporate-22arMOIL.pdf</w:t>
      </w:r>
    </w:p>
    <w:p w14:paraId="5FBAB154" w14:textId="14769D38" w:rsidR="00531368" w:rsidRPr="00E37533" w:rsidRDefault="00C21F70" w:rsidP="00E37533">
      <w:pPr>
        <w:pStyle w:val="NormalWeb"/>
        <w:spacing w:before="0" w:beforeAutospacing="0" w:after="0" w:afterAutospacing="0" w:line="360" w:lineRule="auto"/>
        <w:jc w:val="both"/>
        <w:rPr>
          <w:rFonts w:ascii="Arial" w:hAnsi="Arial" w:cs="Arial"/>
          <w:color w:val="000000" w:themeColor="text1"/>
          <w:sz w:val="22"/>
          <w:szCs w:val="22"/>
        </w:rPr>
      </w:pPr>
      <w:r w:rsidRPr="00E37533">
        <w:rPr>
          <w:rFonts w:ascii="Arial" w:hAnsi="Arial" w:cs="Arial"/>
          <w:color w:val="000000" w:themeColor="text1"/>
          <w:sz w:val="22"/>
          <w:szCs w:val="22"/>
        </w:rPr>
        <w:t>Mandarin Oriental (</w:t>
      </w:r>
      <w:r w:rsidRPr="00E37533">
        <w:rPr>
          <w:rFonts w:ascii="Arial" w:hAnsi="Arial" w:cs="Arial"/>
          <w:color w:val="000000" w:themeColor="text1"/>
          <w:sz w:val="22"/>
          <w:szCs w:val="22"/>
        </w:rPr>
        <w:t>2022</w:t>
      </w:r>
      <w:r w:rsidRPr="00E37533">
        <w:rPr>
          <w:rFonts w:ascii="Arial" w:hAnsi="Arial" w:cs="Arial"/>
          <w:color w:val="000000" w:themeColor="text1"/>
          <w:sz w:val="22"/>
          <w:szCs w:val="22"/>
        </w:rPr>
        <w:t>).</w:t>
      </w:r>
      <w:r w:rsidRPr="00E37533">
        <w:rPr>
          <w:rFonts w:ascii="Arial" w:hAnsi="Arial" w:cs="Arial"/>
          <w:color w:val="000000" w:themeColor="text1"/>
          <w:sz w:val="22"/>
          <w:szCs w:val="22"/>
        </w:rPr>
        <w:t xml:space="preserve"> Sustainability report.</w:t>
      </w:r>
      <w:r w:rsidRPr="00E37533">
        <w:rPr>
          <w:rFonts w:ascii="Arial" w:hAnsi="Arial" w:cs="Arial"/>
          <w:color w:val="000000" w:themeColor="text1"/>
          <w:sz w:val="22"/>
          <w:szCs w:val="22"/>
        </w:rPr>
        <w:t xml:space="preserve"> Available at: </w:t>
      </w:r>
      <w:hyperlink r:id="rId9" w:history="1">
        <w:r w:rsidR="00BC5A07" w:rsidRPr="00E37533">
          <w:rPr>
            <w:rStyle w:val="Hyperlink"/>
            <w:rFonts w:ascii="Arial" w:hAnsi="Arial" w:cs="Arial"/>
            <w:color w:val="000000" w:themeColor="text1"/>
            <w:sz w:val="22"/>
            <w:szCs w:val="22"/>
          </w:rPr>
          <w:t>https://photos.mandarinoriental.com/is/content/MandarinOriental/_Corporate/PDFs/mandarin-oriental-sustainability-report-2022.pdf</w:t>
        </w:r>
      </w:hyperlink>
      <w:r w:rsidRPr="00E37533">
        <w:rPr>
          <w:rFonts w:ascii="Arial" w:hAnsi="Arial" w:cs="Arial"/>
          <w:color w:val="000000" w:themeColor="text1"/>
          <w:sz w:val="22"/>
          <w:szCs w:val="22"/>
        </w:rPr>
        <w:t>.</w:t>
      </w:r>
    </w:p>
    <w:p w14:paraId="4C7C3628" w14:textId="77777777" w:rsidR="00BC5A07" w:rsidRPr="00E37533" w:rsidRDefault="00BC5A07" w:rsidP="00E37533">
      <w:pPr>
        <w:pStyle w:val="NormalWeb"/>
        <w:spacing w:before="0" w:beforeAutospacing="0" w:after="0" w:afterAutospacing="0" w:line="360" w:lineRule="auto"/>
        <w:jc w:val="both"/>
        <w:rPr>
          <w:rFonts w:ascii="Arial" w:hAnsi="Arial" w:cs="Arial"/>
          <w:color w:val="000000" w:themeColor="text1"/>
          <w:sz w:val="22"/>
          <w:szCs w:val="22"/>
        </w:rPr>
      </w:pPr>
    </w:p>
    <w:p w14:paraId="3A1868CF" w14:textId="5D251989" w:rsidR="003F3B22" w:rsidRPr="00E37533" w:rsidRDefault="003F3B22" w:rsidP="00E37533">
      <w:pPr>
        <w:pStyle w:val="NormalWeb"/>
        <w:spacing w:before="0" w:beforeAutospacing="0" w:after="0" w:afterAutospacing="0" w:line="360" w:lineRule="auto"/>
        <w:jc w:val="both"/>
        <w:rPr>
          <w:rFonts w:ascii="Arial" w:hAnsi="Arial" w:cs="Arial"/>
          <w:color w:val="000000" w:themeColor="text1"/>
          <w:sz w:val="22"/>
          <w:szCs w:val="22"/>
        </w:rPr>
      </w:pPr>
      <w:r w:rsidRPr="00E37533">
        <w:rPr>
          <w:rFonts w:ascii="Arial" w:hAnsi="Arial" w:cs="Arial"/>
          <w:color w:val="000000" w:themeColor="text1"/>
          <w:sz w:val="22"/>
          <w:szCs w:val="22"/>
        </w:rPr>
        <w:t xml:space="preserve">Mikulić, J., </w:t>
      </w:r>
      <w:proofErr w:type="spellStart"/>
      <w:r w:rsidRPr="00E37533">
        <w:rPr>
          <w:rFonts w:ascii="Arial" w:hAnsi="Arial" w:cs="Arial"/>
          <w:color w:val="000000" w:themeColor="text1"/>
          <w:sz w:val="22"/>
          <w:szCs w:val="22"/>
        </w:rPr>
        <w:t>Vizek</w:t>
      </w:r>
      <w:proofErr w:type="spellEnd"/>
      <w:r w:rsidRPr="00E37533">
        <w:rPr>
          <w:rFonts w:ascii="Arial" w:hAnsi="Arial" w:cs="Arial"/>
          <w:color w:val="000000" w:themeColor="text1"/>
          <w:sz w:val="22"/>
          <w:szCs w:val="22"/>
        </w:rPr>
        <w:t xml:space="preserve">, M., </w:t>
      </w:r>
      <w:proofErr w:type="spellStart"/>
      <w:r w:rsidRPr="00E37533">
        <w:rPr>
          <w:rFonts w:ascii="Arial" w:hAnsi="Arial" w:cs="Arial"/>
          <w:color w:val="000000" w:themeColor="text1"/>
          <w:sz w:val="22"/>
          <w:szCs w:val="22"/>
        </w:rPr>
        <w:t>Stojčić</w:t>
      </w:r>
      <w:proofErr w:type="spellEnd"/>
      <w:r w:rsidRPr="00E37533">
        <w:rPr>
          <w:rFonts w:ascii="Arial" w:hAnsi="Arial" w:cs="Arial"/>
          <w:color w:val="000000" w:themeColor="text1"/>
          <w:sz w:val="22"/>
          <w:szCs w:val="22"/>
        </w:rPr>
        <w:t xml:space="preserve">, N., Payne, J.E., Čeh </w:t>
      </w:r>
      <w:proofErr w:type="spellStart"/>
      <w:r w:rsidRPr="00E37533">
        <w:rPr>
          <w:rFonts w:ascii="Arial" w:hAnsi="Arial" w:cs="Arial"/>
          <w:color w:val="000000" w:themeColor="text1"/>
          <w:sz w:val="22"/>
          <w:szCs w:val="22"/>
        </w:rPr>
        <w:t>Časni</w:t>
      </w:r>
      <w:proofErr w:type="spellEnd"/>
      <w:r w:rsidRPr="00E37533">
        <w:rPr>
          <w:rFonts w:ascii="Arial" w:hAnsi="Arial" w:cs="Arial"/>
          <w:color w:val="000000" w:themeColor="text1"/>
          <w:sz w:val="22"/>
          <w:szCs w:val="22"/>
        </w:rPr>
        <w:t>, A. and Barbić, T. (2021). The effect of tourism activity on housing affordability. </w:t>
      </w:r>
      <w:r w:rsidRPr="00E37533">
        <w:rPr>
          <w:rFonts w:ascii="Arial" w:hAnsi="Arial" w:cs="Arial"/>
          <w:i/>
          <w:iCs/>
          <w:color w:val="000000" w:themeColor="text1"/>
          <w:sz w:val="22"/>
          <w:szCs w:val="22"/>
        </w:rPr>
        <w:t>Annals of Tourism Research</w:t>
      </w:r>
      <w:r w:rsidRPr="00E37533">
        <w:rPr>
          <w:rFonts w:ascii="Arial" w:hAnsi="Arial" w:cs="Arial"/>
          <w:color w:val="000000" w:themeColor="text1"/>
          <w:sz w:val="22"/>
          <w:szCs w:val="22"/>
        </w:rPr>
        <w:t xml:space="preserve">, [online] 90, p.103264. </w:t>
      </w:r>
      <w:proofErr w:type="spellStart"/>
      <w:r w:rsidRPr="00E37533">
        <w:rPr>
          <w:rFonts w:ascii="Arial" w:hAnsi="Arial" w:cs="Arial"/>
          <w:color w:val="000000" w:themeColor="text1"/>
          <w:sz w:val="22"/>
          <w:szCs w:val="22"/>
        </w:rPr>
        <w:t>doi:https</w:t>
      </w:r>
      <w:proofErr w:type="spellEnd"/>
      <w:r w:rsidRPr="00E37533">
        <w:rPr>
          <w:rFonts w:ascii="Arial" w:hAnsi="Arial" w:cs="Arial"/>
          <w:color w:val="000000" w:themeColor="text1"/>
          <w:sz w:val="22"/>
          <w:szCs w:val="22"/>
        </w:rPr>
        <w:t>://doi.org/10.1016/j.annals.2021.103264.</w:t>
      </w:r>
    </w:p>
    <w:p w14:paraId="1B08C4C3" w14:textId="77777777" w:rsidR="003F3B22" w:rsidRPr="00E37533" w:rsidRDefault="003F3B22" w:rsidP="00E37533">
      <w:pPr>
        <w:pStyle w:val="NormalWeb"/>
        <w:spacing w:before="0" w:beforeAutospacing="0" w:after="0" w:afterAutospacing="0" w:line="360" w:lineRule="auto"/>
        <w:jc w:val="both"/>
        <w:rPr>
          <w:rFonts w:ascii="Arial" w:hAnsi="Arial" w:cs="Arial"/>
          <w:color w:val="000000" w:themeColor="text1"/>
          <w:sz w:val="22"/>
          <w:szCs w:val="22"/>
        </w:rPr>
      </w:pPr>
    </w:p>
    <w:p w14:paraId="6C979F63" w14:textId="375B6DCD" w:rsidR="00531368" w:rsidRPr="00E37533" w:rsidRDefault="00531368" w:rsidP="00E37533">
      <w:pPr>
        <w:pStyle w:val="NormalWeb"/>
        <w:spacing w:before="0" w:beforeAutospacing="0" w:after="0" w:afterAutospacing="0" w:line="360" w:lineRule="auto"/>
        <w:jc w:val="both"/>
        <w:rPr>
          <w:rFonts w:ascii="Arial" w:hAnsi="Arial" w:cs="Arial"/>
          <w:color w:val="000000" w:themeColor="text1"/>
          <w:sz w:val="22"/>
          <w:szCs w:val="22"/>
        </w:rPr>
      </w:pPr>
      <w:r w:rsidRPr="00E37533">
        <w:rPr>
          <w:rFonts w:ascii="Arial" w:hAnsi="Arial" w:cs="Arial"/>
          <w:color w:val="000000" w:themeColor="text1"/>
          <w:sz w:val="22"/>
          <w:szCs w:val="22"/>
        </w:rPr>
        <w:t>Premier Inn (2022). </w:t>
      </w:r>
      <w:r w:rsidRPr="00E37533">
        <w:rPr>
          <w:rFonts w:ascii="Arial" w:hAnsi="Arial" w:cs="Arial"/>
          <w:i/>
          <w:iCs/>
          <w:color w:val="000000" w:themeColor="text1"/>
          <w:sz w:val="22"/>
          <w:szCs w:val="22"/>
        </w:rPr>
        <w:t>About us</w:t>
      </w:r>
      <w:r w:rsidRPr="00E37533">
        <w:rPr>
          <w:rFonts w:ascii="Arial" w:hAnsi="Arial" w:cs="Arial"/>
          <w:color w:val="000000" w:themeColor="text1"/>
          <w:sz w:val="22"/>
          <w:szCs w:val="22"/>
        </w:rPr>
        <w:t xml:space="preserve">. [online] www.premierinn.com. Available at: </w:t>
      </w:r>
      <w:hyperlink r:id="rId10" w:history="1">
        <w:r w:rsidR="00C21F70" w:rsidRPr="00E37533">
          <w:rPr>
            <w:rStyle w:val="Hyperlink"/>
            <w:rFonts w:ascii="Arial" w:hAnsi="Arial" w:cs="Arial"/>
            <w:color w:val="000000" w:themeColor="text1"/>
            <w:sz w:val="22"/>
            <w:szCs w:val="22"/>
          </w:rPr>
          <w:t>https://www.premierinn.com/gb/en/why.html?INTCMP=topNav</w:t>
        </w:r>
      </w:hyperlink>
      <w:r w:rsidRPr="00E37533">
        <w:rPr>
          <w:rFonts w:ascii="Arial" w:hAnsi="Arial" w:cs="Arial"/>
          <w:color w:val="000000" w:themeColor="text1"/>
          <w:sz w:val="22"/>
          <w:szCs w:val="22"/>
        </w:rPr>
        <w:t>.</w:t>
      </w:r>
    </w:p>
    <w:p w14:paraId="4195655F" w14:textId="77777777" w:rsidR="00BC5A07" w:rsidRPr="00E37533" w:rsidRDefault="00BC5A07" w:rsidP="00E37533">
      <w:pPr>
        <w:pStyle w:val="NormalWeb"/>
        <w:spacing w:before="0" w:beforeAutospacing="0" w:after="0" w:afterAutospacing="0" w:line="360" w:lineRule="auto"/>
        <w:jc w:val="both"/>
        <w:rPr>
          <w:rFonts w:ascii="Arial" w:hAnsi="Arial" w:cs="Arial"/>
          <w:color w:val="000000" w:themeColor="text1"/>
          <w:sz w:val="22"/>
          <w:szCs w:val="22"/>
        </w:rPr>
      </w:pPr>
    </w:p>
    <w:p w14:paraId="17E9EEB3" w14:textId="3FCC28EA" w:rsidR="00BC5A07" w:rsidRPr="00E37533" w:rsidRDefault="00BC5A07" w:rsidP="00E37533">
      <w:pPr>
        <w:pStyle w:val="NormalWeb"/>
        <w:spacing w:before="0" w:beforeAutospacing="0" w:after="0" w:afterAutospacing="0" w:line="360" w:lineRule="auto"/>
        <w:jc w:val="both"/>
        <w:rPr>
          <w:rFonts w:ascii="Arial" w:hAnsi="Arial" w:cs="Arial"/>
          <w:color w:val="000000" w:themeColor="text1"/>
          <w:sz w:val="22"/>
          <w:szCs w:val="22"/>
        </w:rPr>
      </w:pPr>
      <w:r w:rsidRPr="00E37533">
        <w:rPr>
          <w:rFonts w:ascii="Arial" w:hAnsi="Arial" w:cs="Arial"/>
          <w:color w:val="000000" w:themeColor="text1"/>
          <w:sz w:val="22"/>
          <w:szCs w:val="22"/>
        </w:rPr>
        <w:t xml:space="preserve">Premier Inn Raport (2022). The economic impact of Premier Inn Hotels. Available at: </w:t>
      </w:r>
      <w:hyperlink r:id="rId11" w:history="1">
        <w:r w:rsidRPr="00E37533">
          <w:rPr>
            <w:rStyle w:val="Hyperlink"/>
            <w:rFonts w:ascii="Arial" w:hAnsi="Arial" w:cs="Arial"/>
            <w:color w:val="000000" w:themeColor="text1"/>
            <w:sz w:val="22"/>
            <w:szCs w:val="22"/>
          </w:rPr>
          <w:t>https://cdn.whitbread.co.uk/media/2023/08/The-Economic-Impact-of-Premier-Inn-hotels_2022-study_final.pdf</w:t>
        </w:r>
      </w:hyperlink>
    </w:p>
    <w:p w14:paraId="3A72C43C" w14:textId="77777777" w:rsidR="00BC5A07" w:rsidRPr="00E37533" w:rsidRDefault="00BC5A07" w:rsidP="00E37533">
      <w:pPr>
        <w:pStyle w:val="NormalWeb"/>
        <w:spacing w:before="0" w:beforeAutospacing="0" w:after="0" w:afterAutospacing="0" w:line="360" w:lineRule="auto"/>
        <w:jc w:val="both"/>
        <w:rPr>
          <w:rFonts w:ascii="Arial" w:hAnsi="Arial" w:cs="Arial"/>
          <w:color w:val="000000" w:themeColor="text1"/>
          <w:sz w:val="22"/>
          <w:szCs w:val="22"/>
        </w:rPr>
      </w:pPr>
    </w:p>
    <w:p w14:paraId="62E55E56" w14:textId="3DCA9CEF" w:rsidR="003C674B" w:rsidRPr="00E37533" w:rsidRDefault="003C674B" w:rsidP="00E37533">
      <w:pPr>
        <w:pStyle w:val="NormalWeb"/>
        <w:spacing w:before="0" w:beforeAutospacing="0" w:after="0" w:afterAutospacing="0" w:line="360" w:lineRule="auto"/>
        <w:jc w:val="both"/>
        <w:rPr>
          <w:rFonts w:ascii="Arial" w:hAnsi="Arial" w:cs="Arial"/>
          <w:color w:val="000000" w:themeColor="text1"/>
          <w:sz w:val="22"/>
          <w:szCs w:val="22"/>
        </w:rPr>
      </w:pPr>
      <w:r w:rsidRPr="00E37533">
        <w:rPr>
          <w:rFonts w:ascii="Arial" w:hAnsi="Arial" w:cs="Arial"/>
          <w:color w:val="000000" w:themeColor="text1"/>
          <w:sz w:val="22"/>
          <w:szCs w:val="22"/>
        </w:rPr>
        <w:t>Rangan, V., Chase, L. and Karim, S. (2015). </w:t>
      </w:r>
      <w:r w:rsidRPr="00E37533">
        <w:rPr>
          <w:rFonts w:ascii="Arial" w:hAnsi="Arial" w:cs="Arial"/>
          <w:i/>
          <w:iCs/>
          <w:color w:val="000000" w:themeColor="text1"/>
          <w:sz w:val="22"/>
          <w:szCs w:val="22"/>
        </w:rPr>
        <w:t>The Truth About CSR</w:t>
      </w:r>
      <w:r w:rsidRPr="00E37533">
        <w:rPr>
          <w:rFonts w:ascii="Arial" w:hAnsi="Arial" w:cs="Arial"/>
          <w:color w:val="000000" w:themeColor="text1"/>
          <w:sz w:val="22"/>
          <w:szCs w:val="22"/>
        </w:rPr>
        <w:t xml:space="preserve">. [online] Available at: </w:t>
      </w:r>
      <w:hyperlink r:id="rId12" w:history="1">
        <w:r w:rsidRPr="00E37533">
          <w:rPr>
            <w:rStyle w:val="Hyperlink"/>
            <w:rFonts w:ascii="Arial" w:hAnsi="Arial" w:cs="Arial"/>
            <w:color w:val="000000" w:themeColor="text1"/>
            <w:sz w:val="22"/>
            <w:szCs w:val="22"/>
          </w:rPr>
          <w:t>https://www.billsynnotandassociates.com.au/images/stories/documents/oceania.pdf</w:t>
        </w:r>
      </w:hyperlink>
      <w:r w:rsidRPr="00E37533">
        <w:rPr>
          <w:rFonts w:ascii="Arial" w:hAnsi="Arial" w:cs="Arial"/>
          <w:color w:val="000000" w:themeColor="text1"/>
          <w:sz w:val="22"/>
          <w:szCs w:val="22"/>
        </w:rPr>
        <w:t>.</w:t>
      </w:r>
    </w:p>
    <w:p w14:paraId="2FCA233C" w14:textId="77777777" w:rsidR="003C674B" w:rsidRPr="00E37533" w:rsidRDefault="003C674B" w:rsidP="00E37533">
      <w:pPr>
        <w:pStyle w:val="NormalWeb"/>
        <w:spacing w:before="0" w:beforeAutospacing="0" w:after="0" w:afterAutospacing="0" w:line="360" w:lineRule="auto"/>
        <w:jc w:val="both"/>
        <w:rPr>
          <w:rFonts w:ascii="Arial" w:hAnsi="Arial" w:cs="Arial"/>
          <w:color w:val="000000" w:themeColor="text1"/>
          <w:sz w:val="22"/>
          <w:szCs w:val="22"/>
        </w:rPr>
      </w:pPr>
    </w:p>
    <w:p w14:paraId="1B3B5A17" w14:textId="40BD683E" w:rsidR="00BC5A07" w:rsidRPr="00E37533" w:rsidRDefault="00BC5A07" w:rsidP="00E37533">
      <w:pPr>
        <w:pStyle w:val="NormalWeb"/>
        <w:spacing w:before="0" w:beforeAutospacing="0" w:after="0" w:afterAutospacing="0" w:line="360" w:lineRule="auto"/>
        <w:jc w:val="both"/>
        <w:rPr>
          <w:rFonts w:ascii="Arial" w:hAnsi="Arial" w:cs="Arial"/>
          <w:color w:val="000000" w:themeColor="text1"/>
          <w:sz w:val="22"/>
          <w:szCs w:val="22"/>
        </w:rPr>
      </w:pPr>
      <w:r w:rsidRPr="00E37533">
        <w:rPr>
          <w:rFonts w:ascii="Arial" w:hAnsi="Arial" w:cs="Arial"/>
          <w:color w:val="000000" w:themeColor="text1"/>
          <w:sz w:val="22"/>
          <w:szCs w:val="22"/>
        </w:rPr>
        <w:t>Seal W (2019) (6th Ed) Management Accounting, London, McGraw Hill</w:t>
      </w:r>
    </w:p>
    <w:p w14:paraId="66A0565C" w14:textId="77777777" w:rsidR="00C21F70" w:rsidRPr="00E37533" w:rsidRDefault="00C21F70" w:rsidP="00E37533">
      <w:pPr>
        <w:pStyle w:val="NormalWeb"/>
        <w:spacing w:before="0" w:beforeAutospacing="0" w:after="0" w:afterAutospacing="0" w:line="360" w:lineRule="auto"/>
        <w:jc w:val="both"/>
        <w:rPr>
          <w:rFonts w:ascii="Arial" w:hAnsi="Arial" w:cs="Arial"/>
          <w:color w:val="000000" w:themeColor="text1"/>
          <w:sz w:val="22"/>
          <w:szCs w:val="22"/>
        </w:rPr>
      </w:pPr>
    </w:p>
    <w:p w14:paraId="2AA956A6" w14:textId="7B90D8AB" w:rsidR="00C21F70" w:rsidRPr="00E37533" w:rsidRDefault="00C21F70" w:rsidP="00E37533">
      <w:pPr>
        <w:pStyle w:val="NormalWeb"/>
        <w:spacing w:before="0" w:beforeAutospacing="0" w:after="0" w:afterAutospacing="0" w:line="360" w:lineRule="auto"/>
        <w:jc w:val="both"/>
        <w:rPr>
          <w:rFonts w:ascii="Arial" w:hAnsi="Arial" w:cs="Arial"/>
          <w:color w:val="000000" w:themeColor="text1"/>
          <w:sz w:val="22"/>
          <w:szCs w:val="22"/>
        </w:rPr>
      </w:pPr>
      <w:r w:rsidRPr="00E37533">
        <w:rPr>
          <w:rFonts w:ascii="Arial" w:hAnsi="Arial" w:cs="Arial"/>
          <w:color w:val="000000" w:themeColor="text1"/>
          <w:sz w:val="22"/>
          <w:szCs w:val="22"/>
        </w:rPr>
        <w:t>Teece, D.J. (2009). </w:t>
      </w:r>
      <w:r w:rsidRPr="00E37533">
        <w:rPr>
          <w:rFonts w:ascii="Arial" w:hAnsi="Arial" w:cs="Arial"/>
          <w:i/>
          <w:iCs/>
          <w:color w:val="000000" w:themeColor="text1"/>
          <w:sz w:val="22"/>
          <w:szCs w:val="22"/>
        </w:rPr>
        <w:t>Dynamic Capabilities and Strategic Management: Organizing for Innovation and Growth</w:t>
      </w:r>
      <w:r w:rsidRPr="00E37533">
        <w:rPr>
          <w:rFonts w:ascii="Arial" w:hAnsi="Arial" w:cs="Arial"/>
          <w:color w:val="000000" w:themeColor="text1"/>
          <w:sz w:val="22"/>
          <w:szCs w:val="22"/>
        </w:rPr>
        <w:t>. [online] </w:t>
      </w:r>
      <w:r w:rsidRPr="00E37533">
        <w:rPr>
          <w:rFonts w:ascii="Arial" w:hAnsi="Arial" w:cs="Arial"/>
          <w:i/>
          <w:iCs/>
          <w:color w:val="000000" w:themeColor="text1"/>
          <w:sz w:val="22"/>
          <w:szCs w:val="22"/>
        </w:rPr>
        <w:t>Google Books</w:t>
      </w:r>
      <w:r w:rsidRPr="00E37533">
        <w:rPr>
          <w:rFonts w:ascii="Arial" w:hAnsi="Arial" w:cs="Arial"/>
          <w:color w:val="000000" w:themeColor="text1"/>
          <w:sz w:val="22"/>
          <w:szCs w:val="22"/>
        </w:rPr>
        <w:t xml:space="preserve">. OUP Oxford. Available at: https://www.google.co.uk/books/edition/Dynamic_Capabilities_and_Strategic_Manag/88EUDAAAQBAJ?hl=en&amp;gbpv=1&amp;dq=Teece%27s+(2007)+idea+of+dynamic+capabilities&amp;pg=PP1&amp;printsec=frontcover [Accessed </w:t>
      </w:r>
      <w:r w:rsidRPr="00E37533">
        <w:rPr>
          <w:rFonts w:ascii="Arial" w:hAnsi="Arial" w:cs="Arial"/>
          <w:color w:val="000000" w:themeColor="text1"/>
          <w:sz w:val="22"/>
          <w:szCs w:val="22"/>
        </w:rPr>
        <w:t>4</w:t>
      </w:r>
      <w:r w:rsidRPr="00E37533">
        <w:rPr>
          <w:rFonts w:ascii="Arial" w:hAnsi="Arial" w:cs="Arial"/>
          <w:color w:val="000000" w:themeColor="text1"/>
          <w:sz w:val="22"/>
          <w:szCs w:val="22"/>
        </w:rPr>
        <w:t xml:space="preserve"> Oct. 2023].</w:t>
      </w:r>
    </w:p>
    <w:p w14:paraId="2CD7CFA5" w14:textId="77777777" w:rsidR="00E37533" w:rsidRPr="00E37533" w:rsidRDefault="00E37533" w:rsidP="00E37533">
      <w:pPr>
        <w:pStyle w:val="NormalWeb"/>
        <w:spacing w:before="0" w:beforeAutospacing="0" w:after="0" w:afterAutospacing="0" w:line="360" w:lineRule="auto"/>
        <w:jc w:val="both"/>
        <w:rPr>
          <w:rFonts w:ascii="Arial" w:hAnsi="Arial" w:cs="Arial"/>
          <w:color w:val="000000" w:themeColor="text1"/>
          <w:sz w:val="22"/>
          <w:szCs w:val="22"/>
        </w:rPr>
      </w:pPr>
    </w:p>
    <w:p w14:paraId="01390E43" w14:textId="6BE46E92" w:rsidR="00E37533" w:rsidRPr="00E37533" w:rsidRDefault="00E37533" w:rsidP="00E37533">
      <w:pPr>
        <w:pStyle w:val="NormalWeb"/>
        <w:spacing w:before="0" w:beforeAutospacing="0" w:after="0" w:afterAutospacing="0" w:line="360" w:lineRule="auto"/>
        <w:jc w:val="both"/>
        <w:rPr>
          <w:rFonts w:ascii="Arial" w:hAnsi="Arial" w:cs="Arial"/>
          <w:color w:val="000000" w:themeColor="text1"/>
          <w:sz w:val="22"/>
          <w:szCs w:val="22"/>
        </w:rPr>
      </w:pPr>
      <w:r w:rsidRPr="00E37533">
        <w:rPr>
          <w:rFonts w:ascii="Arial" w:hAnsi="Arial" w:cs="Arial"/>
          <w:color w:val="000000" w:themeColor="text1"/>
          <w:sz w:val="22"/>
          <w:szCs w:val="22"/>
        </w:rPr>
        <w:t>Thomas, R. (2013). </w:t>
      </w:r>
      <w:r w:rsidRPr="00E37533">
        <w:rPr>
          <w:rFonts w:ascii="Arial" w:hAnsi="Arial" w:cs="Arial"/>
          <w:i/>
          <w:iCs/>
          <w:color w:val="000000" w:themeColor="text1"/>
          <w:sz w:val="22"/>
          <w:szCs w:val="22"/>
        </w:rPr>
        <w:t>Small Firms in Tourism</w:t>
      </w:r>
      <w:r w:rsidRPr="00E37533">
        <w:rPr>
          <w:rFonts w:ascii="Arial" w:hAnsi="Arial" w:cs="Arial"/>
          <w:color w:val="000000" w:themeColor="text1"/>
          <w:sz w:val="22"/>
          <w:szCs w:val="22"/>
        </w:rPr>
        <w:t>. [online] </w:t>
      </w:r>
      <w:r w:rsidRPr="00E37533">
        <w:rPr>
          <w:rFonts w:ascii="Arial" w:hAnsi="Arial" w:cs="Arial"/>
          <w:i/>
          <w:iCs/>
          <w:color w:val="000000" w:themeColor="text1"/>
          <w:sz w:val="22"/>
          <w:szCs w:val="22"/>
        </w:rPr>
        <w:t>Google Books</w:t>
      </w:r>
      <w:r w:rsidRPr="00E37533">
        <w:rPr>
          <w:rFonts w:ascii="Arial" w:hAnsi="Arial" w:cs="Arial"/>
          <w:color w:val="000000" w:themeColor="text1"/>
          <w:sz w:val="22"/>
          <w:szCs w:val="22"/>
        </w:rPr>
        <w:t xml:space="preserve">. Routledge. Available at: https://www.google.co.uk/books/edition/Small_Firms_in_Tourism/Fb8APFghLJYC?hl=en&amp;gbpv=1&amp;pg=PA99&amp;printsec=frontcover [Accessed </w:t>
      </w:r>
      <w:r w:rsidRPr="00E37533">
        <w:rPr>
          <w:rFonts w:ascii="Arial" w:hAnsi="Arial" w:cs="Arial"/>
          <w:color w:val="000000" w:themeColor="text1"/>
          <w:sz w:val="22"/>
          <w:szCs w:val="22"/>
        </w:rPr>
        <w:t>6</w:t>
      </w:r>
      <w:r w:rsidRPr="00E37533">
        <w:rPr>
          <w:rFonts w:ascii="Arial" w:hAnsi="Arial" w:cs="Arial"/>
          <w:color w:val="000000" w:themeColor="text1"/>
          <w:sz w:val="22"/>
          <w:szCs w:val="22"/>
        </w:rPr>
        <w:t xml:space="preserve"> Oct. 2023].</w:t>
      </w:r>
    </w:p>
    <w:p w14:paraId="721C2B77" w14:textId="77777777" w:rsidR="003F3B22" w:rsidRPr="00E37533" w:rsidRDefault="003F3B22" w:rsidP="00E37533">
      <w:pPr>
        <w:pStyle w:val="NormalWeb"/>
        <w:spacing w:before="0" w:beforeAutospacing="0" w:after="0" w:afterAutospacing="0" w:line="360" w:lineRule="auto"/>
        <w:jc w:val="both"/>
        <w:rPr>
          <w:rFonts w:ascii="Arial" w:hAnsi="Arial" w:cs="Arial"/>
          <w:color w:val="000000" w:themeColor="text1"/>
          <w:sz w:val="22"/>
          <w:szCs w:val="22"/>
        </w:rPr>
      </w:pPr>
    </w:p>
    <w:p w14:paraId="7F7B72B5" w14:textId="5AC15285" w:rsidR="003F3B22" w:rsidRPr="00E37533" w:rsidRDefault="003F3B22" w:rsidP="00E37533">
      <w:pPr>
        <w:pStyle w:val="NormalWeb"/>
        <w:spacing w:before="0" w:beforeAutospacing="0" w:after="0" w:afterAutospacing="0" w:line="360" w:lineRule="auto"/>
        <w:jc w:val="both"/>
        <w:rPr>
          <w:rFonts w:ascii="Arial" w:hAnsi="Arial" w:cs="Arial"/>
          <w:color w:val="000000" w:themeColor="text1"/>
          <w:sz w:val="22"/>
          <w:szCs w:val="22"/>
        </w:rPr>
      </w:pPr>
      <w:proofErr w:type="spellStart"/>
      <w:r w:rsidRPr="00E37533">
        <w:rPr>
          <w:rFonts w:ascii="Arial" w:hAnsi="Arial" w:cs="Arial"/>
          <w:color w:val="000000" w:themeColor="text1"/>
          <w:sz w:val="22"/>
          <w:szCs w:val="22"/>
        </w:rPr>
        <w:t>Volberda</w:t>
      </w:r>
      <w:proofErr w:type="spellEnd"/>
      <w:r w:rsidRPr="00E37533">
        <w:rPr>
          <w:rFonts w:ascii="Arial" w:hAnsi="Arial" w:cs="Arial"/>
          <w:color w:val="000000" w:themeColor="text1"/>
          <w:sz w:val="22"/>
          <w:szCs w:val="22"/>
        </w:rPr>
        <w:t xml:space="preserve">, H.W., Morgan, R.E., </w:t>
      </w:r>
      <w:proofErr w:type="spellStart"/>
      <w:r w:rsidRPr="00E37533">
        <w:rPr>
          <w:rFonts w:ascii="Arial" w:hAnsi="Arial" w:cs="Arial"/>
          <w:color w:val="000000" w:themeColor="text1"/>
          <w:sz w:val="22"/>
          <w:szCs w:val="22"/>
        </w:rPr>
        <w:t>Reinmoeller</w:t>
      </w:r>
      <w:proofErr w:type="spellEnd"/>
      <w:r w:rsidRPr="00E37533">
        <w:rPr>
          <w:rFonts w:ascii="Arial" w:hAnsi="Arial" w:cs="Arial"/>
          <w:color w:val="000000" w:themeColor="text1"/>
          <w:sz w:val="22"/>
          <w:szCs w:val="22"/>
        </w:rPr>
        <w:t xml:space="preserve">, P., Hitt, M.A., Ireland, R.D. and </w:t>
      </w:r>
      <w:proofErr w:type="spellStart"/>
      <w:r w:rsidRPr="00E37533">
        <w:rPr>
          <w:rFonts w:ascii="Arial" w:hAnsi="Arial" w:cs="Arial"/>
          <w:color w:val="000000" w:themeColor="text1"/>
          <w:sz w:val="22"/>
          <w:szCs w:val="22"/>
        </w:rPr>
        <w:t>Hoskisson</w:t>
      </w:r>
      <w:proofErr w:type="spellEnd"/>
      <w:r w:rsidRPr="00E37533">
        <w:rPr>
          <w:rFonts w:ascii="Arial" w:hAnsi="Arial" w:cs="Arial"/>
          <w:color w:val="000000" w:themeColor="text1"/>
          <w:sz w:val="22"/>
          <w:szCs w:val="22"/>
        </w:rPr>
        <w:t>, R.E. (2011). </w:t>
      </w:r>
      <w:r w:rsidRPr="00E37533">
        <w:rPr>
          <w:rFonts w:ascii="Arial" w:hAnsi="Arial" w:cs="Arial"/>
          <w:i/>
          <w:iCs/>
          <w:color w:val="000000" w:themeColor="text1"/>
          <w:sz w:val="22"/>
          <w:szCs w:val="22"/>
        </w:rPr>
        <w:t>Strategic management: Competitiveness and globalization (Concepts and cases)</w:t>
      </w:r>
      <w:r w:rsidRPr="00E37533">
        <w:rPr>
          <w:rFonts w:ascii="Arial" w:hAnsi="Arial" w:cs="Arial"/>
          <w:color w:val="000000" w:themeColor="text1"/>
          <w:sz w:val="22"/>
          <w:szCs w:val="22"/>
        </w:rPr>
        <w:t>. [online] </w:t>
      </w:r>
      <w:r w:rsidRPr="00E37533">
        <w:rPr>
          <w:rFonts w:ascii="Arial" w:hAnsi="Arial" w:cs="Arial"/>
          <w:i/>
          <w:iCs/>
          <w:color w:val="000000" w:themeColor="text1"/>
          <w:sz w:val="22"/>
          <w:szCs w:val="22"/>
        </w:rPr>
        <w:t>orca.cardiff.ac.uk</w:t>
      </w:r>
      <w:r w:rsidRPr="00E37533">
        <w:rPr>
          <w:rFonts w:ascii="Arial" w:hAnsi="Arial" w:cs="Arial"/>
          <w:color w:val="000000" w:themeColor="text1"/>
          <w:sz w:val="22"/>
          <w:szCs w:val="22"/>
        </w:rPr>
        <w:t>. Andover: Cengage Learning. Available at: https://orca.cardiff.ac.uk/id/eprint/25299/.</w:t>
      </w:r>
    </w:p>
    <w:p w14:paraId="48ABDB82" w14:textId="426CC430" w:rsidR="00C21F70" w:rsidRPr="00E37533" w:rsidRDefault="003F3B22" w:rsidP="00E37533">
      <w:pPr>
        <w:pStyle w:val="NormalWeb"/>
        <w:spacing w:line="360" w:lineRule="auto"/>
        <w:jc w:val="both"/>
        <w:rPr>
          <w:rFonts w:ascii="Arial" w:hAnsi="Arial" w:cs="Arial"/>
          <w:color w:val="000000" w:themeColor="text1"/>
          <w:sz w:val="22"/>
          <w:szCs w:val="22"/>
        </w:rPr>
      </w:pPr>
      <w:r w:rsidRPr="00E37533">
        <w:rPr>
          <w:rFonts w:ascii="Arial" w:hAnsi="Arial" w:cs="Arial"/>
          <w:color w:val="000000" w:themeColor="text1"/>
          <w:sz w:val="22"/>
          <w:szCs w:val="22"/>
        </w:rPr>
        <w:t>Walker J (2021) Introduction to Hospitality, Harlow, Pearson</w:t>
      </w:r>
    </w:p>
    <w:p w14:paraId="48B4B863" w14:textId="4E34D0B3" w:rsidR="003C674B" w:rsidRPr="00E37533" w:rsidRDefault="003C674B" w:rsidP="00E37533">
      <w:pPr>
        <w:pStyle w:val="NormalWeb"/>
        <w:spacing w:line="360" w:lineRule="auto"/>
        <w:jc w:val="both"/>
        <w:rPr>
          <w:rFonts w:ascii="Arial" w:hAnsi="Arial" w:cs="Arial"/>
          <w:color w:val="000000" w:themeColor="text1"/>
          <w:sz w:val="22"/>
          <w:szCs w:val="22"/>
        </w:rPr>
      </w:pPr>
      <w:r w:rsidRPr="00E37533">
        <w:rPr>
          <w:rFonts w:ascii="Arial" w:hAnsi="Arial" w:cs="Arial"/>
          <w:color w:val="000000" w:themeColor="text1"/>
          <w:sz w:val="22"/>
          <w:szCs w:val="22"/>
        </w:rPr>
        <w:t xml:space="preserve">Whitebread (2022). ESG Report 2021-2022. Available at: </w:t>
      </w:r>
      <w:hyperlink r:id="rId13" w:history="1">
        <w:r w:rsidRPr="00E37533">
          <w:rPr>
            <w:rStyle w:val="Hyperlink"/>
            <w:rFonts w:ascii="Arial" w:hAnsi="Arial" w:cs="Arial"/>
            <w:color w:val="000000" w:themeColor="text1"/>
            <w:sz w:val="22"/>
            <w:szCs w:val="22"/>
          </w:rPr>
          <w:t>https://www.premierinn.com/content/dam/pi/websites/desktop/why/force%20for%20good/final-esg-report-2021-2022.pdf</w:t>
        </w:r>
      </w:hyperlink>
    </w:p>
    <w:p w14:paraId="759F2ADC" w14:textId="51D60F43" w:rsidR="00C21F70" w:rsidRPr="00E37533" w:rsidRDefault="00531368" w:rsidP="00E37533">
      <w:pPr>
        <w:pStyle w:val="NormalWeb"/>
        <w:spacing w:before="0" w:beforeAutospacing="0" w:after="0" w:afterAutospacing="0" w:line="360" w:lineRule="auto"/>
        <w:jc w:val="both"/>
        <w:rPr>
          <w:rFonts w:ascii="Arial" w:hAnsi="Arial" w:cs="Arial"/>
          <w:color w:val="000000" w:themeColor="text1"/>
          <w:sz w:val="22"/>
          <w:szCs w:val="22"/>
        </w:rPr>
      </w:pPr>
      <w:r w:rsidRPr="00E37533">
        <w:rPr>
          <w:rFonts w:ascii="Arial" w:hAnsi="Arial" w:cs="Arial"/>
          <w:color w:val="000000" w:themeColor="text1"/>
          <w:sz w:val="22"/>
          <w:szCs w:val="22"/>
        </w:rPr>
        <w:t>‌</w:t>
      </w:r>
      <w:r w:rsidR="00C21F70" w:rsidRPr="00E37533">
        <w:rPr>
          <w:rFonts w:ascii="Arial" w:hAnsi="Arial" w:cs="Arial"/>
          <w:color w:val="000000" w:themeColor="text1"/>
          <w:sz w:val="22"/>
          <w:szCs w:val="22"/>
        </w:rPr>
        <w:t xml:space="preserve">Whitebread (2023). FY23 Results. </w:t>
      </w:r>
      <w:r w:rsidR="00C21F70" w:rsidRPr="00E37533">
        <w:rPr>
          <w:rFonts w:ascii="Arial" w:hAnsi="Arial" w:cs="Arial"/>
          <w:color w:val="000000" w:themeColor="text1"/>
          <w:sz w:val="22"/>
          <w:szCs w:val="22"/>
        </w:rPr>
        <w:t xml:space="preserve">Available at: </w:t>
      </w:r>
      <w:hyperlink r:id="rId14" w:history="1">
        <w:r w:rsidR="003F3B22" w:rsidRPr="00E37533">
          <w:rPr>
            <w:rStyle w:val="Hyperlink"/>
            <w:rFonts w:ascii="Arial" w:hAnsi="Arial" w:cs="Arial"/>
            <w:color w:val="000000" w:themeColor="text1"/>
            <w:sz w:val="22"/>
            <w:szCs w:val="22"/>
          </w:rPr>
          <w:t>https://cdn.whitbread.co.uk/media/2023/04/Final-FY23-RNS-Final-Combined.pdf</w:t>
        </w:r>
      </w:hyperlink>
      <w:r w:rsidR="00C21F70" w:rsidRPr="00E37533">
        <w:rPr>
          <w:rFonts w:ascii="Arial" w:hAnsi="Arial" w:cs="Arial"/>
          <w:color w:val="000000" w:themeColor="text1"/>
          <w:sz w:val="22"/>
          <w:szCs w:val="22"/>
        </w:rPr>
        <w:t>.</w:t>
      </w:r>
    </w:p>
    <w:p w14:paraId="69D27042" w14:textId="77777777" w:rsidR="003F3B22" w:rsidRPr="00E37533" w:rsidRDefault="003F3B22" w:rsidP="00E37533">
      <w:pPr>
        <w:pStyle w:val="NormalWeb"/>
        <w:spacing w:before="0" w:beforeAutospacing="0" w:after="0" w:afterAutospacing="0" w:line="360" w:lineRule="auto"/>
        <w:jc w:val="both"/>
        <w:rPr>
          <w:rFonts w:ascii="Arial" w:hAnsi="Arial" w:cs="Arial"/>
          <w:color w:val="000000" w:themeColor="text1"/>
          <w:sz w:val="22"/>
          <w:szCs w:val="22"/>
        </w:rPr>
      </w:pPr>
    </w:p>
    <w:p w14:paraId="5AADA1F8" w14:textId="77777777" w:rsidR="003F3B22" w:rsidRPr="00E37533" w:rsidRDefault="00C21F70" w:rsidP="00E37533">
      <w:pPr>
        <w:pStyle w:val="NormalWeb"/>
        <w:spacing w:before="0" w:beforeAutospacing="0" w:after="0" w:afterAutospacing="0" w:line="360" w:lineRule="auto"/>
        <w:jc w:val="both"/>
        <w:rPr>
          <w:rFonts w:ascii="Arial" w:hAnsi="Arial" w:cs="Arial"/>
          <w:color w:val="000000" w:themeColor="text1"/>
          <w:sz w:val="22"/>
          <w:szCs w:val="22"/>
        </w:rPr>
      </w:pPr>
      <w:r w:rsidRPr="00E37533">
        <w:rPr>
          <w:rFonts w:ascii="Arial" w:hAnsi="Arial" w:cs="Arial"/>
          <w:color w:val="000000" w:themeColor="text1"/>
          <w:sz w:val="22"/>
          <w:szCs w:val="22"/>
        </w:rPr>
        <w:t>‌</w:t>
      </w:r>
      <w:r w:rsidR="003F3B22" w:rsidRPr="00E37533">
        <w:rPr>
          <w:rFonts w:ascii="Arial" w:hAnsi="Arial" w:cs="Arial"/>
          <w:color w:val="000000" w:themeColor="text1"/>
          <w:sz w:val="22"/>
          <w:szCs w:val="22"/>
        </w:rPr>
        <w:t>Yılmaz, Y. (2013). Impact of strategy on efficiency in the luxury hotel industry of Turkey. </w:t>
      </w:r>
      <w:r w:rsidR="003F3B22" w:rsidRPr="00E37533">
        <w:rPr>
          <w:rFonts w:ascii="Arial" w:hAnsi="Arial" w:cs="Arial"/>
          <w:i/>
          <w:iCs/>
          <w:color w:val="000000" w:themeColor="text1"/>
          <w:sz w:val="22"/>
          <w:szCs w:val="22"/>
        </w:rPr>
        <w:t>Anatolia</w:t>
      </w:r>
      <w:r w:rsidR="003F3B22" w:rsidRPr="00E37533">
        <w:rPr>
          <w:rFonts w:ascii="Arial" w:hAnsi="Arial" w:cs="Arial"/>
          <w:color w:val="000000" w:themeColor="text1"/>
          <w:sz w:val="22"/>
          <w:szCs w:val="22"/>
        </w:rPr>
        <w:t xml:space="preserve">, 24(2), pp.206–220. </w:t>
      </w:r>
      <w:proofErr w:type="spellStart"/>
      <w:r w:rsidR="003F3B22" w:rsidRPr="00E37533">
        <w:rPr>
          <w:rFonts w:ascii="Arial" w:hAnsi="Arial" w:cs="Arial"/>
          <w:color w:val="000000" w:themeColor="text1"/>
          <w:sz w:val="22"/>
          <w:szCs w:val="22"/>
        </w:rPr>
        <w:t>doi:https</w:t>
      </w:r>
      <w:proofErr w:type="spellEnd"/>
      <w:r w:rsidR="003F3B22" w:rsidRPr="00E37533">
        <w:rPr>
          <w:rFonts w:ascii="Arial" w:hAnsi="Arial" w:cs="Arial"/>
          <w:color w:val="000000" w:themeColor="text1"/>
          <w:sz w:val="22"/>
          <w:szCs w:val="22"/>
        </w:rPr>
        <w:t>://doi.org/10.1080/13032917.2012.753509.</w:t>
      </w:r>
    </w:p>
    <w:p w14:paraId="522B8AE6" w14:textId="77777777" w:rsidR="003F3B22" w:rsidRPr="00E37533" w:rsidRDefault="003F3B22" w:rsidP="00E37533">
      <w:pPr>
        <w:pStyle w:val="NormalWeb"/>
        <w:spacing w:line="360" w:lineRule="auto"/>
        <w:jc w:val="both"/>
        <w:rPr>
          <w:rFonts w:ascii="Arial" w:hAnsi="Arial" w:cs="Arial"/>
          <w:color w:val="000000" w:themeColor="text1"/>
          <w:sz w:val="22"/>
          <w:szCs w:val="22"/>
        </w:rPr>
      </w:pPr>
      <w:r w:rsidRPr="00E37533">
        <w:rPr>
          <w:rFonts w:ascii="Arial" w:hAnsi="Arial" w:cs="Arial"/>
          <w:color w:val="000000" w:themeColor="text1"/>
          <w:sz w:val="22"/>
          <w:szCs w:val="22"/>
        </w:rPr>
        <w:t>‌</w:t>
      </w:r>
    </w:p>
    <w:p w14:paraId="763C2032" w14:textId="6B7C714B" w:rsidR="00C21F70" w:rsidRDefault="00C21F70" w:rsidP="00C21F70">
      <w:pPr>
        <w:pStyle w:val="NormalWeb"/>
        <w:rPr>
          <w:rFonts w:ascii="Calibri" w:hAnsi="Calibri" w:cs="Calibri"/>
          <w:color w:val="000000"/>
          <w:sz w:val="27"/>
          <w:szCs w:val="27"/>
        </w:rPr>
      </w:pPr>
    </w:p>
    <w:p w14:paraId="0FCA8D8E" w14:textId="7BAC1C1D" w:rsidR="00531368" w:rsidRDefault="00531368" w:rsidP="00531368">
      <w:pPr>
        <w:pStyle w:val="NormalWeb"/>
        <w:rPr>
          <w:rFonts w:ascii="Calibri" w:hAnsi="Calibri" w:cs="Calibri"/>
          <w:color w:val="000000"/>
          <w:sz w:val="27"/>
          <w:szCs w:val="27"/>
        </w:rPr>
      </w:pPr>
    </w:p>
    <w:p w14:paraId="4AC0B51F" w14:textId="77777777" w:rsidR="00531368" w:rsidRPr="00E53B89" w:rsidRDefault="00531368" w:rsidP="00FF0E1A">
      <w:pPr>
        <w:spacing w:line="360" w:lineRule="auto"/>
        <w:jc w:val="both"/>
        <w:rPr>
          <w:rFonts w:ascii="Arial" w:hAnsi="Arial" w:cs="Arial"/>
        </w:rPr>
      </w:pPr>
    </w:p>
    <w:sectPr w:rsidR="00531368" w:rsidRPr="00E53B8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A226E3" w14:textId="77777777" w:rsidR="00303361" w:rsidRDefault="00303361" w:rsidP="00B01CF6">
      <w:pPr>
        <w:spacing w:after="0" w:line="240" w:lineRule="auto"/>
      </w:pPr>
      <w:r>
        <w:separator/>
      </w:r>
    </w:p>
  </w:endnote>
  <w:endnote w:type="continuationSeparator" w:id="0">
    <w:p w14:paraId="070BE002" w14:textId="77777777" w:rsidR="00303361" w:rsidRDefault="00303361" w:rsidP="00B01C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5776171"/>
      <w:docPartObj>
        <w:docPartGallery w:val="Page Numbers (Bottom of Page)"/>
        <w:docPartUnique/>
      </w:docPartObj>
    </w:sdtPr>
    <w:sdtEndPr>
      <w:rPr>
        <w:noProof/>
      </w:rPr>
    </w:sdtEndPr>
    <w:sdtContent>
      <w:p w14:paraId="5CC75EF9" w14:textId="1C03082F" w:rsidR="00B01CF6" w:rsidRDefault="00B01C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5768AC" w14:textId="77777777" w:rsidR="00B01CF6" w:rsidRDefault="00B01C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CD375A" w14:textId="77777777" w:rsidR="00303361" w:rsidRDefault="00303361" w:rsidP="00B01CF6">
      <w:pPr>
        <w:spacing w:after="0" w:line="240" w:lineRule="auto"/>
      </w:pPr>
      <w:r>
        <w:separator/>
      </w:r>
    </w:p>
  </w:footnote>
  <w:footnote w:type="continuationSeparator" w:id="0">
    <w:p w14:paraId="11F56929" w14:textId="77777777" w:rsidR="00303361" w:rsidRDefault="00303361" w:rsidP="00B01C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CF658D"/>
    <w:multiLevelType w:val="hybridMultilevel"/>
    <w:tmpl w:val="F8685FBC"/>
    <w:lvl w:ilvl="0" w:tplc="C8BA3EF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EB0BED"/>
    <w:multiLevelType w:val="hybridMultilevel"/>
    <w:tmpl w:val="8056C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054FE4"/>
    <w:multiLevelType w:val="hybridMultilevel"/>
    <w:tmpl w:val="504871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96957131">
    <w:abstractNumId w:val="2"/>
  </w:num>
  <w:num w:numId="2" w16cid:durableId="707418006">
    <w:abstractNumId w:val="0"/>
  </w:num>
  <w:num w:numId="3" w16cid:durableId="16929982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CF6"/>
    <w:rsid w:val="0004657A"/>
    <w:rsid w:val="00065185"/>
    <w:rsid w:val="000A7282"/>
    <w:rsid w:val="000C4E06"/>
    <w:rsid w:val="000D5B39"/>
    <w:rsid w:val="00102012"/>
    <w:rsid w:val="001248CF"/>
    <w:rsid w:val="001306C7"/>
    <w:rsid w:val="00185E6B"/>
    <w:rsid w:val="00200C47"/>
    <w:rsid w:val="00202BEA"/>
    <w:rsid w:val="002B2066"/>
    <w:rsid w:val="002F2561"/>
    <w:rsid w:val="00303361"/>
    <w:rsid w:val="00327238"/>
    <w:rsid w:val="00393C2A"/>
    <w:rsid w:val="003C674B"/>
    <w:rsid w:val="003F34B8"/>
    <w:rsid w:val="003F3B22"/>
    <w:rsid w:val="00405435"/>
    <w:rsid w:val="004A495A"/>
    <w:rsid w:val="004D4755"/>
    <w:rsid w:val="00503367"/>
    <w:rsid w:val="00512F73"/>
    <w:rsid w:val="00531368"/>
    <w:rsid w:val="005372C9"/>
    <w:rsid w:val="00553700"/>
    <w:rsid w:val="005565C9"/>
    <w:rsid w:val="006112C8"/>
    <w:rsid w:val="0062195C"/>
    <w:rsid w:val="00645142"/>
    <w:rsid w:val="006A7A19"/>
    <w:rsid w:val="007218C8"/>
    <w:rsid w:val="00723486"/>
    <w:rsid w:val="0074330C"/>
    <w:rsid w:val="00757E04"/>
    <w:rsid w:val="007A6658"/>
    <w:rsid w:val="007B2BFC"/>
    <w:rsid w:val="007B6781"/>
    <w:rsid w:val="007B7D06"/>
    <w:rsid w:val="00806441"/>
    <w:rsid w:val="00890327"/>
    <w:rsid w:val="009675D7"/>
    <w:rsid w:val="009835E7"/>
    <w:rsid w:val="0098477C"/>
    <w:rsid w:val="009E5DBC"/>
    <w:rsid w:val="00A51190"/>
    <w:rsid w:val="00A53D37"/>
    <w:rsid w:val="00AD4683"/>
    <w:rsid w:val="00B01CF6"/>
    <w:rsid w:val="00B151A8"/>
    <w:rsid w:val="00BC5A07"/>
    <w:rsid w:val="00BE02FF"/>
    <w:rsid w:val="00C21F70"/>
    <w:rsid w:val="00C96603"/>
    <w:rsid w:val="00CC3CEE"/>
    <w:rsid w:val="00CF2BC6"/>
    <w:rsid w:val="00D45D15"/>
    <w:rsid w:val="00D4628C"/>
    <w:rsid w:val="00D872CB"/>
    <w:rsid w:val="00D9516B"/>
    <w:rsid w:val="00DD5103"/>
    <w:rsid w:val="00E37533"/>
    <w:rsid w:val="00E53B89"/>
    <w:rsid w:val="00F13C0B"/>
    <w:rsid w:val="00F3450A"/>
    <w:rsid w:val="00F61E4E"/>
    <w:rsid w:val="00F83FB6"/>
    <w:rsid w:val="00FE37C6"/>
    <w:rsid w:val="00FF0E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6A5CF"/>
  <w15:chartTrackingRefBased/>
  <w15:docId w15:val="{C21AE4EC-2BFB-461D-8976-0C5492EA8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1CF6"/>
  </w:style>
  <w:style w:type="paragraph" w:styleId="Heading1">
    <w:name w:val="heading 1"/>
    <w:basedOn w:val="Normal"/>
    <w:next w:val="Normal"/>
    <w:link w:val="Heading1Char"/>
    <w:uiPriority w:val="9"/>
    <w:qFormat/>
    <w:rsid w:val="00E53B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1C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CF6"/>
  </w:style>
  <w:style w:type="paragraph" w:styleId="Footer">
    <w:name w:val="footer"/>
    <w:basedOn w:val="Normal"/>
    <w:link w:val="FooterChar"/>
    <w:uiPriority w:val="99"/>
    <w:unhideWhenUsed/>
    <w:rsid w:val="00B01C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CF6"/>
  </w:style>
  <w:style w:type="paragraph" w:styleId="ListParagraph">
    <w:name w:val="List Paragraph"/>
    <w:basedOn w:val="Normal"/>
    <w:uiPriority w:val="34"/>
    <w:qFormat/>
    <w:rsid w:val="005565C9"/>
    <w:pPr>
      <w:ind w:left="720"/>
      <w:contextualSpacing/>
    </w:pPr>
  </w:style>
  <w:style w:type="character" w:customStyle="1" w:styleId="Heading1Char">
    <w:name w:val="Heading 1 Char"/>
    <w:basedOn w:val="DefaultParagraphFont"/>
    <w:link w:val="Heading1"/>
    <w:uiPriority w:val="9"/>
    <w:rsid w:val="00E53B8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3B89"/>
    <w:pPr>
      <w:outlineLvl w:val="9"/>
    </w:pPr>
    <w:rPr>
      <w:kern w:val="0"/>
      <w:lang w:val="en-US"/>
      <w14:ligatures w14:val="none"/>
    </w:rPr>
  </w:style>
  <w:style w:type="paragraph" w:styleId="TOC2">
    <w:name w:val="toc 2"/>
    <w:basedOn w:val="Normal"/>
    <w:next w:val="Normal"/>
    <w:autoRedefine/>
    <w:uiPriority w:val="39"/>
    <w:unhideWhenUsed/>
    <w:rsid w:val="00E53B89"/>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E53B89"/>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E53B89"/>
    <w:pPr>
      <w:spacing w:after="100"/>
      <w:ind w:left="440"/>
    </w:pPr>
    <w:rPr>
      <w:rFonts w:eastAsiaTheme="minorEastAsia" w:cs="Times New Roman"/>
      <w:kern w:val="0"/>
      <w:lang w:val="en-US"/>
      <w14:ligatures w14:val="none"/>
    </w:rPr>
  </w:style>
  <w:style w:type="paragraph" w:styleId="NormalWeb">
    <w:name w:val="Normal (Web)"/>
    <w:basedOn w:val="Normal"/>
    <w:uiPriority w:val="99"/>
    <w:unhideWhenUsed/>
    <w:rsid w:val="0053136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DD5103"/>
    <w:rPr>
      <w:color w:val="0563C1" w:themeColor="hyperlink"/>
      <w:u w:val="single"/>
    </w:rPr>
  </w:style>
  <w:style w:type="character" w:styleId="UnresolvedMention">
    <w:name w:val="Unresolved Mention"/>
    <w:basedOn w:val="DefaultParagraphFont"/>
    <w:uiPriority w:val="99"/>
    <w:semiHidden/>
    <w:unhideWhenUsed/>
    <w:rsid w:val="00DD51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02663">
      <w:bodyDiv w:val="1"/>
      <w:marLeft w:val="0"/>
      <w:marRight w:val="0"/>
      <w:marTop w:val="0"/>
      <w:marBottom w:val="0"/>
      <w:divBdr>
        <w:top w:val="none" w:sz="0" w:space="0" w:color="auto"/>
        <w:left w:val="none" w:sz="0" w:space="0" w:color="auto"/>
        <w:bottom w:val="none" w:sz="0" w:space="0" w:color="auto"/>
        <w:right w:val="none" w:sz="0" w:space="0" w:color="auto"/>
      </w:divBdr>
    </w:div>
    <w:div w:id="78185591">
      <w:bodyDiv w:val="1"/>
      <w:marLeft w:val="0"/>
      <w:marRight w:val="0"/>
      <w:marTop w:val="0"/>
      <w:marBottom w:val="0"/>
      <w:divBdr>
        <w:top w:val="none" w:sz="0" w:space="0" w:color="auto"/>
        <w:left w:val="none" w:sz="0" w:space="0" w:color="auto"/>
        <w:bottom w:val="none" w:sz="0" w:space="0" w:color="auto"/>
        <w:right w:val="none" w:sz="0" w:space="0" w:color="auto"/>
      </w:divBdr>
    </w:div>
    <w:div w:id="98913242">
      <w:bodyDiv w:val="1"/>
      <w:marLeft w:val="0"/>
      <w:marRight w:val="0"/>
      <w:marTop w:val="0"/>
      <w:marBottom w:val="0"/>
      <w:divBdr>
        <w:top w:val="none" w:sz="0" w:space="0" w:color="auto"/>
        <w:left w:val="none" w:sz="0" w:space="0" w:color="auto"/>
        <w:bottom w:val="none" w:sz="0" w:space="0" w:color="auto"/>
        <w:right w:val="none" w:sz="0" w:space="0" w:color="auto"/>
      </w:divBdr>
    </w:div>
    <w:div w:id="287274209">
      <w:bodyDiv w:val="1"/>
      <w:marLeft w:val="0"/>
      <w:marRight w:val="0"/>
      <w:marTop w:val="0"/>
      <w:marBottom w:val="0"/>
      <w:divBdr>
        <w:top w:val="none" w:sz="0" w:space="0" w:color="auto"/>
        <w:left w:val="none" w:sz="0" w:space="0" w:color="auto"/>
        <w:bottom w:val="none" w:sz="0" w:space="0" w:color="auto"/>
        <w:right w:val="none" w:sz="0" w:space="0" w:color="auto"/>
      </w:divBdr>
    </w:div>
    <w:div w:id="638807661">
      <w:bodyDiv w:val="1"/>
      <w:marLeft w:val="0"/>
      <w:marRight w:val="0"/>
      <w:marTop w:val="0"/>
      <w:marBottom w:val="0"/>
      <w:divBdr>
        <w:top w:val="none" w:sz="0" w:space="0" w:color="auto"/>
        <w:left w:val="none" w:sz="0" w:space="0" w:color="auto"/>
        <w:bottom w:val="none" w:sz="0" w:space="0" w:color="auto"/>
        <w:right w:val="none" w:sz="0" w:space="0" w:color="auto"/>
      </w:divBdr>
    </w:div>
    <w:div w:id="863127915">
      <w:bodyDiv w:val="1"/>
      <w:marLeft w:val="0"/>
      <w:marRight w:val="0"/>
      <w:marTop w:val="0"/>
      <w:marBottom w:val="0"/>
      <w:divBdr>
        <w:top w:val="none" w:sz="0" w:space="0" w:color="auto"/>
        <w:left w:val="none" w:sz="0" w:space="0" w:color="auto"/>
        <w:bottom w:val="none" w:sz="0" w:space="0" w:color="auto"/>
        <w:right w:val="none" w:sz="0" w:space="0" w:color="auto"/>
      </w:divBdr>
    </w:div>
    <w:div w:id="893780255">
      <w:bodyDiv w:val="1"/>
      <w:marLeft w:val="0"/>
      <w:marRight w:val="0"/>
      <w:marTop w:val="0"/>
      <w:marBottom w:val="0"/>
      <w:divBdr>
        <w:top w:val="none" w:sz="0" w:space="0" w:color="auto"/>
        <w:left w:val="none" w:sz="0" w:space="0" w:color="auto"/>
        <w:bottom w:val="none" w:sz="0" w:space="0" w:color="auto"/>
        <w:right w:val="none" w:sz="0" w:space="0" w:color="auto"/>
      </w:divBdr>
    </w:div>
    <w:div w:id="1114863930">
      <w:bodyDiv w:val="1"/>
      <w:marLeft w:val="0"/>
      <w:marRight w:val="0"/>
      <w:marTop w:val="0"/>
      <w:marBottom w:val="0"/>
      <w:divBdr>
        <w:top w:val="none" w:sz="0" w:space="0" w:color="auto"/>
        <w:left w:val="none" w:sz="0" w:space="0" w:color="auto"/>
        <w:bottom w:val="none" w:sz="0" w:space="0" w:color="auto"/>
        <w:right w:val="none" w:sz="0" w:space="0" w:color="auto"/>
      </w:divBdr>
    </w:div>
    <w:div w:id="1502424146">
      <w:bodyDiv w:val="1"/>
      <w:marLeft w:val="0"/>
      <w:marRight w:val="0"/>
      <w:marTop w:val="0"/>
      <w:marBottom w:val="0"/>
      <w:divBdr>
        <w:top w:val="none" w:sz="0" w:space="0" w:color="auto"/>
        <w:left w:val="none" w:sz="0" w:space="0" w:color="auto"/>
        <w:bottom w:val="none" w:sz="0" w:space="0" w:color="auto"/>
        <w:right w:val="none" w:sz="0" w:space="0" w:color="auto"/>
      </w:divBdr>
    </w:div>
    <w:div w:id="1715889855">
      <w:bodyDiv w:val="1"/>
      <w:marLeft w:val="0"/>
      <w:marRight w:val="0"/>
      <w:marTop w:val="0"/>
      <w:marBottom w:val="0"/>
      <w:divBdr>
        <w:top w:val="none" w:sz="0" w:space="0" w:color="auto"/>
        <w:left w:val="none" w:sz="0" w:space="0" w:color="auto"/>
        <w:bottom w:val="none" w:sz="0" w:space="0" w:color="auto"/>
        <w:right w:val="none" w:sz="0" w:space="0" w:color="auto"/>
      </w:divBdr>
    </w:div>
    <w:div w:id="1835337612">
      <w:bodyDiv w:val="1"/>
      <w:marLeft w:val="0"/>
      <w:marRight w:val="0"/>
      <w:marTop w:val="0"/>
      <w:marBottom w:val="0"/>
      <w:divBdr>
        <w:top w:val="none" w:sz="0" w:space="0" w:color="auto"/>
        <w:left w:val="none" w:sz="0" w:space="0" w:color="auto"/>
        <w:bottom w:val="none" w:sz="0" w:space="0" w:color="auto"/>
        <w:right w:val="none" w:sz="0" w:space="0" w:color="auto"/>
      </w:divBdr>
    </w:div>
    <w:div w:id="1858080730">
      <w:bodyDiv w:val="1"/>
      <w:marLeft w:val="0"/>
      <w:marRight w:val="0"/>
      <w:marTop w:val="0"/>
      <w:marBottom w:val="0"/>
      <w:divBdr>
        <w:top w:val="none" w:sz="0" w:space="0" w:color="auto"/>
        <w:left w:val="none" w:sz="0" w:space="0" w:color="auto"/>
        <w:bottom w:val="none" w:sz="0" w:space="0" w:color="auto"/>
        <w:right w:val="none" w:sz="0" w:space="0" w:color="auto"/>
      </w:divBdr>
    </w:div>
    <w:div w:id="1960988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darinoriental.com/en/our-company" TargetMode="External"/><Relationship Id="rId13" Type="http://schemas.openxmlformats.org/officeDocument/2006/relationships/hyperlink" Target="https://www.premierinn.com/content/dam/pi/websites/desktop/why/force%20for%20good/final-esg-report-2021-2022.pdf" TargetMode="External"/><Relationship Id="rId3" Type="http://schemas.openxmlformats.org/officeDocument/2006/relationships/settings" Target="settings.xml"/><Relationship Id="rId7" Type="http://schemas.openxmlformats.org/officeDocument/2006/relationships/hyperlink" Target="https://www.mandarinoriental.com/en/london/hyde-park" TargetMode="External"/><Relationship Id="rId12" Type="http://schemas.openxmlformats.org/officeDocument/2006/relationships/hyperlink" Target="https://www.billsynnotandassociates.com.au/images/stories/documents/oceania.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dn.whitbread.co.uk/media/2023/08/The-Economic-Impact-of-Premier-Inn-hotels_2022-study_final.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premierinn.com/gb/en/why.html?INTCMP=topNav" TargetMode="External"/><Relationship Id="rId4" Type="http://schemas.openxmlformats.org/officeDocument/2006/relationships/webSettings" Target="webSettings.xml"/><Relationship Id="rId9" Type="http://schemas.openxmlformats.org/officeDocument/2006/relationships/hyperlink" Target="https://photos.mandarinoriental.com/is/content/MandarinOriental/_Corporate/PDFs/mandarin-oriental-sustainability-report-2022.pdf" TargetMode="External"/><Relationship Id="rId14" Type="http://schemas.openxmlformats.org/officeDocument/2006/relationships/hyperlink" Target="https://cdn.whitbread.co.uk/media/2023/04/Final-FY23-RNS-Final-Combin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TotalTime>
  <Pages>12</Pages>
  <Words>3081</Words>
  <Characters>17562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66</cp:revision>
  <dcterms:created xsi:type="dcterms:W3CDTF">2023-10-19T22:01:00Z</dcterms:created>
  <dcterms:modified xsi:type="dcterms:W3CDTF">2023-10-20T08:30:00Z</dcterms:modified>
</cp:coreProperties>
</file>