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9F6B7A" w14:textId="7065E9A9" w:rsidR="007F5581" w:rsidRPr="007F5581" w:rsidRDefault="00A74C01" w:rsidP="00A74C01">
      <w:pPr>
        <w:pStyle w:val="Heading1"/>
        <w:tabs>
          <w:tab w:val="left" w:pos="1680"/>
        </w:tabs>
        <w:spacing w:line="480" w:lineRule="auto"/>
        <w:rPr>
          <w:rFonts w:ascii="Times New Roman" w:hAnsi="Times New Roman" w:cs="Times New Roman"/>
          <w:sz w:val="28"/>
          <w:szCs w:val="28"/>
        </w:rPr>
      </w:pPr>
      <w:r w:rsidRPr="00CA212C">
        <w:rPr>
          <w:rFonts w:ascii="Times New Roman" w:eastAsia="TimesNewRomanPSMT" w:hAnsi="Times New Roman" w:cs="Times New Roman"/>
          <w:color w:val="000000" w:themeColor="text1"/>
          <w:sz w:val="28"/>
          <w:szCs w:val="28"/>
        </w:rPr>
        <w:t>STUDENT ID: 2029965</w:t>
      </w:r>
      <w:r w:rsidRPr="005E6414">
        <w:rPr>
          <w:rFonts w:ascii="Times New Roman" w:eastAsia="TimesNewRomanPSMT" w:hAnsi="Times New Roman" w:cs="Times New Roman"/>
          <w:color w:val="000000" w:themeColor="text1"/>
          <w:sz w:val="28"/>
          <w:szCs w:val="28"/>
        </w:rPr>
        <w:t xml:space="preserve">                            </w:t>
      </w:r>
    </w:p>
    <w:p w14:paraId="0FEB0595" w14:textId="77777777" w:rsidR="007F5581" w:rsidRPr="007F5581" w:rsidRDefault="007F5581" w:rsidP="007F5581">
      <w:pPr>
        <w:pStyle w:val="Heading1"/>
        <w:tabs>
          <w:tab w:val="left" w:pos="1680"/>
        </w:tabs>
        <w:spacing w:line="480" w:lineRule="auto"/>
        <w:jc w:val="center"/>
        <w:rPr>
          <w:rFonts w:ascii="Times New Roman" w:hAnsi="Times New Roman" w:cs="Times New Roman"/>
          <w:sz w:val="28"/>
          <w:szCs w:val="28"/>
        </w:rPr>
      </w:pPr>
    </w:p>
    <w:p w14:paraId="4641EBF0" w14:textId="77777777" w:rsidR="007F5581" w:rsidRPr="007F5581" w:rsidRDefault="007F5581" w:rsidP="007F5581">
      <w:pPr>
        <w:pStyle w:val="Heading1"/>
        <w:tabs>
          <w:tab w:val="left" w:pos="1680"/>
        </w:tabs>
        <w:spacing w:line="480" w:lineRule="auto"/>
        <w:jc w:val="center"/>
        <w:rPr>
          <w:rFonts w:ascii="Times New Roman" w:hAnsi="Times New Roman" w:cs="Times New Roman"/>
          <w:sz w:val="28"/>
          <w:szCs w:val="28"/>
        </w:rPr>
      </w:pPr>
      <w:r w:rsidRPr="00CA212C">
        <w:rPr>
          <w:rFonts w:ascii="Times New Roman" w:hAnsi="Times New Roman" w:cs="Times New Roman"/>
          <w:color w:val="000000" w:themeColor="text1"/>
          <w:sz w:val="28"/>
          <w:szCs w:val="28"/>
        </w:rPr>
        <w:t>COMMUNITY ENGAGEMENT</w:t>
      </w:r>
    </w:p>
    <w:p w14:paraId="6A05229D" w14:textId="77777777" w:rsidR="007F5581" w:rsidRPr="007F5581" w:rsidRDefault="007F5581" w:rsidP="007F5581">
      <w:pPr>
        <w:spacing w:line="480" w:lineRule="auto"/>
        <w:jc w:val="center"/>
        <w:rPr>
          <w:rFonts w:ascii="Times New Roman" w:hAnsi="Times New Roman" w:cs="Times New Roman"/>
          <w:sz w:val="28"/>
          <w:szCs w:val="28"/>
        </w:rPr>
      </w:pPr>
      <w:r w:rsidRPr="007F5581">
        <w:rPr>
          <w:rFonts w:ascii="Times New Roman" w:hAnsi="Times New Roman" w:cs="Times New Roman"/>
          <w:sz w:val="28"/>
          <w:szCs w:val="28"/>
        </w:rPr>
        <w:t>Mihai Jicu</w:t>
      </w:r>
    </w:p>
    <w:p w14:paraId="620DC55D" w14:textId="56FD34FE" w:rsidR="007F5581" w:rsidRPr="007F5581" w:rsidRDefault="007F5581" w:rsidP="007F5581">
      <w:pPr>
        <w:pStyle w:val="Heading1"/>
        <w:spacing w:before="0"/>
        <w:textAlignment w:val="center"/>
        <w:rPr>
          <w:rFonts w:ascii="Times New Roman" w:hAnsi="Times New Roman" w:cs="Times New Roman"/>
          <w:sz w:val="28"/>
          <w:szCs w:val="28"/>
        </w:rPr>
      </w:pPr>
      <w:r w:rsidRPr="007F5581">
        <w:rPr>
          <w:rFonts w:ascii="Times New Roman" w:hAnsi="Times New Roman" w:cs="Times New Roman"/>
          <w:sz w:val="28"/>
          <w:szCs w:val="28"/>
        </w:rPr>
        <w:t xml:space="preserve">                                    </w:t>
      </w:r>
      <w:r w:rsidRPr="007F5581">
        <w:rPr>
          <w:rFonts w:ascii="Times New Roman" w:eastAsiaTheme="minorHAnsi" w:hAnsi="Times New Roman" w:cs="Times New Roman"/>
          <w:color w:val="auto"/>
          <w:sz w:val="28"/>
          <w:szCs w:val="28"/>
        </w:rPr>
        <w:t>Community Engagement (LCBB4002)</w:t>
      </w:r>
    </w:p>
    <w:p w14:paraId="4DC7838A" w14:textId="77777777" w:rsidR="007F5581" w:rsidRDefault="007F5581" w:rsidP="007F5581">
      <w:pPr>
        <w:rPr>
          <w:rFonts w:ascii="Times New Roman" w:hAnsi="Times New Roman" w:cs="Times New Roman"/>
          <w:sz w:val="28"/>
          <w:szCs w:val="28"/>
        </w:rPr>
      </w:pPr>
      <w:r w:rsidRPr="007F5581">
        <w:rPr>
          <w:rFonts w:ascii="Times New Roman" w:hAnsi="Times New Roman" w:cs="Times New Roman"/>
          <w:sz w:val="28"/>
          <w:szCs w:val="28"/>
        </w:rPr>
        <w:t xml:space="preserve">                                                              </w:t>
      </w:r>
    </w:p>
    <w:p w14:paraId="68760F12" w14:textId="36511B97" w:rsidR="007F5581" w:rsidRPr="008B30D3" w:rsidRDefault="007F5581" w:rsidP="007F5581">
      <w:pPr>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B30D3">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B30D3" w:rsidRPr="008B30D3">
        <w:rPr>
          <w:rFonts w:ascii="Times New Roman" w:eastAsia="Times New Roman" w:hAnsi="Times New Roman" w:cs="Times New Roman"/>
          <w:color w:val="000000" w:themeColor="text1"/>
          <w:sz w:val="28"/>
          <w:szCs w:val="28"/>
          <w:shd w:val="clear" w:color="auto" w:fill="FFF6AE"/>
          <w:lang w:val="en-GB"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Dr Molly Jack</w:t>
      </w:r>
    </w:p>
    <w:p w14:paraId="4ECCBE5D" w14:textId="5E976CBF" w:rsidR="007F5581" w:rsidRPr="007F5581" w:rsidRDefault="007F5581" w:rsidP="007F5581">
      <w:pPr>
        <w:rPr>
          <w:rFonts w:ascii="Times New Roman" w:hAnsi="Times New Roman" w:cs="Times New Roman"/>
          <w:sz w:val="28"/>
          <w:szCs w:val="28"/>
        </w:rPr>
      </w:pPr>
      <w:r>
        <w:rPr>
          <w:rFonts w:ascii="Times New Roman" w:hAnsi="Times New Roman" w:cs="Times New Roman"/>
          <w:sz w:val="28"/>
          <w:szCs w:val="28"/>
        </w:rPr>
        <w:t xml:space="preserve">                              </w:t>
      </w:r>
      <w:r w:rsidRPr="007F5581">
        <w:rPr>
          <w:rFonts w:ascii="Times New Roman" w:hAnsi="Times New Roman" w:cs="Times New Roman"/>
          <w:sz w:val="28"/>
          <w:szCs w:val="28"/>
        </w:rPr>
        <w:t xml:space="preserve"> </w:t>
      </w:r>
      <w:r w:rsidRPr="005E6414">
        <w:rPr>
          <w:rFonts w:ascii="Times New Roman" w:hAnsi="Times New Roman" w:cs="Times New Roman"/>
          <w:color w:val="000000" w:themeColor="text1"/>
          <w:sz w:val="28"/>
          <w:szCs w:val="28"/>
        </w:rPr>
        <w:t>University of Wales Trinity Saint David</w:t>
      </w:r>
    </w:p>
    <w:p w14:paraId="203B3FCD" w14:textId="77777777" w:rsidR="007F5581" w:rsidRDefault="007F5581" w:rsidP="007F5581">
      <w:pPr>
        <w:spacing w:line="480" w:lineRule="auto"/>
        <w:jc w:val="center"/>
        <w:rPr>
          <w:rFonts w:ascii="Times New Roman" w:hAnsi="Times New Roman" w:cs="Times New Roman"/>
          <w:sz w:val="28"/>
          <w:szCs w:val="28"/>
        </w:rPr>
      </w:pPr>
      <w:r>
        <w:rPr>
          <w:rFonts w:ascii="Times New Roman" w:hAnsi="Times New Roman" w:cs="Times New Roman"/>
          <w:sz w:val="28"/>
          <w:szCs w:val="28"/>
        </w:rPr>
        <w:t>London</w:t>
      </w:r>
    </w:p>
    <w:p w14:paraId="357B0D48" w14:textId="1E248386" w:rsidR="007F5581" w:rsidRDefault="007F5581" w:rsidP="007F5581">
      <w:pPr>
        <w:spacing w:line="480" w:lineRule="auto"/>
        <w:jc w:val="center"/>
        <w:rPr>
          <w:rFonts w:ascii="Times New Roman" w:hAnsi="Times New Roman" w:cs="Times New Roman"/>
          <w:sz w:val="28"/>
          <w:szCs w:val="28"/>
        </w:rPr>
      </w:pPr>
      <w:r w:rsidRPr="007F5581">
        <w:rPr>
          <w:rFonts w:ascii="Times New Roman" w:hAnsi="Times New Roman" w:cs="Times New Roman"/>
          <w:sz w:val="28"/>
          <w:szCs w:val="28"/>
        </w:rPr>
        <w:t>Date</w:t>
      </w:r>
      <w:r>
        <w:rPr>
          <w:rFonts w:ascii="Times New Roman" w:hAnsi="Times New Roman" w:cs="Times New Roman"/>
          <w:sz w:val="28"/>
          <w:szCs w:val="28"/>
        </w:rPr>
        <w:t xml:space="preserve"> :27/08/2021</w:t>
      </w:r>
    </w:p>
    <w:p w14:paraId="016C2ADB" w14:textId="77777777" w:rsidR="007F5581" w:rsidRPr="007F5581" w:rsidRDefault="007F5581" w:rsidP="007F5581">
      <w:pPr>
        <w:spacing w:line="480" w:lineRule="auto"/>
        <w:jc w:val="center"/>
        <w:rPr>
          <w:rFonts w:ascii="Times New Roman" w:hAnsi="Times New Roman" w:cs="Times New Roman"/>
          <w:sz w:val="28"/>
          <w:szCs w:val="28"/>
        </w:rPr>
      </w:pPr>
    </w:p>
    <w:p w14:paraId="4CB95DBE" w14:textId="77777777" w:rsidR="007F5581" w:rsidRPr="007F5581" w:rsidRDefault="007F5581" w:rsidP="007F5581">
      <w:pPr>
        <w:rPr>
          <w:rStyle w:val="Strong"/>
          <w:rFonts w:ascii="Times New Roman" w:hAnsi="Times New Roman" w:cs="Times New Roman"/>
          <w:b w:val="0"/>
          <w:bCs w:val="0"/>
          <w:sz w:val="28"/>
          <w:szCs w:val="28"/>
        </w:rPr>
      </w:pPr>
      <w:r w:rsidRPr="007F5581">
        <w:rPr>
          <w:rFonts w:ascii="Times New Roman" w:hAnsi="Times New Roman" w:cs="Times New Roman"/>
          <w:sz w:val="28"/>
          <w:szCs w:val="28"/>
        </w:rPr>
        <w:br w:type="page"/>
      </w:r>
    </w:p>
    <w:p w14:paraId="7E4E3303" w14:textId="10C1EFC2" w:rsidR="007F5581" w:rsidRPr="007F5581" w:rsidRDefault="00A74C01" w:rsidP="00A74C01">
      <w:pPr>
        <w:spacing w:line="480" w:lineRule="auto"/>
        <w:rPr>
          <w:rStyle w:val="Strong"/>
          <w:rFonts w:ascii="Times New Roman" w:hAnsi="Times New Roman" w:cs="Times New Roman"/>
          <w:b w:val="0"/>
          <w:bCs w:val="0"/>
          <w:color w:val="0E101A"/>
          <w:sz w:val="28"/>
          <w:szCs w:val="28"/>
        </w:rPr>
      </w:pPr>
      <w:r w:rsidRPr="005E6414">
        <w:rPr>
          <w:rFonts w:ascii="Times New Roman" w:eastAsia="TimesNewRomanPSMT" w:hAnsi="Times New Roman" w:cs="Times New Roman"/>
          <w:color w:val="000000" w:themeColor="text1"/>
          <w:sz w:val="28"/>
          <w:szCs w:val="28"/>
        </w:rPr>
        <w:lastRenderedPageBreak/>
        <w:t xml:space="preserve">STUDENT ID: 2029965                            </w:t>
      </w:r>
    </w:p>
    <w:p w14:paraId="1907F6FF" w14:textId="77777777" w:rsidR="007F5581" w:rsidRPr="007F5581" w:rsidRDefault="007F5581" w:rsidP="007F5581">
      <w:pPr>
        <w:spacing w:line="480" w:lineRule="auto"/>
        <w:jc w:val="center"/>
        <w:rPr>
          <w:rStyle w:val="Strong"/>
          <w:rFonts w:ascii="Times New Roman" w:hAnsi="Times New Roman" w:cs="Times New Roman"/>
          <w:b w:val="0"/>
          <w:bCs w:val="0"/>
          <w:color w:val="0E101A"/>
          <w:sz w:val="28"/>
          <w:szCs w:val="28"/>
        </w:rPr>
      </w:pPr>
    </w:p>
    <w:p w14:paraId="619B66AE" w14:textId="3631767E" w:rsidR="007F5581" w:rsidRPr="002256CB" w:rsidRDefault="007F5581" w:rsidP="007F5581">
      <w:pPr>
        <w:spacing w:line="480" w:lineRule="auto"/>
        <w:jc w:val="center"/>
        <w:rPr>
          <w:rStyle w:val="Strong"/>
          <w:rFonts w:ascii="Times New Roman" w:hAnsi="Times New Roman" w:cs="Times New Roman"/>
          <w:color w:val="0E101A"/>
          <w:sz w:val="28"/>
          <w:szCs w:val="28"/>
        </w:rPr>
      </w:pPr>
      <w:r w:rsidRPr="002256CB">
        <w:rPr>
          <w:rStyle w:val="Strong"/>
          <w:rFonts w:ascii="Times New Roman" w:hAnsi="Times New Roman" w:cs="Times New Roman"/>
          <w:color w:val="0E101A"/>
          <w:sz w:val="28"/>
          <w:szCs w:val="28"/>
        </w:rPr>
        <w:t xml:space="preserve">Community Engagement </w:t>
      </w:r>
    </w:p>
    <w:p w14:paraId="21BF1D72" w14:textId="67B20359" w:rsidR="007F5581" w:rsidRPr="00CA212C" w:rsidRDefault="00667B03" w:rsidP="007F5581">
      <w:pPr>
        <w:spacing w:line="480" w:lineRule="auto"/>
        <w:rPr>
          <w:rFonts w:ascii="Times New Roman" w:eastAsiaTheme="majorEastAsia" w:hAnsi="Times New Roman" w:cs="Times New Roman"/>
          <w:color w:val="2F5496" w:themeColor="accent1" w:themeShade="BF"/>
          <w:sz w:val="28"/>
          <w:szCs w:val="28"/>
        </w:rPr>
      </w:pPr>
      <w:r w:rsidRPr="00CA212C">
        <w:rPr>
          <w:rStyle w:val="Strong"/>
          <w:rFonts w:ascii="Times New Roman" w:hAnsi="Times New Roman" w:cs="Times New Roman"/>
          <w:color w:val="0E101A"/>
          <w:sz w:val="28"/>
          <w:szCs w:val="28"/>
        </w:rPr>
        <w:t xml:space="preserve">                                                   </w:t>
      </w:r>
      <w:r w:rsidR="007F5581" w:rsidRPr="00CA212C">
        <w:rPr>
          <w:rStyle w:val="Strong"/>
          <w:rFonts w:ascii="Times New Roman" w:hAnsi="Times New Roman" w:cs="Times New Roman"/>
          <w:color w:val="0E101A"/>
          <w:sz w:val="28"/>
          <w:szCs w:val="28"/>
        </w:rPr>
        <w:t>Introduction</w:t>
      </w:r>
    </w:p>
    <w:p w14:paraId="3BD95809" w14:textId="77777777" w:rsidR="007F5581" w:rsidRPr="007F5581" w:rsidRDefault="007F5581" w:rsidP="007F5581">
      <w:pPr>
        <w:pStyle w:val="NormalWeb"/>
        <w:spacing w:before="0" w:beforeAutospacing="0" w:after="0" w:afterAutospacing="0" w:line="480" w:lineRule="auto"/>
        <w:rPr>
          <w:color w:val="0E101A"/>
          <w:sz w:val="28"/>
          <w:szCs w:val="28"/>
        </w:rPr>
      </w:pPr>
      <w:r w:rsidRPr="007F5581">
        <w:rPr>
          <w:color w:val="0E101A"/>
          <w:sz w:val="28"/>
          <w:szCs w:val="28"/>
        </w:rPr>
        <w:tab/>
        <w:t xml:space="preserve">There are numerous advantages to including a large member of the community in the planning of a project. Successful involvement may assist in educating and developing plans that better meet the community's needs, creating critical stakeholder support, and saving time and money by simplifying plan execution. Receiving input from a diverse audience and compiling pertinent public comments to impact decisions is what successful community participation entails. While each situation is unique, several tried-and-true strategies that project teams may employ to manage emotional stakeholders, engage even the most difficult-to-reach </w:t>
      </w:r>
      <w:proofErr w:type="gramStart"/>
      <w:r w:rsidRPr="007F5581">
        <w:rPr>
          <w:color w:val="0E101A"/>
          <w:sz w:val="28"/>
          <w:szCs w:val="28"/>
        </w:rPr>
        <w:t>groups</w:t>
      </w:r>
      <w:proofErr w:type="gramEnd"/>
      <w:r w:rsidRPr="007F5581">
        <w:rPr>
          <w:color w:val="0E101A"/>
          <w:sz w:val="28"/>
          <w:szCs w:val="28"/>
        </w:rPr>
        <w:t xml:space="preserve"> and elicit intelligent input to maximize the value of their community participation. The issue is that public participation in project planning has never been easy, and it is getting increasingly difficult in many regions. Agencies frequently express disappointment with low participation at public meetings or with vehement opposition from individuals or organizations. While it is apparent that many agencies are struggling with community engagement, certain planning agencies are making significant strides</w:t>
      </w:r>
      <w:r w:rsidRPr="007F5581">
        <w:rPr>
          <w:color w:val="222222"/>
          <w:sz w:val="28"/>
          <w:szCs w:val="28"/>
          <w:shd w:val="clear" w:color="auto" w:fill="FFFFFF"/>
        </w:rPr>
        <w:t xml:space="preserve"> (Adhikari, Pell and Cheah, 2020, PP.1-12)</w:t>
      </w:r>
      <w:r w:rsidRPr="007F5581">
        <w:rPr>
          <w:color w:val="0E101A"/>
          <w:sz w:val="28"/>
          <w:szCs w:val="28"/>
        </w:rPr>
        <w:t>. Numerous reasons exist to be optimistic.</w:t>
      </w:r>
    </w:p>
    <w:p w14:paraId="555EC2C6" w14:textId="7F9F3B74" w:rsidR="00A74C01" w:rsidRDefault="00A74C01" w:rsidP="007F5581">
      <w:pPr>
        <w:pStyle w:val="NormalWeb"/>
        <w:spacing w:before="0" w:beforeAutospacing="0" w:after="0" w:afterAutospacing="0" w:line="480" w:lineRule="auto"/>
        <w:ind w:firstLine="720"/>
        <w:rPr>
          <w:color w:val="0E101A"/>
          <w:sz w:val="28"/>
          <w:szCs w:val="28"/>
        </w:rPr>
      </w:pPr>
      <w:r w:rsidRPr="005E6414">
        <w:rPr>
          <w:rFonts w:eastAsia="TimesNewRomanPSMT"/>
          <w:color w:val="000000" w:themeColor="text1"/>
          <w:sz w:val="28"/>
          <w:szCs w:val="28"/>
        </w:rPr>
        <w:lastRenderedPageBreak/>
        <w:t xml:space="preserve">STUDENT ID: 2029965                            </w:t>
      </w:r>
    </w:p>
    <w:p w14:paraId="46C64379" w14:textId="77777777" w:rsidR="00A74C01" w:rsidRDefault="00A74C01" w:rsidP="007F5581">
      <w:pPr>
        <w:pStyle w:val="NormalWeb"/>
        <w:spacing w:before="0" w:beforeAutospacing="0" w:after="0" w:afterAutospacing="0" w:line="480" w:lineRule="auto"/>
        <w:ind w:firstLine="720"/>
        <w:rPr>
          <w:color w:val="0E101A"/>
          <w:sz w:val="28"/>
          <w:szCs w:val="28"/>
        </w:rPr>
      </w:pPr>
    </w:p>
    <w:p w14:paraId="1C131EE6" w14:textId="1E9B4C2E" w:rsidR="007F5581" w:rsidRPr="007F5581" w:rsidRDefault="007F5581" w:rsidP="007F5581">
      <w:pPr>
        <w:pStyle w:val="NormalWeb"/>
        <w:spacing w:before="0" w:beforeAutospacing="0" w:after="0" w:afterAutospacing="0" w:line="480" w:lineRule="auto"/>
        <w:ind w:firstLine="720"/>
        <w:rPr>
          <w:color w:val="0E101A"/>
          <w:sz w:val="28"/>
          <w:szCs w:val="28"/>
        </w:rPr>
      </w:pPr>
      <w:r w:rsidRPr="007F5581">
        <w:rPr>
          <w:color w:val="0E101A"/>
          <w:sz w:val="28"/>
          <w:szCs w:val="28"/>
        </w:rPr>
        <w:t xml:space="preserve">At best, a comprehensive evaluation of the constraints and potential for project interventions is conducted with the assistance of </w:t>
      </w:r>
      <w:proofErr w:type="gramStart"/>
      <w:r w:rsidRPr="007F5581">
        <w:rPr>
          <w:color w:val="0E101A"/>
          <w:sz w:val="28"/>
          <w:szCs w:val="28"/>
        </w:rPr>
        <w:t>particular local</w:t>
      </w:r>
      <w:proofErr w:type="gramEnd"/>
      <w:r w:rsidRPr="007F5581">
        <w:rPr>
          <w:color w:val="0E101A"/>
          <w:sz w:val="28"/>
          <w:szCs w:val="28"/>
        </w:rPr>
        <w:t xml:space="preserve"> people throughout the identification and development process. When development initiatives become operational, this frequently shocks target groups. However, attempts have been made to improve this situation </w:t>
      </w:r>
      <w:proofErr w:type="gramStart"/>
      <w:r w:rsidRPr="007F5581">
        <w:rPr>
          <w:color w:val="0E101A"/>
          <w:sz w:val="28"/>
          <w:szCs w:val="28"/>
        </w:rPr>
        <w:t>through the use of</w:t>
      </w:r>
      <w:proofErr w:type="gramEnd"/>
      <w:r w:rsidRPr="007F5581">
        <w:rPr>
          <w:color w:val="0E101A"/>
          <w:sz w:val="28"/>
          <w:szCs w:val="28"/>
        </w:rPr>
        <w:t xml:space="preserve"> so-called "participatory development" or "public involvement" approaches. I intend to use two approaches in this event. To begin, "passive involvement," in which individuals are informed about what is taking place. The second approach, which employs process-oriented approaches, is referred to as "interactive participation," Participants engage in collaborative analysis that results in local action plans. Other forms of commitment occur inside and around these two.</w:t>
      </w:r>
    </w:p>
    <w:p w14:paraId="249517ED" w14:textId="77777777" w:rsidR="007F5581" w:rsidRPr="00CA212C" w:rsidRDefault="007F5581" w:rsidP="007F5581">
      <w:pPr>
        <w:pStyle w:val="Heading1"/>
        <w:spacing w:before="0" w:line="480" w:lineRule="auto"/>
        <w:rPr>
          <w:rFonts w:ascii="Times New Roman" w:hAnsi="Times New Roman" w:cs="Times New Roman"/>
          <w:color w:val="0E101A"/>
          <w:sz w:val="28"/>
          <w:szCs w:val="28"/>
        </w:rPr>
      </w:pPr>
      <w:r w:rsidRPr="00CA212C">
        <w:rPr>
          <w:rStyle w:val="Strong"/>
          <w:rFonts w:ascii="Times New Roman" w:hAnsi="Times New Roman" w:cs="Times New Roman"/>
          <w:color w:val="0E101A"/>
          <w:sz w:val="28"/>
          <w:szCs w:val="28"/>
        </w:rPr>
        <w:t>Program/project</w:t>
      </w:r>
    </w:p>
    <w:p w14:paraId="7BE75841" w14:textId="77777777" w:rsidR="00A74C01" w:rsidRDefault="007F5581" w:rsidP="007F5581">
      <w:pPr>
        <w:pStyle w:val="NormalWeb"/>
        <w:spacing w:before="0" w:beforeAutospacing="0" w:after="0" w:afterAutospacing="0" w:line="480" w:lineRule="auto"/>
        <w:rPr>
          <w:color w:val="0E101A"/>
          <w:sz w:val="28"/>
          <w:szCs w:val="28"/>
        </w:rPr>
      </w:pPr>
      <w:r w:rsidRPr="007F5581">
        <w:rPr>
          <w:color w:val="0E101A"/>
          <w:sz w:val="28"/>
          <w:szCs w:val="28"/>
        </w:rPr>
        <w:t xml:space="preserve">           The engineers to this water project realized that most people in urban and municipal areas receive their water through central water delivery systems; rural safe water supply has evolved from a supply-driven approach to a demand-driven strategy, including the community in water management. Participation in the community is critical for long-term operations and sustainability. Numerous factors influence community participation, including the community's character, the type of leadership, project ownership, the appropriate approach, and incentives. Participation in the community will be harmed if one or more of the </w:t>
      </w:r>
    </w:p>
    <w:p w14:paraId="0D4FD92A" w14:textId="59117B8C" w:rsidR="00A74C01" w:rsidRDefault="00A74C01" w:rsidP="007F5581">
      <w:pPr>
        <w:pStyle w:val="NormalWeb"/>
        <w:spacing w:before="0" w:beforeAutospacing="0" w:after="0" w:afterAutospacing="0" w:line="480" w:lineRule="auto"/>
        <w:rPr>
          <w:color w:val="0E101A"/>
          <w:sz w:val="28"/>
          <w:szCs w:val="28"/>
        </w:rPr>
      </w:pPr>
      <w:r w:rsidRPr="005E6414">
        <w:rPr>
          <w:rFonts w:eastAsia="TimesNewRomanPSMT"/>
          <w:color w:val="000000" w:themeColor="text1"/>
          <w:sz w:val="28"/>
          <w:szCs w:val="28"/>
        </w:rPr>
        <w:lastRenderedPageBreak/>
        <w:t xml:space="preserve">STUDENT ID: 2029965                            </w:t>
      </w:r>
    </w:p>
    <w:p w14:paraId="11112051" w14:textId="77777777" w:rsidR="00A74C01" w:rsidRDefault="00A74C01" w:rsidP="007F5581">
      <w:pPr>
        <w:pStyle w:val="NormalWeb"/>
        <w:spacing w:before="0" w:beforeAutospacing="0" w:after="0" w:afterAutospacing="0" w:line="480" w:lineRule="auto"/>
        <w:rPr>
          <w:color w:val="0E101A"/>
          <w:sz w:val="28"/>
          <w:szCs w:val="28"/>
        </w:rPr>
      </w:pPr>
    </w:p>
    <w:p w14:paraId="06C3A5AF" w14:textId="4B4AD66E" w:rsidR="007F5581" w:rsidRPr="007F5581" w:rsidRDefault="007F5581" w:rsidP="007F5581">
      <w:pPr>
        <w:pStyle w:val="NormalWeb"/>
        <w:spacing w:before="0" w:beforeAutospacing="0" w:after="0" w:afterAutospacing="0" w:line="480" w:lineRule="auto"/>
        <w:rPr>
          <w:color w:val="0E101A"/>
          <w:sz w:val="28"/>
          <w:szCs w:val="28"/>
        </w:rPr>
      </w:pPr>
      <w:r w:rsidRPr="007F5581">
        <w:rPr>
          <w:color w:val="0E101A"/>
          <w:sz w:val="28"/>
          <w:szCs w:val="28"/>
        </w:rPr>
        <w:t>conditions outlined above are not met. As a result of communal involvement, community empowerment enables communities to address socioeconomic and societal issues independently, ensuring the sustainability of community development as a means of combating poverty</w:t>
      </w:r>
      <w:r w:rsidRPr="007F5581">
        <w:rPr>
          <w:color w:val="222222"/>
          <w:sz w:val="28"/>
          <w:szCs w:val="28"/>
          <w:shd w:val="clear" w:color="auto" w:fill="FFFFFF"/>
        </w:rPr>
        <w:t xml:space="preserve"> (Everett, </w:t>
      </w:r>
      <w:proofErr w:type="spellStart"/>
      <w:r w:rsidRPr="007F5581">
        <w:rPr>
          <w:color w:val="222222"/>
          <w:sz w:val="28"/>
          <w:szCs w:val="28"/>
          <w:shd w:val="clear" w:color="auto" w:fill="FFFFFF"/>
        </w:rPr>
        <w:t>Adekola</w:t>
      </w:r>
      <w:proofErr w:type="spellEnd"/>
      <w:r w:rsidRPr="007F5581">
        <w:rPr>
          <w:color w:val="222222"/>
          <w:sz w:val="28"/>
          <w:szCs w:val="28"/>
          <w:shd w:val="clear" w:color="auto" w:fill="FFFFFF"/>
        </w:rPr>
        <w:t xml:space="preserve"> and Lamond, 2021, pp. 1-17)</w:t>
      </w:r>
      <w:r w:rsidRPr="007F5581">
        <w:rPr>
          <w:color w:val="0E101A"/>
          <w:sz w:val="28"/>
          <w:szCs w:val="28"/>
        </w:rPr>
        <w:t xml:space="preserve">. In a strategy driven by demand for a water supply through community-based water systems, community commitment is crucial to the project's success. Participation is a phrase that refers to the involvement of local citizens in projects. The main five components of participation are issued identification, decision-making, planning, implementation, evaluation, and leader selection. This project is advocating for a water project </w:t>
      </w:r>
      <w:r w:rsidRPr="007F5581">
        <w:rPr>
          <w:color w:val="444444"/>
          <w:sz w:val="28"/>
          <w:szCs w:val="28"/>
          <w:shd w:val="clear" w:color="auto" w:fill="FFFFFF"/>
        </w:rPr>
        <w:t xml:space="preserve">at </w:t>
      </w:r>
      <w:proofErr w:type="spellStart"/>
      <w:r w:rsidRPr="007F5581">
        <w:rPr>
          <w:color w:val="444444"/>
          <w:sz w:val="28"/>
          <w:szCs w:val="28"/>
          <w:shd w:val="clear" w:color="auto" w:fill="FFFFFF"/>
        </w:rPr>
        <w:t>Havant</w:t>
      </w:r>
      <w:proofErr w:type="spellEnd"/>
      <w:r w:rsidRPr="007F5581">
        <w:rPr>
          <w:color w:val="444444"/>
          <w:sz w:val="28"/>
          <w:szCs w:val="28"/>
          <w:shd w:val="clear" w:color="auto" w:fill="FFFFFF"/>
        </w:rPr>
        <w:t xml:space="preserve"> Thicket near Portsmouth in UK</w:t>
      </w:r>
      <w:r w:rsidRPr="007F5581">
        <w:rPr>
          <w:color w:val="0E101A"/>
          <w:sz w:val="28"/>
          <w:szCs w:val="28"/>
        </w:rPr>
        <w:t>, but all beneficiaries participate in the process.</w:t>
      </w:r>
    </w:p>
    <w:p w14:paraId="1AB7E219" w14:textId="1EA5F8AC" w:rsidR="007F5581" w:rsidRPr="00CA212C" w:rsidRDefault="007F5581" w:rsidP="007F5581">
      <w:pPr>
        <w:pStyle w:val="Heading1"/>
        <w:spacing w:before="0" w:line="480" w:lineRule="auto"/>
        <w:rPr>
          <w:rFonts w:ascii="Times New Roman" w:hAnsi="Times New Roman" w:cs="Times New Roman"/>
          <w:color w:val="0E101A"/>
          <w:sz w:val="28"/>
          <w:szCs w:val="28"/>
        </w:rPr>
      </w:pPr>
      <w:r w:rsidRPr="00CA212C">
        <w:rPr>
          <w:rStyle w:val="Strong"/>
          <w:rFonts w:ascii="Times New Roman" w:hAnsi="Times New Roman" w:cs="Times New Roman"/>
          <w:color w:val="0E101A"/>
          <w:sz w:val="28"/>
          <w:szCs w:val="28"/>
        </w:rPr>
        <w:t>Community Engagement Principles</w:t>
      </w:r>
    </w:p>
    <w:p w14:paraId="71C17B2A" w14:textId="77777777" w:rsidR="00A74C01" w:rsidRDefault="007F5581" w:rsidP="007F5581">
      <w:pPr>
        <w:pStyle w:val="NormalWeb"/>
        <w:spacing w:before="0" w:beforeAutospacing="0" w:after="0" w:afterAutospacing="0" w:line="480" w:lineRule="auto"/>
        <w:rPr>
          <w:color w:val="0E101A"/>
          <w:sz w:val="28"/>
          <w:szCs w:val="28"/>
        </w:rPr>
      </w:pPr>
      <w:r w:rsidRPr="007F5581">
        <w:rPr>
          <w:color w:val="0E101A"/>
          <w:sz w:val="28"/>
          <w:szCs w:val="28"/>
        </w:rPr>
        <w:tab/>
        <w:t xml:space="preserve">Why should a community engagement strategy be established? Being involved in your community is critical for fundraising and gaining the support necessary to accomplish your goals. If you wish to establish a healthy, egalitarian, and successful community, you will require devoted supporters, institutions, and organizations. Engagement is all about ensuring that everyone has a say in how community participation is designed and implemented. Additionally, it assists local governments in determining which services to provide when they have access to the work of community groups that have </w:t>
      </w:r>
    </w:p>
    <w:p w14:paraId="382CDE62" w14:textId="2C5C1897" w:rsidR="00A74C01" w:rsidRDefault="00A74C01" w:rsidP="007F5581">
      <w:pPr>
        <w:pStyle w:val="NormalWeb"/>
        <w:spacing w:before="0" w:beforeAutospacing="0" w:after="0" w:afterAutospacing="0" w:line="480" w:lineRule="auto"/>
        <w:rPr>
          <w:color w:val="0E101A"/>
          <w:sz w:val="28"/>
          <w:szCs w:val="28"/>
        </w:rPr>
      </w:pPr>
      <w:r w:rsidRPr="005E6414">
        <w:rPr>
          <w:rFonts w:eastAsia="TimesNewRomanPSMT"/>
          <w:color w:val="000000" w:themeColor="text1"/>
          <w:sz w:val="28"/>
          <w:szCs w:val="28"/>
        </w:rPr>
        <w:lastRenderedPageBreak/>
        <w:t xml:space="preserve">STUDENT ID: 2029965                            </w:t>
      </w:r>
    </w:p>
    <w:p w14:paraId="1B69A36A" w14:textId="269EE110" w:rsidR="007F5581" w:rsidRPr="007F5581" w:rsidRDefault="007F5581" w:rsidP="007F5581">
      <w:pPr>
        <w:pStyle w:val="NormalWeb"/>
        <w:spacing w:before="0" w:beforeAutospacing="0" w:after="0" w:afterAutospacing="0" w:line="480" w:lineRule="auto"/>
        <w:rPr>
          <w:color w:val="0E101A"/>
          <w:sz w:val="28"/>
          <w:szCs w:val="28"/>
        </w:rPr>
      </w:pPr>
      <w:r w:rsidRPr="007F5581">
        <w:rPr>
          <w:color w:val="0E101A"/>
          <w:sz w:val="28"/>
          <w:szCs w:val="28"/>
        </w:rPr>
        <w:t>investigated and engaged their communities (Willett et al., 2021). When the public is involved in local services, they are more likely to value those decisions that help the community come together. Additionally, it teaches the audience how they are a part of something larger than themselves and how their actions affect the transformation process.</w:t>
      </w:r>
    </w:p>
    <w:p w14:paraId="3EAED42D" w14:textId="77777777" w:rsidR="007F5581" w:rsidRPr="00CA212C" w:rsidRDefault="007F5581" w:rsidP="007F5581">
      <w:pPr>
        <w:pStyle w:val="Heading1"/>
        <w:spacing w:before="0" w:line="480" w:lineRule="auto"/>
        <w:rPr>
          <w:rFonts w:ascii="Times New Roman" w:hAnsi="Times New Roman" w:cs="Times New Roman"/>
          <w:color w:val="0E101A"/>
          <w:sz w:val="28"/>
          <w:szCs w:val="28"/>
        </w:rPr>
      </w:pPr>
      <w:r w:rsidRPr="00CA212C">
        <w:rPr>
          <w:rStyle w:val="Strong"/>
          <w:rFonts w:ascii="Times New Roman" w:hAnsi="Times New Roman" w:cs="Times New Roman"/>
          <w:color w:val="0E101A"/>
          <w:sz w:val="28"/>
          <w:szCs w:val="28"/>
        </w:rPr>
        <w:t>Standards</w:t>
      </w:r>
    </w:p>
    <w:p w14:paraId="540EA4CD" w14:textId="77777777" w:rsidR="007F5581" w:rsidRPr="007F5581" w:rsidRDefault="007F5581" w:rsidP="007F5581">
      <w:pPr>
        <w:pStyle w:val="NormalWeb"/>
        <w:spacing w:before="0" w:beforeAutospacing="0" w:after="0" w:afterAutospacing="0" w:line="480" w:lineRule="auto"/>
        <w:ind w:firstLine="720"/>
        <w:rPr>
          <w:color w:val="0E101A"/>
          <w:sz w:val="28"/>
          <w:szCs w:val="28"/>
        </w:rPr>
      </w:pPr>
      <w:r w:rsidRPr="007F5581">
        <w:rPr>
          <w:color w:val="0E101A"/>
          <w:sz w:val="28"/>
          <w:szCs w:val="28"/>
        </w:rPr>
        <w:t>Project submissions are handled differently by different organizations, each of which has its own set of protocols and criteria for evaluating and accepting bids. Common financial benefit analyses include payback time, internal rate of return, and discounted cash flow. Other business procedures required to undertake capital expenditure initiatives, such as the standard procedure for presenting a business case and obtaining spending permission, may also exist.</w:t>
      </w:r>
    </w:p>
    <w:p w14:paraId="50D5403C" w14:textId="77777777" w:rsidR="007F5581" w:rsidRPr="00CA212C" w:rsidRDefault="007F5581" w:rsidP="007F5581">
      <w:pPr>
        <w:pStyle w:val="NormalWeb"/>
        <w:spacing w:before="0" w:beforeAutospacing="0" w:after="0" w:afterAutospacing="0" w:line="480" w:lineRule="auto"/>
        <w:jc w:val="center"/>
        <w:rPr>
          <w:color w:val="0E101A"/>
          <w:sz w:val="28"/>
          <w:szCs w:val="28"/>
        </w:rPr>
      </w:pPr>
      <w:r w:rsidRPr="00CA212C">
        <w:rPr>
          <w:rStyle w:val="Strong"/>
          <w:rFonts w:eastAsiaTheme="majorEastAsia"/>
          <w:color w:val="0E101A"/>
          <w:sz w:val="28"/>
          <w:szCs w:val="28"/>
        </w:rPr>
        <w:t>Benefits of stakeholder participation in the project</w:t>
      </w:r>
    </w:p>
    <w:p w14:paraId="47ACE97C" w14:textId="77777777" w:rsidR="00A74C01" w:rsidRDefault="007F5581" w:rsidP="007F5581">
      <w:pPr>
        <w:pStyle w:val="NormalWeb"/>
        <w:spacing w:before="0" w:beforeAutospacing="0" w:after="0" w:afterAutospacing="0" w:line="480" w:lineRule="auto"/>
        <w:rPr>
          <w:color w:val="0E101A"/>
          <w:sz w:val="28"/>
          <w:szCs w:val="28"/>
        </w:rPr>
      </w:pPr>
      <w:r w:rsidRPr="007F5581">
        <w:rPr>
          <w:color w:val="0E101A"/>
          <w:sz w:val="28"/>
          <w:szCs w:val="28"/>
        </w:rPr>
        <w:tab/>
        <w:t xml:space="preserve">Water management strategies must have stakeholder engagement to be sustainable. Despite this, opposition to full participation in activities aimed at achieving that goal continues to exist. This topic tackles the topic of stakeholder engagement by first emphasizing that it is not a water issue. Recent initiatives have emphasized the need to enlist the participation of all stakeholders to effect change in a variety of sectors of the economy, including economics, agriculture, public health, environmental control, business, and education. The subject of </w:t>
      </w:r>
    </w:p>
    <w:p w14:paraId="63A1F50F" w14:textId="57433B55" w:rsidR="00A74C01" w:rsidRDefault="00A74C01" w:rsidP="007F5581">
      <w:pPr>
        <w:pStyle w:val="NormalWeb"/>
        <w:spacing w:before="0" w:beforeAutospacing="0" w:after="0" w:afterAutospacing="0" w:line="480" w:lineRule="auto"/>
        <w:rPr>
          <w:color w:val="0E101A"/>
          <w:sz w:val="28"/>
          <w:szCs w:val="28"/>
        </w:rPr>
      </w:pPr>
      <w:r w:rsidRPr="005E6414">
        <w:rPr>
          <w:rFonts w:eastAsia="TimesNewRomanPSMT"/>
          <w:color w:val="000000" w:themeColor="text1"/>
          <w:sz w:val="28"/>
          <w:szCs w:val="28"/>
        </w:rPr>
        <w:lastRenderedPageBreak/>
        <w:t xml:space="preserve">STUDENT ID: 2029965                            </w:t>
      </w:r>
    </w:p>
    <w:p w14:paraId="200E2FFD" w14:textId="4F860606" w:rsidR="007F5581" w:rsidRPr="007F5581" w:rsidRDefault="007F5581" w:rsidP="007F5581">
      <w:pPr>
        <w:pStyle w:val="NormalWeb"/>
        <w:spacing w:before="0" w:beforeAutospacing="0" w:after="0" w:afterAutospacing="0" w:line="480" w:lineRule="auto"/>
        <w:rPr>
          <w:color w:val="0E101A"/>
          <w:sz w:val="28"/>
          <w:szCs w:val="28"/>
        </w:rPr>
      </w:pPr>
      <w:r w:rsidRPr="007F5581">
        <w:rPr>
          <w:color w:val="0E101A"/>
          <w:sz w:val="28"/>
          <w:szCs w:val="28"/>
        </w:rPr>
        <w:t>stakeholder involvement in water management is extremely contentious. Some argue that it is required for successful water management, and others arguing that it is a nice-to-have.</w:t>
      </w:r>
    </w:p>
    <w:p w14:paraId="5B53CFDB" w14:textId="77777777" w:rsidR="007F5581" w:rsidRPr="007F5581" w:rsidRDefault="007F5581" w:rsidP="007F5581">
      <w:pPr>
        <w:pStyle w:val="NormalWeb"/>
        <w:spacing w:before="0" w:beforeAutospacing="0" w:after="0" w:afterAutospacing="0" w:line="480" w:lineRule="auto"/>
        <w:rPr>
          <w:color w:val="0E101A"/>
          <w:sz w:val="28"/>
          <w:szCs w:val="28"/>
        </w:rPr>
      </w:pPr>
      <w:r w:rsidRPr="007F5581">
        <w:rPr>
          <w:color w:val="0E101A"/>
          <w:sz w:val="28"/>
          <w:szCs w:val="28"/>
        </w:rPr>
        <w:t>Water is a critical resource required for human activities and ecosystems, and it is utilized for a variety of purposes that are occasionally in competition with one another. Traditional water resource management approaches are likely to encounter further problems in the future, resulting in a rise in water-related concerns. Integrated water resource management necessitates the incorporation of technology and scientific knowledge, as well as community involvement. The European Commission's Directive 2000/60/EC, which promotes stakeholder participation in water management, is founded on the concept of integrated planning. Assembling stakeholders is the first step in ensuring that catchment management plans take local needs, experiences, and interests. The item in this resource demonstrates a technique for engaging stakeholders in water management decisions using stakeholder analysis</w:t>
      </w:r>
      <w:r w:rsidRPr="007F5581">
        <w:rPr>
          <w:color w:val="222222"/>
          <w:sz w:val="28"/>
          <w:szCs w:val="28"/>
          <w:shd w:val="clear" w:color="auto" w:fill="FFFFFF"/>
        </w:rPr>
        <w:t xml:space="preserve"> (König et al. 2021)</w:t>
      </w:r>
      <w:r w:rsidRPr="007F5581">
        <w:rPr>
          <w:color w:val="0E101A"/>
          <w:sz w:val="28"/>
          <w:szCs w:val="28"/>
        </w:rPr>
        <w:t>. The method was adopted as a first stage to include stakeholders in a water project.</w:t>
      </w:r>
    </w:p>
    <w:p w14:paraId="27038CD7" w14:textId="77777777" w:rsidR="00A74C01" w:rsidRDefault="007F5581" w:rsidP="007F5581">
      <w:pPr>
        <w:pStyle w:val="NormalWeb"/>
        <w:spacing w:before="0" w:beforeAutospacing="0" w:after="0" w:afterAutospacing="0" w:line="480" w:lineRule="auto"/>
        <w:ind w:firstLine="720"/>
        <w:rPr>
          <w:color w:val="0E101A"/>
          <w:sz w:val="28"/>
          <w:szCs w:val="28"/>
        </w:rPr>
      </w:pPr>
      <w:r w:rsidRPr="007F5581">
        <w:rPr>
          <w:color w:val="0E101A"/>
          <w:sz w:val="28"/>
          <w:szCs w:val="28"/>
        </w:rPr>
        <w:t xml:space="preserve">Furthermore, the power and influence of a stakeholder might influence the success or failure of an initiative. The ability of a stakeholder to influence project implementation is referred to as "power." Power is required to both maintain and restrict activity. To complete a task successfully, you must first determine whether a stakeholder can act, what techniques may be utilized, and </w:t>
      </w:r>
    </w:p>
    <w:p w14:paraId="5DEDBD96" w14:textId="048F0E92" w:rsidR="00A74C01" w:rsidRDefault="00A74C01" w:rsidP="00A74C01">
      <w:pPr>
        <w:pStyle w:val="NormalWeb"/>
        <w:spacing w:before="0" w:beforeAutospacing="0" w:after="0" w:afterAutospacing="0" w:line="480" w:lineRule="auto"/>
        <w:rPr>
          <w:color w:val="0E101A"/>
          <w:sz w:val="28"/>
          <w:szCs w:val="28"/>
        </w:rPr>
      </w:pPr>
      <w:r w:rsidRPr="005E6414">
        <w:rPr>
          <w:rFonts w:eastAsia="TimesNewRomanPSMT"/>
          <w:color w:val="000000" w:themeColor="text1"/>
          <w:sz w:val="28"/>
          <w:szCs w:val="28"/>
        </w:rPr>
        <w:lastRenderedPageBreak/>
        <w:t xml:space="preserve">STUDENT ID: 2029965                            </w:t>
      </w:r>
    </w:p>
    <w:p w14:paraId="3959E152" w14:textId="4E3EE541" w:rsidR="007F5581" w:rsidRPr="007F5581" w:rsidRDefault="007F5581" w:rsidP="007F5581">
      <w:pPr>
        <w:pStyle w:val="NormalWeb"/>
        <w:spacing w:before="0" w:beforeAutospacing="0" w:after="0" w:afterAutospacing="0" w:line="480" w:lineRule="auto"/>
        <w:ind w:firstLine="720"/>
        <w:rPr>
          <w:color w:val="0E101A"/>
          <w:sz w:val="28"/>
          <w:szCs w:val="28"/>
        </w:rPr>
      </w:pPr>
      <w:r w:rsidRPr="007F5581">
        <w:rPr>
          <w:color w:val="0E101A"/>
          <w:sz w:val="28"/>
          <w:szCs w:val="28"/>
        </w:rPr>
        <w:t xml:space="preserve">what capacities they </w:t>
      </w:r>
      <w:proofErr w:type="gramStart"/>
      <w:r w:rsidRPr="007F5581">
        <w:rPr>
          <w:color w:val="0E101A"/>
          <w:sz w:val="28"/>
          <w:szCs w:val="28"/>
        </w:rPr>
        <w:t>have to</w:t>
      </w:r>
      <w:proofErr w:type="gramEnd"/>
      <w:r w:rsidRPr="007F5581">
        <w:rPr>
          <w:color w:val="0E101A"/>
          <w:sz w:val="28"/>
          <w:szCs w:val="28"/>
        </w:rPr>
        <w:t xml:space="preserve"> provide. In the aftermath of failures, it is critical to identify the negative influence a shareholder may have on the venture's continuance or even destruction.</w:t>
      </w:r>
    </w:p>
    <w:p w14:paraId="4825DBAF" w14:textId="77777777" w:rsidR="007F5581" w:rsidRPr="00CA212C" w:rsidRDefault="007F5581" w:rsidP="007F5581">
      <w:pPr>
        <w:pStyle w:val="NormalWeb"/>
        <w:spacing w:before="0" w:beforeAutospacing="0" w:after="0" w:afterAutospacing="0" w:line="480" w:lineRule="auto"/>
        <w:jc w:val="center"/>
        <w:rPr>
          <w:b/>
          <w:bCs/>
          <w:color w:val="0E101A"/>
          <w:sz w:val="28"/>
          <w:szCs w:val="28"/>
        </w:rPr>
      </w:pPr>
    </w:p>
    <w:p w14:paraId="6F699AB1" w14:textId="77777777" w:rsidR="007F5581" w:rsidRPr="00CA212C" w:rsidRDefault="007F5581" w:rsidP="007F5581">
      <w:pPr>
        <w:pStyle w:val="NormalWeb"/>
        <w:spacing w:before="0" w:beforeAutospacing="0" w:after="0" w:afterAutospacing="0" w:line="480" w:lineRule="auto"/>
        <w:jc w:val="center"/>
        <w:rPr>
          <w:b/>
          <w:bCs/>
          <w:color w:val="0E101A"/>
          <w:sz w:val="28"/>
          <w:szCs w:val="28"/>
        </w:rPr>
      </w:pPr>
      <w:r w:rsidRPr="00CA212C">
        <w:rPr>
          <w:rStyle w:val="Strong"/>
          <w:color w:val="0E101A"/>
          <w:sz w:val="28"/>
          <w:szCs w:val="28"/>
        </w:rPr>
        <w:t>Relationship between stakeholders and strategies engaging them</w:t>
      </w:r>
    </w:p>
    <w:p w14:paraId="22A2B2D6" w14:textId="77777777" w:rsidR="00A74C01" w:rsidRDefault="007F5581" w:rsidP="007F5581">
      <w:pPr>
        <w:pStyle w:val="NormalWeb"/>
        <w:spacing w:before="0" w:beforeAutospacing="0" w:after="0" w:afterAutospacing="0" w:line="480" w:lineRule="auto"/>
        <w:ind w:firstLine="720"/>
        <w:rPr>
          <w:color w:val="0E101A"/>
          <w:sz w:val="28"/>
          <w:szCs w:val="28"/>
        </w:rPr>
      </w:pPr>
      <w:r w:rsidRPr="007F5581">
        <w:rPr>
          <w:color w:val="0E101A"/>
          <w:sz w:val="28"/>
          <w:szCs w:val="28"/>
        </w:rPr>
        <w:t xml:space="preserve">Coordination and good relations amongst stakeholders are required for planning and administration. To guarantee that all water users have access to an appropriate supply, a water allocation plan must be developed that considers both the social and economic elements of water consumption. We confront the uphill battle of integrating </w:t>
      </w:r>
      <w:proofErr w:type="gramStart"/>
      <w:r w:rsidRPr="007F5581">
        <w:rPr>
          <w:color w:val="0E101A"/>
          <w:sz w:val="28"/>
          <w:szCs w:val="28"/>
        </w:rPr>
        <w:t>all of</w:t>
      </w:r>
      <w:proofErr w:type="gramEnd"/>
      <w:r w:rsidRPr="007F5581">
        <w:rPr>
          <w:color w:val="0E101A"/>
          <w:sz w:val="28"/>
          <w:szCs w:val="28"/>
        </w:rPr>
        <w:t xml:space="preserve"> the disparate industries. Ministries employ </w:t>
      </w:r>
      <w:proofErr w:type="spellStart"/>
      <w:r w:rsidRPr="007F5581">
        <w:rPr>
          <w:color w:val="0E101A"/>
          <w:sz w:val="28"/>
          <w:szCs w:val="28"/>
        </w:rPr>
        <w:t>interministerial</w:t>
      </w:r>
      <w:proofErr w:type="spellEnd"/>
      <w:r w:rsidRPr="007F5581">
        <w:rPr>
          <w:color w:val="0E101A"/>
          <w:sz w:val="28"/>
          <w:szCs w:val="28"/>
        </w:rPr>
        <w:t xml:space="preserve"> water councils for planning reasons. The head of the body is the planning or finance ministry (such as irrigation, which is the dominant sector in many cases). The councils are made up of individuals and representatives from trade and professional groups and non-governmental organizations (NGOs) to increase non-governmental organizations (NGOs) and NGOs. Similar systems can be developed at the river or drainage basin level. The role and duties of NGOs in water resource planning and execution may be explored through institutional analysis during the strategy design phase of water resource assessment (de et al. 2021). These stakeholders should be invited to participate in strategy development and execution since they will very certainly be involved in strategy development and implementation in the future. Volunteer </w:t>
      </w:r>
    </w:p>
    <w:p w14:paraId="3CB8C946" w14:textId="180E6410" w:rsidR="00A74C01" w:rsidRDefault="00A74C01" w:rsidP="00A74C01">
      <w:pPr>
        <w:pStyle w:val="NormalWeb"/>
        <w:spacing w:before="0" w:beforeAutospacing="0" w:after="0" w:afterAutospacing="0" w:line="480" w:lineRule="auto"/>
        <w:rPr>
          <w:color w:val="0E101A"/>
          <w:sz w:val="28"/>
          <w:szCs w:val="28"/>
        </w:rPr>
      </w:pPr>
      <w:r w:rsidRPr="005E6414">
        <w:rPr>
          <w:rFonts w:eastAsia="TimesNewRomanPSMT"/>
          <w:color w:val="000000" w:themeColor="text1"/>
          <w:sz w:val="28"/>
          <w:szCs w:val="28"/>
        </w:rPr>
        <w:lastRenderedPageBreak/>
        <w:t xml:space="preserve">STUDENT ID: 2029965                            </w:t>
      </w:r>
    </w:p>
    <w:p w14:paraId="41607B80" w14:textId="56B36F11" w:rsidR="007F5581" w:rsidRPr="007F5581" w:rsidRDefault="007F5581" w:rsidP="007F5581">
      <w:pPr>
        <w:pStyle w:val="NormalWeb"/>
        <w:spacing w:before="0" w:beforeAutospacing="0" w:after="0" w:afterAutospacing="0" w:line="480" w:lineRule="auto"/>
        <w:ind w:firstLine="720"/>
        <w:rPr>
          <w:color w:val="0E101A"/>
          <w:sz w:val="28"/>
          <w:szCs w:val="28"/>
        </w:rPr>
      </w:pPr>
      <w:r w:rsidRPr="007F5581">
        <w:rPr>
          <w:color w:val="0E101A"/>
          <w:sz w:val="28"/>
          <w:szCs w:val="28"/>
        </w:rPr>
        <w:t>organizations such as neighborhood groups and professional associations may also be able to assist.</w:t>
      </w:r>
    </w:p>
    <w:p w14:paraId="2D6EB970" w14:textId="46B80F03" w:rsidR="007F5581" w:rsidRPr="00CA212C" w:rsidRDefault="00A74C01" w:rsidP="007F5581">
      <w:pPr>
        <w:pStyle w:val="NormalWeb"/>
        <w:spacing w:before="0" w:beforeAutospacing="0" w:after="0" w:afterAutospacing="0" w:line="480" w:lineRule="auto"/>
        <w:rPr>
          <w:b/>
          <w:bCs/>
          <w:color w:val="0E101A"/>
          <w:sz w:val="28"/>
          <w:szCs w:val="28"/>
        </w:rPr>
      </w:pPr>
      <w:r>
        <w:rPr>
          <w:rStyle w:val="Emphasis"/>
          <w:rFonts w:eastAsiaTheme="majorEastAsia"/>
          <w:i w:val="0"/>
          <w:iCs w:val="0"/>
          <w:color w:val="0E101A"/>
          <w:sz w:val="28"/>
          <w:szCs w:val="28"/>
        </w:rPr>
        <w:t xml:space="preserve">                                     </w:t>
      </w:r>
      <w:r w:rsidR="007F5581" w:rsidRPr="00CA212C">
        <w:rPr>
          <w:rStyle w:val="Emphasis"/>
          <w:rFonts w:eastAsiaTheme="majorEastAsia"/>
          <w:b/>
          <w:bCs/>
          <w:i w:val="0"/>
          <w:iCs w:val="0"/>
          <w:color w:val="0E101A"/>
          <w:sz w:val="28"/>
          <w:szCs w:val="28"/>
        </w:rPr>
        <w:t>Community Organizations</w:t>
      </w:r>
    </w:p>
    <w:p w14:paraId="0BCCD2A9" w14:textId="77777777" w:rsidR="007F5581" w:rsidRPr="007F5581" w:rsidRDefault="007F5581" w:rsidP="007F5581">
      <w:pPr>
        <w:spacing w:line="480" w:lineRule="auto"/>
        <w:rPr>
          <w:rFonts w:ascii="Times New Roman" w:hAnsi="Times New Roman" w:cs="Times New Roman"/>
          <w:sz w:val="28"/>
          <w:szCs w:val="28"/>
        </w:rPr>
      </w:pPr>
      <w:r w:rsidRPr="007F5581">
        <w:rPr>
          <w:rFonts w:ascii="Times New Roman" w:hAnsi="Times New Roman" w:cs="Times New Roman"/>
          <w:sz w:val="28"/>
          <w:szCs w:val="28"/>
        </w:rPr>
        <w:tab/>
        <w:t>There will be a long tradition of community engagement in project design, administration, and maintenance, particularly in irrigation, water supply, and sanitation. Both non-membership assistance or activism groups and membership organizations can participate in the community. Despite the complexity of gender and equality concerns, community participation in sector and strategy development and administration is sometimes lacking, but it is increasingly recognized as critical</w:t>
      </w:r>
      <w:r w:rsidRPr="007F5581">
        <w:rPr>
          <w:rFonts w:ascii="Times New Roman" w:hAnsi="Times New Roman" w:cs="Times New Roman"/>
          <w:color w:val="222222"/>
          <w:sz w:val="28"/>
          <w:szCs w:val="28"/>
          <w:shd w:val="clear" w:color="auto" w:fill="FFFFFF"/>
        </w:rPr>
        <w:t xml:space="preserve"> (</w:t>
      </w:r>
      <w:proofErr w:type="spellStart"/>
      <w:r w:rsidRPr="007F5581">
        <w:rPr>
          <w:rFonts w:ascii="Times New Roman" w:hAnsi="Times New Roman" w:cs="Times New Roman"/>
          <w:color w:val="222222"/>
          <w:sz w:val="28"/>
          <w:szCs w:val="28"/>
          <w:shd w:val="clear" w:color="auto" w:fill="FFFFFF"/>
        </w:rPr>
        <w:t>Gyamera</w:t>
      </w:r>
      <w:proofErr w:type="spellEnd"/>
      <w:r w:rsidRPr="007F5581">
        <w:rPr>
          <w:rFonts w:ascii="Times New Roman" w:hAnsi="Times New Roman" w:cs="Times New Roman"/>
          <w:color w:val="222222"/>
          <w:sz w:val="28"/>
          <w:szCs w:val="28"/>
          <w:shd w:val="clear" w:color="auto" w:fill="FFFFFF"/>
        </w:rPr>
        <w:t xml:space="preserve"> and </w:t>
      </w:r>
      <w:proofErr w:type="spellStart"/>
      <w:r w:rsidRPr="007F5581">
        <w:rPr>
          <w:rFonts w:ascii="Times New Roman" w:hAnsi="Times New Roman" w:cs="Times New Roman"/>
          <w:color w:val="222222"/>
          <w:sz w:val="28"/>
          <w:szCs w:val="28"/>
          <w:shd w:val="clear" w:color="auto" w:fill="FFFFFF"/>
        </w:rPr>
        <w:t>Debrah</w:t>
      </w:r>
      <w:proofErr w:type="spellEnd"/>
      <w:r w:rsidRPr="007F5581">
        <w:rPr>
          <w:rFonts w:ascii="Times New Roman" w:hAnsi="Times New Roman" w:cs="Times New Roman"/>
          <w:color w:val="222222"/>
          <w:sz w:val="28"/>
          <w:szCs w:val="28"/>
          <w:shd w:val="clear" w:color="auto" w:fill="FFFFFF"/>
        </w:rPr>
        <w:t>, 2021, pp. 1-19)</w:t>
      </w:r>
      <w:r w:rsidRPr="007F5581">
        <w:rPr>
          <w:rFonts w:ascii="Times New Roman" w:hAnsi="Times New Roman" w:cs="Times New Roman"/>
          <w:sz w:val="28"/>
          <w:szCs w:val="28"/>
        </w:rPr>
        <w:t>. Please consult with the community during strategy reviews, include their input into the planning and management framework, and urge them to play a more active role.</w:t>
      </w:r>
    </w:p>
    <w:p w14:paraId="4BBA501F" w14:textId="26AE0C72" w:rsidR="007F5581" w:rsidRPr="00CA212C" w:rsidRDefault="00A74C01" w:rsidP="007F5581">
      <w:pPr>
        <w:pStyle w:val="Heading1"/>
        <w:spacing w:line="480" w:lineRule="auto"/>
        <w:rPr>
          <w:rStyle w:val="Emphasis"/>
          <w:rFonts w:ascii="Times New Roman" w:hAnsi="Times New Roman" w:cs="Times New Roman"/>
          <w:b/>
          <w:bCs/>
          <w:i w:val="0"/>
          <w:iCs w:val="0"/>
          <w:color w:val="000000"/>
          <w:sz w:val="28"/>
          <w:szCs w:val="28"/>
          <w:shd w:val="clear" w:color="auto" w:fill="FFFFFF"/>
        </w:rPr>
      </w:pPr>
      <w:r>
        <w:rPr>
          <w:rStyle w:val="Emphasis"/>
          <w:rFonts w:ascii="Times New Roman" w:hAnsi="Times New Roman" w:cs="Times New Roman"/>
          <w:i w:val="0"/>
          <w:iCs w:val="0"/>
          <w:color w:val="000000"/>
          <w:sz w:val="28"/>
          <w:szCs w:val="28"/>
          <w:shd w:val="clear" w:color="auto" w:fill="FFFFFF"/>
        </w:rPr>
        <w:t xml:space="preserve">                                 </w:t>
      </w:r>
      <w:r w:rsidR="007F5581" w:rsidRPr="00CA212C">
        <w:rPr>
          <w:rStyle w:val="Emphasis"/>
          <w:rFonts w:ascii="Times New Roman" w:hAnsi="Times New Roman" w:cs="Times New Roman"/>
          <w:b/>
          <w:bCs/>
          <w:i w:val="0"/>
          <w:iCs w:val="0"/>
          <w:color w:val="000000"/>
          <w:sz w:val="28"/>
          <w:szCs w:val="28"/>
          <w:shd w:val="clear" w:color="auto" w:fill="FFFFFF"/>
        </w:rPr>
        <w:t>Professional associations</w:t>
      </w:r>
    </w:p>
    <w:p w14:paraId="45A08DFA" w14:textId="77777777" w:rsidR="007F5581" w:rsidRPr="007F5581" w:rsidRDefault="007F5581" w:rsidP="007F5581">
      <w:pPr>
        <w:spacing w:line="480" w:lineRule="auto"/>
        <w:rPr>
          <w:rFonts w:ascii="Times New Roman" w:hAnsi="Times New Roman" w:cs="Times New Roman"/>
          <w:sz w:val="28"/>
          <w:szCs w:val="28"/>
        </w:rPr>
      </w:pPr>
      <w:r w:rsidRPr="007F5581">
        <w:rPr>
          <w:rFonts w:ascii="Times New Roman" w:hAnsi="Times New Roman" w:cs="Times New Roman"/>
          <w:sz w:val="28"/>
          <w:szCs w:val="28"/>
        </w:rPr>
        <w:tab/>
        <w:t>Non-governmental groups from throughout the world have long aided in the development of the water sectors of developed nations. They will make numerous contributions:</w:t>
      </w:r>
    </w:p>
    <w:p w14:paraId="3B738C0F" w14:textId="77777777" w:rsidR="007F5581" w:rsidRPr="007F5581" w:rsidRDefault="007F5581" w:rsidP="007F5581">
      <w:pPr>
        <w:pStyle w:val="ListParagraph"/>
        <w:numPr>
          <w:ilvl w:val="0"/>
          <w:numId w:val="1"/>
        </w:numPr>
        <w:spacing w:line="480" w:lineRule="auto"/>
        <w:rPr>
          <w:rFonts w:ascii="Times New Roman" w:hAnsi="Times New Roman" w:cs="Times New Roman"/>
          <w:sz w:val="28"/>
          <w:szCs w:val="28"/>
        </w:rPr>
      </w:pPr>
      <w:r w:rsidRPr="007F5581">
        <w:rPr>
          <w:rFonts w:ascii="Times New Roman" w:hAnsi="Times New Roman" w:cs="Times New Roman"/>
          <w:sz w:val="28"/>
          <w:szCs w:val="28"/>
        </w:rPr>
        <w:t>They will assist in bringing together government agencies, consultants, manufacturers, and industry, while also including the public in the process.</w:t>
      </w:r>
    </w:p>
    <w:p w14:paraId="7EA5C1C1" w14:textId="3B959C2D" w:rsidR="00A74C01" w:rsidRDefault="00A74C01" w:rsidP="00A74C01">
      <w:pPr>
        <w:spacing w:line="480" w:lineRule="auto"/>
        <w:ind w:left="360"/>
        <w:rPr>
          <w:rFonts w:ascii="Times New Roman" w:hAnsi="Times New Roman" w:cs="Times New Roman"/>
          <w:sz w:val="28"/>
          <w:szCs w:val="28"/>
        </w:rPr>
      </w:pPr>
      <w:r w:rsidRPr="005E6414">
        <w:rPr>
          <w:rFonts w:ascii="Times New Roman" w:eastAsia="TimesNewRomanPSMT" w:hAnsi="Times New Roman" w:cs="Times New Roman"/>
          <w:color w:val="000000" w:themeColor="text1"/>
          <w:sz w:val="28"/>
          <w:szCs w:val="28"/>
        </w:rPr>
        <w:lastRenderedPageBreak/>
        <w:t xml:space="preserve">STUDENT ID: 2029965                            </w:t>
      </w:r>
    </w:p>
    <w:p w14:paraId="5AD0E5ED" w14:textId="620D8434" w:rsidR="007F5581" w:rsidRPr="00CA212C" w:rsidRDefault="00A74C01" w:rsidP="007F5581">
      <w:pPr>
        <w:spacing w:line="480" w:lineRule="auto"/>
        <w:rPr>
          <w:rFonts w:ascii="Times New Roman" w:hAnsi="Times New Roman" w:cs="Times New Roman"/>
          <w:b/>
          <w:bCs/>
          <w:sz w:val="28"/>
          <w:szCs w:val="28"/>
        </w:rPr>
      </w:pPr>
      <w:r>
        <w:rPr>
          <w:rFonts w:ascii="Times New Roman" w:hAnsi="Times New Roman" w:cs="Times New Roman"/>
          <w:sz w:val="28"/>
          <w:szCs w:val="28"/>
        </w:rPr>
        <w:t xml:space="preserve">                </w:t>
      </w:r>
      <w:r w:rsidR="007F5581" w:rsidRPr="00CA212C">
        <w:rPr>
          <w:rFonts w:ascii="Times New Roman" w:hAnsi="Times New Roman" w:cs="Times New Roman"/>
          <w:b/>
          <w:bCs/>
          <w:sz w:val="28"/>
          <w:szCs w:val="28"/>
        </w:rPr>
        <w:t>Use of social media platforms to support the project</w:t>
      </w:r>
    </w:p>
    <w:p w14:paraId="1B11A412" w14:textId="77777777" w:rsidR="007F5581" w:rsidRPr="007F5581" w:rsidRDefault="007F5581" w:rsidP="007F5581">
      <w:pPr>
        <w:spacing w:line="480" w:lineRule="auto"/>
        <w:rPr>
          <w:rFonts w:ascii="Times New Roman" w:hAnsi="Times New Roman" w:cs="Times New Roman"/>
          <w:sz w:val="28"/>
          <w:szCs w:val="28"/>
        </w:rPr>
      </w:pPr>
      <w:r w:rsidRPr="007F5581">
        <w:rPr>
          <w:rFonts w:ascii="Times New Roman" w:hAnsi="Times New Roman" w:cs="Times New Roman"/>
          <w:sz w:val="28"/>
          <w:szCs w:val="28"/>
        </w:rPr>
        <w:tab/>
        <w:t xml:space="preserve">Specialists in social marketing and behavior modification will identify and address clients </w:t>
      </w:r>
      <w:proofErr w:type="gramStart"/>
      <w:r w:rsidRPr="007F5581">
        <w:rPr>
          <w:rFonts w:ascii="Times New Roman" w:hAnsi="Times New Roman" w:cs="Times New Roman"/>
          <w:sz w:val="28"/>
          <w:szCs w:val="28"/>
        </w:rPr>
        <w:t>in order to</w:t>
      </w:r>
      <w:proofErr w:type="gramEnd"/>
      <w:r w:rsidRPr="007F5581">
        <w:rPr>
          <w:rFonts w:ascii="Times New Roman" w:hAnsi="Times New Roman" w:cs="Times New Roman"/>
          <w:sz w:val="28"/>
          <w:szCs w:val="28"/>
        </w:rPr>
        <w:t xml:space="preserve"> provide information, tools, and rewards for water conservation behaviors. The team will conduct a poll based on our findings, and it was determined that we needed to create a new water conservation program that would function through several social media platforms such as Twitter, Facebook, and Instagram. The project will then be assigned to the whole team, with the goal of developing a campaign focused on increasing awareness of the impending water scarcity and motivating people to take water-saving activities (</w:t>
      </w:r>
      <w:proofErr w:type="spellStart"/>
      <w:r w:rsidRPr="007F5581">
        <w:rPr>
          <w:rFonts w:ascii="Times New Roman" w:hAnsi="Times New Roman" w:cs="Times New Roman"/>
          <w:color w:val="222222"/>
          <w:sz w:val="28"/>
          <w:szCs w:val="28"/>
          <w:shd w:val="clear" w:color="auto" w:fill="FFFFFF"/>
        </w:rPr>
        <w:t>Edizel-Tasci</w:t>
      </w:r>
      <w:proofErr w:type="spellEnd"/>
      <w:r w:rsidRPr="007F5581">
        <w:rPr>
          <w:rFonts w:ascii="Times New Roman" w:hAnsi="Times New Roman" w:cs="Times New Roman"/>
          <w:color w:val="222222"/>
          <w:sz w:val="28"/>
          <w:szCs w:val="28"/>
          <w:shd w:val="clear" w:color="auto" w:fill="FFFFFF"/>
        </w:rPr>
        <w:t>, &amp; Evans, 2021)</w:t>
      </w:r>
      <w:r w:rsidRPr="007F5581">
        <w:rPr>
          <w:rFonts w:ascii="Times New Roman" w:hAnsi="Times New Roman" w:cs="Times New Roman"/>
          <w:sz w:val="28"/>
          <w:szCs w:val="28"/>
        </w:rPr>
        <w:t xml:space="preserve">. Social media has the potential to assist us in raising awareness of the global water problem. This is a list of some of the methods you can achieve these objectives using social media. </w:t>
      </w:r>
    </w:p>
    <w:p w14:paraId="0ECFFA65" w14:textId="77777777" w:rsidR="007F5581" w:rsidRPr="007F5581" w:rsidRDefault="007F5581" w:rsidP="007F5581">
      <w:pPr>
        <w:pStyle w:val="ListParagraph"/>
        <w:numPr>
          <w:ilvl w:val="0"/>
          <w:numId w:val="2"/>
        </w:numPr>
        <w:spacing w:line="480" w:lineRule="auto"/>
        <w:rPr>
          <w:rFonts w:ascii="Times New Roman" w:hAnsi="Times New Roman" w:cs="Times New Roman"/>
          <w:sz w:val="28"/>
          <w:szCs w:val="28"/>
        </w:rPr>
      </w:pPr>
      <w:r w:rsidRPr="007F5581">
        <w:rPr>
          <w:rFonts w:ascii="Times New Roman" w:hAnsi="Times New Roman" w:cs="Times New Roman"/>
          <w:sz w:val="28"/>
          <w:szCs w:val="28"/>
        </w:rPr>
        <w:t>Raise awareness of the impending catastrophe brought about by water scarcity in our world.</w:t>
      </w:r>
    </w:p>
    <w:p w14:paraId="5BC59C7A" w14:textId="77777777" w:rsidR="007F5581" w:rsidRPr="007F5581" w:rsidRDefault="007F5581" w:rsidP="007F5581">
      <w:pPr>
        <w:pStyle w:val="ListParagraph"/>
        <w:numPr>
          <w:ilvl w:val="0"/>
          <w:numId w:val="2"/>
        </w:numPr>
        <w:spacing w:line="480" w:lineRule="auto"/>
        <w:rPr>
          <w:rFonts w:ascii="Times New Roman" w:hAnsi="Times New Roman" w:cs="Times New Roman"/>
          <w:sz w:val="28"/>
          <w:szCs w:val="28"/>
        </w:rPr>
      </w:pPr>
      <w:r w:rsidRPr="007F5581">
        <w:rPr>
          <w:rFonts w:ascii="Times New Roman" w:hAnsi="Times New Roman" w:cs="Times New Roman"/>
          <w:sz w:val="28"/>
          <w:szCs w:val="28"/>
        </w:rPr>
        <w:t>Sending messages to celebrities, activists, and influencers to urge them to share the message with their friends and followers.</w:t>
      </w:r>
    </w:p>
    <w:p w14:paraId="4710DF78" w14:textId="77777777" w:rsidR="007F5581" w:rsidRPr="007F5581" w:rsidRDefault="007F5581" w:rsidP="007F5581">
      <w:pPr>
        <w:pStyle w:val="ListParagraph"/>
        <w:numPr>
          <w:ilvl w:val="0"/>
          <w:numId w:val="2"/>
        </w:numPr>
        <w:spacing w:line="480" w:lineRule="auto"/>
        <w:rPr>
          <w:rFonts w:ascii="Times New Roman" w:hAnsi="Times New Roman" w:cs="Times New Roman"/>
          <w:sz w:val="28"/>
          <w:szCs w:val="28"/>
        </w:rPr>
      </w:pPr>
      <w:r w:rsidRPr="007F5581">
        <w:rPr>
          <w:rFonts w:ascii="Times New Roman" w:hAnsi="Times New Roman" w:cs="Times New Roman"/>
          <w:sz w:val="28"/>
          <w:szCs w:val="28"/>
        </w:rPr>
        <w:t>Promote and broaden the global water debate by encouraging and allowing users to use water-themed hashtags.</w:t>
      </w:r>
    </w:p>
    <w:p w14:paraId="23B2CF4A" w14:textId="77777777" w:rsidR="00A74C01" w:rsidRDefault="00A74C01" w:rsidP="00A74C01">
      <w:pPr>
        <w:pStyle w:val="ListParagraph"/>
        <w:spacing w:line="480" w:lineRule="auto"/>
        <w:rPr>
          <w:rFonts w:ascii="Times New Roman" w:hAnsi="Times New Roman" w:cs="Times New Roman"/>
          <w:sz w:val="28"/>
          <w:szCs w:val="28"/>
        </w:rPr>
      </w:pPr>
    </w:p>
    <w:p w14:paraId="75FB23B4" w14:textId="7EA160B8" w:rsidR="00A74C01" w:rsidRPr="00A74C01" w:rsidRDefault="00A74C01" w:rsidP="00A74C01">
      <w:pPr>
        <w:spacing w:line="480" w:lineRule="auto"/>
        <w:rPr>
          <w:rFonts w:ascii="Times New Roman" w:hAnsi="Times New Roman" w:cs="Times New Roman"/>
          <w:sz w:val="28"/>
          <w:szCs w:val="28"/>
        </w:rPr>
      </w:pPr>
      <w:r w:rsidRPr="005E6414">
        <w:rPr>
          <w:rFonts w:ascii="Times New Roman" w:eastAsia="TimesNewRomanPSMT" w:hAnsi="Times New Roman" w:cs="Times New Roman"/>
          <w:color w:val="000000" w:themeColor="text1"/>
          <w:sz w:val="28"/>
          <w:szCs w:val="28"/>
        </w:rPr>
        <w:lastRenderedPageBreak/>
        <w:t xml:space="preserve">STUDENT ID: 2029965                            </w:t>
      </w:r>
    </w:p>
    <w:p w14:paraId="6D59CEB1" w14:textId="1DC6FD96" w:rsidR="007F5581" w:rsidRPr="007F5581" w:rsidRDefault="007F5581" w:rsidP="007F5581">
      <w:pPr>
        <w:pStyle w:val="ListParagraph"/>
        <w:numPr>
          <w:ilvl w:val="0"/>
          <w:numId w:val="2"/>
        </w:numPr>
        <w:spacing w:line="480" w:lineRule="auto"/>
        <w:rPr>
          <w:rFonts w:ascii="Times New Roman" w:hAnsi="Times New Roman" w:cs="Times New Roman"/>
          <w:sz w:val="28"/>
          <w:szCs w:val="28"/>
        </w:rPr>
      </w:pPr>
      <w:r w:rsidRPr="007F5581">
        <w:rPr>
          <w:rFonts w:ascii="Times New Roman" w:hAnsi="Times New Roman" w:cs="Times New Roman"/>
          <w:sz w:val="28"/>
          <w:szCs w:val="28"/>
        </w:rPr>
        <w:t>Disseminate crucial information on what citizens may do to assist in preventing a water scarcity.</w:t>
      </w:r>
    </w:p>
    <w:p w14:paraId="295B3CCF" w14:textId="77777777" w:rsidR="007F5581" w:rsidRPr="007F5581" w:rsidRDefault="007F5581" w:rsidP="007F5581">
      <w:pPr>
        <w:spacing w:line="480" w:lineRule="auto"/>
        <w:rPr>
          <w:rFonts w:ascii="Times New Roman" w:hAnsi="Times New Roman" w:cs="Times New Roman"/>
          <w:sz w:val="28"/>
          <w:szCs w:val="28"/>
        </w:rPr>
      </w:pPr>
      <w:r w:rsidRPr="007F5581">
        <w:rPr>
          <w:rFonts w:ascii="Times New Roman" w:hAnsi="Times New Roman" w:cs="Times New Roman"/>
          <w:sz w:val="28"/>
          <w:szCs w:val="28"/>
        </w:rPr>
        <w:tab/>
        <w:t>When raising awareness, it is critical to craft a message that is both accessible and understandable. Website authors may utilize Best Writers Online and Online Writers Rating to generate content for their websites. We can track the water issue through social media. You may utilize social media to keep up to date on issues such as the availability of safe drinking water, the number of water-related diseases, and death. Many prominent accounts are mentioned here so that you can keep current.</w:t>
      </w:r>
    </w:p>
    <w:p w14:paraId="2C38A93E" w14:textId="6753F9CC" w:rsidR="007F5581" w:rsidRPr="00CA212C" w:rsidRDefault="00A74C01" w:rsidP="007F5581">
      <w:pPr>
        <w:spacing w:line="480" w:lineRule="auto"/>
        <w:rPr>
          <w:rFonts w:ascii="Times New Roman" w:hAnsi="Times New Roman" w:cs="Times New Roman"/>
          <w:b/>
          <w:bCs/>
          <w:sz w:val="28"/>
          <w:szCs w:val="28"/>
        </w:rPr>
      </w:pPr>
      <w:r w:rsidRPr="00CA212C">
        <w:rPr>
          <w:rFonts w:ascii="Times New Roman" w:hAnsi="Times New Roman" w:cs="Times New Roman"/>
          <w:b/>
          <w:bCs/>
          <w:sz w:val="28"/>
          <w:szCs w:val="28"/>
        </w:rPr>
        <w:t xml:space="preserve">                  </w:t>
      </w:r>
      <w:r w:rsidR="00667B03" w:rsidRPr="00CA212C">
        <w:rPr>
          <w:rFonts w:ascii="Times New Roman" w:hAnsi="Times New Roman" w:cs="Times New Roman"/>
          <w:b/>
          <w:bCs/>
          <w:sz w:val="28"/>
          <w:szCs w:val="28"/>
        </w:rPr>
        <w:t xml:space="preserve">    </w:t>
      </w:r>
      <w:r w:rsidR="007F5581" w:rsidRPr="00CA212C">
        <w:rPr>
          <w:rFonts w:ascii="Times New Roman" w:hAnsi="Times New Roman" w:cs="Times New Roman"/>
          <w:b/>
          <w:bCs/>
          <w:sz w:val="28"/>
          <w:szCs w:val="28"/>
        </w:rPr>
        <w:t>Socio-cultural integration and multi-culturalism</w:t>
      </w:r>
    </w:p>
    <w:p w14:paraId="6D1E5746" w14:textId="40426BEF" w:rsidR="00A74C01" w:rsidRDefault="007F5581" w:rsidP="007F5581">
      <w:pPr>
        <w:spacing w:line="480" w:lineRule="auto"/>
        <w:rPr>
          <w:rFonts w:ascii="Times New Roman" w:hAnsi="Times New Roman" w:cs="Times New Roman"/>
          <w:sz w:val="28"/>
          <w:szCs w:val="28"/>
        </w:rPr>
      </w:pPr>
      <w:r w:rsidRPr="007F5581">
        <w:rPr>
          <w:rFonts w:ascii="Times New Roman" w:hAnsi="Times New Roman" w:cs="Times New Roman"/>
          <w:sz w:val="28"/>
          <w:szCs w:val="28"/>
        </w:rPr>
        <w:tab/>
        <w:t xml:space="preserve">This scale is sometimes referred to as multicultural ideology. The purpose of this idea is to incorporate the fundamental and widespread view that sustaining cultural variety benefits society and its individuals and that everyone should have access to this diversity (i.e., there is a high value on contact and participation). One may infer that some qualities indicate a readiness to modify one's cultural traditions to accommodate the conventions of other cultures </w:t>
      </w:r>
      <w:r w:rsidRPr="007F5581">
        <w:rPr>
          <w:rFonts w:ascii="Times New Roman" w:hAnsi="Times New Roman" w:cs="Times New Roman"/>
          <w:color w:val="222222"/>
          <w:sz w:val="28"/>
          <w:szCs w:val="28"/>
          <w:shd w:val="clear" w:color="auto" w:fill="FFFFFF"/>
        </w:rPr>
        <w:t>(Chesney, et al. 2021)</w:t>
      </w:r>
      <w:r w:rsidRPr="007F5581">
        <w:rPr>
          <w:rFonts w:ascii="Times New Roman" w:hAnsi="Times New Roman" w:cs="Times New Roman"/>
          <w:sz w:val="28"/>
          <w:szCs w:val="28"/>
        </w:rPr>
        <w:t xml:space="preserve">. Assets were created to showcase both groups' perspectives, which is why individuals who adhere to their ethnic groups' particular customs make the world a better place. While conserving one's culture should be done quietly to avoid upsetting others, ethnic groups should </w:t>
      </w:r>
    </w:p>
    <w:p w14:paraId="69D8E126" w14:textId="015D7AB2" w:rsidR="00A74C01" w:rsidRDefault="00A74C01" w:rsidP="007F5581">
      <w:pPr>
        <w:spacing w:line="480" w:lineRule="auto"/>
        <w:rPr>
          <w:rFonts w:ascii="Times New Roman" w:hAnsi="Times New Roman" w:cs="Times New Roman"/>
          <w:sz w:val="28"/>
          <w:szCs w:val="28"/>
        </w:rPr>
      </w:pPr>
      <w:r w:rsidRPr="005E6414">
        <w:rPr>
          <w:rFonts w:ascii="Times New Roman" w:eastAsia="TimesNewRomanPSMT" w:hAnsi="Times New Roman" w:cs="Times New Roman"/>
          <w:color w:val="000000" w:themeColor="text1"/>
          <w:sz w:val="28"/>
          <w:szCs w:val="28"/>
        </w:rPr>
        <w:lastRenderedPageBreak/>
        <w:t xml:space="preserve">STUDENT ID: 2029965                            </w:t>
      </w:r>
    </w:p>
    <w:p w14:paraId="0DA01E54" w14:textId="52B83F33" w:rsidR="00A74C01" w:rsidRDefault="00A74C01" w:rsidP="007F5581">
      <w:pPr>
        <w:spacing w:line="480" w:lineRule="auto"/>
        <w:rPr>
          <w:rFonts w:ascii="Times New Roman" w:hAnsi="Times New Roman" w:cs="Times New Roman"/>
          <w:sz w:val="28"/>
          <w:szCs w:val="28"/>
        </w:rPr>
      </w:pPr>
    </w:p>
    <w:p w14:paraId="14C17369" w14:textId="092939EE" w:rsidR="007F5581" w:rsidRPr="007F5581" w:rsidRDefault="007F5581" w:rsidP="007F5581">
      <w:pPr>
        <w:spacing w:line="480" w:lineRule="auto"/>
        <w:rPr>
          <w:rFonts w:ascii="Times New Roman" w:hAnsi="Times New Roman" w:cs="Times New Roman"/>
          <w:sz w:val="28"/>
          <w:szCs w:val="28"/>
        </w:rPr>
      </w:pPr>
      <w:r w:rsidRPr="007F5581">
        <w:rPr>
          <w:rFonts w:ascii="Times New Roman" w:hAnsi="Times New Roman" w:cs="Times New Roman"/>
          <w:sz w:val="28"/>
          <w:szCs w:val="28"/>
        </w:rPr>
        <w:t>prioritize preserving their own cultures above attempting to safeguard the cultures of others. Additionally, the fundamental idea that variation is a vital resource for society was emphasized (e.g., "A society with a diverse ethnic group is better prepared to deal with new issues as they arise").</w:t>
      </w:r>
    </w:p>
    <w:p w14:paraId="5C754C59" w14:textId="77777777" w:rsidR="007F5581" w:rsidRPr="007F5581" w:rsidRDefault="007F5581" w:rsidP="007F5581">
      <w:pPr>
        <w:spacing w:line="480" w:lineRule="auto"/>
        <w:rPr>
          <w:rFonts w:ascii="Times New Roman" w:hAnsi="Times New Roman" w:cs="Times New Roman"/>
          <w:sz w:val="28"/>
          <w:szCs w:val="28"/>
        </w:rPr>
      </w:pPr>
      <w:r w:rsidRPr="007F5581">
        <w:rPr>
          <w:rFonts w:ascii="Times New Roman" w:hAnsi="Times New Roman" w:cs="Times New Roman"/>
          <w:sz w:val="28"/>
          <w:szCs w:val="28"/>
        </w:rPr>
        <w:t>The practitioner of this project necessitated an open community debate, prioritization, project design, and resource mobilization. Communities work to improve access to water, electricity, education, and economic opportunity for people worldwide. To ensure this goal is achieved, the communities should agree to have ballots cast in which community members were required to vote for one male and one female</w:t>
      </w:r>
      <w:r w:rsidRPr="007F5581">
        <w:rPr>
          <w:rFonts w:ascii="Times New Roman" w:hAnsi="Times New Roman" w:cs="Times New Roman"/>
          <w:color w:val="222222"/>
          <w:sz w:val="28"/>
          <w:szCs w:val="28"/>
          <w:shd w:val="clear" w:color="auto" w:fill="FFFFFF"/>
        </w:rPr>
        <w:t xml:space="preserve"> (Henderson et al. 2019, pp.225-233)</w:t>
      </w:r>
      <w:r w:rsidRPr="007F5581">
        <w:rPr>
          <w:rFonts w:ascii="Times New Roman" w:hAnsi="Times New Roman" w:cs="Times New Roman"/>
          <w:sz w:val="28"/>
          <w:szCs w:val="28"/>
        </w:rPr>
        <w:t>. As communities voted on the first project or activity that would help contribute to the prioritized community goal, they were allowed to vote on a second project or activity.</w:t>
      </w:r>
    </w:p>
    <w:p w14:paraId="1AFEDDEF" w14:textId="77777777" w:rsidR="007F5581" w:rsidRPr="00CA212C" w:rsidRDefault="007F5581" w:rsidP="007F5581">
      <w:pPr>
        <w:spacing w:line="480" w:lineRule="auto"/>
        <w:jc w:val="center"/>
        <w:rPr>
          <w:rFonts w:ascii="Times New Roman" w:hAnsi="Times New Roman" w:cs="Times New Roman"/>
          <w:b/>
          <w:bCs/>
          <w:sz w:val="28"/>
          <w:szCs w:val="28"/>
        </w:rPr>
      </w:pPr>
      <w:r w:rsidRPr="00CA212C">
        <w:rPr>
          <w:rFonts w:ascii="Times New Roman" w:hAnsi="Times New Roman" w:cs="Times New Roman"/>
          <w:b/>
          <w:bCs/>
          <w:sz w:val="28"/>
          <w:szCs w:val="28"/>
        </w:rPr>
        <w:t>Conclusion</w:t>
      </w:r>
    </w:p>
    <w:p w14:paraId="19C497F4" w14:textId="408A6BB4" w:rsidR="00A74C01" w:rsidRDefault="007F5581" w:rsidP="00A74C01">
      <w:pPr>
        <w:spacing w:line="480" w:lineRule="auto"/>
        <w:ind w:firstLine="720"/>
        <w:rPr>
          <w:rFonts w:ascii="Times New Roman" w:hAnsi="Times New Roman" w:cs="Times New Roman"/>
          <w:sz w:val="28"/>
          <w:szCs w:val="28"/>
        </w:rPr>
      </w:pPr>
      <w:r w:rsidRPr="007F5581">
        <w:rPr>
          <w:rFonts w:ascii="Times New Roman" w:hAnsi="Times New Roman" w:cs="Times New Roman"/>
          <w:sz w:val="28"/>
          <w:szCs w:val="28"/>
        </w:rPr>
        <w:t xml:space="preserve">The public may and cannot do explained, as is how the public can influence the planning process. There are numerous ways to inform the public early on. Effective public involvement requires a listening ear. These interactive technologies have been incorporated to assist ensure that information is </w:t>
      </w:r>
    </w:p>
    <w:p w14:paraId="1952ACC3" w14:textId="13BA7C8D" w:rsidR="00A74C01" w:rsidRDefault="00A74C01" w:rsidP="00A74C01">
      <w:pPr>
        <w:spacing w:line="480" w:lineRule="auto"/>
        <w:ind w:firstLine="720"/>
        <w:rPr>
          <w:rFonts w:ascii="Times New Roman" w:hAnsi="Times New Roman" w:cs="Times New Roman"/>
          <w:sz w:val="28"/>
          <w:szCs w:val="28"/>
        </w:rPr>
      </w:pPr>
      <w:r w:rsidRPr="005E6414">
        <w:rPr>
          <w:rFonts w:ascii="Times New Roman" w:eastAsia="TimesNewRomanPSMT" w:hAnsi="Times New Roman" w:cs="Times New Roman"/>
          <w:color w:val="000000" w:themeColor="text1"/>
          <w:sz w:val="28"/>
          <w:szCs w:val="28"/>
        </w:rPr>
        <w:lastRenderedPageBreak/>
        <w:t xml:space="preserve">STUDENT ID: 2029965                            </w:t>
      </w:r>
    </w:p>
    <w:p w14:paraId="56CD1213" w14:textId="77777777" w:rsidR="00A74C01" w:rsidRDefault="00A74C01" w:rsidP="007F5581">
      <w:pPr>
        <w:spacing w:line="480" w:lineRule="auto"/>
        <w:ind w:firstLine="720"/>
        <w:rPr>
          <w:rFonts w:ascii="Times New Roman" w:hAnsi="Times New Roman" w:cs="Times New Roman"/>
          <w:sz w:val="28"/>
          <w:szCs w:val="28"/>
        </w:rPr>
      </w:pPr>
    </w:p>
    <w:p w14:paraId="3E94C702" w14:textId="26063286" w:rsidR="007F5581" w:rsidRPr="007F5581" w:rsidRDefault="007F5581" w:rsidP="00A74C01">
      <w:pPr>
        <w:spacing w:line="480" w:lineRule="auto"/>
        <w:rPr>
          <w:rFonts w:ascii="Times New Roman" w:hAnsi="Times New Roman" w:cs="Times New Roman"/>
          <w:sz w:val="28"/>
          <w:szCs w:val="28"/>
        </w:rPr>
      </w:pPr>
      <w:r w:rsidRPr="007F5581">
        <w:rPr>
          <w:rFonts w:ascii="Times New Roman" w:hAnsi="Times New Roman" w:cs="Times New Roman"/>
          <w:sz w:val="28"/>
          <w:szCs w:val="28"/>
        </w:rPr>
        <w:t>educative, relevant, and trustworthy. "Did we get it right?" and "What did we miss?" Planners should consider the following while creating project objectives: Consider time, resources, history, and leadership. Encourage management buy-in by showcasing plan success. The "Taming Tactics" lecture presented many perspectives on planning procedures aspirations. Workshop organizers noted essential things to consider when designing processes. Since successful planning is a collaborative effort, planners should brag about their accomplishments. The objective is to foster collaboration among all parties. Planners must comprehend community goals. Planning is a collaborative endeavor, not an individual one. Innovate innovative concepts for the community's future. The objective is to make everyone feel welcome and engaged.</w:t>
      </w:r>
    </w:p>
    <w:p w14:paraId="6CA35F81" w14:textId="77777777" w:rsidR="007F5581" w:rsidRPr="007F5581" w:rsidRDefault="007F5581" w:rsidP="007F5581">
      <w:pPr>
        <w:pStyle w:val="ListParagraph"/>
        <w:spacing w:line="480" w:lineRule="auto"/>
        <w:rPr>
          <w:rFonts w:ascii="Times New Roman" w:hAnsi="Times New Roman" w:cs="Times New Roman"/>
          <w:sz w:val="28"/>
          <w:szCs w:val="28"/>
        </w:rPr>
      </w:pPr>
    </w:p>
    <w:p w14:paraId="5293D884" w14:textId="77777777" w:rsidR="007F5581" w:rsidRPr="007F5581" w:rsidRDefault="007F5581" w:rsidP="007F5581">
      <w:pPr>
        <w:spacing w:line="480" w:lineRule="auto"/>
        <w:rPr>
          <w:rFonts w:ascii="Times New Roman" w:hAnsi="Times New Roman" w:cs="Times New Roman"/>
          <w:sz w:val="28"/>
          <w:szCs w:val="28"/>
        </w:rPr>
      </w:pPr>
    </w:p>
    <w:p w14:paraId="0CE61526" w14:textId="77777777" w:rsidR="007F5581" w:rsidRPr="007F5581" w:rsidRDefault="007F5581" w:rsidP="007F5581">
      <w:pPr>
        <w:pStyle w:val="ListParagraph"/>
        <w:spacing w:line="480" w:lineRule="auto"/>
        <w:jc w:val="center"/>
        <w:rPr>
          <w:rFonts w:ascii="Times New Roman" w:hAnsi="Times New Roman" w:cs="Times New Roman"/>
          <w:sz w:val="28"/>
          <w:szCs w:val="28"/>
        </w:rPr>
      </w:pPr>
    </w:p>
    <w:p w14:paraId="328F0B18" w14:textId="77777777" w:rsidR="00667B03" w:rsidRDefault="00667B03" w:rsidP="007F5581">
      <w:pPr>
        <w:pStyle w:val="ListParagraph"/>
        <w:spacing w:line="480" w:lineRule="auto"/>
        <w:jc w:val="center"/>
        <w:rPr>
          <w:rFonts w:ascii="Times New Roman" w:hAnsi="Times New Roman" w:cs="Times New Roman"/>
          <w:sz w:val="28"/>
          <w:szCs w:val="28"/>
        </w:rPr>
      </w:pPr>
    </w:p>
    <w:p w14:paraId="630BF168" w14:textId="77777777" w:rsidR="00667B03" w:rsidRDefault="00667B03" w:rsidP="007F5581">
      <w:pPr>
        <w:pStyle w:val="ListParagraph"/>
        <w:spacing w:line="480" w:lineRule="auto"/>
        <w:jc w:val="center"/>
        <w:rPr>
          <w:rFonts w:ascii="Times New Roman" w:hAnsi="Times New Roman" w:cs="Times New Roman"/>
          <w:sz w:val="28"/>
          <w:szCs w:val="28"/>
        </w:rPr>
      </w:pPr>
    </w:p>
    <w:p w14:paraId="6675E7D3" w14:textId="544B66B6" w:rsidR="00667B03" w:rsidRDefault="00667B03" w:rsidP="00667B03">
      <w:pPr>
        <w:pStyle w:val="ListParagraph"/>
        <w:spacing w:line="480" w:lineRule="auto"/>
        <w:jc w:val="center"/>
        <w:rPr>
          <w:rFonts w:ascii="Times New Roman" w:hAnsi="Times New Roman" w:cs="Times New Roman"/>
          <w:sz w:val="28"/>
          <w:szCs w:val="28"/>
        </w:rPr>
      </w:pPr>
    </w:p>
    <w:p w14:paraId="1AC96A4E" w14:textId="42BFD071" w:rsidR="00667B03" w:rsidRPr="00667B03" w:rsidRDefault="00667B03" w:rsidP="00667B03">
      <w:pPr>
        <w:pStyle w:val="ListParagraph"/>
        <w:spacing w:line="480" w:lineRule="auto"/>
        <w:ind w:left="1440" w:hanging="720"/>
        <w:rPr>
          <w:rFonts w:ascii="Times New Roman" w:hAnsi="Times New Roman" w:cs="Times New Roman"/>
          <w:color w:val="222222"/>
          <w:sz w:val="28"/>
          <w:szCs w:val="28"/>
          <w:shd w:val="clear" w:color="auto" w:fill="FFFFFF"/>
        </w:rPr>
      </w:pPr>
      <w:r w:rsidRPr="005E6414">
        <w:rPr>
          <w:rFonts w:ascii="Times New Roman" w:eastAsia="TimesNewRomanPSMT" w:hAnsi="Times New Roman" w:cs="Times New Roman"/>
          <w:color w:val="000000" w:themeColor="text1"/>
          <w:sz w:val="28"/>
          <w:szCs w:val="28"/>
        </w:rPr>
        <w:lastRenderedPageBreak/>
        <w:t xml:space="preserve">STUDENT ID: 2029965                            </w:t>
      </w:r>
    </w:p>
    <w:p w14:paraId="1F0D0210" w14:textId="066639F0" w:rsidR="00A74C01" w:rsidRPr="00CA212C" w:rsidRDefault="007F5581" w:rsidP="00667B03">
      <w:pPr>
        <w:pStyle w:val="ListParagraph"/>
        <w:spacing w:line="480" w:lineRule="auto"/>
        <w:jc w:val="center"/>
        <w:rPr>
          <w:rFonts w:ascii="Times New Roman" w:hAnsi="Times New Roman" w:cs="Times New Roman"/>
          <w:b/>
          <w:bCs/>
          <w:sz w:val="28"/>
          <w:szCs w:val="28"/>
        </w:rPr>
      </w:pPr>
      <w:r w:rsidRPr="00CA212C">
        <w:rPr>
          <w:rFonts w:ascii="Times New Roman" w:hAnsi="Times New Roman" w:cs="Times New Roman"/>
          <w:b/>
          <w:bCs/>
          <w:sz w:val="28"/>
          <w:szCs w:val="28"/>
        </w:rPr>
        <w:t>References list</w:t>
      </w:r>
    </w:p>
    <w:p w14:paraId="5F6C83A4" w14:textId="77777777" w:rsidR="00A74C01" w:rsidRDefault="00A74C01" w:rsidP="007F5581">
      <w:pPr>
        <w:pStyle w:val="ListParagraph"/>
        <w:spacing w:line="480" w:lineRule="auto"/>
        <w:ind w:left="1440" w:hanging="720"/>
        <w:rPr>
          <w:rFonts w:ascii="Times New Roman" w:hAnsi="Times New Roman" w:cs="Times New Roman"/>
          <w:color w:val="222222"/>
          <w:sz w:val="28"/>
          <w:szCs w:val="28"/>
          <w:shd w:val="clear" w:color="auto" w:fill="FFFFFF"/>
        </w:rPr>
      </w:pPr>
    </w:p>
    <w:p w14:paraId="57F1070A" w14:textId="0C34C4BF" w:rsidR="007F5581" w:rsidRPr="007F5581" w:rsidRDefault="007F5581" w:rsidP="007F5581">
      <w:pPr>
        <w:pStyle w:val="ListParagraph"/>
        <w:spacing w:line="480" w:lineRule="auto"/>
        <w:ind w:left="1440" w:hanging="720"/>
        <w:rPr>
          <w:rFonts w:ascii="Times New Roman" w:hAnsi="Times New Roman" w:cs="Times New Roman"/>
          <w:color w:val="222222"/>
          <w:sz w:val="28"/>
          <w:szCs w:val="28"/>
          <w:shd w:val="clear" w:color="auto" w:fill="FFFFFF"/>
        </w:rPr>
      </w:pPr>
      <w:r w:rsidRPr="007F5581">
        <w:rPr>
          <w:rFonts w:ascii="Times New Roman" w:hAnsi="Times New Roman" w:cs="Times New Roman"/>
          <w:color w:val="222222"/>
          <w:sz w:val="28"/>
          <w:szCs w:val="28"/>
          <w:shd w:val="clear" w:color="auto" w:fill="FFFFFF"/>
        </w:rPr>
        <w:t>Adhikari, B., Pell, C. and Cheah, P.Y., 2020. Community engagement and ethical global health research. Global Bioethics, 31(1), pp.1-12.</w:t>
      </w:r>
    </w:p>
    <w:p w14:paraId="54A7E811" w14:textId="77777777" w:rsidR="007F5581" w:rsidRPr="007F5581" w:rsidRDefault="007F5581" w:rsidP="007F5581">
      <w:pPr>
        <w:pStyle w:val="ListParagraph"/>
        <w:spacing w:line="480" w:lineRule="auto"/>
        <w:ind w:left="1440" w:hanging="720"/>
        <w:rPr>
          <w:rFonts w:ascii="Times New Roman" w:hAnsi="Times New Roman" w:cs="Times New Roman"/>
          <w:color w:val="222222"/>
          <w:sz w:val="28"/>
          <w:szCs w:val="28"/>
          <w:shd w:val="clear" w:color="auto" w:fill="FFFFFF"/>
        </w:rPr>
      </w:pPr>
      <w:r w:rsidRPr="007F5581">
        <w:rPr>
          <w:rFonts w:ascii="Times New Roman" w:hAnsi="Times New Roman" w:cs="Times New Roman"/>
          <w:color w:val="222222"/>
          <w:sz w:val="28"/>
          <w:szCs w:val="28"/>
          <w:shd w:val="clear" w:color="auto" w:fill="FFFFFF"/>
        </w:rPr>
        <w:t xml:space="preserve">Brabham, P., Manju, M., Thomas, H., Farr, G., Francis, R., </w:t>
      </w:r>
      <w:proofErr w:type="spellStart"/>
      <w:r w:rsidRPr="007F5581">
        <w:rPr>
          <w:rFonts w:ascii="Times New Roman" w:hAnsi="Times New Roman" w:cs="Times New Roman"/>
          <w:color w:val="222222"/>
          <w:sz w:val="28"/>
          <w:szCs w:val="28"/>
          <w:shd w:val="clear" w:color="auto" w:fill="FFFFFF"/>
        </w:rPr>
        <w:t>Sahid</w:t>
      </w:r>
      <w:proofErr w:type="spellEnd"/>
      <w:r w:rsidRPr="007F5581">
        <w:rPr>
          <w:rFonts w:ascii="Times New Roman" w:hAnsi="Times New Roman" w:cs="Times New Roman"/>
          <w:color w:val="222222"/>
          <w:sz w:val="28"/>
          <w:szCs w:val="28"/>
          <w:shd w:val="clear" w:color="auto" w:fill="FFFFFF"/>
        </w:rPr>
        <w:t xml:space="preserve">, R. and </w:t>
      </w:r>
      <w:proofErr w:type="spellStart"/>
      <w:r w:rsidRPr="007F5581">
        <w:rPr>
          <w:rFonts w:ascii="Times New Roman" w:hAnsi="Times New Roman" w:cs="Times New Roman"/>
          <w:color w:val="222222"/>
          <w:sz w:val="28"/>
          <w:szCs w:val="28"/>
          <w:shd w:val="clear" w:color="auto" w:fill="FFFFFF"/>
        </w:rPr>
        <w:t>Sadasivam</w:t>
      </w:r>
      <w:proofErr w:type="spellEnd"/>
      <w:r w:rsidRPr="007F5581">
        <w:rPr>
          <w:rFonts w:ascii="Times New Roman" w:hAnsi="Times New Roman" w:cs="Times New Roman"/>
          <w:color w:val="222222"/>
          <w:sz w:val="28"/>
          <w:szCs w:val="28"/>
          <w:shd w:val="clear" w:color="auto" w:fill="FFFFFF"/>
        </w:rPr>
        <w:t xml:space="preserve">, S., 2020. The potential use of mine water for a district heating scheme at </w:t>
      </w:r>
      <w:proofErr w:type="spellStart"/>
      <w:r w:rsidRPr="007F5581">
        <w:rPr>
          <w:rFonts w:ascii="Times New Roman" w:hAnsi="Times New Roman" w:cs="Times New Roman"/>
          <w:color w:val="222222"/>
          <w:sz w:val="28"/>
          <w:szCs w:val="28"/>
          <w:shd w:val="clear" w:color="auto" w:fill="FFFFFF"/>
        </w:rPr>
        <w:t>Caerau</w:t>
      </w:r>
      <w:proofErr w:type="spellEnd"/>
      <w:r w:rsidRPr="007F5581">
        <w:rPr>
          <w:rFonts w:ascii="Times New Roman" w:hAnsi="Times New Roman" w:cs="Times New Roman"/>
          <w:color w:val="222222"/>
          <w:sz w:val="28"/>
          <w:szCs w:val="28"/>
          <w:shd w:val="clear" w:color="auto" w:fill="FFFFFF"/>
        </w:rPr>
        <w:t xml:space="preserve">, Upper </w:t>
      </w:r>
      <w:proofErr w:type="spellStart"/>
      <w:r w:rsidRPr="007F5581">
        <w:rPr>
          <w:rFonts w:ascii="Times New Roman" w:hAnsi="Times New Roman" w:cs="Times New Roman"/>
          <w:color w:val="222222"/>
          <w:sz w:val="28"/>
          <w:szCs w:val="28"/>
          <w:shd w:val="clear" w:color="auto" w:fill="FFFFFF"/>
        </w:rPr>
        <w:t>Llynfi</w:t>
      </w:r>
      <w:proofErr w:type="spellEnd"/>
      <w:r w:rsidRPr="007F5581">
        <w:rPr>
          <w:rFonts w:ascii="Times New Roman" w:hAnsi="Times New Roman" w:cs="Times New Roman"/>
          <w:color w:val="222222"/>
          <w:sz w:val="28"/>
          <w:szCs w:val="28"/>
          <w:shd w:val="clear" w:color="auto" w:fill="FFFFFF"/>
        </w:rPr>
        <w:t xml:space="preserve"> valley, South Wales, UK. Quarterly Journal of Engineering Geology and Hydrogeology, 53(1), pp.145-158.</w:t>
      </w:r>
    </w:p>
    <w:p w14:paraId="487EC16C" w14:textId="77777777" w:rsidR="007F5581" w:rsidRPr="007F5581" w:rsidRDefault="007F5581" w:rsidP="007F5581">
      <w:pPr>
        <w:pStyle w:val="ListParagraph"/>
        <w:spacing w:line="480" w:lineRule="auto"/>
        <w:ind w:left="1440" w:hanging="720"/>
        <w:rPr>
          <w:rFonts w:ascii="Times New Roman" w:hAnsi="Times New Roman" w:cs="Times New Roman"/>
          <w:color w:val="222222"/>
          <w:sz w:val="28"/>
          <w:szCs w:val="28"/>
          <w:shd w:val="clear" w:color="auto" w:fill="FFFFFF"/>
        </w:rPr>
      </w:pPr>
      <w:r w:rsidRPr="007F5581">
        <w:rPr>
          <w:rFonts w:ascii="Times New Roman" w:hAnsi="Times New Roman" w:cs="Times New Roman"/>
          <w:color w:val="222222"/>
          <w:sz w:val="28"/>
          <w:szCs w:val="28"/>
          <w:shd w:val="clear" w:color="auto" w:fill="FFFFFF"/>
        </w:rPr>
        <w:t xml:space="preserve">Chesney, C., Casado Bolaños, N., </w:t>
      </w:r>
      <w:proofErr w:type="spellStart"/>
      <w:r w:rsidRPr="007F5581">
        <w:rPr>
          <w:rFonts w:ascii="Times New Roman" w:hAnsi="Times New Roman" w:cs="Times New Roman"/>
          <w:color w:val="222222"/>
          <w:sz w:val="28"/>
          <w:szCs w:val="28"/>
          <w:shd w:val="clear" w:color="auto" w:fill="FFFFFF"/>
        </w:rPr>
        <w:t>Kanneh</w:t>
      </w:r>
      <w:proofErr w:type="spellEnd"/>
      <w:r w:rsidRPr="007F5581">
        <w:rPr>
          <w:rFonts w:ascii="Times New Roman" w:hAnsi="Times New Roman" w:cs="Times New Roman"/>
          <w:color w:val="222222"/>
          <w:sz w:val="28"/>
          <w:szCs w:val="28"/>
          <w:shd w:val="clear" w:color="auto" w:fill="FFFFFF"/>
        </w:rPr>
        <w:t xml:space="preserve">, B.A., </w:t>
      </w:r>
      <w:proofErr w:type="spellStart"/>
      <w:r w:rsidRPr="007F5581">
        <w:rPr>
          <w:rFonts w:ascii="Times New Roman" w:hAnsi="Times New Roman" w:cs="Times New Roman"/>
          <w:color w:val="222222"/>
          <w:sz w:val="28"/>
          <w:szCs w:val="28"/>
          <w:shd w:val="clear" w:color="auto" w:fill="FFFFFF"/>
        </w:rPr>
        <w:t>Sillah</w:t>
      </w:r>
      <w:proofErr w:type="spellEnd"/>
      <w:r w:rsidRPr="007F5581">
        <w:rPr>
          <w:rFonts w:ascii="Times New Roman" w:hAnsi="Times New Roman" w:cs="Times New Roman"/>
          <w:color w:val="222222"/>
          <w:sz w:val="28"/>
          <w:szCs w:val="28"/>
          <w:shd w:val="clear" w:color="auto" w:fill="FFFFFF"/>
        </w:rPr>
        <w:t xml:space="preserve">, E., </w:t>
      </w:r>
      <w:proofErr w:type="spellStart"/>
      <w:r w:rsidRPr="007F5581">
        <w:rPr>
          <w:rFonts w:ascii="Times New Roman" w:hAnsi="Times New Roman" w:cs="Times New Roman"/>
          <w:color w:val="222222"/>
          <w:sz w:val="28"/>
          <w:szCs w:val="28"/>
          <w:shd w:val="clear" w:color="auto" w:fill="FFFFFF"/>
        </w:rPr>
        <w:t>Amarasekaran</w:t>
      </w:r>
      <w:proofErr w:type="spellEnd"/>
      <w:r w:rsidRPr="007F5581">
        <w:rPr>
          <w:rFonts w:ascii="Times New Roman" w:hAnsi="Times New Roman" w:cs="Times New Roman"/>
          <w:color w:val="222222"/>
          <w:sz w:val="28"/>
          <w:szCs w:val="28"/>
          <w:shd w:val="clear" w:color="auto" w:fill="FFFFFF"/>
        </w:rPr>
        <w:t xml:space="preserve">, B. and </w:t>
      </w:r>
      <w:proofErr w:type="spellStart"/>
      <w:r w:rsidRPr="007F5581">
        <w:rPr>
          <w:rFonts w:ascii="Times New Roman" w:hAnsi="Times New Roman" w:cs="Times New Roman"/>
          <w:color w:val="222222"/>
          <w:sz w:val="28"/>
          <w:szCs w:val="28"/>
          <w:shd w:val="clear" w:color="auto" w:fill="FFFFFF"/>
        </w:rPr>
        <w:t>Garriga</w:t>
      </w:r>
      <w:proofErr w:type="spellEnd"/>
      <w:r w:rsidRPr="007F5581">
        <w:rPr>
          <w:rFonts w:ascii="Times New Roman" w:hAnsi="Times New Roman" w:cs="Times New Roman"/>
          <w:color w:val="222222"/>
          <w:sz w:val="28"/>
          <w:szCs w:val="28"/>
          <w:shd w:val="clear" w:color="auto" w:fill="FFFFFF"/>
        </w:rPr>
        <w:t xml:space="preserve">, R.M., 2021. </w:t>
      </w:r>
      <w:proofErr w:type="spellStart"/>
      <w:r w:rsidRPr="007F5581">
        <w:rPr>
          <w:rFonts w:ascii="Times New Roman" w:hAnsi="Times New Roman" w:cs="Times New Roman"/>
          <w:color w:val="222222"/>
          <w:sz w:val="28"/>
          <w:szCs w:val="28"/>
          <w:shd w:val="clear" w:color="auto" w:fill="FFFFFF"/>
        </w:rPr>
        <w:t>Mobonda</w:t>
      </w:r>
      <w:proofErr w:type="spellEnd"/>
      <w:r w:rsidRPr="007F5581">
        <w:rPr>
          <w:rFonts w:ascii="Times New Roman" w:hAnsi="Times New Roman" w:cs="Times New Roman"/>
          <w:color w:val="222222"/>
          <w:sz w:val="28"/>
          <w:szCs w:val="28"/>
          <w:shd w:val="clear" w:color="auto" w:fill="FFFFFF"/>
        </w:rPr>
        <w:t xml:space="preserve"> Community Conservation Project: Chimpanzees, oysters, and community engagement in Sierra Leone. American Journal of Primatology, 83(4), p.e23219.</w:t>
      </w:r>
    </w:p>
    <w:p w14:paraId="16DAB500" w14:textId="17C4D01D" w:rsidR="00667B03" w:rsidRPr="00667B03" w:rsidRDefault="007F5581" w:rsidP="00667B03">
      <w:pPr>
        <w:pStyle w:val="ListParagraph"/>
        <w:spacing w:line="480" w:lineRule="auto"/>
        <w:ind w:left="1440" w:hanging="720"/>
        <w:rPr>
          <w:rFonts w:ascii="Times New Roman" w:hAnsi="Times New Roman" w:cs="Times New Roman"/>
          <w:color w:val="222222"/>
          <w:sz w:val="28"/>
          <w:szCs w:val="28"/>
          <w:shd w:val="clear" w:color="auto" w:fill="FFFFFF"/>
        </w:rPr>
      </w:pPr>
      <w:r w:rsidRPr="007F5581">
        <w:rPr>
          <w:rFonts w:ascii="Times New Roman" w:hAnsi="Times New Roman" w:cs="Times New Roman"/>
          <w:color w:val="222222"/>
          <w:sz w:val="28"/>
          <w:szCs w:val="28"/>
          <w:shd w:val="clear" w:color="auto" w:fill="FFFFFF"/>
        </w:rPr>
        <w:t xml:space="preserve">de </w:t>
      </w:r>
      <w:proofErr w:type="spellStart"/>
      <w:r w:rsidRPr="007F5581">
        <w:rPr>
          <w:rFonts w:ascii="Times New Roman" w:hAnsi="Times New Roman" w:cs="Times New Roman"/>
          <w:color w:val="222222"/>
          <w:sz w:val="28"/>
          <w:szCs w:val="28"/>
          <w:shd w:val="clear" w:color="auto" w:fill="FFFFFF"/>
        </w:rPr>
        <w:t>Forcrand</w:t>
      </w:r>
      <w:proofErr w:type="spellEnd"/>
      <w:r w:rsidRPr="007F5581">
        <w:rPr>
          <w:rFonts w:ascii="Times New Roman" w:hAnsi="Times New Roman" w:cs="Times New Roman"/>
          <w:color w:val="222222"/>
          <w:sz w:val="28"/>
          <w:szCs w:val="28"/>
          <w:shd w:val="clear" w:color="auto" w:fill="FFFFFF"/>
        </w:rPr>
        <w:t xml:space="preserve">, C., Flannery, M., Cho, J., </w:t>
      </w:r>
      <w:proofErr w:type="spellStart"/>
      <w:r w:rsidRPr="007F5581">
        <w:rPr>
          <w:rFonts w:ascii="Times New Roman" w:hAnsi="Times New Roman" w:cs="Times New Roman"/>
          <w:color w:val="222222"/>
          <w:sz w:val="28"/>
          <w:szCs w:val="28"/>
          <w:shd w:val="clear" w:color="auto" w:fill="FFFFFF"/>
        </w:rPr>
        <w:t>Pidatala</w:t>
      </w:r>
      <w:proofErr w:type="spellEnd"/>
      <w:r w:rsidRPr="007F5581">
        <w:rPr>
          <w:rFonts w:ascii="Times New Roman" w:hAnsi="Times New Roman" w:cs="Times New Roman"/>
          <w:color w:val="222222"/>
          <w:sz w:val="28"/>
          <w:szCs w:val="28"/>
          <w:shd w:val="clear" w:color="auto" w:fill="FFFFFF"/>
        </w:rPr>
        <w:t>, N.R., Batra, R., Booker-</w:t>
      </w:r>
      <w:proofErr w:type="spellStart"/>
      <w:r w:rsidRPr="007F5581">
        <w:rPr>
          <w:rFonts w:ascii="Times New Roman" w:hAnsi="Times New Roman" w:cs="Times New Roman"/>
          <w:color w:val="222222"/>
          <w:sz w:val="28"/>
          <w:szCs w:val="28"/>
          <w:shd w:val="clear" w:color="auto" w:fill="FFFFFF"/>
        </w:rPr>
        <w:t>Vaughns</w:t>
      </w:r>
      <w:proofErr w:type="spellEnd"/>
      <w:r w:rsidRPr="007F5581">
        <w:rPr>
          <w:rFonts w:ascii="Times New Roman" w:hAnsi="Times New Roman" w:cs="Times New Roman"/>
          <w:color w:val="222222"/>
          <w:sz w:val="28"/>
          <w:szCs w:val="28"/>
          <w:shd w:val="clear" w:color="auto" w:fill="FFFFFF"/>
        </w:rPr>
        <w:t xml:space="preserve">, J., Chan, G.K., Dunn, P., Galvin, R., Hopkins, E. and Isaacs, E.D., 2021. Pragmatic considerations in incorporating </w:t>
      </w:r>
    </w:p>
    <w:p w14:paraId="4A317FA6" w14:textId="2493D05D" w:rsidR="00A74C01" w:rsidRPr="00667B03" w:rsidRDefault="007F5581" w:rsidP="00667B03">
      <w:pPr>
        <w:pStyle w:val="ListParagraph"/>
        <w:spacing w:line="480" w:lineRule="auto"/>
        <w:ind w:left="1440" w:hanging="720"/>
        <w:rPr>
          <w:rFonts w:ascii="Times New Roman" w:hAnsi="Times New Roman" w:cs="Times New Roman"/>
          <w:sz w:val="28"/>
          <w:szCs w:val="28"/>
        </w:rPr>
      </w:pPr>
      <w:r w:rsidRPr="007F5581">
        <w:rPr>
          <w:rFonts w:ascii="Times New Roman" w:hAnsi="Times New Roman" w:cs="Times New Roman"/>
          <w:color w:val="222222"/>
          <w:sz w:val="28"/>
          <w:szCs w:val="28"/>
          <w:shd w:val="clear" w:color="auto" w:fill="FFFFFF"/>
        </w:rPr>
        <w:t>stakeholder engagement into a palliative care transitions study. Medical Care, 59(8 Suppl 4), p.S370.</w:t>
      </w:r>
    </w:p>
    <w:p w14:paraId="467589DD" w14:textId="77777777" w:rsidR="00667B03" w:rsidRDefault="00667B03" w:rsidP="007F5581">
      <w:pPr>
        <w:pStyle w:val="ListParagraph"/>
        <w:spacing w:line="480" w:lineRule="auto"/>
        <w:ind w:left="1440" w:hanging="720"/>
        <w:rPr>
          <w:rFonts w:ascii="Times New Roman" w:hAnsi="Times New Roman" w:cs="Times New Roman"/>
          <w:color w:val="222222"/>
          <w:sz w:val="28"/>
          <w:szCs w:val="28"/>
          <w:shd w:val="clear" w:color="auto" w:fill="FFFFFF"/>
        </w:rPr>
      </w:pPr>
    </w:p>
    <w:p w14:paraId="3E683B4F" w14:textId="77777777" w:rsidR="00667B03" w:rsidRDefault="00667B03" w:rsidP="00667B03">
      <w:pPr>
        <w:pStyle w:val="ListParagraph"/>
        <w:spacing w:line="480" w:lineRule="auto"/>
        <w:ind w:left="1440" w:hanging="720"/>
        <w:rPr>
          <w:rFonts w:ascii="Times New Roman" w:hAnsi="Times New Roman" w:cs="Times New Roman"/>
          <w:color w:val="222222"/>
          <w:sz w:val="28"/>
          <w:szCs w:val="28"/>
          <w:shd w:val="clear" w:color="auto" w:fill="FFFFFF"/>
        </w:rPr>
      </w:pPr>
      <w:r w:rsidRPr="005E6414">
        <w:rPr>
          <w:rFonts w:ascii="Times New Roman" w:eastAsia="TimesNewRomanPSMT" w:hAnsi="Times New Roman" w:cs="Times New Roman"/>
          <w:color w:val="000000" w:themeColor="text1"/>
          <w:sz w:val="28"/>
          <w:szCs w:val="28"/>
        </w:rPr>
        <w:lastRenderedPageBreak/>
        <w:t xml:space="preserve">STUDENT ID: 2029965                            </w:t>
      </w:r>
    </w:p>
    <w:p w14:paraId="1C27D021" w14:textId="77777777" w:rsidR="00667B03" w:rsidRDefault="00667B03" w:rsidP="007F5581">
      <w:pPr>
        <w:pStyle w:val="ListParagraph"/>
        <w:spacing w:line="480" w:lineRule="auto"/>
        <w:ind w:left="1440" w:hanging="720"/>
        <w:rPr>
          <w:rFonts w:ascii="Times New Roman" w:hAnsi="Times New Roman" w:cs="Times New Roman"/>
          <w:color w:val="222222"/>
          <w:sz w:val="28"/>
          <w:szCs w:val="28"/>
          <w:shd w:val="clear" w:color="auto" w:fill="FFFFFF"/>
        </w:rPr>
      </w:pPr>
    </w:p>
    <w:p w14:paraId="41FD43B2" w14:textId="2636B76E" w:rsidR="007F5581" w:rsidRPr="007F5581" w:rsidRDefault="007F5581" w:rsidP="007F5581">
      <w:pPr>
        <w:pStyle w:val="ListParagraph"/>
        <w:spacing w:line="480" w:lineRule="auto"/>
        <w:ind w:left="1440" w:hanging="720"/>
        <w:rPr>
          <w:rFonts w:ascii="Times New Roman" w:hAnsi="Times New Roman" w:cs="Times New Roman"/>
          <w:color w:val="222222"/>
          <w:sz w:val="28"/>
          <w:szCs w:val="28"/>
          <w:shd w:val="clear" w:color="auto" w:fill="FFFFFF"/>
        </w:rPr>
      </w:pPr>
      <w:r w:rsidRPr="007F5581">
        <w:rPr>
          <w:rFonts w:ascii="Times New Roman" w:hAnsi="Times New Roman" w:cs="Times New Roman"/>
          <w:color w:val="222222"/>
          <w:sz w:val="28"/>
          <w:szCs w:val="28"/>
          <w:shd w:val="clear" w:color="auto" w:fill="FFFFFF"/>
        </w:rPr>
        <w:t xml:space="preserve">Everett, G., </w:t>
      </w:r>
      <w:proofErr w:type="spellStart"/>
      <w:r w:rsidRPr="007F5581">
        <w:rPr>
          <w:rFonts w:ascii="Times New Roman" w:hAnsi="Times New Roman" w:cs="Times New Roman"/>
          <w:color w:val="222222"/>
          <w:sz w:val="28"/>
          <w:szCs w:val="28"/>
          <w:shd w:val="clear" w:color="auto" w:fill="FFFFFF"/>
        </w:rPr>
        <w:t>Adekola</w:t>
      </w:r>
      <w:proofErr w:type="spellEnd"/>
      <w:r w:rsidRPr="007F5581">
        <w:rPr>
          <w:rFonts w:ascii="Times New Roman" w:hAnsi="Times New Roman" w:cs="Times New Roman"/>
          <w:color w:val="222222"/>
          <w:sz w:val="28"/>
          <w:szCs w:val="28"/>
          <w:shd w:val="clear" w:color="auto" w:fill="FFFFFF"/>
        </w:rPr>
        <w:t>, O. and Lamond, J., 2021. Developing a blue-green infrastructure (BGI) community engagement framework template. URBAN DESIGN International, pp.1-17.</w:t>
      </w:r>
    </w:p>
    <w:p w14:paraId="2C1AE632" w14:textId="77777777" w:rsidR="007F5581" w:rsidRPr="007F5581" w:rsidRDefault="007F5581" w:rsidP="007F5581">
      <w:pPr>
        <w:pStyle w:val="ListParagraph"/>
        <w:spacing w:line="480" w:lineRule="auto"/>
        <w:ind w:left="1440" w:hanging="720"/>
        <w:rPr>
          <w:rFonts w:ascii="Times New Roman" w:hAnsi="Times New Roman" w:cs="Times New Roman"/>
          <w:color w:val="222222"/>
          <w:sz w:val="28"/>
          <w:szCs w:val="28"/>
          <w:shd w:val="clear" w:color="auto" w:fill="FFFFFF"/>
        </w:rPr>
      </w:pPr>
      <w:proofErr w:type="spellStart"/>
      <w:r w:rsidRPr="007F5581">
        <w:rPr>
          <w:rFonts w:ascii="Times New Roman" w:hAnsi="Times New Roman" w:cs="Times New Roman"/>
          <w:color w:val="222222"/>
          <w:sz w:val="28"/>
          <w:szCs w:val="28"/>
          <w:shd w:val="clear" w:color="auto" w:fill="FFFFFF"/>
        </w:rPr>
        <w:t>Gyamera</w:t>
      </w:r>
      <w:proofErr w:type="spellEnd"/>
      <w:r w:rsidRPr="007F5581">
        <w:rPr>
          <w:rFonts w:ascii="Times New Roman" w:hAnsi="Times New Roman" w:cs="Times New Roman"/>
          <w:color w:val="222222"/>
          <w:sz w:val="28"/>
          <w:szCs w:val="28"/>
          <w:shd w:val="clear" w:color="auto" w:fill="FFFFFF"/>
        </w:rPr>
        <w:t xml:space="preserve">, G.O. and </w:t>
      </w:r>
      <w:proofErr w:type="spellStart"/>
      <w:r w:rsidRPr="007F5581">
        <w:rPr>
          <w:rFonts w:ascii="Times New Roman" w:hAnsi="Times New Roman" w:cs="Times New Roman"/>
          <w:color w:val="222222"/>
          <w:sz w:val="28"/>
          <w:szCs w:val="28"/>
          <w:shd w:val="clear" w:color="auto" w:fill="FFFFFF"/>
        </w:rPr>
        <w:t>Debrah</w:t>
      </w:r>
      <w:proofErr w:type="spellEnd"/>
      <w:r w:rsidRPr="007F5581">
        <w:rPr>
          <w:rFonts w:ascii="Times New Roman" w:hAnsi="Times New Roman" w:cs="Times New Roman"/>
          <w:color w:val="222222"/>
          <w:sz w:val="28"/>
          <w:szCs w:val="28"/>
          <w:shd w:val="clear" w:color="auto" w:fill="FFFFFF"/>
        </w:rPr>
        <w:t xml:space="preserve">, I., 2021. </w:t>
      </w:r>
      <w:proofErr w:type="spellStart"/>
      <w:r w:rsidRPr="007F5581">
        <w:rPr>
          <w:rFonts w:ascii="Times New Roman" w:hAnsi="Times New Roman" w:cs="Times New Roman"/>
          <w:color w:val="222222"/>
          <w:sz w:val="28"/>
          <w:szCs w:val="28"/>
          <w:shd w:val="clear" w:color="auto" w:fill="FFFFFF"/>
        </w:rPr>
        <w:t>Utilising</w:t>
      </w:r>
      <w:proofErr w:type="spellEnd"/>
      <w:r w:rsidRPr="007F5581">
        <w:rPr>
          <w:rFonts w:ascii="Times New Roman" w:hAnsi="Times New Roman" w:cs="Times New Roman"/>
          <w:color w:val="222222"/>
          <w:sz w:val="28"/>
          <w:szCs w:val="28"/>
          <w:shd w:val="clear" w:color="auto" w:fill="FFFFFF"/>
        </w:rPr>
        <w:t xml:space="preserve"> university community engagement as a critical tool for global citizenship. Compare: A Journal of Comparative and International Education, pp.1-19.</w:t>
      </w:r>
    </w:p>
    <w:p w14:paraId="1EFDE089" w14:textId="77777777" w:rsidR="007F5581" w:rsidRPr="007F5581" w:rsidRDefault="007F5581" w:rsidP="007F5581">
      <w:pPr>
        <w:pStyle w:val="ListParagraph"/>
        <w:spacing w:line="480" w:lineRule="auto"/>
        <w:ind w:left="1440" w:hanging="720"/>
        <w:rPr>
          <w:rFonts w:ascii="Times New Roman" w:hAnsi="Times New Roman" w:cs="Times New Roman"/>
          <w:color w:val="222222"/>
          <w:sz w:val="28"/>
          <w:szCs w:val="28"/>
          <w:shd w:val="clear" w:color="auto" w:fill="FFFFFF"/>
        </w:rPr>
      </w:pPr>
      <w:r w:rsidRPr="007F5581">
        <w:rPr>
          <w:rFonts w:ascii="Times New Roman" w:hAnsi="Times New Roman" w:cs="Times New Roman"/>
          <w:color w:val="222222"/>
          <w:sz w:val="28"/>
          <w:szCs w:val="28"/>
          <w:shd w:val="clear" w:color="auto" w:fill="FFFFFF"/>
        </w:rPr>
        <w:t>Henderson, F., Steiner, A., Farmer, J. and Whittam, G., 2020. Challenges of community engagement in a rural area: The impact of flood protection and policy. Journal of Rural Studies, 73(June 2019), pp.225-233.</w:t>
      </w:r>
    </w:p>
    <w:p w14:paraId="0C9BAF7B" w14:textId="77777777" w:rsidR="007F5581" w:rsidRPr="007F5581" w:rsidRDefault="007F5581" w:rsidP="007F5581">
      <w:pPr>
        <w:pStyle w:val="ListParagraph"/>
        <w:spacing w:line="480" w:lineRule="auto"/>
        <w:ind w:left="1440" w:hanging="720"/>
        <w:rPr>
          <w:rFonts w:ascii="Times New Roman" w:hAnsi="Times New Roman" w:cs="Times New Roman"/>
          <w:color w:val="222222"/>
          <w:sz w:val="28"/>
          <w:szCs w:val="28"/>
          <w:shd w:val="clear" w:color="auto" w:fill="FFFFFF"/>
        </w:rPr>
      </w:pPr>
      <w:r w:rsidRPr="007F5581">
        <w:rPr>
          <w:rFonts w:ascii="Times New Roman" w:hAnsi="Times New Roman" w:cs="Times New Roman"/>
          <w:color w:val="222222"/>
          <w:sz w:val="28"/>
          <w:szCs w:val="28"/>
          <w:shd w:val="clear" w:color="auto" w:fill="FFFFFF"/>
        </w:rPr>
        <w:t xml:space="preserve">Koh, H.L. and </w:t>
      </w:r>
      <w:proofErr w:type="spellStart"/>
      <w:r w:rsidRPr="007F5581">
        <w:rPr>
          <w:rFonts w:ascii="Times New Roman" w:hAnsi="Times New Roman" w:cs="Times New Roman"/>
          <w:color w:val="222222"/>
          <w:sz w:val="28"/>
          <w:szCs w:val="28"/>
          <w:shd w:val="clear" w:color="auto" w:fill="FFFFFF"/>
        </w:rPr>
        <w:t>Teh</w:t>
      </w:r>
      <w:proofErr w:type="spellEnd"/>
      <w:r w:rsidRPr="007F5581">
        <w:rPr>
          <w:rFonts w:ascii="Times New Roman" w:hAnsi="Times New Roman" w:cs="Times New Roman"/>
          <w:color w:val="222222"/>
          <w:sz w:val="28"/>
          <w:szCs w:val="28"/>
          <w:shd w:val="clear" w:color="auto" w:fill="FFFFFF"/>
        </w:rPr>
        <w:t>, S.Y., 2020. University and Community Engagement: Toward Transformational Sustainability-Focused Problem Solving. In Universities and Sustainable Communities: Meeting the Goals of the Agenda 2030 (pp. 791-804). Springer, Cham.</w:t>
      </w:r>
    </w:p>
    <w:p w14:paraId="012662AD" w14:textId="274E968F" w:rsidR="00667B03" w:rsidRPr="00667B03" w:rsidRDefault="007F5581" w:rsidP="00667B03">
      <w:pPr>
        <w:pStyle w:val="ListParagraph"/>
        <w:spacing w:line="480" w:lineRule="auto"/>
        <w:ind w:left="1440" w:hanging="720"/>
        <w:rPr>
          <w:rFonts w:ascii="Times New Roman" w:hAnsi="Times New Roman" w:cs="Times New Roman"/>
          <w:color w:val="222222"/>
          <w:sz w:val="28"/>
          <w:szCs w:val="28"/>
          <w:shd w:val="clear" w:color="auto" w:fill="FFFFFF"/>
        </w:rPr>
      </w:pPr>
      <w:r w:rsidRPr="007F5581">
        <w:rPr>
          <w:rFonts w:ascii="Times New Roman" w:hAnsi="Times New Roman" w:cs="Times New Roman"/>
          <w:color w:val="222222"/>
          <w:sz w:val="28"/>
          <w:szCs w:val="28"/>
          <w:shd w:val="clear" w:color="auto" w:fill="FFFFFF"/>
        </w:rPr>
        <w:t xml:space="preserve">König, H.J., </w:t>
      </w:r>
      <w:proofErr w:type="spellStart"/>
      <w:r w:rsidRPr="007F5581">
        <w:rPr>
          <w:rFonts w:ascii="Times New Roman" w:hAnsi="Times New Roman" w:cs="Times New Roman"/>
          <w:color w:val="222222"/>
          <w:sz w:val="28"/>
          <w:szCs w:val="28"/>
          <w:shd w:val="clear" w:color="auto" w:fill="FFFFFF"/>
        </w:rPr>
        <w:t>Ceaușu</w:t>
      </w:r>
      <w:proofErr w:type="spellEnd"/>
      <w:r w:rsidRPr="007F5581">
        <w:rPr>
          <w:rFonts w:ascii="Times New Roman" w:hAnsi="Times New Roman" w:cs="Times New Roman"/>
          <w:color w:val="222222"/>
          <w:sz w:val="28"/>
          <w:szCs w:val="28"/>
          <w:shd w:val="clear" w:color="auto" w:fill="FFFFFF"/>
        </w:rPr>
        <w:t xml:space="preserve">, S., Reed, M., Kendall, H., </w:t>
      </w:r>
      <w:proofErr w:type="spellStart"/>
      <w:r w:rsidRPr="007F5581">
        <w:rPr>
          <w:rFonts w:ascii="Times New Roman" w:hAnsi="Times New Roman" w:cs="Times New Roman"/>
          <w:color w:val="222222"/>
          <w:sz w:val="28"/>
          <w:szCs w:val="28"/>
          <w:shd w:val="clear" w:color="auto" w:fill="FFFFFF"/>
        </w:rPr>
        <w:t>Hemminger</w:t>
      </w:r>
      <w:proofErr w:type="spellEnd"/>
      <w:r w:rsidRPr="007F5581">
        <w:rPr>
          <w:rFonts w:ascii="Times New Roman" w:hAnsi="Times New Roman" w:cs="Times New Roman"/>
          <w:color w:val="222222"/>
          <w:sz w:val="28"/>
          <w:szCs w:val="28"/>
          <w:shd w:val="clear" w:color="auto" w:fill="FFFFFF"/>
        </w:rPr>
        <w:t xml:space="preserve">, K., Reinke, H., Ostermann‐Miyashita, E.F., Wenz, E., Eufemia, L., </w:t>
      </w:r>
      <w:proofErr w:type="spellStart"/>
      <w:r w:rsidRPr="007F5581">
        <w:rPr>
          <w:rFonts w:ascii="Times New Roman" w:hAnsi="Times New Roman" w:cs="Times New Roman"/>
          <w:color w:val="222222"/>
          <w:sz w:val="28"/>
          <w:szCs w:val="28"/>
          <w:shd w:val="clear" w:color="auto" w:fill="FFFFFF"/>
        </w:rPr>
        <w:t>Hermanns</w:t>
      </w:r>
      <w:proofErr w:type="spellEnd"/>
      <w:r w:rsidRPr="007F5581">
        <w:rPr>
          <w:rFonts w:ascii="Times New Roman" w:hAnsi="Times New Roman" w:cs="Times New Roman"/>
          <w:color w:val="222222"/>
          <w:sz w:val="28"/>
          <w:szCs w:val="28"/>
          <w:shd w:val="clear" w:color="auto" w:fill="FFFFFF"/>
        </w:rPr>
        <w:t>, T. and Klose, M., 2021. Integrated framework for stakeholder participation: Methods and tools for identifying and addressing</w:t>
      </w:r>
    </w:p>
    <w:p w14:paraId="4BA7AEA4" w14:textId="38A42BF0" w:rsidR="007F5581" w:rsidRPr="00667B03" w:rsidRDefault="007F5581" w:rsidP="00667B03">
      <w:pPr>
        <w:spacing w:line="480" w:lineRule="auto"/>
        <w:rPr>
          <w:rFonts w:ascii="Times New Roman" w:hAnsi="Times New Roman" w:cs="Times New Roman"/>
          <w:color w:val="222222"/>
          <w:sz w:val="28"/>
          <w:szCs w:val="28"/>
          <w:shd w:val="clear" w:color="auto" w:fill="FFFFFF"/>
        </w:rPr>
      </w:pPr>
      <w:r w:rsidRPr="00667B03">
        <w:rPr>
          <w:rFonts w:ascii="Times New Roman" w:hAnsi="Times New Roman" w:cs="Times New Roman"/>
          <w:color w:val="222222"/>
          <w:sz w:val="28"/>
          <w:szCs w:val="28"/>
          <w:shd w:val="clear" w:color="auto" w:fill="FFFFFF"/>
        </w:rPr>
        <w:t>human–wildlife conflicts. Conservation Science and Practice, 3(3), p.e399.</w:t>
      </w:r>
    </w:p>
    <w:p w14:paraId="7AE3A2D0" w14:textId="77777777" w:rsidR="007F5581" w:rsidRPr="007F5581" w:rsidRDefault="007F5581" w:rsidP="007F5581">
      <w:pPr>
        <w:pStyle w:val="ListParagraph"/>
        <w:spacing w:line="480" w:lineRule="auto"/>
        <w:ind w:left="1440" w:hanging="720"/>
        <w:rPr>
          <w:rFonts w:ascii="Times New Roman" w:hAnsi="Times New Roman" w:cs="Times New Roman"/>
          <w:sz w:val="28"/>
          <w:szCs w:val="28"/>
        </w:rPr>
      </w:pPr>
    </w:p>
    <w:p w14:paraId="09EA1295" w14:textId="77777777" w:rsidR="007F5581" w:rsidRPr="007F5581" w:rsidRDefault="007F5581" w:rsidP="007F5581">
      <w:pPr>
        <w:pStyle w:val="ListParagraph"/>
        <w:spacing w:line="480" w:lineRule="auto"/>
        <w:ind w:left="1440" w:hanging="720"/>
        <w:rPr>
          <w:rFonts w:ascii="Times New Roman" w:hAnsi="Times New Roman" w:cs="Times New Roman"/>
          <w:sz w:val="28"/>
          <w:szCs w:val="28"/>
        </w:rPr>
      </w:pPr>
    </w:p>
    <w:p w14:paraId="73D78BE8" w14:textId="77777777" w:rsidR="007F5581" w:rsidRPr="007F5581" w:rsidRDefault="007F5581" w:rsidP="007F5581">
      <w:pPr>
        <w:pStyle w:val="ListParagraph"/>
        <w:spacing w:line="480" w:lineRule="auto"/>
        <w:ind w:left="1440" w:hanging="720"/>
        <w:rPr>
          <w:rFonts w:ascii="Times New Roman" w:hAnsi="Times New Roman" w:cs="Times New Roman"/>
          <w:sz w:val="28"/>
          <w:szCs w:val="28"/>
        </w:rPr>
      </w:pPr>
    </w:p>
    <w:p w14:paraId="2F1F42D0" w14:textId="77777777" w:rsidR="007F5581" w:rsidRPr="007F5581" w:rsidRDefault="007F5581" w:rsidP="007F5581">
      <w:pPr>
        <w:pStyle w:val="ListParagraph"/>
        <w:spacing w:line="480" w:lineRule="auto"/>
        <w:rPr>
          <w:rFonts w:ascii="Times New Roman" w:hAnsi="Times New Roman" w:cs="Times New Roman"/>
          <w:sz w:val="28"/>
          <w:szCs w:val="28"/>
        </w:rPr>
      </w:pPr>
    </w:p>
    <w:p w14:paraId="5D52DF08" w14:textId="77777777" w:rsidR="007F5581" w:rsidRPr="007F5581" w:rsidRDefault="007F5581" w:rsidP="007F5581">
      <w:pPr>
        <w:pStyle w:val="ListParagraph"/>
        <w:spacing w:line="480" w:lineRule="auto"/>
        <w:rPr>
          <w:rFonts w:ascii="Times New Roman" w:hAnsi="Times New Roman" w:cs="Times New Roman"/>
          <w:sz w:val="28"/>
          <w:szCs w:val="28"/>
        </w:rPr>
      </w:pPr>
    </w:p>
    <w:p w14:paraId="4F431BF5" w14:textId="77777777" w:rsidR="007F5581" w:rsidRPr="007F5581" w:rsidRDefault="007F5581" w:rsidP="007F5581">
      <w:pPr>
        <w:pStyle w:val="ListParagraph"/>
        <w:spacing w:line="480" w:lineRule="auto"/>
        <w:rPr>
          <w:rFonts w:ascii="Times New Roman" w:hAnsi="Times New Roman" w:cs="Times New Roman"/>
          <w:sz w:val="28"/>
          <w:szCs w:val="28"/>
        </w:rPr>
      </w:pPr>
    </w:p>
    <w:p w14:paraId="5C946EFA" w14:textId="77777777" w:rsidR="007F5581" w:rsidRPr="007F5581" w:rsidRDefault="007F5581" w:rsidP="007F5581">
      <w:pPr>
        <w:pStyle w:val="ListParagraph"/>
        <w:spacing w:line="480" w:lineRule="auto"/>
        <w:rPr>
          <w:rFonts w:ascii="Times New Roman" w:hAnsi="Times New Roman" w:cs="Times New Roman"/>
          <w:sz w:val="28"/>
          <w:szCs w:val="28"/>
        </w:rPr>
      </w:pPr>
    </w:p>
    <w:p w14:paraId="45725904" w14:textId="77777777" w:rsidR="007F5581" w:rsidRPr="007F5581" w:rsidRDefault="007F5581" w:rsidP="007F5581">
      <w:pPr>
        <w:pStyle w:val="ListParagraph"/>
        <w:spacing w:line="480" w:lineRule="auto"/>
        <w:rPr>
          <w:rFonts w:ascii="Times New Roman" w:hAnsi="Times New Roman" w:cs="Times New Roman"/>
          <w:sz w:val="28"/>
          <w:szCs w:val="28"/>
        </w:rPr>
      </w:pPr>
    </w:p>
    <w:p w14:paraId="4ECDD362" w14:textId="77777777" w:rsidR="007F5581" w:rsidRPr="007F5581" w:rsidRDefault="007F5581" w:rsidP="007F5581">
      <w:pPr>
        <w:spacing w:line="480" w:lineRule="auto"/>
        <w:rPr>
          <w:rFonts w:ascii="Times New Roman" w:hAnsi="Times New Roman" w:cs="Times New Roman"/>
          <w:color w:val="222222"/>
          <w:sz w:val="28"/>
          <w:szCs w:val="28"/>
          <w:shd w:val="clear" w:color="auto" w:fill="FFFFFF"/>
        </w:rPr>
      </w:pPr>
    </w:p>
    <w:p w14:paraId="7CD97A83" w14:textId="77777777" w:rsidR="007F5581" w:rsidRPr="007F5581" w:rsidRDefault="007F5581">
      <w:pPr>
        <w:rPr>
          <w:rFonts w:ascii="Times New Roman" w:hAnsi="Times New Roman" w:cs="Times New Roman"/>
          <w:sz w:val="28"/>
          <w:szCs w:val="28"/>
        </w:rPr>
      </w:pPr>
    </w:p>
    <w:sectPr w:rsidR="007F5581" w:rsidRPr="007F5581">
      <w:footerReference w:type="even"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ACFB16" w14:textId="77777777" w:rsidR="00362857" w:rsidRDefault="00362857" w:rsidP="00A74C01">
      <w:pPr>
        <w:spacing w:after="0" w:line="240" w:lineRule="auto"/>
      </w:pPr>
      <w:r>
        <w:separator/>
      </w:r>
    </w:p>
  </w:endnote>
  <w:endnote w:type="continuationSeparator" w:id="0">
    <w:p w14:paraId="784CC7B7" w14:textId="77777777" w:rsidR="00362857" w:rsidRDefault="00362857" w:rsidP="00A74C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NewRomanPSMT">
    <w:altName w:val="Times New Roman"/>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35781320"/>
      <w:docPartObj>
        <w:docPartGallery w:val="Page Numbers (Bottom of Page)"/>
        <w:docPartUnique/>
      </w:docPartObj>
    </w:sdtPr>
    <w:sdtEndPr>
      <w:rPr>
        <w:rStyle w:val="PageNumber"/>
      </w:rPr>
    </w:sdtEndPr>
    <w:sdtContent>
      <w:p w14:paraId="5D6306BE" w14:textId="04312876" w:rsidR="00C65B95" w:rsidRDefault="00C65B95" w:rsidP="005E1EA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D9F8FF9" w14:textId="77777777" w:rsidR="00C65B95" w:rsidRDefault="00C65B9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9670091"/>
      <w:docPartObj>
        <w:docPartGallery w:val="Page Numbers (Bottom of Page)"/>
        <w:docPartUnique/>
      </w:docPartObj>
    </w:sdtPr>
    <w:sdtEndPr>
      <w:rPr>
        <w:rStyle w:val="PageNumber"/>
      </w:rPr>
    </w:sdtEndPr>
    <w:sdtContent>
      <w:p w14:paraId="0B1251CD" w14:textId="292112E7" w:rsidR="00C65B95" w:rsidRDefault="00C65B95" w:rsidP="005E1EA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B641F52" w14:textId="77777777" w:rsidR="00C65B95" w:rsidRDefault="00C65B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7394DF" w14:textId="77777777" w:rsidR="00362857" w:rsidRDefault="00362857" w:rsidP="00A74C01">
      <w:pPr>
        <w:spacing w:after="0" w:line="240" w:lineRule="auto"/>
      </w:pPr>
      <w:r>
        <w:separator/>
      </w:r>
    </w:p>
  </w:footnote>
  <w:footnote w:type="continuationSeparator" w:id="0">
    <w:p w14:paraId="1D624D04" w14:textId="77777777" w:rsidR="00362857" w:rsidRDefault="00362857" w:rsidP="00A74C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861DFA"/>
    <w:multiLevelType w:val="hybridMultilevel"/>
    <w:tmpl w:val="1C3227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3F821A35"/>
    <w:multiLevelType w:val="hybridMultilevel"/>
    <w:tmpl w:val="325687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5581"/>
    <w:rsid w:val="00012590"/>
    <w:rsid w:val="00220A96"/>
    <w:rsid w:val="002256CB"/>
    <w:rsid w:val="00362857"/>
    <w:rsid w:val="00667B03"/>
    <w:rsid w:val="00742DFF"/>
    <w:rsid w:val="007F5581"/>
    <w:rsid w:val="008B30D3"/>
    <w:rsid w:val="009B0880"/>
    <w:rsid w:val="00A2027C"/>
    <w:rsid w:val="00A74C01"/>
    <w:rsid w:val="00AF6092"/>
    <w:rsid w:val="00C65B95"/>
    <w:rsid w:val="00CA21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0403D8"/>
  <w15:chartTrackingRefBased/>
  <w15:docId w15:val="{622CE5CB-A3D8-174B-BB94-EAD91714A2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5581"/>
    <w:pPr>
      <w:spacing w:after="160" w:line="256" w:lineRule="auto"/>
    </w:pPr>
    <w:rPr>
      <w:sz w:val="22"/>
      <w:szCs w:val="22"/>
      <w:lang w:val="en-US"/>
    </w:rPr>
  </w:style>
  <w:style w:type="paragraph" w:styleId="Heading1">
    <w:name w:val="heading 1"/>
    <w:basedOn w:val="Normal"/>
    <w:next w:val="Normal"/>
    <w:link w:val="Heading1Char"/>
    <w:uiPriority w:val="9"/>
    <w:qFormat/>
    <w:rsid w:val="007F558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5581"/>
    <w:rPr>
      <w:rFonts w:asciiTheme="majorHAnsi" w:eastAsiaTheme="majorEastAsia" w:hAnsiTheme="majorHAnsi" w:cstheme="majorBidi"/>
      <w:color w:val="2F5496" w:themeColor="accent1" w:themeShade="BF"/>
      <w:sz w:val="32"/>
      <w:szCs w:val="32"/>
      <w:lang w:val="en-US"/>
    </w:rPr>
  </w:style>
  <w:style w:type="paragraph" w:styleId="NormalWeb">
    <w:name w:val="Normal (Web)"/>
    <w:basedOn w:val="Normal"/>
    <w:uiPriority w:val="99"/>
    <w:semiHidden/>
    <w:unhideWhenUsed/>
    <w:rsid w:val="007F5581"/>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7F5581"/>
    <w:pPr>
      <w:ind w:left="720"/>
      <w:contextualSpacing/>
    </w:pPr>
  </w:style>
  <w:style w:type="character" w:styleId="Strong">
    <w:name w:val="Strong"/>
    <w:basedOn w:val="DefaultParagraphFont"/>
    <w:uiPriority w:val="22"/>
    <w:qFormat/>
    <w:rsid w:val="007F5581"/>
    <w:rPr>
      <w:b/>
      <w:bCs/>
    </w:rPr>
  </w:style>
  <w:style w:type="character" w:styleId="Emphasis">
    <w:name w:val="Emphasis"/>
    <w:basedOn w:val="DefaultParagraphFont"/>
    <w:uiPriority w:val="20"/>
    <w:qFormat/>
    <w:rsid w:val="007F5581"/>
    <w:rPr>
      <w:i/>
      <w:iCs/>
    </w:rPr>
  </w:style>
  <w:style w:type="paragraph" w:styleId="Header">
    <w:name w:val="header"/>
    <w:basedOn w:val="Normal"/>
    <w:link w:val="HeaderChar"/>
    <w:uiPriority w:val="99"/>
    <w:unhideWhenUsed/>
    <w:rsid w:val="00A74C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4C01"/>
    <w:rPr>
      <w:sz w:val="22"/>
      <w:szCs w:val="22"/>
      <w:lang w:val="en-US"/>
    </w:rPr>
  </w:style>
  <w:style w:type="paragraph" w:styleId="Footer">
    <w:name w:val="footer"/>
    <w:basedOn w:val="Normal"/>
    <w:link w:val="FooterChar"/>
    <w:uiPriority w:val="99"/>
    <w:unhideWhenUsed/>
    <w:rsid w:val="00A74C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4C01"/>
    <w:rPr>
      <w:sz w:val="22"/>
      <w:szCs w:val="22"/>
      <w:lang w:val="en-US"/>
    </w:rPr>
  </w:style>
  <w:style w:type="character" w:styleId="PageNumber">
    <w:name w:val="page number"/>
    <w:basedOn w:val="DefaultParagraphFont"/>
    <w:uiPriority w:val="99"/>
    <w:semiHidden/>
    <w:unhideWhenUsed/>
    <w:rsid w:val="00C65B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9807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15</Pages>
  <Words>2665</Words>
  <Characters>15194</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jicu</dc:creator>
  <cp:keywords/>
  <dc:description/>
  <cp:lastModifiedBy>michael jicu</cp:lastModifiedBy>
  <cp:revision>15</cp:revision>
  <dcterms:created xsi:type="dcterms:W3CDTF">2021-08-12T10:58:00Z</dcterms:created>
  <dcterms:modified xsi:type="dcterms:W3CDTF">2021-08-28T10:38:00Z</dcterms:modified>
</cp:coreProperties>
</file>