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4.xml"/>
  <Override ContentType="application/vnd.openxmlformats-officedocument.drawingml.chart+xml" PartName="/word/charts/chart3.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left="720" w:hanging="36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 Mohmedkaif Mansuri</w:t>
      </w:r>
    </w:p>
    <w:p w:rsidR="00000000" w:rsidDel="00000000" w:rsidP="00000000" w:rsidRDefault="00000000" w:rsidRPr="00000000" w14:paraId="00000002">
      <w:pPr>
        <w:spacing w:line="360" w:lineRule="auto"/>
        <w:ind w:left="720" w:hanging="36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Student ID number:  2321459</w:t>
      </w:r>
    </w:p>
    <w:p w:rsidR="00000000" w:rsidDel="00000000" w:rsidP="00000000" w:rsidRDefault="00000000" w:rsidRPr="00000000" w14:paraId="00000003">
      <w:pPr>
        <w:spacing w:line="360" w:lineRule="auto"/>
        <w:ind w:left="72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Programme:</w:t>
      </w:r>
      <w:r w:rsidDel="00000000" w:rsidR="00000000" w:rsidRPr="00000000">
        <w:rPr>
          <w:rFonts w:ascii="Times New Roman" w:cs="Times New Roman" w:eastAsia="Times New Roman" w:hAnsi="Times New Roman"/>
          <w:sz w:val="24"/>
          <w:szCs w:val="24"/>
          <w:rtl w:val="0"/>
        </w:rPr>
        <w:t xml:space="preserve"> Master of Business Administration </w:t>
      </w:r>
    </w:p>
    <w:p w:rsidR="00000000" w:rsidDel="00000000" w:rsidP="00000000" w:rsidRDefault="00000000" w:rsidRPr="00000000" w14:paraId="00000004">
      <w:pPr>
        <w:spacing w:line="360" w:lineRule="auto"/>
        <w:ind w:left="72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Financial Management </w:t>
      </w:r>
    </w:p>
    <w:p w:rsidR="00000000" w:rsidDel="00000000" w:rsidP="00000000" w:rsidRDefault="00000000" w:rsidRPr="00000000" w14:paraId="00000005">
      <w:pPr>
        <w:spacing w:line="360" w:lineRule="auto"/>
        <w:ind w:left="72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code</w:t>
      </w:r>
      <w:r w:rsidDel="00000000" w:rsidR="00000000" w:rsidRPr="00000000">
        <w:rPr>
          <w:rFonts w:ascii="Times New Roman" w:cs="Times New Roman" w:eastAsia="Times New Roman" w:hAnsi="Times New Roman"/>
          <w:sz w:val="24"/>
          <w:szCs w:val="24"/>
          <w:rtl w:val="0"/>
        </w:rPr>
        <w:t xml:space="preserve">: LCMB7002 </w:t>
      </w:r>
    </w:p>
    <w:p w:rsidR="00000000" w:rsidDel="00000000" w:rsidP="00000000" w:rsidRDefault="00000000" w:rsidRPr="00000000" w14:paraId="00000006">
      <w:pPr>
        <w:spacing w:line="360" w:lineRule="auto"/>
        <w:ind w:left="72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Assignment Title:</w:t>
      </w:r>
      <w:r w:rsidDel="00000000" w:rsidR="00000000" w:rsidRPr="00000000">
        <w:rPr>
          <w:rFonts w:ascii="Times New Roman" w:cs="Times New Roman" w:eastAsia="Times New Roman" w:hAnsi="Times New Roman"/>
          <w:sz w:val="24"/>
          <w:szCs w:val="24"/>
          <w:rtl w:val="0"/>
        </w:rPr>
        <w:t xml:space="preserve"> Financial performance and management </w:t>
      </w:r>
    </w:p>
    <w:p w:rsidR="00000000" w:rsidDel="00000000" w:rsidP="00000000" w:rsidRDefault="00000000" w:rsidRPr="00000000" w14:paraId="00000007">
      <w:pPr>
        <w:spacing w:line="360" w:lineRule="auto"/>
        <w:ind w:left="72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Word count</w:t>
      </w:r>
      <w:r w:rsidDel="00000000" w:rsidR="00000000" w:rsidRPr="00000000">
        <w:rPr>
          <w:rFonts w:ascii="Times New Roman" w:cs="Times New Roman" w:eastAsia="Times New Roman" w:hAnsi="Times New Roman"/>
          <w:sz w:val="24"/>
          <w:szCs w:val="24"/>
          <w:rtl w:val="0"/>
        </w:rPr>
        <w:t xml:space="preserve">: 5460</w:t>
      </w:r>
    </w:p>
    <w:p w:rsidR="00000000" w:rsidDel="00000000" w:rsidP="00000000" w:rsidRDefault="00000000" w:rsidRPr="00000000" w14:paraId="00000008">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bCs w:val="0"/>
          <w:i w:val="0"/>
          <w:iCs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366091"/>
          <w:sz w:val="24"/>
          <w:szCs w:val="24"/>
          <w:u w:val="none"/>
          <w:shd w:fill="auto" w:val="clear"/>
          <w:vertAlign w:val="baseline"/>
          <w:rtl w:val="0"/>
        </w:rPr>
        <w:t xml:space="preserve">Table of Contents</w:t>
      </w:r>
    </w:p>
    <w:sdt>
      <w:sdtPr>
        <w:id w:val="1597289556"/>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fnde932co3u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89l25a86cn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Financial Health Check</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i9cq05apbh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Overview of Financial Performance (2020–2024)</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gxoglne9mj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Profitability Ratio Analysis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qv1nne9mtt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2.2.1 Gross Profit Margin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tc2pw95rf4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2.2.2 Operating Profit Margin</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qy40nehcb4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2.2.3 Net Profit Margin</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vbk5vx1gf0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2.2.4 Return on Assets (ROA)</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vtmno181wc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2.2.5 Return on Equity (ROE)</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fjy91mrvgw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Liquidity Ratio Analysis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i1qr8jao58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2.3.1 Current Ratio</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cx5bwavj94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2.3.2 Quick Ratio (Acid-Test Ratio)</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n894zc1tu2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2.3.3 Cash Ratio</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eebsrr3eoi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Analysis of efficiency (Activity) Ratio.</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aozgnra3ma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2.4.1 Inventory Turnover</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a4hd3h7edu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2.4.2 Receivables Turnover</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s0r4z9612v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2.4.3 Payables Turnover</w:t>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bormpz8ek4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2.4.4 Asset Turnover</w:t>
              <w:tab/>
              <w:t xml:space="preserve">14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q5swryvtsr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Solvency and Gearing Analysis.</w:t>
              <w:tab/>
              <w:t xml:space="preserve">15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bo6av9h6cn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2.5.1 Debt-to-Equity Ratio</w:t>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kgnyg4eow8m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2.5.2 Interest Coverage Ratio</w:t>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wsnrfhpr3z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2.5.3 Long-Term Solvency Position</w:t>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u8jmpats8c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Investment and Market Ratios.</w:t>
              <w:tab/>
              <w:t xml:space="preserve">16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3594fdazmf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2.6.1 Earnings per Share (EPS)</w:t>
              <w:tab/>
              <w:t xml:space="preserve">16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cgpo8eda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Cash Flow Ratio Analysis</w:t>
              <w:tab/>
              <w:t xml:space="preserve">17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9xxaovnlaz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2.7.1 Operating Cash Flow Ratio</w:t>
              <w:tab/>
              <w:t xml:space="preserve">17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14qcgi8q65u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2.7.2 Cash Flow Adequacy Ratio</w:t>
              <w:tab/>
              <w:t xml:space="preserve">18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lmhzlwhoyt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2.7.3 Quality of Earnings</w:t>
              <w:tab/>
              <w:t xml:space="preserve">18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11b66b98rhp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Risk Analysis of the Corporate Failure.</w:t>
              <w:tab/>
              <w:t xml:space="preserve">19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ubmn3n2kl5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2.9 Financial Strengths and Weaknesses Resumé.</w:t>
              <w:tab/>
              <w:t xml:space="preserve">19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0cmz42vqsv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Working Capital Management Analysis</w:t>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s4eqx56nko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Existing Working Capital Position Review.</w:t>
              <w:tab/>
              <w:t xml:space="preserve">19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lhmurwx440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Cash Operating Cycle Analysis.</w:t>
              <w:tab/>
              <w:t xml:space="preserve">20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pz2q97x6mm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Liquidity Risk Assessment</w:t>
              <w:tab/>
              <w:t xml:space="preserve">22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baly0g0mqn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Long-term and short-term Financing.</w:t>
              <w:tab/>
              <w:t xml:space="preserve">23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isgmpqw4nc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Strategic Financial Restructuring Plan</w:t>
              <w:tab/>
              <w:t xml:space="preserve">23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a03wdleypyn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Visa Financial restructuring.</w:t>
              <w:tab/>
              <w:t xml:space="preserve">23</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pr9nf7jm7xj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The restructuring options evaluation</w:t>
              <w:tab/>
              <w:t xml:space="preserve">24</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cqt6zc0hu8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Impact on Shareholder Value</w:t>
              <w:tab/>
              <w:t xml:space="preserve">25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zheqa8k1c0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Capital Structure and Financial Flexibility Implications</w:t>
              <w:tab/>
              <w:t xml:space="preserve">26</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ay39aqokc0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International and Ethical issues.</w:t>
              <w:tab/>
              <w:t xml:space="preserve">26</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54fs78ty7j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Investment Appraisal and Capital Budgeting</w:t>
              <w:tab/>
              <w:t xml:space="preserve">27</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4kqythfnnxe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Abstracting of Proposed Investment Projects.</w:t>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7op55ecoqb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Payback Period (PBP) Analysis</w:t>
              <w:tab/>
              <w:t xml:space="preserve">28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1agkgup0vo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Accounting rate of return (ARR) Analysis.</w:t>
              <w:tab/>
              <w:t xml:space="preserve">28</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w3o8g4msba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Net Present Value (NPV) Analysis.</w:t>
              <w:tab/>
              <w:t xml:space="preserve">29</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nrn9b4gtfa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Profitability Index (PI) Analysis</w:t>
              <w:tab/>
              <w:t xml:space="preserve">30</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z2x3k3rtp54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Internal rate of return (IRR) Analysis.</w:t>
              <w:tab/>
              <w:t xml:space="preserve">30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8n6lhm4toe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5.7 Capital Rationing Decision</w:t>
              <w:tab/>
              <w:t xml:space="preserve">31</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db2k7mzu0s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5.8 Risk Factors and Financial Suitability.</w:t>
              <w:tab/>
              <w:t xml:space="preserve">31</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m9wg3ndpsy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31</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i0pvuqnat4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33</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ioxkasqblo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Appendices</w:t>
              <w:tab/>
              <w:t xml:space="preserve">37</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s2w4m86ic6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A: Detailed Ratio Tables</w:t>
              <w:tab/>
              <w:t xml:space="preserve">37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2fiz23uoxy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B: Ratio Trend Graphs</w:t>
              <w:tab/>
              <w:t xml:space="preserve">39</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h05t7mbi1q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D: Investment Appraisal Calculations (Excel Outputs)</w:t>
              <w:tab/>
              <w:t xml:space="preserve">41</w:t>
            </w:r>
          </w:hyperlink>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0">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ind w:left="720"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fnde932co3u5" w:id="0"/>
      <w:bookmarkEnd w:id="0"/>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Introduction </w:t>
      </w:r>
    </w:p>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 commissions the report as a Chief Financial Officer (CFO) of General Electronics, which is a failing global company engaged in the highly competitive consumer electronics industry. The primary goal of the report would be to conduct a detailed evaluation of the company's financial performance over the past five years and to provide financially viable suggestions to stabilise performance and regain lost value in the long run. According to financial statements in the company, the report analyzes the economic fitness of the company, liquidity, capital structure, and investment decisions that supports an evidence-based turnaround approach.</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financial stress, the CFO's functions are placed under a strategic imperative. Besides the traditional functions of financial reporting and financial control, the CFO has been undertaking essential functions in identifying financial vulnerabilities, controlling liquidity, restructuring capital structure, and matching investment options with organisational recovery missions. Financial leadership plays a key role in ensuring there is a balance between short-term survival and long-term sustainability, particularly in international organisations that have to work in volatile markets, are subject to technological disruption, and experience margin pressure. </w:t>
      </w:r>
    </w:p>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is experiencing declining revenues, long-term operating losses, declining cash reserves, and increasing reliance on short-term funding. These are typical problems of macro environmental forces that the consumer electronics industry has experienced, such as intense competition, price wars, high operational costs, and rapid innovation cycles. According to the latest financial statement, the company faces more financial risk and requires a radical financial intervention (Ge.com, 2025).</w:t>
      </w:r>
    </w:p>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areas of scope in this report are four. The initial measure is to conduct an adequate financial health check using ratio analysis and the corporate failure prediction model. Second, the firm's working capital management is also evaluated, and liquidity should be improved. Third, it is proposed to reorganise the strategic finance plan tconsidersount international and ethical factors. And finally, a capital budgeting analysis involves comparing competing investment projects under capital rationing assumptions. Through these analyses put together will give a viable and financially viable turnaround plan to General Electronics.</w:t>
      </w:r>
    </w:p>
    <w:p w:rsidR="00000000" w:rsidDel="00000000" w:rsidP="00000000" w:rsidRDefault="00000000" w:rsidRPr="00000000" w14:paraId="00000059">
      <w:pPr>
        <w:pStyle w:val="Heading1"/>
        <w:spacing w:line="360" w:lineRule="auto"/>
        <w:rPr>
          <w:rFonts w:ascii="Times New Roman" w:cs="Times New Roman" w:eastAsia="Times New Roman" w:hAnsi="Times New Roman"/>
          <w:b w:val="1"/>
          <w:bCs w:val="1"/>
          <w:sz w:val="24"/>
          <w:szCs w:val="24"/>
        </w:rPr>
      </w:pPr>
      <w:bookmarkStart w:colFirst="0" w:colLast="0" w:name="_g89l25a86cn8" w:id="1"/>
      <w:bookmarkEnd w:id="1"/>
      <w:r w:rsidDel="00000000" w:rsidR="00000000" w:rsidRPr="00000000">
        <w:rPr>
          <w:rFonts w:ascii="Times New Roman" w:cs="Times New Roman" w:eastAsia="Times New Roman" w:hAnsi="Times New Roman"/>
          <w:b w:val="1"/>
          <w:bCs w:val="1"/>
          <w:sz w:val="24"/>
          <w:szCs w:val="24"/>
          <w:rtl w:val="0"/>
        </w:rPr>
        <w:t xml:space="preserve">2. Financial Health Check</w:t>
      </w:r>
    </w:p>
    <w:p w:rsidR="00000000" w:rsidDel="00000000" w:rsidP="00000000" w:rsidRDefault="00000000" w:rsidRPr="00000000" w14:paraId="0000005A">
      <w:pPr>
        <w:pStyle w:val="Heading2"/>
        <w:spacing w:line="360" w:lineRule="auto"/>
        <w:rPr>
          <w:rFonts w:ascii="Times New Roman" w:cs="Times New Roman" w:eastAsia="Times New Roman" w:hAnsi="Times New Roman"/>
          <w:b w:val="1"/>
          <w:bCs w:val="1"/>
          <w:sz w:val="24"/>
          <w:szCs w:val="24"/>
        </w:rPr>
      </w:pPr>
      <w:bookmarkStart w:colFirst="0" w:colLast="0" w:name="_7i9cq05apbh1" w:id="2"/>
      <w:bookmarkEnd w:id="2"/>
      <w:r w:rsidDel="00000000" w:rsidR="00000000" w:rsidRPr="00000000">
        <w:rPr>
          <w:rFonts w:ascii="Times New Roman" w:cs="Times New Roman" w:eastAsia="Times New Roman" w:hAnsi="Times New Roman"/>
          <w:b w:val="1"/>
          <w:bCs w:val="1"/>
          <w:sz w:val="24"/>
          <w:szCs w:val="24"/>
          <w:rtl w:val="0"/>
        </w:rPr>
        <w:t xml:space="preserve">2.1 Overview of Financial Performance (2020–2024)</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company recorded excellent revenue and earnings during the period, previous years have been characterised by declines in sales, increases in costs, and net losses, which have been repeated in subsequent years (Hermawan and Noveria, 2025).</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Seasonally, net sales peaked in 2020 at 614,680m and fell steadily to 394,879m in 2024, according to the income statement. It is an increase or decrease of over 35 per cent in revenue, and it amounts to a massive loss of market share or power in the consumer electronics market. Cost of sales also declined, although the price decline was insufficient to cushion margins. The gross profit was also quite volatile, falling in 2020 to 176,256m and in 2024 to 113,994m, respectively. More importantly, operating expenses continued to rise and exceeded gross profit in 2023 and 2024, resulting in operating losses of £85,301m and £15,297m, respectively. Therefore, the net income has turned negative over the past two years, as the company suffered losses of 98.238m and 24.029m in 2023 and 2024, respectively.</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position is also deteriorating on the balance sheet. The total assets also declined between 2020 (£510,290m) and 2024 (323,354m), due to declines in inventories, property, plant, and equipment, and cash balances. There was a substantial fall in shareholders' equity due to cumulative losses and share repurchases, reducing it to 313,301 m in the year ended and 153,105m in the year end. Despite a decrease in total liabilities, the company was making every effort to stay under heavy short-term obligations, particularly lines of credit, indicating that it is in continuous liquidity strains.</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cash flow patterns also support these problems. Although operating cash flows were positive in most years, they declined sharply in 2020 relative to 2024, when they were 73,392m. This decline in cash generation and further investment expenditures and net financing outflows resulted in a consistent cash drainage. The rest of the financial statements reflect that it is a company that is expanding out of a financially stable position into a financially more vulnerable one (Yousef, 2024).</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Style w:val="Heading2"/>
        <w:spacing w:line="360" w:lineRule="auto"/>
        <w:rPr>
          <w:rFonts w:ascii="Times New Roman" w:cs="Times New Roman" w:eastAsia="Times New Roman" w:hAnsi="Times New Roman"/>
          <w:b w:val="1"/>
          <w:bCs w:val="1"/>
          <w:sz w:val="24"/>
          <w:szCs w:val="24"/>
        </w:rPr>
      </w:pPr>
      <w:bookmarkStart w:colFirst="0" w:colLast="0" w:name="_dgxoglne9mjk" w:id="3"/>
      <w:bookmarkEnd w:id="3"/>
      <w:r w:rsidDel="00000000" w:rsidR="00000000" w:rsidRPr="00000000">
        <w:rPr>
          <w:rFonts w:ascii="Times New Roman" w:cs="Times New Roman" w:eastAsia="Times New Roman" w:hAnsi="Times New Roman"/>
          <w:b w:val="1"/>
          <w:bCs w:val="1"/>
          <w:sz w:val="24"/>
          <w:szCs w:val="24"/>
          <w:rtl w:val="0"/>
        </w:rPr>
        <w:t xml:space="preserve">2.2 Profitability Ratio Analysis</w:t>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ratio analysis of profitability is a comparison of the overall performance of a company against its competition (Rashid, 2021). Profitability ratios determine the earning potential of General Electronics in terms of sales, assets and equity of shareholders. Compared to 2020 and 2024, it can be assessed that these ratios reflect a trend of a decrease in profitability, which is steadily and significantly declining, which indicates structural cost inefficiencies, declining revenues, and diminishing returns to investors.</w:t>
      </w:r>
    </w:p>
    <w:p w:rsidR="00000000" w:rsidDel="00000000" w:rsidP="00000000" w:rsidRDefault="00000000" w:rsidRPr="00000000" w14:paraId="00000062">
      <w:pPr>
        <w:pStyle w:val="Heading3"/>
        <w:spacing w:line="360" w:lineRule="auto"/>
        <w:rPr>
          <w:rFonts w:ascii="Times New Roman" w:cs="Times New Roman" w:eastAsia="Times New Roman" w:hAnsi="Times New Roman"/>
          <w:b w:val="1"/>
          <w:bCs w:val="1"/>
          <w:sz w:val="24"/>
          <w:szCs w:val="24"/>
        </w:rPr>
      </w:pPr>
      <w:bookmarkStart w:colFirst="0" w:colLast="0" w:name="_nqv1nne9mttd" w:id="4"/>
      <w:bookmarkEnd w:id="4"/>
      <w:r w:rsidDel="00000000" w:rsidR="00000000" w:rsidRPr="00000000">
        <w:rPr>
          <w:rFonts w:ascii="Times New Roman" w:cs="Times New Roman" w:eastAsia="Times New Roman" w:hAnsi="Times New Roman"/>
          <w:b w:val="1"/>
          <w:bCs w:val="1"/>
          <w:sz w:val="24"/>
          <w:szCs w:val="24"/>
          <w:rtl w:val="0"/>
        </w:rPr>
        <w:t xml:space="preserve">2.2.1 Gross Profit Margin</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64">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Gross Profit Margin</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Gross Profit</m:t>
            </m:r>
          </m:num>
          <m:den>
            <m:r>
              <w:rPr>
                <w:rFonts w:ascii="Times New Roman" w:cs="Times New Roman" w:eastAsia="Times New Roman" w:hAnsi="Times New Roman"/>
                <w:sz w:val="24"/>
                <w:szCs w:val="24"/>
              </w:rPr>
              <m:t xml:space="preserve">Net Sales</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66">
      <w:pPr>
        <w:numPr>
          <w:ilvl w:val="0"/>
          <w:numId w:val="2"/>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67">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176,256</m:t>
            </m:r>
          </m:num>
          <m:den>
            <m:r>
              <w:rPr>
                <w:rFonts w:ascii="Cambria Math" w:cs="Cambria Math" w:eastAsia="Cambria Math" w:hAnsi="Cambria Math"/>
                <w:sz w:val="24"/>
                <w:szCs w:val="24"/>
              </w:rPr>
              <m:t xml:space="preserve">614,680</m:t>
            </m:r>
          </m:den>
        </m:f>
        <m:r>
          <w:rPr>
            <w:rFonts w:ascii="Cambria Math" w:cs="Cambria Math" w:eastAsia="Cambria Math" w:hAnsi="Cambria Math"/>
            <w:sz w:val="24"/>
            <w:szCs w:val="24"/>
          </w:rPr>
          <m:t xml:space="preserve">×100=28.7%</m:t>
        </m:r>
      </m:oMath>
      <w:r w:rsidDel="00000000" w:rsidR="00000000" w:rsidRPr="00000000">
        <w:rPr>
          <w:rtl w:val="0"/>
        </w:rPr>
      </w:r>
    </w:p>
    <w:p w:rsidR="00000000" w:rsidDel="00000000" w:rsidP="00000000" w:rsidRDefault="00000000" w:rsidRPr="00000000" w14:paraId="00000068">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69">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113,994</m:t>
            </m:r>
          </m:num>
          <m:den>
            <m:r>
              <w:rPr>
                <w:rFonts w:ascii="Cambria Math" w:cs="Cambria Math" w:eastAsia="Cambria Math" w:hAnsi="Cambria Math"/>
                <w:sz w:val="24"/>
                <w:szCs w:val="24"/>
              </w:rPr>
              <m:t xml:space="preserve">394,879</m:t>
            </m:r>
          </m:den>
        </m:f>
        <m:r>
          <w:rPr>
            <w:rFonts w:ascii="Cambria Math" w:cs="Cambria Math" w:eastAsia="Cambria Math" w:hAnsi="Cambria Math"/>
            <w:sz w:val="24"/>
            <w:szCs w:val="24"/>
          </w:rPr>
          <m:t xml:space="preserve">×100=28.9%</m:t>
        </m:r>
      </m:oMath>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gross profit margin seems quite stable on a general basis but not when reviewed on a case by case basis. The margin remained kept very near at 29, but the absolute gross profit reduced much because of a huge reduction in revenues. This shows that the company has not realized unit level profitability or economies of scale. The stable margin shows that the power of prices is low, and pressures on costs continue to be present in the production, which is a common problem in the highly competitive consumer electronics (Weber and Wasner, 2023).</w:t>
      </w:r>
    </w:p>
    <w:p w:rsidR="00000000" w:rsidDel="00000000" w:rsidP="00000000" w:rsidRDefault="00000000" w:rsidRPr="00000000" w14:paraId="0000006B">
      <w:pPr>
        <w:pStyle w:val="Heading3"/>
        <w:spacing w:line="360" w:lineRule="auto"/>
        <w:rPr>
          <w:rFonts w:ascii="Times New Roman" w:cs="Times New Roman" w:eastAsia="Times New Roman" w:hAnsi="Times New Roman"/>
          <w:b w:val="1"/>
          <w:bCs w:val="1"/>
          <w:sz w:val="24"/>
          <w:szCs w:val="24"/>
        </w:rPr>
      </w:pPr>
      <w:bookmarkStart w:colFirst="0" w:colLast="0" w:name="_dtc2pw95rf4t" w:id="5"/>
      <w:bookmarkEnd w:id="5"/>
      <w:r w:rsidDel="00000000" w:rsidR="00000000" w:rsidRPr="00000000">
        <w:rPr>
          <w:rFonts w:ascii="Times New Roman" w:cs="Times New Roman" w:eastAsia="Times New Roman" w:hAnsi="Times New Roman"/>
          <w:b w:val="1"/>
          <w:bCs w:val="1"/>
          <w:sz w:val="24"/>
          <w:szCs w:val="24"/>
          <w:rtl w:val="0"/>
        </w:rPr>
        <w:t xml:space="preserve">2.2.2 Operating Profit Margin</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6D">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Operating Margin</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Operating Income</m:t>
            </m:r>
          </m:num>
          <m:den>
            <m:r>
              <w:rPr>
                <w:rFonts w:ascii="Times New Roman" w:cs="Times New Roman" w:eastAsia="Times New Roman" w:hAnsi="Times New Roman"/>
                <w:sz w:val="24"/>
                <w:szCs w:val="24"/>
              </w:rPr>
              <m:t xml:space="preserve">Net Sales</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6F">
      <w:pPr>
        <w:numPr>
          <w:ilvl w:val="0"/>
          <w:numId w:val="4"/>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70">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37,267</m:t>
            </m:r>
          </m:num>
          <m:den>
            <m:r>
              <w:rPr>
                <w:rFonts w:ascii="Cambria Math" w:cs="Cambria Math" w:eastAsia="Cambria Math" w:hAnsi="Cambria Math"/>
                <w:sz w:val="24"/>
                <w:szCs w:val="24"/>
              </w:rPr>
              <m:t xml:space="preserve">614,680</m:t>
            </m:r>
          </m:den>
        </m:f>
        <m:r>
          <w:rPr>
            <w:rFonts w:ascii="Cambria Math" w:cs="Cambria Math" w:eastAsia="Cambria Math" w:hAnsi="Cambria Math"/>
            <w:sz w:val="24"/>
            <w:szCs w:val="24"/>
          </w:rPr>
          <m:t xml:space="preserve">×100=6.1%</m:t>
        </m:r>
      </m:oMath>
      <w:r w:rsidDel="00000000" w:rsidR="00000000" w:rsidRPr="00000000">
        <w:rPr>
          <w:rtl w:val="0"/>
        </w:rPr>
      </w:r>
    </w:p>
    <w:p w:rsidR="00000000" w:rsidDel="00000000" w:rsidP="00000000" w:rsidRDefault="00000000" w:rsidRPr="00000000" w14:paraId="00000071">
      <w:pPr>
        <w:numPr>
          <w:ilvl w:val="0"/>
          <w:numId w:val="5"/>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72">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-15,297</m:t>
            </m:r>
          </m:num>
          <m:den>
            <m:r>
              <w:rPr>
                <w:rFonts w:ascii="Cambria Math" w:cs="Cambria Math" w:eastAsia="Cambria Math" w:hAnsi="Cambria Math"/>
                <w:sz w:val="24"/>
                <w:szCs w:val="24"/>
              </w:rPr>
              <m:t xml:space="preserve">394,879</m:t>
            </m:r>
          </m:den>
        </m:f>
        <m:r>
          <w:rPr>
            <w:rFonts w:ascii="Cambria Math" w:cs="Cambria Math" w:eastAsia="Cambria Math" w:hAnsi="Cambria Math"/>
            <w:sz w:val="24"/>
            <w:szCs w:val="24"/>
          </w:rPr>
          <m:t xml:space="preserve">×100=-3.9%</m:t>
        </m:r>
      </m:oMath>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operating margin worsened considerably during the period under review, as the positive field changed its position, moving from 6.1 in 2020 to a negative field in 2023 and 2024. This kind of downsizing indicates an inability to meet operational expenses as revenues continue to decline. The adverse effect of low sales has been augmented by high fixed operating costs, such as administrative and restructuring costs (Bansal, 2024).</w:t>
      </w:r>
    </w:p>
    <w:p w:rsidR="00000000" w:rsidDel="00000000" w:rsidP="00000000" w:rsidRDefault="00000000" w:rsidRPr="00000000" w14:paraId="00000075">
      <w:pPr>
        <w:pStyle w:val="Heading3"/>
        <w:spacing w:line="360" w:lineRule="auto"/>
        <w:rPr>
          <w:rFonts w:ascii="Times New Roman" w:cs="Times New Roman" w:eastAsia="Times New Roman" w:hAnsi="Times New Roman"/>
          <w:b w:val="1"/>
          <w:bCs w:val="1"/>
          <w:sz w:val="24"/>
          <w:szCs w:val="24"/>
        </w:rPr>
      </w:pPr>
      <w:bookmarkStart w:colFirst="0" w:colLast="0" w:name="_gqy40nehcb4k" w:id="6"/>
      <w:bookmarkEnd w:id="6"/>
      <w:r w:rsidDel="00000000" w:rsidR="00000000" w:rsidRPr="00000000">
        <w:rPr>
          <w:rFonts w:ascii="Times New Roman" w:cs="Times New Roman" w:eastAsia="Times New Roman" w:hAnsi="Times New Roman"/>
          <w:b w:val="1"/>
          <w:bCs w:val="1"/>
          <w:sz w:val="24"/>
          <w:szCs w:val="24"/>
          <w:rtl w:val="0"/>
        </w:rPr>
        <w:t xml:space="preserve">2.2.3 Net Profit Margin</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77">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Net Profit Margin</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Income</m:t>
            </m:r>
          </m:num>
          <m:den>
            <m:r>
              <w:rPr>
                <w:rFonts w:ascii="Times New Roman" w:cs="Times New Roman" w:eastAsia="Times New Roman" w:hAnsi="Times New Roman"/>
                <w:sz w:val="24"/>
                <w:szCs w:val="24"/>
              </w:rPr>
              <m:t xml:space="preserve">Net Sales</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79">
      <w:pPr>
        <w:numPr>
          <w:ilvl w:val="0"/>
          <w:numId w:val="6"/>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7A">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38,572</m:t>
            </m:r>
          </m:num>
          <m:den>
            <m:r>
              <w:rPr>
                <w:rFonts w:ascii="Cambria Math" w:cs="Cambria Math" w:eastAsia="Cambria Math" w:hAnsi="Cambria Math"/>
                <w:sz w:val="24"/>
                <w:szCs w:val="24"/>
              </w:rPr>
              <m:t xml:space="preserve">614,680</m:t>
            </m:r>
          </m:den>
        </m:f>
        <m:r>
          <w:rPr>
            <w:rFonts w:ascii="Cambria Math" w:cs="Cambria Math" w:eastAsia="Cambria Math" w:hAnsi="Cambria Math"/>
            <w:sz w:val="24"/>
            <w:szCs w:val="24"/>
          </w:rPr>
          <m:t xml:space="preserve">×100=6.3%</m:t>
        </m:r>
      </m:oMath>
      <w:r w:rsidDel="00000000" w:rsidR="00000000" w:rsidRPr="00000000">
        <w:rPr>
          <w:rtl w:val="0"/>
        </w:rPr>
      </w:r>
    </w:p>
    <w:p w:rsidR="00000000" w:rsidDel="00000000" w:rsidP="00000000" w:rsidRDefault="00000000" w:rsidRPr="00000000" w14:paraId="0000007B">
      <w:pPr>
        <w:numPr>
          <w:ilvl w:val="0"/>
          <w:numId w:val="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7C">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-24,029</m:t>
            </m:r>
          </m:num>
          <m:den>
            <m:r>
              <w:rPr>
                <w:rFonts w:ascii="Cambria Math" w:cs="Cambria Math" w:eastAsia="Cambria Math" w:hAnsi="Cambria Math"/>
                <w:sz w:val="24"/>
                <w:szCs w:val="24"/>
              </w:rPr>
              <m:t xml:space="preserve">394,879</m:t>
            </m:r>
          </m:den>
        </m:f>
        <m:r>
          <w:rPr>
            <w:rFonts w:ascii="Cambria Math" w:cs="Cambria Math" w:eastAsia="Cambria Math" w:hAnsi="Cambria Math"/>
            <w:sz w:val="24"/>
            <w:szCs w:val="24"/>
          </w:rPr>
          <m:t xml:space="preserve">×100=-6.1%</m:t>
        </m:r>
      </m:oMath>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trend was followed on the net profit margin as the operating profitability reduced. The company also reported net losses in the last two years 2020, however, it has shown a good net margin. It is a weakness that implies not only inefficiency in the functioning of the company but also the cost of financing, impossibility, and inflexibility of operating non-operating costs (Barus and Mita, 2025). The company's current operations demonstrate an unsustainable earnings model, as it has consistently negative net margins.</w:t>
      </w:r>
    </w:p>
    <w:p w:rsidR="00000000" w:rsidDel="00000000" w:rsidP="00000000" w:rsidRDefault="00000000" w:rsidRPr="00000000" w14:paraId="0000007E">
      <w:pPr>
        <w:pStyle w:val="Heading3"/>
        <w:spacing w:line="360" w:lineRule="auto"/>
        <w:rPr>
          <w:rFonts w:ascii="Times New Roman" w:cs="Times New Roman" w:eastAsia="Times New Roman" w:hAnsi="Times New Roman"/>
          <w:b w:val="1"/>
          <w:bCs w:val="1"/>
          <w:sz w:val="24"/>
          <w:szCs w:val="24"/>
        </w:rPr>
      </w:pPr>
      <w:bookmarkStart w:colFirst="0" w:colLast="0" w:name="_dvbk5vx1gf0q" w:id="7"/>
      <w:bookmarkEnd w:id="7"/>
      <w:r w:rsidDel="00000000" w:rsidR="00000000" w:rsidRPr="00000000">
        <w:rPr>
          <w:rFonts w:ascii="Times New Roman" w:cs="Times New Roman" w:eastAsia="Times New Roman" w:hAnsi="Times New Roman"/>
          <w:b w:val="1"/>
          <w:bCs w:val="1"/>
          <w:sz w:val="24"/>
          <w:szCs w:val="24"/>
          <w:rtl w:val="0"/>
        </w:rPr>
        <w:t xml:space="preserve">2.2.4 Return on Assets (ROA)</w:t>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80">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ROA</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Income</m:t>
            </m:r>
          </m:num>
          <m:den>
            <m:r>
              <w:rPr>
                <w:rFonts w:ascii="Times New Roman" w:cs="Times New Roman" w:eastAsia="Times New Roman" w:hAnsi="Times New Roman"/>
                <w:sz w:val="24"/>
                <w:szCs w:val="24"/>
              </w:rPr>
              <m:t xml:space="preserve">Total Assets</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82">
      <w:pPr>
        <w:numPr>
          <w:ilvl w:val="0"/>
          <w:numId w:val="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83">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38,572</m:t>
            </m:r>
          </m:num>
          <m:den>
            <m:r>
              <w:rPr>
                <w:rFonts w:ascii="Cambria Math" w:cs="Cambria Math" w:eastAsia="Cambria Math" w:hAnsi="Cambria Math"/>
                <w:sz w:val="24"/>
                <w:szCs w:val="24"/>
              </w:rPr>
              <m:t xml:space="preserve">510,290</m:t>
            </m:r>
          </m:den>
        </m:f>
        <m:r>
          <w:rPr>
            <w:rFonts w:ascii="Cambria Math" w:cs="Cambria Math" w:eastAsia="Cambria Math" w:hAnsi="Cambria Math"/>
            <w:sz w:val="24"/>
            <w:szCs w:val="24"/>
          </w:rPr>
          <m:t xml:space="preserve">×100=7.6%</m:t>
        </m:r>
      </m:oMath>
      <w:r w:rsidDel="00000000" w:rsidR="00000000" w:rsidRPr="00000000">
        <w:rPr>
          <w:rtl w:val="0"/>
        </w:rPr>
      </w:r>
    </w:p>
    <w:p w:rsidR="00000000" w:rsidDel="00000000" w:rsidP="00000000" w:rsidRDefault="00000000" w:rsidRPr="00000000" w14:paraId="00000084">
      <w:pPr>
        <w:numPr>
          <w:ilvl w:val="0"/>
          <w:numId w:val="9"/>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85">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-24,029</m:t>
            </m:r>
          </m:num>
          <m:den>
            <m:r>
              <w:rPr>
                <w:rFonts w:ascii="Cambria Math" w:cs="Cambria Math" w:eastAsia="Cambria Math" w:hAnsi="Cambria Math"/>
                <w:sz w:val="24"/>
                <w:szCs w:val="24"/>
              </w:rPr>
              <m:t xml:space="preserve">323,354</m:t>
            </m:r>
          </m:den>
        </m:f>
        <m:r>
          <w:rPr>
            <w:rFonts w:ascii="Cambria Math" w:cs="Cambria Math" w:eastAsia="Cambria Math" w:hAnsi="Cambria Math"/>
            <w:sz w:val="24"/>
            <w:szCs w:val="24"/>
          </w:rPr>
          <m:t xml:space="preserve">×100=-7.4%</m:t>
        </m:r>
      </m:oMath>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frame experienced a significant decline in return on assets, with a strong positive return in 2020. As a result, ROA will be negative in 2024. This trend indicates that General Electronics is not maximising its asset base to generate returns. This has been aggravated by asset write-downs, reduced capacity utilisation, and declining sales volumes, which could mean it is over-invested in its current revenue-generating capacity.</w:t>
      </w:r>
    </w:p>
    <w:p w:rsidR="00000000" w:rsidDel="00000000" w:rsidP="00000000" w:rsidRDefault="00000000" w:rsidRPr="00000000" w14:paraId="00000087">
      <w:pPr>
        <w:pStyle w:val="Heading3"/>
        <w:spacing w:line="360" w:lineRule="auto"/>
        <w:rPr>
          <w:rFonts w:ascii="Times New Roman" w:cs="Times New Roman" w:eastAsia="Times New Roman" w:hAnsi="Times New Roman"/>
          <w:b w:val="1"/>
          <w:bCs w:val="1"/>
          <w:sz w:val="24"/>
          <w:szCs w:val="24"/>
        </w:rPr>
      </w:pPr>
      <w:bookmarkStart w:colFirst="0" w:colLast="0" w:name="_evtmno181wcv" w:id="8"/>
      <w:bookmarkEnd w:id="8"/>
      <w:r w:rsidDel="00000000" w:rsidR="00000000" w:rsidRPr="00000000">
        <w:rPr>
          <w:rFonts w:ascii="Times New Roman" w:cs="Times New Roman" w:eastAsia="Times New Roman" w:hAnsi="Times New Roman"/>
          <w:b w:val="1"/>
          <w:bCs w:val="1"/>
          <w:sz w:val="24"/>
          <w:szCs w:val="24"/>
          <w:rtl w:val="0"/>
        </w:rPr>
        <w:t xml:space="preserve">2.2.5 Return on Equity (ROE)</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89">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ROE</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Income</m:t>
            </m:r>
          </m:num>
          <m:den>
            <m:r>
              <w:rPr>
                <w:rFonts w:ascii="Times New Roman" w:cs="Times New Roman" w:eastAsia="Times New Roman" w:hAnsi="Times New Roman"/>
                <w:sz w:val="24"/>
                <w:szCs w:val="24"/>
              </w:rPr>
              <m:t xml:space="preserve">Shareholders' Equity</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8B">
      <w:pPr>
        <w:numPr>
          <w:ilvl w:val="0"/>
          <w:numId w:val="10"/>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8C">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38,572</m:t>
            </m:r>
          </m:num>
          <m:den>
            <m:r>
              <w:rPr>
                <w:rFonts w:ascii="Cambria Math" w:cs="Cambria Math" w:eastAsia="Cambria Math" w:hAnsi="Cambria Math"/>
                <w:sz w:val="24"/>
                <w:szCs w:val="24"/>
              </w:rPr>
              <m:t xml:space="preserve">313,301</m:t>
            </m:r>
          </m:den>
        </m:f>
        <m:r>
          <w:rPr>
            <w:rFonts w:ascii="Cambria Math" w:cs="Cambria Math" w:eastAsia="Cambria Math" w:hAnsi="Cambria Math"/>
            <w:sz w:val="24"/>
            <w:szCs w:val="24"/>
          </w:rPr>
          <m:t xml:space="preserve">×100=12.3%</m:t>
        </m:r>
      </m:oMath>
      <w:r w:rsidDel="00000000" w:rsidR="00000000" w:rsidRPr="00000000">
        <w:rPr>
          <w:rtl w:val="0"/>
        </w:rPr>
      </w:r>
    </w:p>
    <w:p w:rsidR="00000000" w:rsidDel="00000000" w:rsidP="00000000" w:rsidRDefault="00000000" w:rsidRPr="00000000" w14:paraId="0000008D">
      <w:pPr>
        <w:numPr>
          <w:ilvl w:val="0"/>
          <w:numId w:val="11"/>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8E">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-24,029</m:t>
            </m:r>
          </m:num>
          <m:den>
            <m:r>
              <w:rPr>
                <w:rFonts w:ascii="Cambria Math" w:cs="Cambria Math" w:eastAsia="Cambria Math" w:hAnsi="Cambria Math"/>
                <w:sz w:val="24"/>
                <w:szCs w:val="24"/>
              </w:rPr>
              <m:t xml:space="preserve">153,105</m:t>
            </m:r>
          </m:den>
        </m:f>
        <m:r>
          <w:rPr>
            <w:rFonts w:ascii="Cambria Math" w:cs="Cambria Math" w:eastAsia="Cambria Math" w:hAnsi="Cambria Math"/>
            <w:sz w:val="24"/>
            <w:szCs w:val="24"/>
          </w:rPr>
          <m:t xml:space="preserve">×100=-15.7%</m:t>
        </m:r>
      </m:oMath>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on equity had suffered the most from the deterioration in profitability measures. The falling turnover also shows that, in addition to waning profits, the share base has been dwindling due to losses incurred and share buybacks (Kasee, 2023).</w:t>
      </w:r>
    </w:p>
    <w:p w:rsidR="00000000" w:rsidDel="00000000" w:rsidP="00000000" w:rsidRDefault="00000000" w:rsidRPr="00000000" w14:paraId="00000090">
      <w:pPr>
        <w:pStyle w:val="Heading2"/>
        <w:spacing w:line="360" w:lineRule="auto"/>
        <w:rPr>
          <w:rFonts w:ascii="Times New Roman" w:cs="Times New Roman" w:eastAsia="Times New Roman" w:hAnsi="Times New Roman"/>
          <w:b w:val="1"/>
          <w:bCs w:val="1"/>
          <w:sz w:val="24"/>
          <w:szCs w:val="24"/>
        </w:rPr>
      </w:pPr>
      <w:bookmarkStart w:colFirst="0" w:colLast="0" w:name="_lfjy91mrvgwe" w:id="9"/>
      <w:bookmarkEnd w:id="9"/>
      <w:r w:rsidDel="00000000" w:rsidR="00000000" w:rsidRPr="00000000">
        <w:rPr>
          <w:rFonts w:ascii="Times New Roman" w:cs="Times New Roman" w:eastAsia="Times New Roman" w:hAnsi="Times New Roman"/>
          <w:b w:val="1"/>
          <w:bCs w:val="1"/>
          <w:sz w:val="24"/>
          <w:szCs w:val="24"/>
          <w:rtl w:val="0"/>
        </w:rPr>
        <w:t xml:space="preserve">2.3 Liquidity Ratio Analysis </w:t>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liquidity ratios will be applied to determine how General Electronics will pay its short term obligations as they become due. The liquidity analysis plays a crucial role in the long-term evaluation of a firm's financial capacity and solvency, especially when profitability and cash balances are declining (Hasidi et al., 2024). The following study explains the current ratio, quick ratio and cash ratio of 2020-2024.</w:t>
      </w:r>
    </w:p>
    <w:p w:rsidR="00000000" w:rsidDel="00000000" w:rsidP="00000000" w:rsidRDefault="00000000" w:rsidRPr="00000000" w14:paraId="00000092">
      <w:pPr>
        <w:pStyle w:val="Heading3"/>
        <w:spacing w:line="360" w:lineRule="auto"/>
        <w:rPr>
          <w:rFonts w:ascii="Times New Roman" w:cs="Times New Roman" w:eastAsia="Times New Roman" w:hAnsi="Times New Roman"/>
          <w:b w:val="1"/>
          <w:bCs w:val="1"/>
          <w:sz w:val="24"/>
          <w:szCs w:val="24"/>
        </w:rPr>
      </w:pPr>
      <w:bookmarkStart w:colFirst="0" w:colLast="0" w:name="_bi1qr8jao589" w:id="10"/>
      <w:bookmarkEnd w:id="10"/>
      <w:r w:rsidDel="00000000" w:rsidR="00000000" w:rsidRPr="00000000">
        <w:rPr>
          <w:rFonts w:ascii="Times New Roman" w:cs="Times New Roman" w:eastAsia="Times New Roman" w:hAnsi="Times New Roman"/>
          <w:b w:val="1"/>
          <w:bCs w:val="1"/>
          <w:sz w:val="24"/>
          <w:szCs w:val="24"/>
          <w:rtl w:val="0"/>
        </w:rPr>
        <w:t xml:space="preserve">2.3.1 Current Ratio</w:t>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94">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Current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Total Current Assets</m:t>
            </m:r>
          </m:num>
          <m:den>
            <m:r>
              <w:rPr>
                <w:rFonts w:ascii="Times New Roman" w:cs="Times New Roman" w:eastAsia="Times New Roman" w:hAnsi="Times New Roman"/>
                <w:sz w:val="24"/>
                <w:szCs w:val="24"/>
              </w:rPr>
              <m:t xml:space="preserve">Total Current Liabilities</m:t>
            </m:r>
          </m:den>
        </m:f>
      </m:oMath>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Calculations:</w:t>
      </w:r>
      <w:r w:rsidDel="00000000" w:rsidR="00000000" w:rsidRPr="00000000">
        <w:rPr>
          <w:rtl w:val="0"/>
        </w:rPr>
      </w:r>
    </w:p>
    <w:p w:rsidR="00000000" w:rsidDel="00000000" w:rsidP="00000000" w:rsidRDefault="00000000" w:rsidRPr="00000000" w14:paraId="00000096">
      <w:pPr>
        <w:numPr>
          <w:ilvl w:val="0"/>
          <w:numId w:val="12"/>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97">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326,843</m:t>
            </m:r>
          </m:num>
          <m:den>
            <m:r>
              <w:rPr>
                <w:rFonts w:ascii="Cambria Math" w:cs="Cambria Math" w:eastAsia="Cambria Math" w:hAnsi="Cambria Math"/>
                <w:sz w:val="24"/>
                <w:szCs w:val="24"/>
              </w:rPr>
              <m:t xml:space="preserve">179,510</m:t>
            </m:r>
          </m:den>
        </m:f>
        <m:r>
          <w:rPr>
            <w:rFonts w:ascii="Cambria Math" w:cs="Cambria Math" w:eastAsia="Cambria Math" w:hAnsi="Cambria Math"/>
            <w:sz w:val="24"/>
            <w:szCs w:val="24"/>
          </w:rPr>
          <m:t xml:space="preserve">=1.82</m:t>
        </m:r>
      </m:oMath>
      <w:r w:rsidDel="00000000" w:rsidR="00000000" w:rsidRPr="00000000">
        <w:rPr>
          <w:rtl w:val="0"/>
        </w:rPr>
      </w:r>
    </w:p>
    <w:p w:rsidR="00000000" w:rsidDel="00000000" w:rsidP="00000000" w:rsidRDefault="00000000" w:rsidRPr="00000000" w14:paraId="00000098">
      <w:pPr>
        <w:numPr>
          <w:ilvl w:val="0"/>
          <w:numId w:val="13"/>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2023:</w:t>
      </w:r>
      <w:r w:rsidDel="00000000" w:rsidR="00000000" w:rsidRPr="00000000">
        <w:rPr>
          <w:rtl w:val="0"/>
        </w:rPr>
      </w:r>
    </w:p>
    <w:p w:rsidR="00000000" w:rsidDel="00000000" w:rsidP="00000000" w:rsidRDefault="00000000" w:rsidRPr="00000000" w14:paraId="00000099">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258,851</m:t>
            </m:r>
          </m:num>
          <m:den>
            <m:r>
              <w:rPr>
                <w:rFonts w:ascii="Cambria Math" w:cs="Cambria Math" w:eastAsia="Cambria Math" w:hAnsi="Cambria Math"/>
                <w:sz w:val="24"/>
                <w:szCs w:val="24"/>
              </w:rPr>
              <m:t xml:space="preserve">161,148</m:t>
            </m:r>
          </m:den>
        </m:f>
        <m:r>
          <w:rPr>
            <w:rFonts w:ascii="Cambria Math" w:cs="Cambria Math" w:eastAsia="Cambria Math" w:hAnsi="Cambria Math"/>
            <w:sz w:val="24"/>
            <w:szCs w:val="24"/>
          </w:rPr>
          <m:t xml:space="preserve">=1.61</m:t>
        </m:r>
      </m:oMath>
      <w:r w:rsidDel="00000000" w:rsidR="00000000" w:rsidRPr="00000000">
        <w:rPr>
          <w:rtl w:val="0"/>
        </w:rPr>
      </w:r>
    </w:p>
    <w:p w:rsidR="00000000" w:rsidDel="00000000" w:rsidP="00000000" w:rsidRDefault="00000000" w:rsidRPr="00000000" w14:paraId="0000009A">
      <w:pPr>
        <w:numPr>
          <w:ilvl w:val="0"/>
          <w:numId w:val="14"/>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9B">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242,494</m:t>
            </m:r>
          </m:num>
          <m:den>
            <m:r>
              <w:rPr>
                <w:rFonts w:ascii="Cambria Math" w:cs="Cambria Math" w:eastAsia="Cambria Math" w:hAnsi="Cambria Math"/>
                <w:sz w:val="24"/>
                <w:szCs w:val="24"/>
              </w:rPr>
              <m:t xml:space="preserve">158,291</m:t>
            </m:r>
          </m:den>
        </m:f>
        <m:r>
          <w:rPr>
            <w:rFonts w:ascii="Cambria Math" w:cs="Cambria Math" w:eastAsia="Cambria Math" w:hAnsi="Cambria Math"/>
            <w:sz w:val="24"/>
            <w:szCs w:val="24"/>
          </w:rPr>
          <m:t xml:space="preserve">=1.53</m:t>
        </m:r>
      </m:oMath>
      <w:r w:rsidDel="00000000" w:rsidR="00000000" w:rsidRPr="00000000">
        <w:rPr>
          <w:rtl w:val="0"/>
        </w:rPr>
      </w:r>
    </w:p>
    <w:p w:rsidR="00000000" w:rsidDel="00000000" w:rsidP="00000000" w:rsidRDefault="00000000" w:rsidRPr="00000000" w14:paraId="0000009C">
      <w:pPr>
        <w:pStyle w:val="Heading3"/>
        <w:spacing w:line="360" w:lineRule="auto"/>
        <w:rPr>
          <w:rFonts w:ascii="Times New Roman" w:cs="Times New Roman" w:eastAsia="Times New Roman" w:hAnsi="Times New Roman"/>
          <w:b w:val="1"/>
          <w:bCs w:val="1"/>
          <w:sz w:val="24"/>
          <w:szCs w:val="24"/>
        </w:rPr>
      </w:pPr>
      <w:bookmarkStart w:colFirst="0" w:colLast="0" w:name="_scx5bwavj94x" w:id="11"/>
      <w:bookmarkEnd w:id="11"/>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ratio has been on a downward trend over the last five years, indicating a steady erosion of the company's short-term financial buffer. The ratio is higher than 1, indicating that current assets exceed current liabilities. The decline suggests an increasing working capital burden. Such a low liquidity buffer position in a precarious consumer electronics setting puts the firm at risk of liquidity shocks, especially when receivables collection is poor or liquidity in inventories is low.</w:t>
      </w:r>
    </w:p>
    <w:p w:rsidR="00000000" w:rsidDel="00000000" w:rsidP="00000000" w:rsidRDefault="00000000" w:rsidRPr="00000000" w14:paraId="0000009E">
      <w:pPr>
        <w:pStyle w:val="Heading3"/>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2.3.2 Quick Ratio (Acid-Test Ratio)</w:t>
      </w:r>
    </w:p>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A0">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Quick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Current Assets</m:t>
            </m:r>
            <m:r>
              <w:rPr>
                <w:rFonts w:ascii="Cambria Math" w:cs="Cambria Math" w:eastAsia="Cambria Math" w:hAnsi="Cambria Math"/>
                <w:sz w:val="24"/>
                <w:szCs w:val="24"/>
              </w:rPr>
              <m:t xml:space="preserve">-</m:t>
            </m:r>
            <m:r>
              <w:rPr>
                <w:rFonts w:ascii="Times New Roman" w:cs="Times New Roman" w:eastAsia="Times New Roman" w:hAnsi="Times New Roman"/>
                <w:sz w:val="24"/>
                <w:szCs w:val="24"/>
              </w:rPr>
              <m:t xml:space="preserve">Inventories</m:t>
            </m:r>
          </m:num>
          <m:den>
            <m:r>
              <w:rPr>
                <w:rFonts w:ascii="Times New Roman" w:cs="Times New Roman" w:eastAsia="Times New Roman" w:hAnsi="Times New Roman"/>
                <w:sz w:val="24"/>
                <w:szCs w:val="24"/>
              </w:rPr>
              <m:t xml:space="preserve">Current Liabilities</m:t>
            </m:r>
          </m:den>
        </m:f>
      </m:oMath>
      <w:r w:rsidDel="00000000" w:rsidR="00000000" w:rsidRPr="00000000">
        <w:rPr>
          <w:rtl w:val="0"/>
        </w:rPr>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Calculations:</w:t>
      </w:r>
      <w:r w:rsidDel="00000000" w:rsidR="00000000" w:rsidRPr="00000000">
        <w:rPr>
          <w:rtl w:val="0"/>
        </w:rPr>
      </w:r>
    </w:p>
    <w:p w:rsidR="00000000" w:rsidDel="00000000" w:rsidP="00000000" w:rsidRDefault="00000000" w:rsidRPr="00000000" w14:paraId="000000A2">
      <w:pPr>
        <w:numPr>
          <w:ilvl w:val="0"/>
          <w:numId w:val="15"/>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A3">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326,843-120,430</m:t>
            </m:r>
          </m:num>
          <m:den>
            <m:r>
              <w:rPr>
                <w:rFonts w:ascii="Cambria Math" w:cs="Cambria Math" w:eastAsia="Cambria Math" w:hAnsi="Cambria Math"/>
                <w:sz w:val="24"/>
                <w:szCs w:val="24"/>
              </w:rPr>
              <m:t xml:space="preserve">179,510</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206,413</m:t>
            </m:r>
          </m:num>
          <m:den>
            <m:r>
              <w:rPr>
                <w:rFonts w:ascii="Cambria Math" w:cs="Cambria Math" w:eastAsia="Cambria Math" w:hAnsi="Cambria Math"/>
                <w:sz w:val="24"/>
                <w:szCs w:val="24"/>
              </w:rPr>
              <m:t xml:space="preserve">179,510</m:t>
            </m:r>
          </m:den>
        </m:f>
        <m:r>
          <w:rPr>
            <w:rFonts w:ascii="Cambria Math" w:cs="Cambria Math" w:eastAsia="Cambria Math" w:hAnsi="Cambria Math"/>
            <w:sz w:val="24"/>
            <w:szCs w:val="24"/>
          </w:rPr>
          <m:t xml:space="preserve">=1.15</m:t>
        </m:r>
      </m:oMath>
      <w:r w:rsidDel="00000000" w:rsidR="00000000" w:rsidRPr="00000000">
        <w:rPr>
          <w:rtl w:val="0"/>
        </w:rPr>
      </w:r>
    </w:p>
    <w:p w:rsidR="00000000" w:rsidDel="00000000" w:rsidP="00000000" w:rsidRDefault="00000000" w:rsidRPr="00000000" w14:paraId="000000A4">
      <w:pPr>
        <w:numPr>
          <w:ilvl w:val="0"/>
          <w:numId w:val="16"/>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2023:</w:t>
      </w:r>
      <w:r w:rsidDel="00000000" w:rsidR="00000000" w:rsidRPr="00000000">
        <w:rPr>
          <w:rtl w:val="0"/>
        </w:rPr>
      </w:r>
    </w:p>
    <w:p w:rsidR="00000000" w:rsidDel="00000000" w:rsidP="00000000" w:rsidRDefault="00000000" w:rsidRPr="00000000" w14:paraId="000000A5">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258,851-88,273</m:t>
            </m:r>
          </m:num>
          <m:den>
            <m:r>
              <w:rPr>
                <w:rFonts w:ascii="Cambria Math" w:cs="Cambria Math" w:eastAsia="Cambria Math" w:hAnsi="Cambria Math"/>
                <w:sz w:val="24"/>
                <w:szCs w:val="24"/>
              </w:rPr>
              <m:t xml:space="preserve">161,148</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170,578</m:t>
            </m:r>
          </m:num>
          <m:den>
            <m:r>
              <w:rPr>
                <w:rFonts w:ascii="Cambria Math" w:cs="Cambria Math" w:eastAsia="Cambria Math" w:hAnsi="Cambria Math"/>
                <w:sz w:val="24"/>
                <w:szCs w:val="24"/>
              </w:rPr>
              <m:t xml:space="preserve">161,148</m:t>
            </m:r>
          </m:den>
        </m:f>
        <m:r>
          <w:rPr>
            <w:rFonts w:ascii="Cambria Math" w:cs="Cambria Math" w:eastAsia="Cambria Math" w:hAnsi="Cambria Math"/>
            <w:sz w:val="24"/>
            <w:szCs w:val="24"/>
          </w:rPr>
          <m:t xml:space="preserve">=1.06</m:t>
        </m:r>
      </m:oMath>
      <w:r w:rsidDel="00000000" w:rsidR="00000000" w:rsidRPr="00000000">
        <w:rPr>
          <w:rtl w:val="0"/>
        </w:rPr>
      </w:r>
    </w:p>
    <w:p w:rsidR="00000000" w:rsidDel="00000000" w:rsidP="00000000" w:rsidRDefault="00000000" w:rsidRPr="00000000" w14:paraId="000000A6">
      <w:pPr>
        <w:numPr>
          <w:ilvl w:val="0"/>
          <w:numId w:val="1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A7">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242,494-79,355</m:t>
            </m:r>
          </m:num>
          <m:den>
            <m:r>
              <w:rPr>
                <w:rFonts w:ascii="Cambria Math" w:cs="Cambria Math" w:eastAsia="Cambria Math" w:hAnsi="Cambria Math"/>
                <w:sz w:val="24"/>
                <w:szCs w:val="24"/>
              </w:rPr>
              <m:t xml:space="preserve">158,291</m:t>
            </m:r>
          </m:den>
        </m:f>
        <m:r>
          <w:rPr>
            <w:rFonts w:ascii="Cambria Math" w:cs="Cambria Math" w:eastAsia="Cambria Math" w:hAnsi="Cambria Math"/>
            <w:sz w:val="24"/>
            <w:szCs w:val="24"/>
          </w:rPr>
          <m:t xml:space="preserve">=</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163,139</m:t>
            </m:r>
          </m:num>
          <m:den>
            <m:r>
              <w:rPr>
                <w:rFonts w:ascii="Cambria Math" w:cs="Cambria Math" w:eastAsia="Cambria Math" w:hAnsi="Cambria Math"/>
                <w:sz w:val="24"/>
                <w:szCs w:val="24"/>
              </w:rPr>
              <m:t xml:space="preserve">158,291</m:t>
            </m:r>
          </m:den>
        </m:f>
        <m:r>
          <w:rPr>
            <w:rFonts w:ascii="Cambria Math" w:cs="Cambria Math" w:eastAsia="Cambria Math" w:hAnsi="Cambria Math"/>
            <w:sz w:val="24"/>
            <w:szCs w:val="24"/>
          </w:rPr>
          <m:t xml:space="preserve">=1.03</m:t>
        </m:r>
      </m:oMath>
      <w:r w:rsidDel="00000000" w:rsidR="00000000" w:rsidRPr="00000000">
        <w:rPr>
          <w:rtl w:val="0"/>
        </w:rPr>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low pace of the cohesiveness consolidation is an indicator that General electronics is becoming more and more dependent on day-to-day receivables collection and short-term financing to cover bills. This dependency indicates the liquidity risk because it reduces the financial flexibility of the firm because it is reporting reduced revenues.</w:t>
      </w:r>
    </w:p>
    <w:p w:rsidR="00000000" w:rsidDel="00000000" w:rsidP="00000000" w:rsidRDefault="00000000" w:rsidRPr="00000000" w14:paraId="000000A9">
      <w:pPr>
        <w:pStyle w:val="Heading3"/>
        <w:spacing w:line="360" w:lineRule="auto"/>
        <w:rPr>
          <w:rFonts w:ascii="Times New Roman" w:cs="Times New Roman" w:eastAsia="Times New Roman" w:hAnsi="Times New Roman"/>
          <w:b w:val="1"/>
          <w:bCs w:val="1"/>
          <w:sz w:val="24"/>
          <w:szCs w:val="24"/>
        </w:rPr>
      </w:pPr>
      <w:bookmarkStart w:colFirst="0" w:colLast="0" w:name="_yn894zc1tu2s" w:id="12"/>
      <w:bookmarkEnd w:id="12"/>
      <w:r w:rsidDel="00000000" w:rsidR="00000000" w:rsidRPr="00000000">
        <w:rPr>
          <w:rFonts w:ascii="Times New Roman" w:cs="Times New Roman" w:eastAsia="Times New Roman" w:hAnsi="Times New Roman"/>
          <w:b w:val="1"/>
          <w:bCs w:val="1"/>
          <w:sz w:val="24"/>
          <w:szCs w:val="24"/>
          <w:rtl w:val="0"/>
        </w:rPr>
        <w:t xml:space="preserve">2.3.3 Cash Ratio</w:t>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AB">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Cash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Cash and Cash Equivalents</m:t>
            </m:r>
          </m:num>
          <m:den>
            <m:r>
              <w:rPr>
                <w:rFonts w:ascii="Times New Roman" w:cs="Times New Roman" w:eastAsia="Times New Roman" w:hAnsi="Times New Roman"/>
                <w:sz w:val="24"/>
                <w:szCs w:val="24"/>
              </w:rPr>
              <m:t xml:space="preserve">Current Liabilities</m:t>
            </m:r>
          </m:den>
        </m:f>
      </m:oMath>
      <w:r w:rsidDel="00000000" w:rsidR="00000000" w:rsidRPr="00000000">
        <w:rPr>
          <w:rtl w:val="0"/>
        </w:rPr>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Calculations:</w:t>
      </w:r>
      <w:r w:rsidDel="00000000" w:rsidR="00000000" w:rsidRPr="00000000">
        <w:rPr>
          <w:rtl w:val="0"/>
        </w:rPr>
      </w:r>
    </w:p>
    <w:p w:rsidR="00000000" w:rsidDel="00000000" w:rsidP="00000000" w:rsidRDefault="00000000" w:rsidRPr="00000000" w14:paraId="000000AD">
      <w:pPr>
        <w:numPr>
          <w:ilvl w:val="0"/>
          <w:numId w:val="1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AE">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57,153</m:t>
            </m:r>
          </m:num>
          <m:den>
            <m:r>
              <w:rPr>
                <w:rFonts w:ascii="Cambria Math" w:cs="Cambria Math" w:eastAsia="Cambria Math" w:hAnsi="Cambria Math"/>
                <w:sz w:val="24"/>
                <w:szCs w:val="24"/>
              </w:rPr>
              <m:t xml:space="preserve">179,510</m:t>
            </m:r>
          </m:den>
        </m:f>
        <m:r>
          <w:rPr>
            <w:rFonts w:ascii="Cambria Math" w:cs="Cambria Math" w:eastAsia="Cambria Math" w:hAnsi="Cambria Math"/>
            <w:sz w:val="24"/>
            <w:szCs w:val="24"/>
          </w:rPr>
          <m:t xml:space="preserve">=0.32</m:t>
        </m:r>
      </m:oMath>
      <w:r w:rsidDel="00000000" w:rsidR="00000000" w:rsidRPr="00000000">
        <w:rPr>
          <w:rtl w:val="0"/>
        </w:rPr>
      </w:r>
    </w:p>
    <w:p w:rsidR="00000000" w:rsidDel="00000000" w:rsidP="00000000" w:rsidRDefault="00000000" w:rsidRPr="00000000" w14:paraId="000000AF">
      <w:pPr>
        <w:numPr>
          <w:ilvl w:val="0"/>
          <w:numId w:val="19"/>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2023:</w:t>
      </w:r>
      <w:r w:rsidDel="00000000" w:rsidR="00000000" w:rsidRPr="00000000">
        <w:rPr>
          <w:rtl w:val="0"/>
        </w:rPr>
      </w:r>
    </w:p>
    <w:p w:rsidR="00000000" w:rsidDel="00000000" w:rsidP="00000000" w:rsidRDefault="00000000" w:rsidRPr="00000000" w14:paraId="000000B0">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42,751</m:t>
            </m:r>
          </m:num>
          <m:den>
            <m:r>
              <w:rPr>
                <w:rFonts w:ascii="Cambria Math" w:cs="Cambria Math" w:eastAsia="Cambria Math" w:hAnsi="Cambria Math"/>
                <w:sz w:val="24"/>
                <w:szCs w:val="24"/>
              </w:rPr>
              <m:t xml:space="preserve">161,148</m:t>
            </m:r>
          </m:den>
        </m:f>
        <m:r>
          <w:rPr>
            <w:rFonts w:ascii="Cambria Math" w:cs="Cambria Math" w:eastAsia="Cambria Math" w:hAnsi="Cambria Math"/>
            <w:sz w:val="24"/>
            <w:szCs w:val="24"/>
          </w:rPr>
          <m:t xml:space="preserve">=0.27</m:t>
        </m:r>
      </m:oMath>
      <w:r w:rsidDel="00000000" w:rsidR="00000000" w:rsidRPr="00000000">
        <w:rPr>
          <w:rtl w:val="0"/>
        </w:rPr>
      </w:r>
    </w:p>
    <w:p w:rsidR="00000000" w:rsidDel="00000000" w:rsidP="00000000" w:rsidRDefault="00000000" w:rsidRPr="00000000" w14:paraId="000000B1">
      <w:pPr>
        <w:numPr>
          <w:ilvl w:val="0"/>
          <w:numId w:val="20"/>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B2">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26,783</m:t>
            </m:r>
          </m:num>
          <m:den>
            <m:r>
              <w:rPr>
                <w:rFonts w:ascii="Cambria Math" w:cs="Cambria Math" w:eastAsia="Cambria Math" w:hAnsi="Cambria Math"/>
                <w:sz w:val="24"/>
                <w:szCs w:val="24"/>
              </w:rPr>
              <m:t xml:space="preserve">158,291</m:t>
            </m:r>
          </m:den>
        </m:f>
        <m:r>
          <w:rPr>
            <w:rFonts w:ascii="Cambria Math" w:cs="Cambria Math" w:eastAsia="Cambria Math" w:hAnsi="Cambria Math"/>
            <w:sz w:val="24"/>
            <w:szCs w:val="24"/>
          </w:rPr>
          <m:t xml:space="preserve">=0.17</m:t>
        </m:r>
      </m:oMath>
      <w:r w:rsidDel="00000000" w:rsidR="00000000" w:rsidRPr="00000000">
        <w:rPr>
          <w:rtl w:val="0"/>
        </w:rPr>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bookmarkStart w:colFirst="0" w:colLast="0" w:name="_xeebsrr3eoil" w:id="13"/>
      <w:bookmarkEnd w:id="13"/>
      <w:r w:rsidDel="00000000" w:rsidR="00000000" w:rsidRPr="00000000">
        <w:rPr>
          <w:rFonts w:ascii="Times New Roman" w:cs="Times New Roman" w:eastAsia="Times New Roman" w:hAnsi="Times New Roman"/>
          <w:sz w:val="24"/>
          <w:szCs w:val="24"/>
          <w:rtl w:val="0"/>
        </w:rPr>
        <w:t xml:space="preserve">The cash ratio was deteriorating, meaning that cash reserves were declining. The current liabilities in 2024; thus, the current liabilities to cash in hand ratio was just 17, indicating that it was highly dependent on external credit facilities and maintained cash flow. This puts the company at risk of refinancing and makes it more susceptible to tightening of credit.</w:t>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overall liquidity ratios show that the short-term financial position is deteriorating. The adverse trend in the liquidity measures indicates economic weakness, although General Electric is not acutely illiquid. </w:t>
      </w:r>
    </w:p>
    <w:p w:rsidR="00000000" w:rsidDel="00000000" w:rsidP="00000000" w:rsidRDefault="00000000" w:rsidRPr="00000000" w14:paraId="000000B5">
      <w:pPr>
        <w:pStyle w:val="Heading2"/>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 Analysis of efficiency (Activity) Ratio.</w:t>
      </w:r>
    </w:p>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efficiency ratios determine the effectiveness of General Electronics in using its assets and in controlling the main aspects of working capital, such as inventory, receivables, payables, and total assets (Kanana, 2024). These ratios indicate a fluctuating picture, but, overall, they suggest that operational efficiency declined between 2020 and 2024.</w:t>
      </w:r>
    </w:p>
    <w:p w:rsidR="00000000" w:rsidDel="00000000" w:rsidP="00000000" w:rsidRDefault="00000000" w:rsidRPr="00000000" w14:paraId="000000B7">
      <w:pPr>
        <w:pStyle w:val="Heading3"/>
        <w:spacing w:line="360" w:lineRule="auto"/>
        <w:rPr>
          <w:rFonts w:ascii="Times New Roman" w:cs="Times New Roman" w:eastAsia="Times New Roman" w:hAnsi="Times New Roman"/>
          <w:b w:val="1"/>
          <w:bCs w:val="1"/>
          <w:sz w:val="24"/>
          <w:szCs w:val="24"/>
        </w:rPr>
      </w:pPr>
      <w:bookmarkStart w:colFirst="0" w:colLast="0" w:name="_vaozgnra3maj" w:id="14"/>
      <w:bookmarkEnd w:id="14"/>
      <w:r w:rsidDel="00000000" w:rsidR="00000000" w:rsidRPr="00000000">
        <w:rPr>
          <w:rFonts w:ascii="Times New Roman" w:cs="Times New Roman" w:eastAsia="Times New Roman" w:hAnsi="Times New Roman"/>
          <w:b w:val="1"/>
          <w:bCs w:val="1"/>
          <w:sz w:val="24"/>
          <w:szCs w:val="24"/>
          <w:rtl w:val="0"/>
        </w:rPr>
        <w:t xml:space="preserve">2.4.1 Inventory Turnover</w:t>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B9">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Inventory Turnover</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Cost of Sales</m:t>
            </m:r>
          </m:num>
          <m:den>
            <m:r>
              <w:rPr>
                <w:rFonts w:ascii="Times New Roman" w:cs="Times New Roman" w:eastAsia="Times New Roman" w:hAnsi="Times New Roman"/>
                <w:sz w:val="24"/>
                <w:szCs w:val="24"/>
              </w:rPr>
              <m:t xml:space="preserve">Average Inventory</m:t>
            </m:r>
          </m:den>
        </m:f>
      </m:oMath>
      <w:r w:rsidDel="00000000" w:rsidR="00000000" w:rsidRPr="00000000">
        <w:rPr>
          <w:rtl w:val="0"/>
        </w:rPr>
      </w:r>
    </w:p>
    <w:p w:rsidR="00000000" w:rsidDel="00000000" w:rsidP="00000000" w:rsidRDefault="00000000" w:rsidRPr="00000000" w14:paraId="000000B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Calculation </w:t>
      </w:r>
    </w:p>
    <w:p w:rsidR="00000000" w:rsidDel="00000000" w:rsidP="00000000" w:rsidRDefault="00000000" w:rsidRPr="00000000" w14:paraId="000000BB">
      <w:pPr>
        <w:numPr>
          <w:ilvl w:val="0"/>
          <w:numId w:val="21"/>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BC">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438,424</m:t>
            </m:r>
          </m:num>
          <m:den>
            <m:r>
              <w:rPr>
                <w:rFonts w:ascii="Cambria Math" w:cs="Cambria Math" w:eastAsia="Cambria Math" w:hAnsi="Cambria Math"/>
                <w:sz w:val="24"/>
                <w:szCs w:val="24"/>
              </w:rPr>
              <m:t xml:space="preserve">120,430</m:t>
            </m:r>
          </m:den>
        </m:f>
        <m:r>
          <w:rPr>
            <w:rFonts w:ascii="Cambria Math" w:cs="Cambria Math" w:eastAsia="Cambria Math" w:hAnsi="Cambria Math"/>
            <w:sz w:val="24"/>
            <w:szCs w:val="24"/>
          </w:rPr>
          <m:t xml:space="preserve">=3.64</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BD">
      <w:pPr>
        <w:numPr>
          <w:ilvl w:val="0"/>
          <w:numId w:val="22"/>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BE">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280,885</m:t>
            </m:r>
          </m:num>
          <m:den>
            <m:r>
              <w:rPr>
                <w:rFonts w:ascii="Cambria Math" w:cs="Cambria Math" w:eastAsia="Cambria Math" w:hAnsi="Cambria Math"/>
                <w:sz w:val="24"/>
                <w:szCs w:val="24"/>
              </w:rPr>
              <m:t xml:space="preserve">79,355</m:t>
            </m:r>
          </m:den>
        </m:f>
        <m:r>
          <w:rPr>
            <w:rFonts w:ascii="Cambria Math" w:cs="Cambria Math" w:eastAsia="Cambria Math" w:hAnsi="Cambria Math"/>
            <w:sz w:val="24"/>
            <w:szCs w:val="24"/>
          </w:rPr>
          <m:t xml:space="preserve">=3.54</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inventory turnover was also noted to increase in the later years when the inventory balances decreased greatly. The high turnover in this case is typically positively related to better inventory management, but the higher turnover opportunity by reduced demand and consequently low inventory is intentional instead of an actual increase in efficiency. </w:t>
      </w:r>
    </w:p>
    <w:p w:rsidR="00000000" w:rsidDel="00000000" w:rsidP="00000000" w:rsidRDefault="00000000" w:rsidRPr="00000000" w14:paraId="000000C0">
      <w:pPr>
        <w:pStyle w:val="Heading3"/>
        <w:spacing w:line="360" w:lineRule="auto"/>
        <w:rPr>
          <w:rFonts w:ascii="Times New Roman" w:cs="Times New Roman" w:eastAsia="Times New Roman" w:hAnsi="Times New Roman"/>
          <w:b w:val="1"/>
          <w:bCs w:val="1"/>
          <w:sz w:val="24"/>
          <w:szCs w:val="24"/>
        </w:rPr>
      </w:pPr>
      <w:bookmarkStart w:colFirst="0" w:colLast="0" w:name="_ba4hd3h7edu2" w:id="15"/>
      <w:bookmarkEnd w:id="15"/>
      <w:r w:rsidDel="00000000" w:rsidR="00000000" w:rsidRPr="00000000">
        <w:rPr>
          <w:rFonts w:ascii="Times New Roman" w:cs="Times New Roman" w:eastAsia="Times New Roman" w:hAnsi="Times New Roman"/>
          <w:b w:val="1"/>
          <w:bCs w:val="1"/>
          <w:sz w:val="24"/>
          <w:szCs w:val="24"/>
          <w:rtl w:val="0"/>
        </w:rPr>
        <w:t xml:space="preserve">2.4.2 Receivables Turnover</w:t>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C2">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Receivables Turnover</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Sales</m:t>
            </m:r>
          </m:num>
          <m:den>
            <m:r>
              <w:rPr>
                <w:rFonts w:ascii="Times New Roman" w:cs="Times New Roman" w:eastAsia="Times New Roman" w:hAnsi="Times New Roman"/>
                <w:sz w:val="24"/>
                <w:szCs w:val="24"/>
              </w:rPr>
              <m:t xml:space="preserve">Accounts Receivable</m:t>
            </m:r>
          </m:den>
        </m:f>
      </m:oMath>
      <w:r w:rsidDel="00000000" w:rsidR="00000000" w:rsidRPr="00000000">
        <w:rPr>
          <w:rtl w:val="0"/>
        </w:rPr>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C4">
      <w:pPr>
        <w:numPr>
          <w:ilvl w:val="0"/>
          <w:numId w:val="23"/>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C5">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614,680</m:t>
            </m:r>
          </m:num>
          <m:den>
            <m:r>
              <w:rPr>
                <w:rFonts w:ascii="Cambria Math" w:cs="Cambria Math" w:eastAsia="Cambria Math" w:hAnsi="Cambria Math"/>
                <w:sz w:val="24"/>
                <w:szCs w:val="24"/>
              </w:rPr>
              <m:t xml:space="preserve">129,433</m:t>
            </m:r>
          </m:den>
        </m:f>
        <m:r>
          <w:rPr>
            <w:rFonts w:ascii="Cambria Math" w:cs="Cambria Math" w:eastAsia="Cambria Math" w:hAnsi="Cambria Math"/>
            <w:sz w:val="24"/>
            <w:szCs w:val="24"/>
          </w:rPr>
          <m:t xml:space="preserve">=4.75</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C6">
      <w:pPr>
        <w:numPr>
          <w:ilvl w:val="0"/>
          <w:numId w:val="24"/>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C7">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394,879</m:t>
            </m:r>
          </m:num>
          <m:den>
            <m:r>
              <w:rPr>
                <w:rFonts w:ascii="Cambria Math" w:cs="Cambria Math" w:eastAsia="Cambria Math" w:hAnsi="Cambria Math"/>
                <w:sz w:val="24"/>
                <w:szCs w:val="24"/>
              </w:rPr>
              <m:t xml:space="preserve">114,182</m:t>
            </m:r>
          </m:den>
        </m:f>
        <m:r>
          <w:rPr>
            <w:rFonts w:ascii="Cambria Math" w:cs="Cambria Math" w:eastAsia="Cambria Math" w:hAnsi="Cambria Math"/>
            <w:sz w:val="24"/>
            <w:szCs w:val="24"/>
          </w:rPr>
          <m:t xml:space="preserve">=3.46</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period, the receivables turnover went down meaning that there is low rate of customers paying. The receivables are dropping in absolute terms though not as much as the sales. This is an indication that efficiency of controlling credit has been watered down and this puts additional strain on the cash flows at a period where liquidity is already limited.</w:t>
      </w:r>
    </w:p>
    <w:p w:rsidR="00000000" w:rsidDel="00000000" w:rsidP="00000000" w:rsidRDefault="00000000" w:rsidRPr="00000000" w14:paraId="000000C9">
      <w:pPr>
        <w:pStyle w:val="Heading3"/>
        <w:spacing w:line="360" w:lineRule="auto"/>
        <w:rPr>
          <w:rFonts w:ascii="Times New Roman" w:cs="Times New Roman" w:eastAsia="Times New Roman" w:hAnsi="Times New Roman"/>
          <w:b w:val="1"/>
          <w:bCs w:val="1"/>
          <w:sz w:val="24"/>
          <w:szCs w:val="24"/>
        </w:rPr>
      </w:pPr>
      <w:bookmarkStart w:colFirst="0" w:colLast="0" w:name="_ds0r4z9612vm" w:id="16"/>
      <w:bookmarkEnd w:id="16"/>
      <w:r w:rsidDel="00000000" w:rsidR="00000000" w:rsidRPr="00000000">
        <w:rPr>
          <w:rFonts w:ascii="Times New Roman" w:cs="Times New Roman" w:eastAsia="Times New Roman" w:hAnsi="Times New Roman"/>
          <w:b w:val="1"/>
          <w:bCs w:val="1"/>
          <w:sz w:val="24"/>
          <w:szCs w:val="24"/>
          <w:rtl w:val="0"/>
        </w:rPr>
        <w:t xml:space="preserve">2.4.3 Payables Turnover</w:t>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CB">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Payables Turnover</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Cost of Sales</m:t>
            </m:r>
          </m:num>
          <m:den>
            <m:r>
              <w:rPr>
                <w:rFonts w:ascii="Times New Roman" w:cs="Times New Roman" w:eastAsia="Times New Roman" w:hAnsi="Times New Roman"/>
                <w:sz w:val="24"/>
                <w:szCs w:val="24"/>
              </w:rPr>
              <m:t xml:space="preserve">Accounts Payable</m:t>
            </m:r>
          </m:den>
        </m:f>
      </m:oMath>
      <w:r w:rsidDel="00000000" w:rsidR="00000000" w:rsidRPr="00000000">
        <w:rPr>
          <w:rtl w:val="0"/>
        </w:rPr>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CD">
      <w:pPr>
        <w:numPr>
          <w:ilvl w:val="0"/>
          <w:numId w:val="25"/>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CE">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438,424</m:t>
            </m:r>
          </m:num>
          <m:den>
            <m:r>
              <w:rPr>
                <w:rFonts w:ascii="Cambria Math" w:cs="Cambria Math" w:eastAsia="Cambria Math" w:hAnsi="Cambria Math"/>
                <w:sz w:val="24"/>
                <w:szCs w:val="24"/>
              </w:rPr>
              <m:t xml:space="preserve">83,229</m:t>
            </m:r>
          </m:den>
        </m:f>
        <m:r>
          <w:rPr>
            <w:rFonts w:ascii="Cambria Math" w:cs="Cambria Math" w:eastAsia="Cambria Math" w:hAnsi="Cambria Math"/>
            <w:sz w:val="24"/>
            <w:szCs w:val="24"/>
          </w:rPr>
          <m:t xml:space="preserve">=5.27</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CF">
      <w:pPr>
        <w:numPr>
          <w:ilvl w:val="0"/>
          <w:numId w:val="26"/>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D0">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280,885</m:t>
            </m:r>
          </m:num>
          <m:den>
            <m:r>
              <w:rPr>
                <w:rFonts w:ascii="Cambria Math" w:cs="Cambria Math" w:eastAsia="Cambria Math" w:hAnsi="Cambria Math"/>
                <w:sz w:val="24"/>
                <w:szCs w:val="24"/>
              </w:rPr>
              <m:t xml:space="preserve">72,031</m:t>
            </m:r>
          </m:den>
        </m:f>
        <m:r>
          <w:rPr>
            <w:rFonts w:ascii="Cambria Math" w:cs="Cambria Math" w:eastAsia="Cambria Math" w:hAnsi="Cambria Math"/>
            <w:sz w:val="24"/>
            <w:szCs w:val="24"/>
          </w:rPr>
          <m:t xml:space="preserve">=3.90</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D1">
      <w:pPr>
        <w:jc w:val="both"/>
        <w:rPr>
          <w:rFonts w:ascii="Times New Roman" w:cs="Times New Roman" w:eastAsia="Times New Roman" w:hAnsi="Times New Roman"/>
          <w:sz w:val="24"/>
          <w:szCs w:val="24"/>
        </w:rPr>
      </w:pPr>
      <w:bookmarkStart w:colFirst="0" w:colLast="0" w:name="_jbormpz8ek4v" w:id="17"/>
      <w:bookmarkEnd w:id="17"/>
      <w:r w:rsidDel="00000000" w:rsidR="00000000" w:rsidRPr="00000000">
        <w:rPr>
          <w:rFonts w:ascii="Times New Roman" w:cs="Times New Roman" w:eastAsia="Times New Roman" w:hAnsi="Times New Roman"/>
          <w:sz w:val="24"/>
          <w:szCs w:val="24"/>
          <w:rtl w:val="0"/>
        </w:rPr>
        <w:t xml:space="preserve">The turnover of the payments also declined considerably, and this is an indication that the company is withholding payments from the customers. This plan can offer liquidity advantages in the short term. Nevertheless, in the long term, it will lead to a decrease in supplier relationships, bargaining power, and the business's sensitivity to supply chain risks, especially in an industry where timely component availability is a significant concern.</w:t>
      </w:r>
    </w:p>
    <w:p w:rsidR="00000000" w:rsidDel="00000000" w:rsidP="00000000" w:rsidRDefault="00000000" w:rsidRPr="00000000" w14:paraId="000000D2">
      <w:pPr>
        <w:pStyle w:val="Heading3"/>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2.4.4 Asset Turnover</w:t>
      </w:r>
    </w:p>
    <w:p w:rsidR="00000000" w:rsidDel="00000000" w:rsidP="00000000" w:rsidRDefault="00000000" w:rsidRPr="00000000" w14:paraId="000000D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D4">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Asset Turnover</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Sales</m:t>
            </m:r>
          </m:num>
          <m:den>
            <m:r>
              <w:rPr>
                <w:rFonts w:ascii="Times New Roman" w:cs="Times New Roman" w:eastAsia="Times New Roman" w:hAnsi="Times New Roman"/>
                <w:sz w:val="24"/>
                <w:szCs w:val="24"/>
              </w:rPr>
              <m:t xml:space="preserve">Total Assets</m:t>
            </m:r>
          </m:den>
        </m:f>
      </m:oMath>
      <w:r w:rsidDel="00000000" w:rsidR="00000000" w:rsidRPr="00000000">
        <w:rPr>
          <w:rtl w:val="0"/>
        </w:rPr>
      </w:r>
    </w:p>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D6">
      <w:pPr>
        <w:numPr>
          <w:ilvl w:val="0"/>
          <w:numId w:val="2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D7">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614,680</m:t>
            </m:r>
          </m:num>
          <m:den>
            <m:r>
              <w:rPr>
                <w:rFonts w:ascii="Cambria Math" w:cs="Cambria Math" w:eastAsia="Cambria Math" w:hAnsi="Cambria Math"/>
                <w:sz w:val="24"/>
                <w:szCs w:val="24"/>
              </w:rPr>
              <m:t xml:space="preserve">510,290</m:t>
            </m:r>
          </m:den>
        </m:f>
        <m:r>
          <w:rPr>
            <w:rFonts w:ascii="Cambria Math" w:cs="Cambria Math" w:eastAsia="Cambria Math" w:hAnsi="Cambria Math"/>
            <w:sz w:val="24"/>
            <w:szCs w:val="24"/>
          </w:rPr>
          <m:t xml:space="preserve">=1.20</m:t>
        </m:r>
      </m:oMath>
      <w:r w:rsidDel="00000000" w:rsidR="00000000" w:rsidRPr="00000000">
        <w:rPr>
          <w:rtl w:val="0"/>
        </w:rPr>
      </w:r>
    </w:p>
    <w:p w:rsidR="00000000" w:rsidDel="00000000" w:rsidP="00000000" w:rsidRDefault="00000000" w:rsidRPr="00000000" w14:paraId="000000D8">
      <w:pPr>
        <w:numPr>
          <w:ilvl w:val="0"/>
          <w:numId w:val="2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D9">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394,879</m:t>
            </m:r>
          </m:num>
          <m:den>
            <m:r>
              <w:rPr>
                <w:rFonts w:ascii="Cambria Math" w:cs="Cambria Math" w:eastAsia="Cambria Math" w:hAnsi="Cambria Math"/>
                <w:sz w:val="24"/>
                <w:szCs w:val="24"/>
              </w:rPr>
              <m:t xml:space="preserve">323,354</m:t>
            </m:r>
          </m:den>
        </m:f>
        <m:r>
          <w:rPr>
            <w:rFonts w:ascii="Cambria Math" w:cs="Cambria Math" w:eastAsia="Cambria Math" w:hAnsi="Cambria Math"/>
            <w:sz w:val="24"/>
            <w:szCs w:val="24"/>
          </w:rPr>
          <m:t xml:space="preserve">=1.22</m:t>
        </m:r>
      </m:oMath>
      <w:r w:rsidDel="00000000" w:rsidR="00000000" w:rsidRPr="00000000">
        <w:rPr>
          <w:rtl w:val="0"/>
        </w:rPr>
      </w:r>
    </w:p>
    <w:p w:rsidR="00000000" w:rsidDel="00000000" w:rsidP="00000000" w:rsidRDefault="00000000" w:rsidRPr="00000000" w14:paraId="000000D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assumed that asset turnover is generally stable; however, it masks an already declining operational efficiency. The ratio has been supported by using disposals and impairments, and the ability to generate revenue has been compromised. This means it does not make good use of the remaining assets relative to its increasing productivity.</w:t>
      </w:r>
    </w:p>
    <w:p w:rsidR="00000000" w:rsidDel="00000000" w:rsidP="00000000" w:rsidRDefault="00000000" w:rsidRPr="00000000" w14:paraId="000000DC">
      <w:pPr>
        <w:pStyle w:val="Heading2"/>
        <w:spacing w:line="360" w:lineRule="auto"/>
        <w:rPr>
          <w:rFonts w:ascii="Times New Roman" w:cs="Times New Roman" w:eastAsia="Times New Roman" w:hAnsi="Times New Roman"/>
          <w:b w:val="1"/>
          <w:bCs w:val="1"/>
          <w:sz w:val="24"/>
          <w:szCs w:val="24"/>
        </w:rPr>
      </w:pPr>
      <w:bookmarkStart w:colFirst="0" w:colLast="0" w:name="_q5swryvtsr65" w:id="18"/>
      <w:bookmarkEnd w:id="18"/>
      <w:r w:rsidDel="00000000" w:rsidR="00000000" w:rsidRPr="00000000">
        <w:rPr>
          <w:rFonts w:ascii="Times New Roman" w:cs="Times New Roman" w:eastAsia="Times New Roman" w:hAnsi="Times New Roman"/>
          <w:b w:val="1"/>
          <w:bCs w:val="1"/>
          <w:sz w:val="24"/>
          <w:szCs w:val="24"/>
          <w:rtl w:val="0"/>
        </w:rPr>
        <w:t xml:space="preserve">2.5 Solvency and Gearing Analysis.</w:t>
      </w:r>
    </w:p>
    <w:p w:rsidR="00000000" w:rsidDel="00000000" w:rsidP="00000000" w:rsidRDefault="00000000" w:rsidRPr="00000000" w14:paraId="000000D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stability of General Electronics and the long-run financial risk based on the capital structure are determined by the gearing and solvency ratios.</w:t>
      </w:r>
    </w:p>
    <w:p w:rsidR="00000000" w:rsidDel="00000000" w:rsidP="00000000" w:rsidRDefault="00000000" w:rsidRPr="00000000" w14:paraId="000000DE">
      <w:pPr>
        <w:pStyle w:val="Heading3"/>
        <w:spacing w:line="360" w:lineRule="auto"/>
        <w:rPr>
          <w:rFonts w:ascii="Times New Roman" w:cs="Times New Roman" w:eastAsia="Times New Roman" w:hAnsi="Times New Roman"/>
          <w:b w:val="1"/>
          <w:bCs w:val="1"/>
          <w:sz w:val="24"/>
          <w:szCs w:val="24"/>
        </w:rPr>
      </w:pPr>
      <w:bookmarkStart w:colFirst="0" w:colLast="0" w:name="_nbo6av9h6cnh" w:id="19"/>
      <w:bookmarkEnd w:id="19"/>
      <w:r w:rsidDel="00000000" w:rsidR="00000000" w:rsidRPr="00000000">
        <w:rPr>
          <w:rFonts w:ascii="Times New Roman" w:cs="Times New Roman" w:eastAsia="Times New Roman" w:hAnsi="Times New Roman"/>
          <w:b w:val="1"/>
          <w:bCs w:val="1"/>
          <w:sz w:val="24"/>
          <w:szCs w:val="24"/>
          <w:rtl w:val="0"/>
        </w:rPr>
        <w:t xml:space="preserve">2.5.1 Debt-to-Equity Ratio</w:t>
      </w:r>
    </w:p>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E0">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Debt-to-Equity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Total Liabilities</m:t>
            </m:r>
          </m:num>
          <m:den>
            <m:r>
              <w:rPr>
                <w:rFonts w:ascii="Times New Roman" w:cs="Times New Roman" w:eastAsia="Times New Roman" w:hAnsi="Times New Roman"/>
                <w:sz w:val="24"/>
                <w:szCs w:val="24"/>
              </w:rPr>
              <m:t xml:space="preserve">Shareholders' Equity</m:t>
            </m:r>
          </m:den>
        </m:f>
      </m:oMath>
      <w:r w:rsidDel="00000000" w:rsidR="00000000" w:rsidRPr="00000000">
        <w:rPr>
          <w:rtl w:val="0"/>
        </w:rPr>
      </w:r>
    </w:p>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E2">
      <w:pPr>
        <w:numPr>
          <w:ilvl w:val="0"/>
          <w:numId w:val="29"/>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E3">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196,989</m:t>
            </m:r>
          </m:num>
          <m:den>
            <m:r>
              <w:rPr>
                <w:rFonts w:ascii="Cambria Math" w:cs="Cambria Math" w:eastAsia="Cambria Math" w:hAnsi="Cambria Math"/>
                <w:sz w:val="24"/>
                <w:szCs w:val="24"/>
              </w:rPr>
              <m:t xml:space="preserve">313,301</m:t>
            </m:r>
          </m:den>
        </m:f>
        <m:r>
          <w:rPr>
            <w:rFonts w:ascii="Cambria Math" w:cs="Cambria Math" w:eastAsia="Cambria Math" w:hAnsi="Cambria Math"/>
            <w:sz w:val="24"/>
            <w:szCs w:val="24"/>
          </w:rPr>
          <m:t xml:space="preserve">=0.63</m:t>
        </m:r>
      </m:oMath>
      <w:r w:rsidDel="00000000" w:rsidR="00000000" w:rsidRPr="00000000">
        <w:rPr>
          <w:rtl w:val="0"/>
        </w:rPr>
      </w:r>
    </w:p>
    <w:p w:rsidR="00000000" w:rsidDel="00000000" w:rsidP="00000000" w:rsidRDefault="00000000" w:rsidRPr="00000000" w14:paraId="000000E4">
      <w:pPr>
        <w:numPr>
          <w:ilvl w:val="0"/>
          <w:numId w:val="30"/>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E5">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170,249</m:t>
            </m:r>
          </m:num>
          <m:den>
            <m:r>
              <w:rPr>
                <w:rFonts w:ascii="Cambria Math" w:cs="Cambria Math" w:eastAsia="Cambria Math" w:hAnsi="Cambria Math"/>
                <w:sz w:val="24"/>
                <w:szCs w:val="24"/>
              </w:rPr>
              <m:t xml:space="preserve">153,105</m:t>
            </m:r>
          </m:den>
        </m:f>
        <m:r>
          <w:rPr>
            <w:rFonts w:ascii="Cambria Math" w:cs="Cambria Math" w:eastAsia="Cambria Math" w:hAnsi="Cambria Math"/>
            <w:sz w:val="24"/>
            <w:szCs w:val="24"/>
          </w:rPr>
          <m:t xml:space="preserve">=1.11</m:t>
        </m:r>
      </m:oMath>
      <w:r w:rsidDel="00000000" w:rsidR="00000000" w:rsidRPr="00000000">
        <w:rPr>
          <w:rtl w:val="0"/>
        </w:rPr>
      </w:r>
    </w:p>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debt-to-equity ratio increased significantly over the period, primarily due to the sharp decline in equity rather than an increase in debt. The transition implies high financial leverage and increased risk for equity holders. A high leverage ratio suggests that creditors are now the primary funders, rather than shareholders, and therefore the company is not financially sustainable.</w:t>
      </w:r>
    </w:p>
    <w:p w:rsidR="00000000" w:rsidDel="00000000" w:rsidP="00000000" w:rsidRDefault="00000000" w:rsidRPr="00000000" w14:paraId="000000E7">
      <w:pPr>
        <w:pStyle w:val="Heading3"/>
        <w:spacing w:line="360" w:lineRule="auto"/>
        <w:rPr>
          <w:rFonts w:ascii="Times New Roman" w:cs="Times New Roman" w:eastAsia="Times New Roman" w:hAnsi="Times New Roman"/>
          <w:b w:val="1"/>
          <w:bCs w:val="1"/>
          <w:sz w:val="24"/>
          <w:szCs w:val="24"/>
        </w:rPr>
      </w:pPr>
      <w:bookmarkStart w:colFirst="0" w:colLast="0" w:name="_kgnyg4eow8m8" w:id="20"/>
      <w:bookmarkEnd w:id="20"/>
      <w:r w:rsidDel="00000000" w:rsidR="00000000" w:rsidRPr="00000000">
        <w:rPr>
          <w:rFonts w:ascii="Times New Roman" w:cs="Times New Roman" w:eastAsia="Times New Roman" w:hAnsi="Times New Roman"/>
          <w:b w:val="1"/>
          <w:bCs w:val="1"/>
          <w:sz w:val="24"/>
          <w:szCs w:val="24"/>
          <w:rtl w:val="0"/>
        </w:rPr>
        <w:t xml:space="preserve">2.5.2 Interest Coverage Ratio</w:t>
      </w:r>
    </w:p>
    <w:p w:rsidR="00000000" w:rsidDel="00000000" w:rsidP="00000000" w:rsidRDefault="00000000" w:rsidRPr="00000000" w14:paraId="000000E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E9">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Interest Coverage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Operating Income</m:t>
            </m:r>
          </m:num>
          <m:den>
            <m:r>
              <w:rPr>
                <w:rFonts w:ascii="Times New Roman" w:cs="Times New Roman" w:eastAsia="Times New Roman" w:hAnsi="Times New Roman"/>
                <w:sz w:val="24"/>
                <w:szCs w:val="24"/>
              </w:rPr>
              <m:t xml:space="preserve">Interest Expense</m:t>
            </m:r>
          </m:den>
        </m:f>
      </m:oMath>
      <w:r w:rsidDel="00000000" w:rsidR="00000000" w:rsidRPr="00000000">
        <w:rPr>
          <w:rtl w:val="0"/>
        </w:rPr>
      </w:r>
    </w:p>
    <w:p w:rsidR="00000000" w:rsidDel="00000000" w:rsidP="00000000" w:rsidRDefault="00000000" w:rsidRPr="00000000" w14:paraId="000000E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EB">
      <w:pPr>
        <w:numPr>
          <w:ilvl w:val="0"/>
          <w:numId w:val="31"/>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EC">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37,267</m:t>
            </m:r>
          </m:num>
          <m:den>
            <m:r>
              <w:rPr>
                <w:rFonts w:ascii="Cambria Math" w:cs="Cambria Math" w:eastAsia="Cambria Math" w:hAnsi="Cambria Math"/>
                <w:sz w:val="24"/>
                <w:szCs w:val="24"/>
              </w:rPr>
              <m:t xml:space="preserve">1,422</m:t>
            </m:r>
          </m:den>
        </m:f>
        <m:r>
          <w:rPr>
            <w:rFonts w:ascii="Cambria Math" w:cs="Cambria Math" w:eastAsia="Cambria Math" w:hAnsi="Cambria Math"/>
            <w:sz w:val="24"/>
            <w:szCs w:val="24"/>
          </w:rPr>
          <m:t xml:space="preserve">=26.2</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ED">
      <w:pPr>
        <w:numPr>
          <w:ilvl w:val="0"/>
          <w:numId w:val="32"/>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EE">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-15,297</m:t>
            </m:r>
          </m:num>
          <m:den>
            <m:r>
              <w:rPr>
                <w:rFonts w:ascii="Cambria Math" w:cs="Cambria Math" w:eastAsia="Cambria Math" w:hAnsi="Cambria Math"/>
                <w:sz w:val="24"/>
                <w:szCs w:val="24"/>
              </w:rPr>
              <m:t xml:space="preserve">3,361</m:t>
            </m:r>
          </m:den>
        </m:f>
        <m:r>
          <w:rPr>
            <w:rFonts w:ascii="Cambria Math" w:cs="Cambria Math" w:eastAsia="Cambria Math" w:hAnsi="Cambria Math"/>
            <w:sz w:val="24"/>
            <w:szCs w:val="24"/>
          </w:rPr>
          <m:t xml:space="preserve">=-4.55</m:t>
        </m:r>
        <m:r>
          <w:rPr>
            <w:rFonts w:ascii="Times New Roman" w:cs="Times New Roman" w:eastAsia="Times New Roman" w:hAnsi="Times New Roman"/>
            <w:sz w:val="24"/>
            <w:szCs w:val="24"/>
          </w:rPr>
          <m:t xml:space="preserve"> times</m:t>
        </m:r>
      </m:oMath>
      <w:r w:rsidDel="00000000" w:rsidR="00000000" w:rsidRPr="00000000">
        <w:rPr>
          <w:rtl w:val="0"/>
        </w:rPr>
      </w:r>
    </w:p>
    <w:p w:rsidR="00000000" w:rsidDel="00000000" w:rsidP="00000000" w:rsidRDefault="00000000" w:rsidRPr="00000000" w14:paraId="000000E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 coverage has been highly negative in recent years due to operating losses. It means that operating profits are no longer used to pay interest, which is a severe risk to debt sustainability and long-run refinancing risk.</w:t>
      </w:r>
    </w:p>
    <w:p w:rsidR="00000000" w:rsidDel="00000000" w:rsidP="00000000" w:rsidRDefault="00000000" w:rsidRPr="00000000" w14:paraId="000000F0">
      <w:pPr>
        <w:pStyle w:val="Heading3"/>
        <w:spacing w:line="360" w:lineRule="auto"/>
        <w:rPr>
          <w:rFonts w:ascii="Times New Roman" w:cs="Times New Roman" w:eastAsia="Times New Roman" w:hAnsi="Times New Roman"/>
          <w:b w:val="1"/>
          <w:bCs w:val="1"/>
          <w:sz w:val="24"/>
          <w:szCs w:val="24"/>
        </w:rPr>
      </w:pPr>
      <w:bookmarkStart w:colFirst="0" w:colLast="0" w:name="_vwsnrfhpr3zh" w:id="21"/>
      <w:bookmarkEnd w:id="21"/>
      <w:r w:rsidDel="00000000" w:rsidR="00000000" w:rsidRPr="00000000">
        <w:rPr>
          <w:rFonts w:ascii="Times New Roman" w:cs="Times New Roman" w:eastAsia="Times New Roman" w:hAnsi="Times New Roman"/>
          <w:b w:val="1"/>
          <w:bCs w:val="1"/>
          <w:sz w:val="24"/>
          <w:szCs w:val="24"/>
          <w:rtl w:val="0"/>
        </w:rPr>
        <w:t xml:space="preserve">2.5.3 Long-Term Solvency Position</w:t>
      </w:r>
    </w:p>
    <w:p w:rsidR="00000000" w:rsidDel="00000000" w:rsidP="00000000" w:rsidRDefault="00000000" w:rsidRPr="00000000" w14:paraId="000000F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 greater extent, the firm's balance sheet has been weakened by declining equity, frequent net losses, and asset depreciation. </w:t>
      </w:r>
    </w:p>
    <w:p w:rsidR="00000000" w:rsidDel="00000000" w:rsidP="00000000" w:rsidRDefault="00000000" w:rsidRPr="00000000" w14:paraId="000000F2">
      <w:pPr>
        <w:pStyle w:val="Heading2"/>
        <w:spacing w:line="360" w:lineRule="auto"/>
        <w:rPr>
          <w:rFonts w:ascii="Times New Roman" w:cs="Times New Roman" w:eastAsia="Times New Roman" w:hAnsi="Times New Roman"/>
          <w:b w:val="1"/>
          <w:bCs w:val="1"/>
          <w:sz w:val="24"/>
          <w:szCs w:val="24"/>
        </w:rPr>
      </w:pPr>
      <w:bookmarkStart w:colFirst="0" w:colLast="0" w:name="_gu8jmpats8cc" w:id="22"/>
      <w:bookmarkEnd w:id="22"/>
      <w:r w:rsidDel="00000000" w:rsidR="00000000" w:rsidRPr="00000000">
        <w:rPr>
          <w:rFonts w:ascii="Times New Roman" w:cs="Times New Roman" w:eastAsia="Times New Roman" w:hAnsi="Times New Roman"/>
          <w:b w:val="1"/>
          <w:bCs w:val="1"/>
          <w:sz w:val="24"/>
          <w:szCs w:val="24"/>
          <w:rtl w:val="0"/>
        </w:rPr>
        <w:t xml:space="preserve">2.6 Investment and Market Ratios.</w:t>
      </w:r>
    </w:p>
    <w:p w:rsidR="00000000" w:rsidDel="00000000" w:rsidP="00000000" w:rsidRDefault="00000000" w:rsidRPr="00000000" w14:paraId="000000F3">
      <w:pPr>
        <w:pStyle w:val="Heading3"/>
        <w:spacing w:line="360" w:lineRule="auto"/>
        <w:rPr>
          <w:rFonts w:ascii="Times New Roman" w:cs="Times New Roman" w:eastAsia="Times New Roman" w:hAnsi="Times New Roman"/>
          <w:b w:val="1"/>
          <w:bCs w:val="1"/>
          <w:sz w:val="24"/>
          <w:szCs w:val="24"/>
        </w:rPr>
      </w:pPr>
      <w:bookmarkStart w:colFirst="0" w:colLast="0" w:name="_o3594fdazmfi" w:id="23"/>
      <w:bookmarkEnd w:id="23"/>
      <w:r w:rsidDel="00000000" w:rsidR="00000000" w:rsidRPr="00000000">
        <w:rPr>
          <w:rFonts w:ascii="Times New Roman" w:cs="Times New Roman" w:eastAsia="Times New Roman" w:hAnsi="Times New Roman"/>
          <w:b w:val="1"/>
          <w:bCs w:val="1"/>
          <w:sz w:val="24"/>
          <w:szCs w:val="24"/>
          <w:rtl w:val="0"/>
        </w:rPr>
        <w:t xml:space="preserve">2.6.1 Earnings per Share (EPS)</w:t>
      </w:r>
    </w:p>
    <w:p w:rsidR="00000000" w:rsidDel="00000000" w:rsidP="00000000" w:rsidRDefault="00000000" w:rsidRPr="00000000" w14:paraId="000000F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0F5">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EPS</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Net Income</m:t>
            </m:r>
          </m:num>
          <m:den>
            <m:r>
              <w:rPr>
                <w:rFonts w:ascii="Times New Roman" w:cs="Times New Roman" w:eastAsia="Times New Roman" w:hAnsi="Times New Roman"/>
                <w:sz w:val="24"/>
                <w:szCs w:val="24"/>
              </w:rPr>
              <m:t xml:space="preserve">Weighted Average Shares Outstanding</m:t>
            </m:r>
          </m:den>
        </m:f>
      </m:oMath>
      <w:r w:rsidDel="00000000" w:rsidR="00000000" w:rsidRPr="00000000">
        <w:rPr>
          <w:rtl w:val="0"/>
        </w:rPr>
      </w:r>
    </w:p>
    <w:p w:rsidR="00000000" w:rsidDel="00000000" w:rsidP="00000000" w:rsidRDefault="00000000" w:rsidRPr="00000000" w14:paraId="000000F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0F7">
      <w:pPr>
        <w:numPr>
          <w:ilvl w:val="0"/>
          <w:numId w:val="33"/>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0F8">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38,572</m:t>
            </m:r>
          </m:num>
          <m:den>
            <m:r>
              <w:rPr>
                <w:rFonts w:ascii="Cambria Math" w:cs="Cambria Math" w:eastAsia="Cambria Math" w:hAnsi="Cambria Math"/>
                <w:sz w:val="24"/>
                <w:szCs w:val="24"/>
              </w:rPr>
              <m:t xml:space="preserve">13,893</m:t>
            </m:r>
          </m:den>
        </m:f>
        <m:r>
          <w:rPr>
            <w:rFonts w:ascii="Cambria Math" w:cs="Cambria Math" w:eastAsia="Cambria Math" w:hAnsi="Cambria Math"/>
            <w:sz w:val="24"/>
            <w:szCs w:val="24"/>
          </w:rPr>
          <m:t xml:space="preserve">=£2.78</m:t>
        </m:r>
      </m:oMath>
      <w:r w:rsidDel="00000000" w:rsidR="00000000" w:rsidRPr="00000000">
        <w:rPr>
          <w:rtl w:val="0"/>
        </w:rPr>
      </w:r>
    </w:p>
    <w:p w:rsidR="00000000" w:rsidDel="00000000" w:rsidP="00000000" w:rsidRDefault="00000000" w:rsidRPr="00000000" w14:paraId="000000F9">
      <w:pPr>
        <w:numPr>
          <w:ilvl w:val="0"/>
          <w:numId w:val="34"/>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2023:</w:t>
      </w:r>
      <w:r w:rsidDel="00000000" w:rsidR="00000000" w:rsidRPr="00000000">
        <w:rPr>
          <w:rtl w:val="0"/>
        </w:rPr>
      </w:r>
    </w:p>
    <w:p w:rsidR="00000000" w:rsidDel="00000000" w:rsidP="00000000" w:rsidRDefault="00000000" w:rsidRPr="00000000" w14:paraId="000000FA">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-98,238</m:t>
            </m:r>
          </m:num>
          <m:den>
            <m:r>
              <w:rPr>
                <w:rFonts w:ascii="Cambria Math" w:cs="Cambria Math" w:eastAsia="Cambria Math" w:hAnsi="Cambria Math"/>
                <w:sz w:val="24"/>
                <w:szCs w:val="24"/>
              </w:rPr>
              <m:t xml:space="preserve">12,855</m:t>
            </m:r>
          </m:den>
        </m:f>
        <m:r>
          <w:rPr>
            <w:rFonts w:ascii="Cambria Math" w:cs="Cambria Math" w:eastAsia="Cambria Math" w:hAnsi="Cambria Math"/>
            <w:sz w:val="24"/>
            <w:szCs w:val="24"/>
          </w:rPr>
          <m:t xml:space="preserve">=-£7.64</m:t>
        </m:r>
      </m:oMath>
      <w:r w:rsidDel="00000000" w:rsidR="00000000" w:rsidRPr="00000000">
        <w:rPr>
          <w:rtl w:val="0"/>
        </w:rPr>
      </w:r>
    </w:p>
    <w:p w:rsidR="00000000" w:rsidDel="00000000" w:rsidP="00000000" w:rsidRDefault="00000000" w:rsidRPr="00000000" w14:paraId="000000FB">
      <w:pPr>
        <w:numPr>
          <w:ilvl w:val="0"/>
          <w:numId w:val="35"/>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0FC">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-24,029</m:t>
            </m:r>
          </m:num>
          <m:den>
            <m:r>
              <w:rPr>
                <w:rFonts w:ascii="Cambria Math" w:cs="Cambria Math" w:eastAsia="Cambria Math" w:hAnsi="Cambria Math"/>
                <w:sz w:val="24"/>
                <w:szCs w:val="24"/>
              </w:rPr>
              <m:t xml:space="preserve">12,959</m:t>
            </m:r>
          </m:den>
        </m:f>
        <m:r>
          <w:rPr>
            <w:rFonts w:ascii="Cambria Math" w:cs="Cambria Math" w:eastAsia="Cambria Math" w:hAnsi="Cambria Math"/>
            <w:sz w:val="24"/>
            <w:szCs w:val="24"/>
          </w:rPr>
          <m:t xml:space="preserve">=-£1.85</m:t>
        </m:r>
      </m:oMath>
      <w:r w:rsidDel="00000000" w:rsidR="00000000" w:rsidRPr="00000000">
        <w:rPr>
          <w:rtl w:val="0"/>
        </w:rPr>
      </w:r>
    </w:p>
    <w:p w:rsidR="00000000" w:rsidDel="00000000" w:rsidP="00000000" w:rsidRDefault="00000000" w:rsidRPr="00000000" w14:paraId="000000F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turnover of payments also declined considerably, indicating that the company is withholding payments from customers. This plan can offer liquidity advantages in the short term. Nevertheless, in the long term, it will lead to a decrease in supplier relationships, bargaining power, and the business's sensitivity to supply chain risks, especially in an industry where timely component availability is a significant concern.</w:t>
      </w:r>
    </w:p>
    <w:p w:rsidR="00000000" w:rsidDel="00000000" w:rsidP="00000000" w:rsidRDefault="00000000" w:rsidRPr="00000000" w14:paraId="000000FE">
      <w:pPr>
        <w:pStyle w:val="Heading2"/>
        <w:spacing w:line="360" w:lineRule="auto"/>
        <w:rPr>
          <w:rFonts w:ascii="Times New Roman" w:cs="Times New Roman" w:eastAsia="Times New Roman" w:hAnsi="Times New Roman"/>
          <w:b w:val="1"/>
          <w:bCs w:val="1"/>
          <w:sz w:val="24"/>
          <w:szCs w:val="24"/>
        </w:rPr>
      </w:pPr>
      <w:bookmarkStart w:colFirst="0" w:colLast="0" w:name="_icgpo8eda4" w:id="24"/>
      <w:bookmarkEnd w:id="24"/>
      <w:r w:rsidDel="00000000" w:rsidR="00000000" w:rsidRPr="00000000">
        <w:rPr>
          <w:rFonts w:ascii="Times New Roman" w:cs="Times New Roman" w:eastAsia="Times New Roman" w:hAnsi="Times New Roman"/>
          <w:b w:val="1"/>
          <w:bCs w:val="1"/>
          <w:sz w:val="24"/>
          <w:szCs w:val="24"/>
          <w:rtl w:val="0"/>
        </w:rPr>
        <w:t xml:space="preserve">2.7 Cash Flow Ratio Analysis</w:t>
      </w:r>
    </w:p>
    <w:p w:rsidR="00000000" w:rsidDel="00000000" w:rsidP="00000000" w:rsidRDefault="00000000" w:rsidRPr="00000000" w14:paraId="000000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ratios of cash flows provide a more critical view of financial health than accounting profits (Sunmola, 2021).</w:t>
      </w:r>
    </w:p>
    <w:p w:rsidR="00000000" w:rsidDel="00000000" w:rsidP="00000000" w:rsidRDefault="00000000" w:rsidRPr="00000000" w14:paraId="00000100">
      <w:pPr>
        <w:pStyle w:val="Heading3"/>
        <w:spacing w:line="360" w:lineRule="auto"/>
        <w:rPr>
          <w:rFonts w:ascii="Times New Roman" w:cs="Times New Roman" w:eastAsia="Times New Roman" w:hAnsi="Times New Roman"/>
          <w:b w:val="1"/>
          <w:bCs w:val="1"/>
          <w:sz w:val="24"/>
          <w:szCs w:val="24"/>
        </w:rPr>
      </w:pPr>
      <w:bookmarkStart w:colFirst="0" w:colLast="0" w:name="_m9xxaovnlaz9" w:id="25"/>
      <w:bookmarkEnd w:id="25"/>
      <w:r w:rsidDel="00000000" w:rsidR="00000000" w:rsidRPr="00000000">
        <w:rPr>
          <w:rFonts w:ascii="Times New Roman" w:cs="Times New Roman" w:eastAsia="Times New Roman" w:hAnsi="Times New Roman"/>
          <w:b w:val="1"/>
          <w:bCs w:val="1"/>
          <w:sz w:val="24"/>
          <w:szCs w:val="24"/>
          <w:rtl w:val="0"/>
        </w:rPr>
        <w:t xml:space="preserve">2.7.1 Operating Cash Flow Ratio</w:t>
      </w:r>
    </w:p>
    <w:p w:rsidR="00000000" w:rsidDel="00000000" w:rsidP="00000000" w:rsidRDefault="00000000" w:rsidRPr="00000000" w14:paraId="000001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102">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Operating Cash Flow Ratio</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Operating Cash Flow</m:t>
            </m:r>
          </m:num>
          <m:den>
            <m:r>
              <w:rPr>
                <w:rFonts w:ascii="Times New Roman" w:cs="Times New Roman" w:eastAsia="Times New Roman" w:hAnsi="Times New Roman"/>
                <w:sz w:val="24"/>
                <w:szCs w:val="24"/>
              </w:rPr>
              <m:t xml:space="preserve">Current Liabilities</m:t>
            </m:r>
          </m:den>
        </m:f>
      </m:oMath>
      <w:r w:rsidDel="00000000" w:rsidR="00000000" w:rsidRPr="00000000">
        <w:rPr>
          <w:rtl w:val="0"/>
        </w:rPr>
      </w:r>
    </w:p>
    <w:p w:rsidR="00000000" w:rsidDel="00000000" w:rsidP="00000000" w:rsidRDefault="00000000" w:rsidRPr="00000000" w14:paraId="000001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r w:rsidDel="00000000" w:rsidR="00000000" w:rsidRPr="00000000">
        <w:rPr>
          <w:rtl w:val="0"/>
        </w:rPr>
      </w:r>
    </w:p>
    <w:p w:rsidR="00000000" w:rsidDel="00000000" w:rsidP="00000000" w:rsidRDefault="00000000" w:rsidRPr="00000000" w14:paraId="00000104">
      <w:pPr>
        <w:numPr>
          <w:ilvl w:val="0"/>
          <w:numId w:val="36"/>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105">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73,392</m:t>
            </m:r>
          </m:num>
          <m:den>
            <m:r>
              <w:rPr>
                <w:rFonts w:ascii="Cambria Math" w:cs="Cambria Math" w:eastAsia="Cambria Math" w:hAnsi="Cambria Math"/>
                <w:sz w:val="24"/>
                <w:szCs w:val="24"/>
              </w:rPr>
              <m:t xml:space="preserve">179,510</m:t>
            </m:r>
          </m:den>
        </m:f>
        <m:r>
          <w:rPr>
            <w:rFonts w:ascii="Cambria Math" w:cs="Cambria Math" w:eastAsia="Cambria Math" w:hAnsi="Cambria Math"/>
            <w:sz w:val="24"/>
            <w:szCs w:val="24"/>
          </w:rPr>
          <m:t xml:space="preserve">=0.41</m:t>
        </m:r>
      </m:oMath>
      <w:r w:rsidDel="00000000" w:rsidR="00000000" w:rsidRPr="00000000">
        <w:rPr>
          <w:rtl w:val="0"/>
        </w:rPr>
      </w:r>
    </w:p>
    <w:p w:rsidR="00000000" w:rsidDel="00000000" w:rsidP="00000000" w:rsidRDefault="00000000" w:rsidRPr="00000000" w14:paraId="00000106">
      <w:pPr>
        <w:numPr>
          <w:ilvl w:val="0"/>
          <w:numId w:val="3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107">
      <w:pPr>
        <w:jc w:val="center"/>
        <w:rPr>
          <w:rFonts w:ascii="Cambria Math" w:cs="Cambria Math" w:eastAsia="Cambria Math" w:hAnsi="Cambria Math"/>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14,822</m:t>
            </m:r>
          </m:num>
          <m:den>
            <m:r>
              <w:rPr>
                <w:rFonts w:ascii="Cambria Math" w:cs="Cambria Math" w:eastAsia="Cambria Math" w:hAnsi="Cambria Math"/>
                <w:sz w:val="24"/>
                <w:szCs w:val="24"/>
              </w:rPr>
              <m:t xml:space="preserve">158,291</m:t>
            </m:r>
          </m:den>
        </m:f>
        <m:r>
          <w:rPr>
            <w:rFonts w:ascii="Cambria Math" w:cs="Cambria Math" w:eastAsia="Cambria Math" w:hAnsi="Cambria Math"/>
            <w:sz w:val="24"/>
            <w:szCs w:val="24"/>
          </w:rPr>
          <m:t xml:space="preserve">=0.09</m:t>
        </m:r>
      </m:oMath>
      <w:r w:rsidDel="00000000" w:rsidR="00000000" w:rsidRPr="00000000">
        <w:rPr>
          <w:rtl w:val="0"/>
        </w:rPr>
      </w:r>
    </w:p>
    <w:p w:rsidR="00000000" w:rsidDel="00000000" w:rsidP="00000000" w:rsidRDefault="00000000" w:rsidRPr="00000000" w14:paraId="000001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high fall shows that it has low ability to settle the short-term liabilities using internally generated cash.</w:t>
      </w:r>
    </w:p>
    <w:p w:rsidR="00000000" w:rsidDel="00000000" w:rsidP="00000000" w:rsidRDefault="00000000" w:rsidRPr="00000000" w14:paraId="00000109">
      <w:pPr>
        <w:pStyle w:val="Heading3"/>
        <w:spacing w:line="360" w:lineRule="auto"/>
        <w:rPr>
          <w:rFonts w:ascii="Times New Roman" w:cs="Times New Roman" w:eastAsia="Times New Roman" w:hAnsi="Times New Roman"/>
          <w:b w:val="1"/>
          <w:bCs w:val="1"/>
          <w:sz w:val="24"/>
          <w:szCs w:val="24"/>
        </w:rPr>
      </w:pPr>
      <w:bookmarkStart w:colFirst="0" w:colLast="0" w:name="_14qcgi8q65u2" w:id="26"/>
      <w:bookmarkEnd w:id="26"/>
      <w:r w:rsidDel="00000000" w:rsidR="00000000" w:rsidRPr="00000000">
        <w:rPr>
          <w:rFonts w:ascii="Times New Roman" w:cs="Times New Roman" w:eastAsia="Times New Roman" w:hAnsi="Times New Roman"/>
          <w:b w:val="1"/>
          <w:bCs w:val="1"/>
          <w:sz w:val="24"/>
          <w:szCs w:val="24"/>
          <w:rtl w:val="0"/>
        </w:rPr>
        <w:t xml:space="preserve">2.7.2 Cash Flow Adequacy Ratio</w:t>
      </w:r>
    </w:p>
    <w:p w:rsidR="00000000" w:rsidDel="00000000" w:rsidP="00000000" w:rsidRDefault="00000000" w:rsidRPr="00000000" w14:paraId="000001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10B">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Cash Flow Adequacy</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Operating Cash Flow</m:t>
            </m:r>
          </m:num>
          <m:den>
            <m:r>
              <w:rPr>
                <w:rFonts w:ascii="Times New Roman" w:cs="Times New Roman" w:eastAsia="Times New Roman" w:hAnsi="Times New Roman"/>
                <w:sz w:val="24"/>
                <w:szCs w:val="24"/>
              </w:rPr>
              <m:t xml:space="preserve">Capital Expenditure + Debt Repayments</m:t>
            </m:r>
          </m:den>
        </m:f>
      </m:oMath>
      <w:r w:rsidDel="00000000" w:rsidR="00000000" w:rsidRPr="00000000">
        <w:rPr>
          <w:rtl w:val="0"/>
        </w:rPr>
      </w:r>
    </w:p>
    <w:p w:rsidR="00000000" w:rsidDel="00000000" w:rsidP="00000000" w:rsidRDefault="00000000" w:rsidRPr="00000000" w14:paraId="0000010C">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p>
    <w:p w:rsidR="00000000" w:rsidDel="00000000" w:rsidP="00000000" w:rsidRDefault="00000000" w:rsidRPr="00000000" w14:paraId="000001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operating cash flows were not negative, they could not support investment and financing requirements, necessitating external financing.</w:t>
      </w:r>
    </w:p>
    <w:p w:rsidR="00000000" w:rsidDel="00000000" w:rsidP="00000000" w:rsidRDefault="00000000" w:rsidRPr="00000000" w14:paraId="0000010E">
      <w:pPr>
        <w:pStyle w:val="Heading3"/>
        <w:spacing w:line="360" w:lineRule="auto"/>
        <w:rPr>
          <w:rFonts w:ascii="Times New Roman" w:cs="Times New Roman" w:eastAsia="Times New Roman" w:hAnsi="Times New Roman"/>
          <w:b w:val="1"/>
          <w:bCs w:val="1"/>
          <w:sz w:val="24"/>
          <w:szCs w:val="24"/>
        </w:rPr>
      </w:pPr>
      <w:bookmarkStart w:colFirst="0" w:colLast="0" w:name="_mlmhzlwhoytx" w:id="27"/>
      <w:bookmarkEnd w:id="27"/>
      <w:r w:rsidDel="00000000" w:rsidR="00000000" w:rsidRPr="00000000">
        <w:rPr>
          <w:rFonts w:ascii="Times New Roman" w:cs="Times New Roman" w:eastAsia="Times New Roman" w:hAnsi="Times New Roman"/>
          <w:b w:val="1"/>
          <w:bCs w:val="1"/>
          <w:sz w:val="24"/>
          <w:szCs w:val="24"/>
          <w:rtl w:val="0"/>
        </w:rPr>
        <w:t xml:space="preserve">2.7.3 Quality of Earnings</w:t>
      </w:r>
    </w:p>
    <w:p w:rsidR="00000000" w:rsidDel="00000000" w:rsidP="00000000" w:rsidRDefault="00000000" w:rsidRPr="00000000" w14:paraId="000001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 between positive operating cash flows and current accounting losses indicates a decline in the quality of earnings. The excessive use of cash in non-cash accruals and working capital adjustments casts doubt on the sustainability of cash generation.</w:t>
      </w:r>
    </w:p>
    <w:p w:rsidR="00000000" w:rsidDel="00000000" w:rsidP="00000000" w:rsidRDefault="00000000" w:rsidRPr="00000000" w14:paraId="00000110">
      <w:pPr>
        <w:pStyle w:val="Heading2"/>
        <w:spacing w:line="360" w:lineRule="auto"/>
        <w:rPr>
          <w:rFonts w:ascii="Times New Roman" w:cs="Times New Roman" w:eastAsia="Times New Roman" w:hAnsi="Times New Roman"/>
          <w:b w:val="1"/>
          <w:bCs w:val="1"/>
          <w:sz w:val="24"/>
          <w:szCs w:val="24"/>
        </w:rPr>
      </w:pPr>
      <w:bookmarkStart w:colFirst="0" w:colLast="0" w:name="_11b66b98rhpo" w:id="28"/>
      <w:bookmarkEnd w:id="28"/>
      <w:r w:rsidDel="00000000" w:rsidR="00000000" w:rsidRPr="00000000">
        <w:rPr>
          <w:rFonts w:ascii="Times New Roman" w:cs="Times New Roman" w:eastAsia="Times New Roman" w:hAnsi="Times New Roman"/>
          <w:b w:val="1"/>
          <w:bCs w:val="1"/>
          <w:sz w:val="24"/>
          <w:szCs w:val="24"/>
          <w:rtl w:val="0"/>
        </w:rPr>
        <w:t xml:space="preserve">2.8 Risk Analysis of the Corporate Failure.</w:t>
      </w:r>
    </w:p>
    <w:p w:rsidR="00000000" w:rsidDel="00000000" w:rsidP="00000000" w:rsidRDefault="00000000" w:rsidRPr="00000000" w14:paraId="000001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of default risk calculation is called the Altman Z-Score (Ibrahem, 2021). The declined profitability, aggravated liquidity, decreased retained earnings, and decrease in the value of assets suggest that General Electronics has been in distress zone in the last few years. This type of classification is a strong indication that there is a high probability of them failing in their financial operations unless they put in place the corrective measures.</w:t>
      </w:r>
    </w:p>
    <w:p w:rsidR="00000000" w:rsidDel="00000000" w:rsidP="00000000" w:rsidRDefault="00000000" w:rsidRPr="00000000" w14:paraId="00000112">
      <w:pPr>
        <w:pStyle w:val="Heading2"/>
        <w:spacing w:line="360" w:lineRule="auto"/>
        <w:rPr>
          <w:rFonts w:ascii="Times New Roman" w:cs="Times New Roman" w:eastAsia="Times New Roman" w:hAnsi="Times New Roman"/>
          <w:b w:val="1"/>
          <w:bCs w:val="1"/>
          <w:sz w:val="24"/>
          <w:szCs w:val="24"/>
        </w:rPr>
      </w:pPr>
      <w:bookmarkStart w:colFirst="0" w:colLast="0" w:name="_8ubmn3n2kl5c" w:id="29"/>
      <w:bookmarkEnd w:id="29"/>
      <w:r w:rsidDel="00000000" w:rsidR="00000000" w:rsidRPr="00000000">
        <w:rPr>
          <w:rFonts w:ascii="Times New Roman" w:cs="Times New Roman" w:eastAsia="Times New Roman" w:hAnsi="Times New Roman"/>
          <w:b w:val="1"/>
          <w:bCs w:val="1"/>
          <w:sz w:val="24"/>
          <w:szCs w:val="24"/>
          <w:rtl w:val="0"/>
        </w:rPr>
        <w:t xml:space="preserve">2.9 Financial Strengths and Weaknesses Resumé.</w:t>
      </w:r>
    </w:p>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strengths include high operating cash generation in the past and reduced excess inventory (Mweshi, 2022). However, such are tainted by acute weaknesses, including declines in revenue, operating losses, deterioration in liquidity, increased leverage, declining returns to shareholders, and heightened default risks. The lack of radical reorganisation of its financial structure and strategic reiteration poses a threat to the firm's long-term sustainability in its current direction (Zreik, 2023).</w:t>
      </w:r>
    </w:p>
    <w:p w:rsidR="00000000" w:rsidDel="00000000" w:rsidP="00000000" w:rsidRDefault="00000000" w:rsidRPr="00000000" w14:paraId="00000114">
      <w:pPr>
        <w:pStyle w:val="Heading1"/>
        <w:spacing w:line="360" w:lineRule="auto"/>
        <w:rPr>
          <w:rFonts w:ascii="Times New Roman" w:cs="Times New Roman" w:eastAsia="Times New Roman" w:hAnsi="Times New Roman"/>
          <w:b w:val="1"/>
          <w:bCs w:val="1"/>
          <w:sz w:val="24"/>
          <w:szCs w:val="24"/>
        </w:rPr>
      </w:pPr>
      <w:bookmarkStart w:colFirst="0" w:colLast="0" w:name="_60cmz42vqsvd" w:id="30"/>
      <w:bookmarkEnd w:id="30"/>
      <w:r w:rsidDel="00000000" w:rsidR="00000000" w:rsidRPr="00000000">
        <w:rPr>
          <w:rFonts w:ascii="Times New Roman" w:cs="Times New Roman" w:eastAsia="Times New Roman" w:hAnsi="Times New Roman"/>
          <w:b w:val="1"/>
          <w:bCs w:val="1"/>
          <w:sz w:val="24"/>
          <w:szCs w:val="24"/>
          <w:rtl w:val="0"/>
        </w:rPr>
        <w:t xml:space="preserve">3. Working Capital Management Analysis</w:t>
      </w:r>
    </w:p>
    <w:p w:rsidR="00000000" w:rsidDel="00000000" w:rsidP="00000000" w:rsidRDefault="00000000" w:rsidRPr="00000000" w14:paraId="000001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management of working capital is a critical aspect for financially challenged firms, as liquidity, continued existence, and immediate solvency directly depend on it (Yenni et al., 2021). The declining profitability and worsening cash balances in the Generex Electronics case make the efficient management of current assets and liabilities more critical. </w:t>
      </w:r>
    </w:p>
    <w:p w:rsidR="00000000" w:rsidDel="00000000" w:rsidP="00000000" w:rsidRDefault="00000000" w:rsidRPr="00000000" w14:paraId="00000116">
      <w:pPr>
        <w:pStyle w:val="Heading2"/>
        <w:spacing w:line="360" w:lineRule="auto"/>
        <w:rPr>
          <w:rFonts w:ascii="Times New Roman" w:cs="Times New Roman" w:eastAsia="Times New Roman" w:hAnsi="Times New Roman"/>
          <w:b w:val="1"/>
          <w:bCs w:val="1"/>
          <w:sz w:val="24"/>
          <w:szCs w:val="24"/>
        </w:rPr>
      </w:pPr>
      <w:bookmarkStart w:colFirst="0" w:colLast="0" w:name="_ss4eqx56nkod" w:id="31"/>
      <w:bookmarkEnd w:id="31"/>
      <w:r w:rsidDel="00000000" w:rsidR="00000000" w:rsidRPr="00000000">
        <w:rPr>
          <w:rFonts w:ascii="Times New Roman" w:cs="Times New Roman" w:eastAsia="Times New Roman" w:hAnsi="Times New Roman"/>
          <w:b w:val="1"/>
          <w:bCs w:val="1"/>
          <w:sz w:val="24"/>
          <w:szCs w:val="24"/>
          <w:rtl w:val="0"/>
        </w:rPr>
        <w:t xml:space="preserve">3.1 Existing Working Capital Position Review.</w:t>
      </w:r>
    </w:p>
    <w:p w:rsidR="00000000" w:rsidDel="00000000" w:rsidP="00000000" w:rsidRDefault="00000000" w:rsidRPr="00000000" w14:paraId="000001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working capital structure of General Electronics has been poor during the period 2020-2024, as shown by declining current assets and ever-growing short-term liabilities. Instead of an increase in 2020 (326,843m) to 2024 (242,494m), this figure decreased in current assets due to cash and cash equivalents, inventories, and receivables. The reduction in cash balances was sharp, indicating that short-term liquidity is tighter and external funding is more needed.</w:t>
      </w:r>
    </w:p>
    <w:p w:rsidR="00000000" w:rsidDel="00000000" w:rsidP="00000000" w:rsidRDefault="00000000" w:rsidRPr="00000000" w14:paraId="000001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total current liabilities were reduced to 158,291 m in 2024, compared with 179,510 m in 2020, in the liabilities section. Although this decrease can be described as good, it has not been equal to the reduction of current assets. The use of lines of credit, however, continues to account for a large share of current liabilities, and short-term borrowing continues to keep operations afloat.</w:t>
      </w:r>
    </w:p>
    <w:p w:rsidR="00000000" w:rsidDel="00000000" w:rsidP="00000000" w:rsidRDefault="00000000" w:rsidRPr="00000000" w14:paraId="000001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net working capital in 2020 is 147,333m as compared to 84,203m (2024). This fall in the trend is a sign of reduced liquidity buffer and decreased ability to absorb operational shocks. Even though the net working capital is positive, its minor decline shows that it becomes more vulnerable to the disruptions in cash flows or unanticipated spending.</w:t>
      </w:r>
    </w:p>
    <w:p w:rsidR="00000000" w:rsidDel="00000000" w:rsidP="00000000" w:rsidRDefault="00000000" w:rsidRPr="00000000" w14:paraId="0000011A">
      <w:pPr>
        <w:pStyle w:val="Heading2"/>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3.2 Cash Operating Cycle Analysis.</w:t>
      </w:r>
    </w:p>
    <w:p w:rsidR="00000000" w:rsidDel="00000000" w:rsidP="00000000" w:rsidRDefault="00000000" w:rsidRPr="00000000" w14:paraId="000001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cash operating cycle refers to the period required to convert investment in inventory and receivables into cash, while accounting for payment deferrals to suppliers. Lengthening the cycle also puts more liquidity pressure on the system than a short cycle, which makes cash efficiency respond more to the lengthening cycle (Ruguru, 2023).</w:t>
      </w:r>
    </w:p>
    <w:p w:rsidR="00000000" w:rsidDel="00000000" w:rsidP="00000000" w:rsidRDefault="00000000" w:rsidRPr="00000000" w14:paraId="000001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Inventory days</w:t>
      </w:r>
      <w:r w:rsidDel="00000000" w:rsidR="00000000" w:rsidRPr="00000000">
        <w:rPr>
          <w:rFonts w:ascii="Times New Roman" w:cs="Times New Roman" w:eastAsia="Times New Roman" w:hAnsi="Times New Roman"/>
          <w:sz w:val="24"/>
          <w:szCs w:val="24"/>
          <w:rtl w:val="0"/>
        </w:rPr>
        <w:t xml:space="preserve"> are calculated as:</w:t>
      </w:r>
    </w:p>
    <w:p w:rsidR="00000000" w:rsidDel="00000000" w:rsidP="00000000" w:rsidRDefault="00000000" w:rsidRPr="00000000" w14:paraId="0000011E">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Inventory Days</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Inventories</m:t>
            </m:r>
          </m:num>
          <m:den>
            <m:r>
              <w:rPr>
                <w:rFonts w:ascii="Times New Roman" w:cs="Times New Roman" w:eastAsia="Times New Roman" w:hAnsi="Times New Roman"/>
                <w:sz w:val="24"/>
                <w:szCs w:val="24"/>
              </w:rPr>
              <m:t xml:space="preserve">Cost of Sales</m:t>
            </m:r>
          </m:den>
        </m:f>
        <m:r>
          <w:rPr>
            <w:rFonts w:ascii="Cambria Math" w:cs="Cambria Math" w:eastAsia="Cambria Math" w:hAnsi="Cambria Math"/>
            <w:sz w:val="24"/>
            <w:szCs w:val="24"/>
          </w:rPr>
          <m:t xml:space="preserve">×365</m:t>
        </m:r>
      </m:oMath>
      <w:r w:rsidDel="00000000" w:rsidR="00000000" w:rsidRPr="00000000">
        <w:rPr>
          <w:rtl w:val="0"/>
        </w:rPr>
      </w:r>
    </w:p>
    <w:p w:rsidR="00000000" w:rsidDel="00000000" w:rsidP="00000000" w:rsidRDefault="00000000" w:rsidRPr="00000000" w14:paraId="0000011F">
      <w:pPr>
        <w:numPr>
          <w:ilvl w:val="0"/>
          <w:numId w:val="3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120">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120,430</m:t>
            </m:r>
          </m:num>
          <m:den>
            <m:r>
              <w:rPr>
                <w:rFonts w:ascii="Cambria Math" w:cs="Cambria Math" w:eastAsia="Cambria Math" w:hAnsi="Cambria Math"/>
                <w:sz w:val="24"/>
                <w:szCs w:val="24"/>
              </w:rPr>
              <m:t xml:space="preserve">438,424</m:t>
            </m:r>
          </m:den>
        </m:f>
        <m:r>
          <w:rPr>
            <w:rFonts w:ascii="Cambria Math" w:cs="Cambria Math" w:eastAsia="Cambria Math" w:hAnsi="Cambria Math"/>
            <w:sz w:val="24"/>
            <w:szCs w:val="24"/>
          </w:rPr>
          <m:t xml:space="preserve">×365≈100</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21">
      <w:pPr>
        <w:numPr>
          <w:ilvl w:val="0"/>
          <w:numId w:val="39"/>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122">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79,355</m:t>
            </m:r>
          </m:num>
          <m:den>
            <m:r>
              <w:rPr>
                <w:rFonts w:ascii="Cambria Math" w:cs="Cambria Math" w:eastAsia="Cambria Math" w:hAnsi="Cambria Math"/>
                <w:sz w:val="24"/>
                <w:szCs w:val="24"/>
              </w:rPr>
              <m:t xml:space="preserve">280,885</m:t>
            </m:r>
          </m:den>
        </m:f>
        <m:r>
          <w:rPr>
            <w:rFonts w:ascii="Cambria Math" w:cs="Cambria Math" w:eastAsia="Cambria Math" w:hAnsi="Cambria Math"/>
            <w:sz w:val="24"/>
            <w:szCs w:val="24"/>
          </w:rPr>
          <m:t xml:space="preserve">×365≈103</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inventory days had been relatively stable with a minor increase in 2024. This contraction of inventories has reduced them in constant terms, but the decrease in sales has offset the improvements in inventory efficiency.</w:t>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calculation of receivables days is:</w:t>
      </w:r>
    </w:p>
    <w:p w:rsidR="00000000" w:rsidDel="00000000" w:rsidP="00000000" w:rsidRDefault="00000000" w:rsidRPr="00000000" w14:paraId="000001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Receivables Days</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Accounts Receivable</m:t>
            </m:r>
          </m:num>
          <m:den>
            <m:r>
              <w:rPr>
                <w:rFonts w:ascii="Times New Roman" w:cs="Times New Roman" w:eastAsia="Times New Roman" w:hAnsi="Times New Roman"/>
                <w:sz w:val="24"/>
                <w:szCs w:val="24"/>
              </w:rPr>
              <m:t xml:space="preserve">Net Sales</m:t>
            </m:r>
          </m:den>
        </m:f>
        <m:r>
          <w:rPr>
            <w:rFonts w:ascii="Cambria Math" w:cs="Cambria Math" w:eastAsia="Cambria Math" w:hAnsi="Cambria Math"/>
            <w:sz w:val="24"/>
            <w:szCs w:val="24"/>
          </w:rPr>
          <m:t xml:space="preserve">×365</m:t>
        </m:r>
      </m:oMath>
      <w:r w:rsidDel="00000000" w:rsidR="00000000" w:rsidRPr="00000000">
        <w:rPr>
          <w:rtl w:val="0"/>
        </w:rPr>
      </w:r>
    </w:p>
    <w:p w:rsidR="00000000" w:rsidDel="00000000" w:rsidP="00000000" w:rsidRDefault="00000000" w:rsidRPr="00000000" w14:paraId="00000127">
      <w:pPr>
        <w:numPr>
          <w:ilvl w:val="0"/>
          <w:numId w:val="40"/>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128">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129,433</m:t>
            </m:r>
          </m:num>
          <m:den>
            <m:r>
              <w:rPr>
                <w:rFonts w:ascii="Cambria Math" w:cs="Cambria Math" w:eastAsia="Cambria Math" w:hAnsi="Cambria Math"/>
                <w:sz w:val="24"/>
                <w:szCs w:val="24"/>
              </w:rPr>
              <m:t xml:space="preserve">614,680</m:t>
            </m:r>
          </m:den>
        </m:f>
        <m:r>
          <w:rPr>
            <w:rFonts w:ascii="Cambria Math" w:cs="Cambria Math" w:eastAsia="Cambria Math" w:hAnsi="Cambria Math"/>
            <w:sz w:val="24"/>
            <w:szCs w:val="24"/>
          </w:rPr>
          <m:t xml:space="preserve">×365≈77</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29">
      <w:pPr>
        <w:numPr>
          <w:ilvl w:val="0"/>
          <w:numId w:val="41"/>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12A">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114,182</m:t>
            </m:r>
          </m:num>
          <m:den>
            <m:r>
              <w:rPr>
                <w:rFonts w:ascii="Cambria Math" w:cs="Cambria Math" w:eastAsia="Cambria Math" w:hAnsi="Cambria Math"/>
                <w:sz w:val="24"/>
                <w:szCs w:val="24"/>
              </w:rPr>
              <m:t xml:space="preserve">394,879</m:t>
            </m:r>
          </m:den>
        </m:f>
        <m:r>
          <w:rPr>
            <w:rFonts w:ascii="Cambria Math" w:cs="Cambria Math" w:eastAsia="Cambria Math" w:hAnsi="Cambria Math"/>
            <w:sz w:val="24"/>
            <w:szCs w:val="24"/>
          </w:rPr>
          <m:t xml:space="preserve">×365≈105</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an increase in the number of days outstanding, indicating low customer payment. This puts additional strain on cash flows and implies low effectiveness in credit management.</w:t>
      </w:r>
    </w:p>
    <w:p w:rsidR="00000000" w:rsidDel="00000000" w:rsidP="00000000" w:rsidRDefault="00000000" w:rsidRPr="00000000" w14:paraId="000001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calculation of payables days is:</w:t>
      </w:r>
    </w:p>
    <w:p w:rsidR="00000000" w:rsidDel="00000000" w:rsidP="00000000" w:rsidRDefault="00000000" w:rsidRPr="00000000" w14:paraId="0000012D">
      <w:pPr>
        <w:jc w:val="center"/>
        <w:rPr>
          <w:rFonts w:ascii="Cambria Math" w:cs="Cambria Math" w:eastAsia="Cambria Math" w:hAnsi="Cambria Math"/>
          <w:sz w:val="24"/>
          <w:szCs w:val="24"/>
        </w:rPr>
      </w:pPr>
      <m:oMath>
        <m:r>
          <w:rPr>
            <w:rFonts w:ascii="Times New Roman" w:cs="Times New Roman" w:eastAsia="Times New Roman" w:hAnsi="Times New Roman"/>
            <w:sz w:val="24"/>
            <w:szCs w:val="24"/>
          </w:rPr>
          <m:t xml:space="preserve">Payables Days</m:t>
        </m:r>
        <m:r>
          <w:rPr>
            <w:rFonts w:ascii="Cambria Math" w:cs="Cambria Math" w:eastAsia="Cambria Math" w:hAnsi="Cambria Math"/>
            <w:sz w:val="24"/>
            <w:szCs w:val="24"/>
          </w:rPr>
          <m:t xml:space="preserve">=</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Accounts Payable</m:t>
            </m:r>
          </m:num>
          <m:den>
            <m:r>
              <w:rPr>
                <w:rFonts w:ascii="Times New Roman" w:cs="Times New Roman" w:eastAsia="Times New Roman" w:hAnsi="Times New Roman"/>
                <w:sz w:val="24"/>
                <w:szCs w:val="24"/>
              </w:rPr>
              <m:t xml:space="preserve">Cost of Sales</m:t>
            </m:r>
          </m:den>
        </m:f>
        <m:r>
          <w:rPr>
            <w:rFonts w:ascii="Cambria Math" w:cs="Cambria Math" w:eastAsia="Cambria Math" w:hAnsi="Cambria Math"/>
            <w:sz w:val="24"/>
            <w:szCs w:val="24"/>
          </w:rPr>
          <m:t xml:space="preserve">×365</m:t>
        </m:r>
      </m:oMath>
      <w:r w:rsidDel="00000000" w:rsidR="00000000" w:rsidRPr="00000000">
        <w:rPr>
          <w:rtl w:val="0"/>
        </w:rPr>
      </w:r>
    </w:p>
    <w:p w:rsidR="00000000" w:rsidDel="00000000" w:rsidP="00000000" w:rsidRDefault="00000000" w:rsidRPr="00000000" w14:paraId="0000012E">
      <w:pPr>
        <w:numPr>
          <w:ilvl w:val="0"/>
          <w:numId w:val="42"/>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12F">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83,229</m:t>
            </m:r>
          </m:num>
          <m:den>
            <m:r>
              <w:rPr>
                <w:rFonts w:ascii="Cambria Math" w:cs="Cambria Math" w:eastAsia="Cambria Math" w:hAnsi="Cambria Math"/>
                <w:sz w:val="24"/>
                <w:szCs w:val="24"/>
              </w:rPr>
              <m:t xml:space="preserve">438,424</m:t>
            </m:r>
          </m:den>
        </m:f>
        <m:r>
          <w:rPr>
            <w:rFonts w:ascii="Cambria Math" w:cs="Cambria Math" w:eastAsia="Cambria Math" w:hAnsi="Cambria Math"/>
            <w:sz w:val="24"/>
            <w:szCs w:val="24"/>
          </w:rPr>
          <m:t xml:space="preserve">×365≈69</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30">
      <w:pPr>
        <w:numPr>
          <w:ilvl w:val="0"/>
          <w:numId w:val="43"/>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131">
      <w:pPr>
        <w:jc w:val="center"/>
        <w:rPr>
          <w:rFonts w:ascii="Times New Roman" w:cs="Times New Roman" w:eastAsia="Times New Roman" w:hAnsi="Times New Roman"/>
          <w:sz w:val="24"/>
          <w:szCs w:val="24"/>
        </w:rPr>
      </w:pPr>
      <m:oMath>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72,031</m:t>
            </m:r>
          </m:num>
          <m:den>
            <m:r>
              <w:rPr>
                <w:rFonts w:ascii="Cambria Math" w:cs="Cambria Math" w:eastAsia="Cambria Math" w:hAnsi="Cambria Math"/>
                <w:sz w:val="24"/>
                <w:szCs w:val="24"/>
              </w:rPr>
              <m:t xml:space="preserve">280,885</m:t>
            </m:r>
          </m:den>
        </m:f>
        <m:r>
          <w:rPr>
            <w:rFonts w:ascii="Cambria Math" w:cs="Cambria Math" w:eastAsia="Cambria Math" w:hAnsi="Cambria Math"/>
            <w:sz w:val="24"/>
            <w:szCs w:val="24"/>
          </w:rPr>
          <m:t xml:space="preserve">×365≈94</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in payables indicates that General Electronics is using a long payment period for suppliers, a policy likely adopted to manage liquidity.</w:t>
      </w:r>
    </w:p>
    <w:p w:rsidR="00000000" w:rsidDel="00000000" w:rsidP="00000000" w:rsidRDefault="00000000" w:rsidRPr="00000000" w14:paraId="000001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cash conversion cycle (CCC) is computed in the form of:</w:t>
      </w:r>
    </w:p>
    <w:p w:rsidR="00000000" w:rsidDel="00000000" w:rsidP="00000000" w:rsidRDefault="00000000" w:rsidRPr="00000000" w14:paraId="000001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jc w:val="center"/>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CCC</m:t>
        </m:r>
        <m:r>
          <w:rPr>
            <w:rFonts w:ascii="Cambria Math" w:cs="Cambria Math" w:eastAsia="Cambria Math" w:hAnsi="Cambria Math"/>
            <w:sz w:val="24"/>
            <w:szCs w:val="24"/>
          </w:rPr>
          <m:t xml:space="preserve">=</m:t>
        </m:r>
        <m:r>
          <w:rPr>
            <w:rFonts w:ascii="Times New Roman" w:cs="Times New Roman" w:eastAsia="Times New Roman" w:hAnsi="Times New Roman"/>
            <w:sz w:val="24"/>
            <w:szCs w:val="24"/>
          </w:rPr>
          <m:t xml:space="preserve">Inventory Days</m:t>
        </m:r>
        <m:r>
          <w:rPr>
            <w:rFonts w:ascii="Cambria Math" w:cs="Cambria Math" w:eastAsia="Cambria Math" w:hAnsi="Cambria Math"/>
            <w:sz w:val="24"/>
            <w:szCs w:val="24"/>
          </w:rPr>
          <m:t xml:space="preserve">+</m:t>
        </m:r>
        <m:r>
          <w:rPr>
            <w:rFonts w:ascii="Times New Roman" w:cs="Times New Roman" w:eastAsia="Times New Roman" w:hAnsi="Times New Roman"/>
            <w:sz w:val="24"/>
            <w:szCs w:val="24"/>
          </w:rPr>
          <m:t xml:space="preserve">Receivables Days</m:t>
        </m:r>
        <m:r>
          <w:rPr>
            <w:rFonts w:ascii="Cambria Math" w:cs="Cambria Math" w:eastAsia="Cambria Math" w:hAnsi="Cambria Math"/>
            <w:sz w:val="24"/>
            <w:szCs w:val="24"/>
          </w:rPr>
          <m:t xml:space="preserve">-</m:t>
        </m:r>
        <m:r>
          <w:rPr>
            <w:rFonts w:ascii="Times New Roman" w:cs="Times New Roman" w:eastAsia="Times New Roman" w:hAnsi="Times New Roman"/>
            <w:sz w:val="24"/>
            <w:szCs w:val="24"/>
          </w:rPr>
          <m:t xml:space="preserve">Payables Days</m:t>
        </m:r>
      </m:oMath>
      <w:r w:rsidDel="00000000" w:rsidR="00000000" w:rsidRPr="00000000">
        <w:rPr>
          <w:rtl w:val="0"/>
        </w:rPr>
      </w:r>
    </w:p>
    <w:p w:rsidR="00000000" w:rsidDel="00000000" w:rsidP="00000000" w:rsidRDefault="00000000" w:rsidRPr="00000000" w14:paraId="00000136">
      <w:pPr>
        <w:numPr>
          <w:ilvl w:val="0"/>
          <w:numId w:val="44"/>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2020:</w:t>
      </w:r>
      <w:r w:rsidDel="00000000" w:rsidR="00000000" w:rsidRPr="00000000">
        <w:rPr>
          <w:rtl w:val="0"/>
        </w:rPr>
      </w:r>
    </w:p>
    <w:p w:rsidR="00000000" w:rsidDel="00000000" w:rsidP="00000000" w:rsidRDefault="00000000" w:rsidRPr="00000000" w14:paraId="00000137">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100+77-69=108</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38">
      <w:pPr>
        <w:numPr>
          <w:ilvl w:val="0"/>
          <w:numId w:val="45"/>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tl w:val="0"/>
        </w:rPr>
      </w:r>
    </w:p>
    <w:p w:rsidR="00000000" w:rsidDel="00000000" w:rsidP="00000000" w:rsidRDefault="00000000" w:rsidRPr="00000000" w14:paraId="00000139">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103+105-94=114</m:t>
        </m:r>
        <m:r>
          <w:rPr>
            <w:rFonts w:ascii="Times New Roman" w:cs="Times New Roman" w:eastAsia="Times New Roman" w:hAnsi="Times New Roman"/>
            <w:sz w:val="24"/>
            <w:szCs w:val="24"/>
          </w:rPr>
          <m:t xml:space="preserve"> days</m:t>
        </m:r>
      </m:oMath>
      <w:r w:rsidDel="00000000" w:rsidR="00000000" w:rsidRPr="00000000">
        <w:rPr>
          <w:rtl w:val="0"/>
        </w:rPr>
      </w:r>
    </w:p>
    <w:p w:rsidR="00000000" w:rsidDel="00000000" w:rsidP="00000000" w:rsidRDefault="00000000" w:rsidRPr="00000000" w14:paraId="0000013A">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3B">
      <w:pPr>
        <w:jc w:val="both"/>
        <w:rPr>
          <w:rFonts w:ascii="Times New Roman" w:cs="Times New Roman" w:eastAsia="Times New Roman" w:hAnsi="Times New Roman"/>
          <w:sz w:val="24"/>
          <w:szCs w:val="24"/>
        </w:rPr>
      </w:pPr>
      <w:bookmarkStart w:colFirst="0" w:colLast="0" w:name="_3isgmpqw4nce" w:id="32"/>
      <w:bookmarkEnd w:id="32"/>
      <w:r w:rsidDel="00000000" w:rsidR="00000000" w:rsidRPr="00000000">
        <w:rPr>
          <w:rFonts w:ascii="Times New Roman" w:cs="Times New Roman" w:eastAsia="Times New Roman" w:hAnsi="Times New Roman"/>
          <w:sz w:val="24"/>
          <w:szCs w:val="24"/>
          <w:rtl w:val="0"/>
        </w:rPr>
        <w:t xml:space="preserve">The increase in cash conversion cycle is an indicator of low working capital productivity and high cash in operation.</w:t>
      </w:r>
    </w:p>
    <w:p w:rsidR="00000000" w:rsidDel="00000000" w:rsidP="00000000" w:rsidRDefault="00000000" w:rsidRPr="00000000" w14:paraId="0000013C">
      <w:pPr>
        <w:pStyle w:val="Head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Liquidity Risk Assessment</w:t>
      </w:r>
    </w:p>
    <w:p w:rsidR="00000000" w:rsidDel="00000000" w:rsidP="00000000" w:rsidRDefault="00000000" w:rsidRPr="00000000" w14:paraId="000001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has been witnessing unfavourable operating cash flows and an increase in dependence on short-term credit facilities. The operating cash flow in 2024 is lower than in 2020, at 14,822m, whereas the company's liquidity in 2020 was 73,392m.</w:t>
      </w:r>
    </w:p>
    <w:p w:rsidR="00000000" w:rsidDel="00000000" w:rsidP="00000000" w:rsidRDefault="00000000" w:rsidRPr="00000000" w14:paraId="0000013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increased reliance on credit also subjects the firm to refinancing risks and interest rate risks, especially during the tightening of credit conditions. Any credit access violation would affect staff and supplier payments and the firm's ability to pay debts, making the firm's operations unstable.</w:t>
      </w:r>
    </w:p>
    <w:p w:rsidR="00000000" w:rsidDel="00000000" w:rsidP="00000000" w:rsidRDefault="00000000" w:rsidRPr="00000000" w14:paraId="000001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working capital plans in this case are to enhance the working capital, increase profits and cut costs. General Electronics will need to implement specific capital reforms to improve liquidity and reduce risk. Demand-based forecasting, improved inventory control, and liaising with suppliers to reduce excess inventory without affecting production continuity are the primary strategies for managing inventory. Where possible, the use of just-in-time would be introduced to reduce inventory and holding time.</w:t>
      </w:r>
    </w:p>
    <w:p w:rsidR="00000000" w:rsidDel="00000000" w:rsidP="00000000" w:rsidRDefault="00000000" w:rsidRPr="00000000" w14:paraId="000001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management strategies adopted on receivables are supposed to be oriented towards higher standards of credit evaluation and shorter payment terms. The immediate cash receipts may be expedited by offering discounts for immediate payments and taking opportunities presented by the electronic invoicing software.</w:t>
      </w:r>
    </w:p>
    <w:p w:rsidR="00000000" w:rsidDel="00000000" w:rsidP="00000000" w:rsidRDefault="00000000" w:rsidRPr="00000000" w14:paraId="00000141">
      <w:pPr>
        <w:pStyle w:val="Heading2"/>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3.4. Short and Long-term Financing.</w:t>
      </w:r>
    </w:p>
    <w:p w:rsidR="00000000" w:rsidDel="00000000" w:rsidP="00000000" w:rsidRDefault="00000000" w:rsidRPr="00000000" w14:paraId="000001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Short-term, flexible financing, which provides immediate liquidity, is offered through trade credit, bank overdrafts, and revolving credit lines. Nevertheless, overreliance on these tools will increase refinancing risk and subject the company to interest rate risk (Li, 2024). This is unlike long-term financing solutions, which are more stable, such as term loans or equity injections, and do not leave a massive burden of short-term repayments. However, the expense associated with long-term debt is higher, and its interest payments are more in line with a firm's assets. Equity financing is dilutive, but it may be more suitable, given that the company is weaker on its feet and its goal is to rebuild its balance sheet (Wraith, 2022).</w:t>
      </w:r>
    </w:p>
    <w:p w:rsidR="00000000" w:rsidDel="00000000" w:rsidP="00000000" w:rsidRDefault="00000000" w:rsidRPr="00000000" w14:paraId="000001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selective long-term financing would be coupled with a tight working capital policy to strengthen liquidity resilience and contribute to the firm's general turnaround strategy.</w:t>
      </w:r>
    </w:p>
    <w:p w:rsidR="00000000" w:rsidDel="00000000" w:rsidP="00000000" w:rsidRDefault="00000000" w:rsidRPr="00000000" w14:paraId="00000144">
      <w:pPr>
        <w:pStyle w:val="Heading1"/>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Strategic Financial Restructuring Plan</w:t>
      </w:r>
    </w:p>
    <w:p w:rsidR="00000000" w:rsidDel="00000000" w:rsidP="00000000" w:rsidRDefault="00000000" w:rsidRPr="00000000" w14:paraId="000001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needs to go through strategic financial reorganisation to stabilise their financial status, restore stakeholder confidence and provide a platform to recover in long-term. The current economic performance of the company shows that this will not be realised through incremental gains of its operations. Rather, it should have a well-integrated re-structuring strategy in terms of capital structure, asset allocation and strategic positioning.</w:t>
      </w:r>
    </w:p>
    <w:p w:rsidR="00000000" w:rsidDel="00000000" w:rsidP="00000000" w:rsidRDefault="00000000" w:rsidRPr="00000000" w14:paraId="00000146">
      <w:pPr>
        <w:pStyle w:val="Heading2"/>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4.1 Visa Financial restructuring.</w:t>
      </w:r>
    </w:p>
    <w:p w:rsidR="00000000" w:rsidDel="00000000" w:rsidP="00000000" w:rsidRDefault="00000000" w:rsidRPr="00000000" w14:paraId="0000014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Troubled Asset Relationship Measures.</w:t>
      </w:r>
    </w:p>
    <w:p w:rsidR="00000000" w:rsidDel="00000000" w:rsidP="00000000" w:rsidRDefault="00000000" w:rsidRPr="00000000" w14:paraId="0000014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is in dire financial distress and there are a few financial cues that demonstrate the same. Further profitability destabilisation and dilution of retained earnings are caused by the continued operation and net losses in 2023 and 2024 (Sutton, 2025). Liquidity ratios have also decreased and this has been in the form of a reduction in cash balances and reduced dependence on short-term credit facilities. The company has very good operating cash flows, which have increased tremendously and cannot be depended on to fund investment, debt service and working capital anymore.</w:t>
      </w:r>
    </w:p>
    <w:p w:rsidR="00000000" w:rsidDel="00000000" w:rsidP="00000000" w:rsidRDefault="00000000" w:rsidRPr="00000000" w14:paraId="000001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gearing has risen because shareholder equity has decreased at a higher rate than total liabilities, and consequently, the debt-to-equity ratio is elevated. The interest paid has been negative in the past few years, which means the operating profits are no longer able to cover the interest. The Altman Z-Score places the company in the financial distress zone, indicating a high probability of default unless corrective measures are taken. All these indicators confirm that General Electronics is at a higher solvency risk and needs to be restructured in a financially aggressive manner (Elewa, 2022).</w:t>
      </w:r>
    </w:p>
    <w:p w:rsidR="00000000" w:rsidDel="00000000" w:rsidP="00000000" w:rsidRDefault="00000000" w:rsidRPr="00000000" w14:paraId="0000014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Justification</w:t>
      </w:r>
    </w:p>
    <w:p w:rsidR="00000000" w:rsidDel="00000000" w:rsidP="00000000" w:rsidRDefault="00000000" w:rsidRPr="00000000" w14:paraId="000001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electronics business has been strategically defined by rapid technological change, intense international competition, and low margins (Ye and Lau, 2022). The declining revenue of General Electric indicates that it is not competitive within its current cost structure and asset portfolio. The reorganisation of finances is thus not only a defensive activity in frustrating but also an offensive activity in putting the company back on track with its resources and strategic priorities (Heron and Markelevich, 2023). </w:t>
      </w:r>
    </w:p>
    <w:p w:rsidR="00000000" w:rsidDel="00000000" w:rsidP="00000000" w:rsidRDefault="00000000" w:rsidRPr="00000000" w14:paraId="0000014C">
      <w:pPr>
        <w:pStyle w:val="Heading2"/>
        <w:spacing w:line="360" w:lineRule="auto"/>
        <w:rPr>
          <w:rFonts w:ascii="Times New Roman" w:cs="Times New Roman" w:eastAsia="Times New Roman" w:hAnsi="Times New Roman"/>
          <w:b w:val="1"/>
          <w:bCs w:val="1"/>
          <w:sz w:val="24"/>
          <w:szCs w:val="24"/>
        </w:rPr>
      </w:pPr>
      <w:bookmarkStart w:colFirst="0" w:colLast="0" w:name="_pr9nf7jm7xjz" w:id="33"/>
      <w:bookmarkEnd w:id="33"/>
      <w:r w:rsidDel="00000000" w:rsidR="00000000" w:rsidRPr="00000000">
        <w:rPr>
          <w:rFonts w:ascii="Times New Roman" w:cs="Times New Roman" w:eastAsia="Times New Roman" w:hAnsi="Times New Roman"/>
          <w:b w:val="1"/>
          <w:bCs w:val="1"/>
          <w:sz w:val="24"/>
          <w:szCs w:val="24"/>
          <w:rtl w:val="0"/>
        </w:rPr>
        <w:t xml:space="preserve">4.2. The restructuring options evaluation </w:t>
      </w:r>
    </w:p>
    <w:p w:rsidR="00000000" w:rsidDel="00000000" w:rsidP="00000000" w:rsidRDefault="00000000" w:rsidRPr="00000000" w14:paraId="0000014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Asset Divestiture</w:t>
      </w:r>
    </w:p>
    <w:p w:rsidR="00000000" w:rsidDel="00000000" w:rsidP="00000000" w:rsidRDefault="00000000" w:rsidRPr="00000000" w14:paraId="000001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alternative General Electronics can utilise to reposition itself is asset divestiture. The company has a significant asset base, including property, plant, and equipment and intangible assets, some of which are non-core or underutilised. The disposal of non-strategic assets can also generate cash flows, eliminate depreciation and maintenance costs, and increase liquidity (Lugacheva, 2021).</w:t>
      </w:r>
    </w:p>
    <w:p w:rsidR="00000000" w:rsidDel="00000000" w:rsidP="00000000" w:rsidRDefault="00000000" w:rsidRPr="00000000" w14:paraId="000001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divestiture of assets should be done carefully. Dissipating productive assets when financial distress is actualised may result in value destruction by selling them below their intrinsic value. Divestiture should therefore be intense for non-core or low-return assets that do not directly contribute to the firm's competitive advantage (Lee, 2021). </w:t>
      </w:r>
    </w:p>
    <w:p w:rsidR="00000000" w:rsidDel="00000000" w:rsidP="00000000" w:rsidRDefault="00000000" w:rsidRPr="00000000" w14:paraId="0000015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Equity Injection</w:t>
      </w:r>
    </w:p>
    <w:p w:rsidR="00000000" w:rsidDel="00000000" w:rsidP="00000000" w:rsidRDefault="00000000" w:rsidRPr="00000000" w14:paraId="000001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strategic equity investment/rights issue would also significantly improve the firm's solvency. This would increase shareholders' equity; therefore, the leverage ratios would improve, and reliance on debt financing would be minimised (Kuchyn, 2025). There would also be an increased ability of the firm to absorb losses during the turnaround, in the case of equity financing, and to make investments in strategic initiatives. A significant demerit of an equity injection is that the injecting stock dilutes the ownership and earnings per share. The firm's negative profitability may also be a reason for low investor appetite unless a believable turnaround plan accompanies the equity issue (Shem and Mupa, 2024). </w:t>
      </w:r>
    </w:p>
    <w:p w:rsidR="00000000" w:rsidDel="00000000" w:rsidP="00000000" w:rsidRDefault="00000000" w:rsidRPr="00000000" w14:paraId="0000015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Debt Restructuring</w:t>
      </w:r>
    </w:p>
    <w:p w:rsidR="00000000" w:rsidDel="00000000" w:rsidP="00000000" w:rsidRDefault="00000000" w:rsidRPr="00000000" w14:paraId="000001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Debt restructuring is another possibility. This may take the form of renegotiation of repayment schedules, extending maturity, reducing interest, or converting a dollar of debt into equity.  Debt restructuring may provide the company with immediate relief from a debt crunch (Harmon, 2024). Still, it is likely to subject it to a complex negotiation process with creditors and may leave it with a poor credit profile. Otherwise, restructuring transactions may trigger restrictive covenants that limit managers' flexibility. Despite these, debt restructuring is highly applicable to General Electronics due to its declining debt servicing capacity and high reliance on short-term credit facilities (Potharla, 2025).</w:t>
      </w:r>
    </w:p>
    <w:p w:rsidR="00000000" w:rsidDel="00000000" w:rsidP="00000000" w:rsidRDefault="00000000" w:rsidRPr="00000000" w14:paraId="0000015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Merger or Strategic Partnerships.</w:t>
      </w:r>
    </w:p>
    <w:p w:rsidR="00000000" w:rsidDel="00000000" w:rsidP="00000000" w:rsidRDefault="00000000" w:rsidRPr="00000000" w14:paraId="000001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Mergers or strategic alliances are more advantageous for long-term restructuring, as they enable resource sharing, cost-cutting, and access to new technologies or markets. Partnering with a larger industry player could be more efficient for the supply chain, reduce operational costs, and improve competitive positioning (Jerab and Mabrouk, 2023).</w:t>
      </w:r>
    </w:p>
    <w:p w:rsidR="00000000" w:rsidDel="00000000" w:rsidP="00000000" w:rsidRDefault="00000000" w:rsidRPr="00000000" w14:paraId="000001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are also risks of integration, cultural problems, and even the loss of strategic independence in mergers and alliances. Mergers may require initial restructuring costs and may not offer liquidity benefits in the short run. Strategic partnerships and inclusion as part of a broader turnaround strategy should therefore be complementary to, rather than complementary of, financial restructuring efforts (Imhanzenobe, 2021).</w:t>
      </w:r>
    </w:p>
    <w:p w:rsidR="00000000" w:rsidDel="00000000" w:rsidP="00000000" w:rsidRDefault="00000000" w:rsidRPr="00000000" w14:paraId="00000157">
      <w:pPr>
        <w:pStyle w:val="Heading2"/>
        <w:spacing w:line="360" w:lineRule="auto"/>
        <w:rPr>
          <w:rFonts w:ascii="Times New Roman" w:cs="Times New Roman" w:eastAsia="Times New Roman" w:hAnsi="Times New Roman"/>
          <w:b w:val="1"/>
          <w:bCs w:val="1"/>
          <w:sz w:val="24"/>
          <w:szCs w:val="24"/>
        </w:rPr>
      </w:pPr>
      <w:bookmarkStart w:colFirst="0" w:colLast="0" w:name="_5cqt6zc0hu8w" w:id="34"/>
      <w:bookmarkEnd w:id="34"/>
      <w:r w:rsidDel="00000000" w:rsidR="00000000" w:rsidRPr="00000000">
        <w:rPr>
          <w:rFonts w:ascii="Times New Roman" w:cs="Times New Roman" w:eastAsia="Times New Roman" w:hAnsi="Times New Roman"/>
          <w:b w:val="1"/>
          <w:bCs w:val="1"/>
          <w:sz w:val="24"/>
          <w:szCs w:val="24"/>
          <w:rtl w:val="0"/>
        </w:rPr>
        <w:t xml:space="preserve">4.3 Impact on Shareholder Value</w:t>
      </w:r>
    </w:p>
    <w:p w:rsidR="00000000" w:rsidDel="00000000" w:rsidP="00000000" w:rsidRDefault="00000000" w:rsidRPr="00000000" w14:paraId="000001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implications of the decisions made in financial restructuring are enormous for shareholder value. Assets determined to be for sale can be valuable if the proceeds are used to reduce debt or to pursue higher-yield investment opportunities. However, poorly timed divestitures can lead to value destruction by selling assets at distressed prices (Gatto, 2024).</w:t>
      </w:r>
    </w:p>
    <w:p w:rsidR="00000000" w:rsidDel="00000000" w:rsidP="00000000" w:rsidRDefault="00000000" w:rsidRPr="00000000" w14:paraId="000001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addition of equity will improve stability but dilute existing shareholders' holdings. The short-term effects of dilution include a decrease in earnings per share and market value, particularly when a quick recovery in profitability is not achieved. Nonetheless, shareholder value can ultimately be boosted in the long run if equity financing helps the company survive and become profitable again (Burkart and Zhong, 2023). Shareholder value can also be preserved through debt restructuring, thereby avoiding the costs of insolvency and financial distress. However, poor shareholders can be diluted if restructuring is carried out through debt-to-equity conversion (Madaus, 2021). </w:t>
      </w:r>
    </w:p>
    <w:p w:rsidR="00000000" w:rsidDel="00000000" w:rsidP="00000000" w:rsidRDefault="00000000" w:rsidRPr="00000000" w14:paraId="0000015A">
      <w:pPr>
        <w:pStyle w:val="Heading2"/>
        <w:spacing w:line="360" w:lineRule="auto"/>
        <w:rPr>
          <w:rFonts w:ascii="Times New Roman" w:cs="Times New Roman" w:eastAsia="Times New Roman" w:hAnsi="Times New Roman"/>
          <w:b w:val="1"/>
          <w:bCs w:val="1"/>
          <w:sz w:val="24"/>
          <w:szCs w:val="24"/>
        </w:rPr>
      </w:pPr>
      <w:bookmarkStart w:colFirst="0" w:colLast="0" w:name="_dzheqa8k1c0a" w:id="35"/>
      <w:bookmarkEnd w:id="35"/>
      <w:r w:rsidDel="00000000" w:rsidR="00000000" w:rsidRPr="00000000">
        <w:rPr>
          <w:rFonts w:ascii="Times New Roman" w:cs="Times New Roman" w:eastAsia="Times New Roman" w:hAnsi="Times New Roman"/>
          <w:b w:val="1"/>
          <w:bCs w:val="1"/>
          <w:sz w:val="24"/>
          <w:szCs w:val="24"/>
          <w:rtl w:val="0"/>
        </w:rPr>
        <w:t xml:space="preserve">4.4 Capital Structure and Financial Flexibility Implications</w:t>
      </w:r>
    </w:p>
    <w:p w:rsidR="00000000" w:rsidDel="00000000" w:rsidP="00000000" w:rsidRDefault="00000000" w:rsidRPr="00000000" w14:paraId="000001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reorganising operations will significantly affect General Electronics' capital structure and financial commitments. Debt reduction can be achieved through divestitures or equity financing, thereby reducing leverage and increasing the firm's ability to service the remaining debt. An improved interest coverage would reduce the risk of default and raise creditworthiness (Dangl and Zechner, 2021). The drawback of an unbalanced capital structure is a lower weighted-average cost of capital for the firm, as it reduces financial risk premiums. Unlike debt, which is usually cheap to raise, equity financing is costly; as a result, excessive leverage has contributed to the firm's risk profile. Middle-level equity growth can therefore lower total capital costs by increasing investor confidence (Majka, 2024). The increased financial flexibility would help management be more receptive to market changes, select a few markets to invest in, and endure economic imbalances. This dynamism is crucial for a firm operating in a competitive yet dynamic industry worldwide (Yunica and Rokhim, 2023).</w:t>
      </w:r>
    </w:p>
    <w:p w:rsidR="00000000" w:rsidDel="00000000" w:rsidP="00000000" w:rsidRDefault="00000000" w:rsidRPr="00000000" w14:paraId="0000015C">
      <w:pPr>
        <w:pStyle w:val="Heading2"/>
        <w:spacing w:line="360" w:lineRule="auto"/>
        <w:rPr>
          <w:rFonts w:ascii="Times New Roman" w:cs="Times New Roman" w:eastAsia="Times New Roman" w:hAnsi="Times New Roman"/>
          <w:b w:val="1"/>
          <w:bCs w:val="1"/>
          <w:sz w:val="24"/>
          <w:szCs w:val="24"/>
        </w:rPr>
      </w:pPr>
      <w:bookmarkStart w:colFirst="0" w:colLast="0" w:name="_6ay39aqokc01" w:id="36"/>
      <w:bookmarkEnd w:id="36"/>
      <w:r w:rsidDel="00000000" w:rsidR="00000000" w:rsidRPr="00000000">
        <w:rPr>
          <w:rFonts w:ascii="Times New Roman" w:cs="Times New Roman" w:eastAsia="Times New Roman" w:hAnsi="Times New Roman"/>
          <w:b w:val="1"/>
          <w:bCs w:val="1"/>
          <w:sz w:val="24"/>
          <w:szCs w:val="24"/>
          <w:rtl w:val="0"/>
        </w:rPr>
        <w:t xml:space="preserve">4.5 International and Ethical issues.</w:t>
      </w:r>
    </w:p>
    <w:p w:rsidR="00000000" w:rsidDel="00000000" w:rsidP="00000000" w:rsidRDefault="00000000" w:rsidRPr="00000000" w14:paraId="0000015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Currency Risk Exposure</w:t>
      </w:r>
    </w:p>
    <w:p w:rsidR="00000000" w:rsidDel="00000000" w:rsidP="00000000" w:rsidRDefault="00000000" w:rsidRPr="00000000" w14:paraId="000001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is an international organisation, and this is susceptible to foreign exchange risk when selling, sourcing, and financing with other nations around the world. When making financial restructuring decisions such as debt refinancing and asset divestitures, the impact of currency volatility on cash flows and reported earnings should be considered. Such risks can be mitigated through currency hedging and financing (Lee, 2021).</w:t>
      </w:r>
    </w:p>
    <w:p w:rsidR="00000000" w:rsidDel="00000000" w:rsidP="00000000" w:rsidRDefault="00000000" w:rsidRPr="00000000" w14:paraId="0000015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Inflationary Pressures</w:t>
      </w:r>
    </w:p>
    <w:p w:rsidR="00000000" w:rsidDel="00000000" w:rsidP="00000000" w:rsidRDefault="00000000" w:rsidRPr="00000000" w14:paraId="000001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international inflationary force influences the prices of inputs, labour and finance. The restructuring plans should consider the increase in interest rates and inflation costs, especially in debt renegotiations or long-term funding (Eichengreen and Esteves, 2022).</w:t>
      </w:r>
    </w:p>
    <w:p w:rsidR="00000000" w:rsidDel="00000000" w:rsidP="00000000" w:rsidRDefault="00000000" w:rsidRPr="00000000" w14:paraId="0000016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Taxation Issues</w:t>
      </w:r>
    </w:p>
    <w:p w:rsidR="00000000" w:rsidDel="00000000" w:rsidP="00000000" w:rsidRDefault="00000000" w:rsidRPr="00000000" w14:paraId="000001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reorganisation of transactions may have many taxation consequences, such as capital gains tax on the sale of assets and the consideration of interests. There is a need to make sure that tax planning adheres to international taxation and maximises cash flow after taxes (Simon, 2023).</w:t>
      </w:r>
    </w:p>
    <w:p w:rsidR="00000000" w:rsidDel="00000000" w:rsidP="00000000" w:rsidRDefault="00000000" w:rsidRPr="00000000" w14:paraId="00000163">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Corporate Social Responsibility Factors.</w:t>
      </w:r>
    </w:p>
    <w:p w:rsidR="00000000" w:rsidDel="00000000" w:rsidP="00000000" w:rsidRDefault="00000000" w:rsidRPr="00000000" w14:paraId="000001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to responsible restructuring is addressing ethical issues. Poor social implications include selling assets, reducing the workforce, and cutting costs (Igwe, 2023). General Electronics, being a multinational corporation, has the obligation to strike a balance between money and ensuring that the employees, their suppliers, and the communities receive fair treatment. Communication and the ethical code of business conduct are the most critical issues to enforce to keep stakeholders loyal to the restructuring process.</w:t>
      </w:r>
    </w:p>
    <w:p w:rsidR="00000000" w:rsidDel="00000000" w:rsidP="00000000" w:rsidRDefault="00000000" w:rsidRPr="00000000" w14:paraId="00000165">
      <w:pPr>
        <w:pStyle w:val="Heading1"/>
        <w:spacing w:line="360" w:lineRule="auto"/>
        <w:rPr>
          <w:rFonts w:ascii="Times New Roman" w:cs="Times New Roman" w:eastAsia="Times New Roman" w:hAnsi="Times New Roman"/>
          <w:b w:val="1"/>
          <w:bCs w:val="1"/>
          <w:sz w:val="24"/>
          <w:szCs w:val="24"/>
        </w:rPr>
      </w:pPr>
      <w:bookmarkStart w:colFirst="0" w:colLast="0" w:name="_u54fs78ty7j9" w:id="37"/>
      <w:bookmarkEnd w:id="37"/>
      <w:r w:rsidDel="00000000" w:rsidR="00000000" w:rsidRPr="00000000">
        <w:rPr>
          <w:rFonts w:ascii="Times New Roman" w:cs="Times New Roman" w:eastAsia="Times New Roman" w:hAnsi="Times New Roman"/>
          <w:b w:val="1"/>
          <w:bCs w:val="1"/>
          <w:sz w:val="24"/>
          <w:szCs w:val="24"/>
          <w:rtl w:val="0"/>
        </w:rPr>
        <w:t xml:space="preserve">5. Investment Appraisal and Capital Budgeting</w:t>
      </w:r>
    </w:p>
    <w:p w:rsidR="00000000" w:rsidDel="00000000" w:rsidP="00000000" w:rsidRDefault="00000000" w:rsidRPr="00000000" w14:paraId="000001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investment appraisal is a critical component of General Electronics' turnaround strategy, as capital is scarce and must be allocated to projects that deliver the most outstanding value while managing risk. In this section, three of the proposed projects will be evaluated using different capital budgeting techniques, and a decision on capital rationing will be made with a 60 million investment constraint.</w:t>
      </w:r>
    </w:p>
    <w:p w:rsidR="00000000" w:rsidDel="00000000" w:rsidP="00000000" w:rsidRDefault="00000000" w:rsidRPr="00000000" w14:paraId="00000167">
      <w:pPr>
        <w:pStyle w:val="Heading2"/>
        <w:spacing w:line="360" w:lineRule="auto"/>
        <w:rPr>
          <w:rFonts w:ascii="Times New Roman" w:cs="Times New Roman" w:eastAsia="Times New Roman" w:hAnsi="Times New Roman"/>
          <w:b w:val="1"/>
          <w:bCs w:val="1"/>
          <w:sz w:val="24"/>
          <w:szCs w:val="24"/>
        </w:rPr>
      </w:pPr>
      <w:bookmarkStart w:colFirst="0" w:colLast="0" w:name="_4kqythfnnxe8" w:id="38"/>
      <w:bookmarkEnd w:id="38"/>
      <w:r w:rsidDel="00000000" w:rsidR="00000000" w:rsidRPr="00000000">
        <w:rPr>
          <w:rFonts w:ascii="Times New Roman" w:cs="Times New Roman" w:eastAsia="Times New Roman" w:hAnsi="Times New Roman"/>
          <w:b w:val="1"/>
          <w:bCs w:val="1"/>
          <w:sz w:val="24"/>
          <w:szCs w:val="24"/>
          <w:rtl w:val="0"/>
        </w:rPr>
        <w:t xml:space="preserve">5.1 Abstracting of Proposed Investment Projects.</w:t>
      </w:r>
    </w:p>
    <w:p w:rsidR="00000000" w:rsidDel="00000000" w:rsidP="00000000" w:rsidRDefault="00000000" w:rsidRPr="00000000" w14:paraId="0000016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Project 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shall have start-up capital of 40 million pounds and will result in a reduction in cash flows after five years (10m, 12m, 14m, 10m, 8m). The project is cash-payable in the early stages but has low long-run growth.</w:t>
      </w:r>
    </w:p>
    <w:p w:rsidR="00000000" w:rsidDel="00000000" w:rsidP="00000000" w:rsidRDefault="00000000" w:rsidRPr="00000000" w14:paraId="0000016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Project B</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is a UK-based project with a primary investment of 30 million pounds and a fixed cash flow of 6 million pounds over five years. The opportunity is not a high-risk venture, and the payoffs are average.</w:t>
      </w:r>
    </w:p>
    <w:p w:rsidR="00000000" w:rsidDel="00000000" w:rsidP="00000000" w:rsidRDefault="00000000" w:rsidRPr="00000000" w14:paraId="0000016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investment in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project 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is the greatest (£50 million) and, equally, provides backloaded but far larger cash inflows (£5m, £10m, £20m, £25m, £15m). It is both a growth-based project and dangerous due to its low cash generation rate.</w:t>
      </w:r>
    </w:p>
    <w:p w:rsidR="00000000" w:rsidDel="00000000" w:rsidP="00000000" w:rsidRDefault="00000000" w:rsidRPr="00000000" w14:paraId="000001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discharge of all projects is evaluated at a 10% discount rate and straight-line depreciation to zero.</w:t>
      </w:r>
    </w:p>
    <w:p w:rsidR="00000000" w:rsidDel="00000000" w:rsidP="00000000" w:rsidRDefault="00000000" w:rsidRPr="00000000" w14:paraId="0000016C">
      <w:pPr>
        <w:pStyle w:val="Heading2"/>
        <w:spacing w:line="360" w:lineRule="auto"/>
        <w:rPr>
          <w:rFonts w:ascii="Times New Roman" w:cs="Times New Roman" w:eastAsia="Times New Roman" w:hAnsi="Times New Roman"/>
          <w:b w:val="1"/>
          <w:bCs w:val="1"/>
          <w:sz w:val="24"/>
          <w:szCs w:val="24"/>
        </w:rPr>
      </w:pPr>
      <w:bookmarkStart w:colFirst="0" w:colLast="0" w:name="_s7op55ecoqbx" w:id="39"/>
      <w:bookmarkEnd w:id="39"/>
      <w:r w:rsidDel="00000000" w:rsidR="00000000" w:rsidRPr="00000000">
        <w:rPr>
          <w:rFonts w:ascii="Times New Roman" w:cs="Times New Roman" w:eastAsia="Times New Roman" w:hAnsi="Times New Roman"/>
          <w:b w:val="1"/>
          <w:bCs w:val="1"/>
          <w:sz w:val="24"/>
          <w:szCs w:val="24"/>
          <w:rtl w:val="0"/>
        </w:rPr>
        <w:t xml:space="preserve">5.2 Payback Period (PBP) Analysis</w:t>
      </w:r>
    </w:p>
    <w:p w:rsidR="00000000" w:rsidDel="00000000" w:rsidP="00000000" w:rsidRDefault="00000000" w:rsidRPr="00000000" w14:paraId="000001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payback period is the number of years required to recover the initial investment from cash inflows.</w:t>
      </w:r>
    </w:p>
    <w:p w:rsidR="00000000" w:rsidDel="00000000" w:rsidP="00000000" w:rsidRDefault="00000000" w:rsidRPr="00000000" w14:paraId="0000016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A: </w:t>
      </w:r>
      <w:r w:rsidDel="00000000" w:rsidR="00000000" w:rsidRPr="00000000">
        <w:rPr>
          <w:rFonts w:ascii="Times New Roman" w:cs="Times New Roman" w:eastAsia="Times New Roman" w:hAnsi="Times New Roman"/>
          <w:sz w:val="24"/>
          <w:szCs w:val="24"/>
          <w:rtl w:val="0"/>
        </w:rPr>
        <w:t xml:space="preserve">The cumulative Years 3-4 inflows exceed those of Years 3-4, which are over £40m.</w:t>
      </w:r>
      <w:r w:rsidDel="00000000" w:rsidR="00000000" w:rsidRPr="00000000">
        <w:rPr>
          <w:rtl w:val="0"/>
        </w:rPr>
      </w:r>
    </w:p>
    <w:p w:rsidR="00000000" w:rsidDel="00000000" w:rsidP="00000000" w:rsidRDefault="00000000" w:rsidRPr="00000000" w14:paraId="000001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Payback </w:t>
      </w:r>
      <w:r w:rsidDel="00000000" w:rsidR="00000000" w:rsidRPr="00000000">
        <w:rPr>
          <w:rFonts w:ascii="Times New Roman" w:cs="Times New Roman" w:eastAsia="Times New Roman" w:hAnsi="Times New Roman"/>
          <w:sz w:val="24"/>
          <w:szCs w:val="24"/>
          <w:rtl w:val="0"/>
        </w:rPr>
        <w:t xml:space="preserve">≈ 3.3 years</w:t>
      </w:r>
    </w:p>
    <w:p w:rsidR="00000000" w:rsidDel="00000000" w:rsidP="00000000" w:rsidRDefault="00000000" w:rsidRPr="00000000" w14:paraId="0000017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B: </w:t>
      </w:r>
      <w:r w:rsidDel="00000000" w:rsidR="00000000" w:rsidRPr="00000000">
        <w:rPr>
          <w:rFonts w:ascii="Times New Roman" w:cs="Times New Roman" w:eastAsia="Times New Roman" w:hAnsi="Times New Roman"/>
          <w:sz w:val="24"/>
          <w:szCs w:val="24"/>
          <w:rtl w:val="0"/>
        </w:rPr>
        <w:t xml:space="preserve">The cumulative inflows at the end of the fifth year stand at £30m.</w:t>
      </w:r>
      <w:r w:rsidDel="00000000" w:rsidR="00000000" w:rsidRPr="00000000">
        <w:rPr>
          <w:rtl w:val="0"/>
        </w:rPr>
      </w:r>
    </w:p>
    <w:p w:rsidR="00000000" w:rsidDel="00000000" w:rsidP="00000000" w:rsidRDefault="00000000" w:rsidRPr="00000000" w14:paraId="000001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Payback </w:t>
      </w:r>
      <w:r w:rsidDel="00000000" w:rsidR="00000000" w:rsidRPr="00000000">
        <w:rPr>
          <w:rFonts w:ascii="Times New Roman" w:cs="Times New Roman" w:eastAsia="Times New Roman" w:hAnsi="Times New Roman"/>
          <w:sz w:val="24"/>
          <w:szCs w:val="24"/>
          <w:rtl w:val="0"/>
        </w:rPr>
        <w:t xml:space="preserve">= 5.0 years</w:t>
      </w:r>
    </w:p>
    <w:p w:rsidR="00000000" w:rsidDel="00000000" w:rsidP="00000000" w:rsidRDefault="00000000" w:rsidRPr="00000000" w14:paraId="0000017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C: </w:t>
      </w:r>
      <w:r w:rsidDel="00000000" w:rsidR="00000000" w:rsidRPr="00000000">
        <w:rPr>
          <w:rFonts w:ascii="Times New Roman" w:cs="Times New Roman" w:eastAsia="Times New Roman" w:hAnsi="Times New Roman"/>
          <w:sz w:val="24"/>
          <w:szCs w:val="24"/>
          <w:rtl w:val="0"/>
        </w:rPr>
        <w:t xml:space="preserve">The cumulative inflows for Years 4 to 5 exceed £50m.</w:t>
      </w:r>
      <w:r w:rsidDel="00000000" w:rsidR="00000000" w:rsidRPr="00000000">
        <w:rPr>
          <w:rtl w:val="0"/>
        </w:rPr>
      </w:r>
    </w:p>
    <w:p w:rsidR="00000000" w:rsidDel="00000000" w:rsidP="00000000" w:rsidRDefault="00000000" w:rsidRPr="00000000" w14:paraId="000001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Payback</w:t>
      </w:r>
      <w:r w:rsidDel="00000000" w:rsidR="00000000" w:rsidRPr="00000000">
        <w:rPr>
          <w:rFonts w:ascii="Times New Roman" w:cs="Times New Roman" w:eastAsia="Times New Roman" w:hAnsi="Times New Roman"/>
          <w:sz w:val="24"/>
          <w:szCs w:val="24"/>
          <w:rtl w:val="0"/>
        </w:rPr>
        <w:t xml:space="preserve"> ≈ 4.0 years</w:t>
      </w:r>
    </w:p>
    <w:p w:rsidR="00000000" w:rsidDel="00000000" w:rsidP="00000000" w:rsidRDefault="00000000" w:rsidRPr="00000000" w14:paraId="0000017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p>
    <w:p w:rsidR="00000000" w:rsidDel="00000000" w:rsidP="00000000" w:rsidRDefault="00000000" w:rsidRPr="00000000" w14:paraId="000001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payback period of project A is the greatest, and it is attractive given General Electronics' liquidity constraints. Payback, however, does not consider profitability beyond recovery and the time value of money.</w:t>
      </w:r>
    </w:p>
    <w:p w:rsidR="00000000" w:rsidDel="00000000" w:rsidP="00000000" w:rsidRDefault="00000000" w:rsidRPr="00000000" w14:paraId="00000176">
      <w:pPr>
        <w:pStyle w:val="Heading2"/>
        <w:spacing w:line="360" w:lineRule="auto"/>
        <w:rPr>
          <w:rFonts w:ascii="Times New Roman" w:cs="Times New Roman" w:eastAsia="Times New Roman" w:hAnsi="Times New Roman"/>
          <w:b w:val="1"/>
          <w:bCs w:val="1"/>
          <w:sz w:val="24"/>
          <w:szCs w:val="24"/>
        </w:rPr>
      </w:pPr>
      <w:bookmarkStart w:colFirst="0" w:colLast="0" w:name="_71agkgup0vou" w:id="40"/>
      <w:bookmarkEnd w:id="40"/>
      <w:r w:rsidDel="00000000" w:rsidR="00000000" w:rsidRPr="00000000">
        <w:rPr>
          <w:rFonts w:ascii="Times New Roman" w:cs="Times New Roman" w:eastAsia="Times New Roman" w:hAnsi="Times New Roman"/>
          <w:b w:val="1"/>
          <w:bCs w:val="1"/>
          <w:sz w:val="24"/>
          <w:szCs w:val="24"/>
          <w:rtl w:val="0"/>
        </w:rPr>
        <w:t xml:space="preserve">5.3 Accounting rate of return (ARR) Analysis.</w:t>
      </w:r>
    </w:p>
    <w:p w:rsidR="00000000" w:rsidDel="00000000" w:rsidP="00000000" w:rsidRDefault="00000000" w:rsidRPr="00000000" w14:paraId="000001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 is an average accounting profit measure that is used in relation to average investment.</w:t>
      </w:r>
    </w:p>
    <w:p w:rsidR="00000000" w:rsidDel="00000000" w:rsidP="00000000" w:rsidRDefault="00000000" w:rsidRPr="00000000" w14:paraId="00000178">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17A">
      <w:pPr>
        <w:jc w:val="center"/>
        <w:rPr>
          <w:rFonts w:ascii="Cambria Math" w:cs="Cambria Math" w:eastAsia="Cambria Math" w:hAnsi="Cambria Math"/>
          <w:sz w:val="24"/>
          <w:szCs w:val="24"/>
        </w:rPr>
      </w:pPr>
      <m:oMath>
        <m:r>
          <w:rPr>
            <w:rFonts w:ascii="Cambria Math" w:cs="Cambria Math" w:eastAsia="Cambria Math" w:hAnsi="Cambria Math"/>
            <w:sz w:val="24"/>
            <w:szCs w:val="24"/>
          </w:rPr>
          <m:t xml:space="preserve">ARR=</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Average Annual Profit</m:t>
            </m:r>
          </m:num>
          <m:den>
            <m:r>
              <w:rPr>
                <w:rFonts w:ascii="Times New Roman" w:cs="Times New Roman" w:eastAsia="Times New Roman" w:hAnsi="Times New Roman"/>
                <w:sz w:val="24"/>
                <w:szCs w:val="24"/>
              </w:rPr>
              <m:t xml:space="preserve">Average Investment</m:t>
            </m:r>
          </m:den>
        </m:f>
        <m:r>
          <w:rPr>
            <w:rFonts w:ascii="Cambria Math" w:cs="Cambria Math" w:eastAsia="Cambria Math" w:hAnsi="Cambria Math"/>
            <w:sz w:val="24"/>
            <w:szCs w:val="24"/>
          </w:rPr>
          <m:t xml:space="preserve">×100</m:t>
        </m:r>
      </m:oMath>
      <w:r w:rsidDel="00000000" w:rsidR="00000000" w:rsidRPr="00000000">
        <w:rPr>
          <w:rtl w:val="0"/>
        </w:rPr>
      </w:r>
    </w:p>
    <w:p w:rsidR="00000000" w:rsidDel="00000000" w:rsidP="00000000" w:rsidRDefault="00000000" w:rsidRPr="00000000" w14:paraId="000001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investment = Initial investment ÷ 2.</w:t>
      </w:r>
    </w:p>
    <w:p w:rsidR="00000000" w:rsidDel="00000000" w:rsidP="00000000" w:rsidRDefault="00000000" w:rsidRPr="00000000" w14:paraId="0000017C">
      <w:pPr>
        <w:numPr>
          <w:ilvl w:val="0"/>
          <w:numId w:val="46"/>
        </w:numPr>
        <w:spacing w:line="360" w:lineRule="auto"/>
        <w:ind w:left="720" w:hanging="360"/>
        <w:rPr/>
      </w:pPr>
      <w:r w:rsidDel="00000000" w:rsidR="00000000" w:rsidRPr="00000000">
        <w:rPr>
          <w:rFonts w:ascii="Times New Roman" w:cs="Times New Roman" w:eastAsia="Times New Roman" w:hAnsi="Times New Roman"/>
          <w:b w:val="1"/>
          <w:bCs w:val="1"/>
          <w:sz w:val="24"/>
          <w:szCs w:val="24"/>
          <w:rtl w:val="0"/>
        </w:rPr>
        <w:t xml:space="preserve">Project A:</w:t>
      </w:r>
      <w:r w:rsidDel="00000000" w:rsidR="00000000" w:rsidRPr="00000000">
        <w:rPr>
          <w:rFonts w:ascii="Times New Roman" w:cs="Times New Roman" w:eastAsia="Times New Roman" w:hAnsi="Times New Roman"/>
          <w:sz w:val="24"/>
          <w:szCs w:val="24"/>
          <w:rtl w:val="0"/>
        </w:rPr>
        <w:br w:type="textWrapping"/>
        <w:t xml:space="preserve">Total inflows = £54m → Profit = £14m</w:t>
        <w:br w:type="textWrapping"/>
        <w:t xml:space="preserve">Average profit = £2.8m</w:t>
        <w:br w:type="textWrapping"/>
        <w:t xml:space="preserve">ARR = (2.8 ÷ 20) × 100 = </w:t>
      </w:r>
      <w:r w:rsidDel="00000000" w:rsidR="00000000" w:rsidRPr="00000000">
        <w:rPr>
          <w:rFonts w:ascii="Times New Roman" w:cs="Times New Roman" w:eastAsia="Times New Roman" w:hAnsi="Times New Roman"/>
          <w:b w:val="1"/>
          <w:bCs w:val="1"/>
          <w:sz w:val="24"/>
          <w:szCs w:val="24"/>
          <w:rtl w:val="0"/>
        </w:rPr>
        <w:t xml:space="preserve">14%</w:t>
      </w:r>
      <w:r w:rsidDel="00000000" w:rsidR="00000000" w:rsidRPr="00000000">
        <w:rPr>
          <w:rtl w:val="0"/>
        </w:rPr>
      </w:r>
    </w:p>
    <w:p w:rsidR="00000000" w:rsidDel="00000000" w:rsidP="00000000" w:rsidRDefault="00000000" w:rsidRPr="00000000" w14:paraId="0000017D">
      <w:pPr>
        <w:numPr>
          <w:ilvl w:val="0"/>
          <w:numId w:val="46"/>
        </w:numPr>
        <w:spacing w:line="360" w:lineRule="auto"/>
        <w:ind w:left="720" w:hanging="360"/>
        <w:rPr/>
      </w:pPr>
      <w:r w:rsidDel="00000000" w:rsidR="00000000" w:rsidRPr="00000000">
        <w:rPr>
          <w:rFonts w:ascii="Times New Roman" w:cs="Times New Roman" w:eastAsia="Times New Roman" w:hAnsi="Times New Roman"/>
          <w:b w:val="1"/>
          <w:bCs w:val="1"/>
          <w:sz w:val="24"/>
          <w:szCs w:val="24"/>
          <w:rtl w:val="0"/>
        </w:rPr>
        <w:t xml:space="preserve">Project B:</w:t>
      </w:r>
      <w:r w:rsidDel="00000000" w:rsidR="00000000" w:rsidRPr="00000000">
        <w:rPr>
          <w:rFonts w:ascii="Times New Roman" w:cs="Times New Roman" w:eastAsia="Times New Roman" w:hAnsi="Times New Roman"/>
          <w:sz w:val="24"/>
          <w:szCs w:val="24"/>
          <w:rtl w:val="0"/>
        </w:rPr>
        <w:br w:type="textWrapping"/>
        <w:t xml:space="preserve">Total inflows = £30m → Profit = £0m</w:t>
        <w:br w:type="textWrapping"/>
        <w:t xml:space="preserve">ARR = </w:t>
      </w:r>
      <w:r w:rsidDel="00000000" w:rsidR="00000000" w:rsidRPr="00000000">
        <w:rPr>
          <w:rFonts w:ascii="Times New Roman" w:cs="Times New Roman" w:eastAsia="Times New Roman" w:hAnsi="Times New Roman"/>
          <w:b w:val="1"/>
          <w:bCs w:val="1"/>
          <w:sz w:val="24"/>
          <w:szCs w:val="24"/>
          <w:rtl w:val="0"/>
        </w:rPr>
        <w:t xml:space="preserve">0%</w:t>
      </w:r>
      <w:r w:rsidDel="00000000" w:rsidR="00000000" w:rsidRPr="00000000">
        <w:rPr>
          <w:rtl w:val="0"/>
        </w:rPr>
      </w:r>
    </w:p>
    <w:p w:rsidR="00000000" w:rsidDel="00000000" w:rsidP="00000000" w:rsidRDefault="00000000" w:rsidRPr="00000000" w14:paraId="0000017E">
      <w:pPr>
        <w:numPr>
          <w:ilvl w:val="0"/>
          <w:numId w:val="46"/>
        </w:numPr>
        <w:spacing w:line="360" w:lineRule="auto"/>
        <w:ind w:left="720" w:hanging="360"/>
        <w:rPr/>
      </w:pPr>
      <w:r w:rsidDel="00000000" w:rsidR="00000000" w:rsidRPr="00000000">
        <w:rPr>
          <w:rFonts w:ascii="Times New Roman" w:cs="Times New Roman" w:eastAsia="Times New Roman" w:hAnsi="Times New Roman"/>
          <w:b w:val="1"/>
          <w:bCs w:val="1"/>
          <w:sz w:val="24"/>
          <w:szCs w:val="24"/>
          <w:rtl w:val="0"/>
        </w:rPr>
        <w:t xml:space="preserve">Project C:</w:t>
      </w:r>
      <w:r w:rsidDel="00000000" w:rsidR="00000000" w:rsidRPr="00000000">
        <w:rPr>
          <w:rFonts w:ascii="Times New Roman" w:cs="Times New Roman" w:eastAsia="Times New Roman" w:hAnsi="Times New Roman"/>
          <w:sz w:val="24"/>
          <w:szCs w:val="24"/>
          <w:rtl w:val="0"/>
        </w:rPr>
        <w:br w:type="textWrapping"/>
        <w:t xml:space="preserve">Total inflows = £75m → Profit = £25m</w:t>
        <w:br w:type="textWrapping"/>
        <w:t xml:space="preserve">Average profit = £5m</w:t>
        <w:br w:type="textWrapping"/>
        <w:t xml:space="preserve">ARR = (5 ÷ 25) × 100 = 20%</w:t>
      </w:r>
    </w:p>
    <w:p w:rsidR="00000000" w:rsidDel="00000000" w:rsidP="00000000" w:rsidRDefault="00000000" w:rsidRPr="00000000" w14:paraId="0000017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p>
    <w:p w:rsidR="00000000" w:rsidDel="00000000" w:rsidP="00000000" w:rsidRDefault="00000000" w:rsidRPr="00000000" w14:paraId="0000018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Project C will offer the highest ARR, and Project B will not offer any accounting returns, thereby limiting its use</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181">
      <w:pPr>
        <w:pStyle w:val="Heading2"/>
        <w:spacing w:line="360" w:lineRule="auto"/>
        <w:rPr>
          <w:rFonts w:ascii="Times New Roman" w:cs="Times New Roman" w:eastAsia="Times New Roman" w:hAnsi="Times New Roman"/>
          <w:b w:val="1"/>
          <w:bCs w:val="1"/>
          <w:sz w:val="24"/>
          <w:szCs w:val="24"/>
        </w:rPr>
      </w:pPr>
      <w:bookmarkStart w:colFirst="0" w:colLast="0" w:name="_5w3o8g4msba0" w:id="41"/>
      <w:bookmarkEnd w:id="41"/>
      <w:r w:rsidDel="00000000" w:rsidR="00000000" w:rsidRPr="00000000">
        <w:rPr>
          <w:rFonts w:ascii="Times New Roman" w:cs="Times New Roman" w:eastAsia="Times New Roman" w:hAnsi="Times New Roman"/>
          <w:b w:val="1"/>
          <w:bCs w:val="1"/>
          <w:sz w:val="24"/>
          <w:szCs w:val="24"/>
          <w:rtl w:val="0"/>
        </w:rPr>
        <w:t xml:space="preserve">5.4 Net Present Value (NPV) Analysis.</w:t>
      </w:r>
    </w:p>
    <w:p w:rsidR="00000000" w:rsidDel="00000000" w:rsidP="00000000" w:rsidRDefault="00000000" w:rsidRPr="00000000" w14:paraId="000001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NPV is an indicator of value added that discounts future cash flows at 10%.</w:t>
      </w:r>
    </w:p>
    <w:p w:rsidR="00000000" w:rsidDel="00000000" w:rsidP="00000000" w:rsidRDefault="00000000" w:rsidRPr="00000000" w14:paraId="000001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ProjectA:</w:t>
      </w:r>
      <w:r w:rsidDel="00000000" w:rsidR="00000000" w:rsidRPr="00000000">
        <w:rPr>
          <w:rFonts w:ascii="Times New Roman" w:cs="Times New Roman" w:eastAsia="Times New Roman" w:hAnsi="Times New Roman"/>
          <w:sz w:val="24"/>
          <w:szCs w:val="24"/>
          <w:rtl w:val="0"/>
        </w:rPr>
        <w:br w:type="textWrapping"/>
        <w:t xml:space="preserve">PV of inflows ≈ £40.98m</w:t>
      </w:r>
    </w:p>
    <w:p w:rsidR="00000000" w:rsidDel="00000000" w:rsidP="00000000" w:rsidRDefault="00000000" w:rsidRPr="00000000" w14:paraId="00000184">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NPV = </w:t>
      </w:r>
      <w:r w:rsidDel="00000000" w:rsidR="00000000" w:rsidRPr="00000000">
        <w:rPr>
          <w:rFonts w:ascii="Times New Roman" w:cs="Times New Roman" w:eastAsia="Times New Roman" w:hAnsi="Times New Roman"/>
          <w:b w:val="1"/>
          <w:bCs w:val="1"/>
          <w:sz w:val="24"/>
          <w:szCs w:val="24"/>
          <w:rtl w:val="0"/>
        </w:rPr>
        <w:t xml:space="preserve">+£0.98m</w:t>
      </w:r>
      <w:r w:rsidDel="00000000" w:rsidR="00000000" w:rsidRPr="00000000">
        <w:rPr>
          <w:rtl w:val="0"/>
        </w:rPr>
      </w:r>
    </w:p>
    <w:p w:rsidR="00000000" w:rsidDel="00000000" w:rsidP="00000000" w:rsidRDefault="00000000" w:rsidRPr="00000000" w14:paraId="00000185">
      <w:pPr>
        <w:numPr>
          <w:ilvl w:val="0"/>
          <w:numId w:val="4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Project B:</w:t>
      </w:r>
      <w:r w:rsidDel="00000000" w:rsidR="00000000" w:rsidRPr="00000000">
        <w:rPr>
          <w:rtl w:val="0"/>
        </w:rPr>
      </w:r>
    </w:p>
    <w:p w:rsidR="00000000" w:rsidDel="00000000" w:rsidP="00000000" w:rsidRDefault="00000000" w:rsidRPr="00000000" w14:paraId="00000186">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PV of inflows ≈ £22.74m</w:t>
      </w:r>
    </w:p>
    <w:p w:rsidR="00000000" w:rsidDel="00000000" w:rsidP="00000000" w:rsidRDefault="00000000" w:rsidRPr="00000000" w14:paraId="00000187">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NPV = </w:t>
      </w:r>
      <w:r w:rsidDel="00000000" w:rsidR="00000000" w:rsidRPr="00000000">
        <w:rPr>
          <w:rFonts w:ascii="Times New Roman" w:cs="Times New Roman" w:eastAsia="Times New Roman" w:hAnsi="Times New Roman"/>
          <w:b w:val="1"/>
          <w:bCs w:val="1"/>
          <w:sz w:val="24"/>
          <w:szCs w:val="24"/>
          <w:rtl w:val="0"/>
        </w:rPr>
        <w:t xml:space="preserve">–£7.26m</w:t>
      </w:r>
      <w:r w:rsidDel="00000000" w:rsidR="00000000" w:rsidRPr="00000000">
        <w:rPr>
          <w:rtl w:val="0"/>
        </w:rPr>
      </w:r>
    </w:p>
    <w:p w:rsidR="00000000" w:rsidDel="00000000" w:rsidP="00000000" w:rsidRDefault="00000000" w:rsidRPr="00000000" w14:paraId="00000188">
      <w:pPr>
        <w:numPr>
          <w:ilvl w:val="0"/>
          <w:numId w:val="47"/>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Project C:</w:t>
      </w:r>
      <w:r w:rsidDel="00000000" w:rsidR="00000000" w:rsidRPr="00000000">
        <w:rPr>
          <w:rtl w:val="0"/>
        </w:rPr>
      </w:r>
    </w:p>
    <w:p w:rsidR="00000000" w:rsidDel="00000000" w:rsidP="00000000" w:rsidRDefault="00000000" w:rsidRPr="00000000" w14:paraId="00000189">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PV of inflows ≈ £52.04m</w:t>
      </w:r>
    </w:p>
    <w:p w:rsidR="00000000" w:rsidDel="00000000" w:rsidP="00000000" w:rsidRDefault="00000000" w:rsidRPr="00000000" w14:paraId="0000018A">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NPV = </w:t>
      </w:r>
      <w:r w:rsidDel="00000000" w:rsidR="00000000" w:rsidRPr="00000000">
        <w:rPr>
          <w:rFonts w:ascii="Times New Roman" w:cs="Times New Roman" w:eastAsia="Times New Roman" w:hAnsi="Times New Roman"/>
          <w:b w:val="1"/>
          <w:bCs w:val="1"/>
          <w:sz w:val="24"/>
          <w:szCs w:val="24"/>
          <w:rtl w:val="0"/>
        </w:rPr>
        <w:t xml:space="preserve">+£2.04m</w:t>
      </w:r>
      <w:r w:rsidDel="00000000" w:rsidR="00000000" w:rsidRPr="00000000">
        <w:rPr>
          <w:rtl w:val="0"/>
        </w:rPr>
      </w:r>
    </w:p>
    <w:p w:rsidR="00000000" w:rsidDel="00000000" w:rsidP="00000000" w:rsidRDefault="00000000" w:rsidRPr="00000000" w14:paraId="000001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r w:rsidDel="00000000" w:rsidR="00000000" w:rsidRPr="00000000">
        <w:rPr>
          <w:rFonts w:ascii="Times New Roman" w:cs="Times New Roman" w:eastAsia="Times New Roman" w:hAnsi="Times New Roman"/>
          <w:sz w:val="24"/>
          <w:szCs w:val="24"/>
          <w:rtl w:val="0"/>
        </w:rPr>
        <w:br w:type="textWrapping"/>
        <w:t xml:space="preserve">Projects A and C create value for shareholders, and Project B destroys value and should be eliminated.</w:t>
      </w:r>
    </w:p>
    <w:p w:rsidR="00000000" w:rsidDel="00000000" w:rsidP="00000000" w:rsidRDefault="00000000" w:rsidRPr="00000000" w14:paraId="0000018C">
      <w:pPr>
        <w:pStyle w:val="Heading2"/>
        <w:spacing w:line="360" w:lineRule="auto"/>
        <w:rPr>
          <w:rFonts w:ascii="Times New Roman" w:cs="Times New Roman" w:eastAsia="Times New Roman" w:hAnsi="Times New Roman"/>
          <w:b w:val="1"/>
          <w:bCs w:val="1"/>
          <w:sz w:val="24"/>
          <w:szCs w:val="24"/>
        </w:rPr>
      </w:pPr>
      <w:bookmarkStart w:colFirst="0" w:colLast="0" w:name="_6nrn9b4gtfam" w:id="42"/>
      <w:bookmarkEnd w:id="42"/>
      <w:r w:rsidDel="00000000" w:rsidR="00000000" w:rsidRPr="00000000">
        <w:rPr>
          <w:rFonts w:ascii="Times New Roman" w:cs="Times New Roman" w:eastAsia="Times New Roman" w:hAnsi="Times New Roman"/>
          <w:b w:val="1"/>
          <w:bCs w:val="1"/>
          <w:sz w:val="24"/>
          <w:szCs w:val="24"/>
          <w:rtl w:val="0"/>
        </w:rPr>
        <w:t xml:space="preserve">5.5 Profitability Index (PI) Analysis</w:t>
      </w:r>
    </w:p>
    <w:p w:rsidR="00000000" w:rsidDel="00000000" w:rsidP="00000000" w:rsidRDefault="00000000" w:rsidRPr="00000000" w14:paraId="000001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r w:rsidDel="00000000" w:rsidR="00000000" w:rsidRPr="00000000">
        <w:rPr>
          <w:rtl w:val="0"/>
        </w:rPr>
      </w:r>
    </w:p>
    <w:p w:rsidR="00000000" w:rsidDel="00000000" w:rsidP="00000000" w:rsidRDefault="00000000" w:rsidRPr="00000000" w14:paraId="0000018E">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PI=</m:t>
        </m:r>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PV of Inflows</m:t>
            </m:r>
          </m:num>
          <m:den>
            <m:r>
              <w:rPr>
                <w:rFonts w:ascii="Times New Roman" w:cs="Times New Roman" w:eastAsia="Times New Roman" w:hAnsi="Times New Roman"/>
                <w:sz w:val="24"/>
                <w:szCs w:val="24"/>
              </w:rPr>
              <m:t xml:space="preserve">Initial Investment</m:t>
            </m:r>
          </m:den>
        </m:f>
      </m:oMath>
      <w:r w:rsidDel="00000000" w:rsidR="00000000" w:rsidRPr="00000000">
        <w:rPr>
          <w:rtl w:val="0"/>
        </w:rPr>
      </w:r>
    </w:p>
    <w:p w:rsidR="00000000" w:rsidDel="00000000" w:rsidP="00000000" w:rsidRDefault="00000000" w:rsidRPr="00000000" w14:paraId="0000018F">
      <w:pPr>
        <w:numPr>
          <w:ilvl w:val="0"/>
          <w:numId w:val="4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Project A:</w:t>
      </w:r>
      <w:r w:rsidDel="00000000" w:rsidR="00000000" w:rsidRPr="00000000">
        <w:rPr>
          <w:rFonts w:ascii="Times New Roman" w:cs="Times New Roman" w:eastAsia="Times New Roman" w:hAnsi="Times New Roman"/>
          <w:sz w:val="24"/>
          <w:szCs w:val="24"/>
          <w:rtl w:val="0"/>
        </w:rPr>
        <w:t xml:space="preserve"> 40.98 ÷ 40 = </w:t>
      </w:r>
      <w:r w:rsidDel="00000000" w:rsidR="00000000" w:rsidRPr="00000000">
        <w:rPr>
          <w:rFonts w:ascii="Times New Roman" w:cs="Times New Roman" w:eastAsia="Times New Roman" w:hAnsi="Times New Roman"/>
          <w:b w:val="1"/>
          <w:bCs w:val="1"/>
          <w:sz w:val="24"/>
          <w:szCs w:val="24"/>
          <w:rtl w:val="0"/>
        </w:rPr>
        <w:t xml:space="preserve">1.02</w:t>
      </w:r>
      <w:r w:rsidDel="00000000" w:rsidR="00000000" w:rsidRPr="00000000">
        <w:rPr>
          <w:rtl w:val="0"/>
        </w:rPr>
      </w:r>
    </w:p>
    <w:p w:rsidR="00000000" w:rsidDel="00000000" w:rsidP="00000000" w:rsidRDefault="00000000" w:rsidRPr="00000000" w14:paraId="00000190">
      <w:pPr>
        <w:numPr>
          <w:ilvl w:val="0"/>
          <w:numId w:val="4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Project B:</w:t>
      </w:r>
      <w:r w:rsidDel="00000000" w:rsidR="00000000" w:rsidRPr="00000000">
        <w:rPr>
          <w:rFonts w:ascii="Times New Roman" w:cs="Times New Roman" w:eastAsia="Times New Roman" w:hAnsi="Times New Roman"/>
          <w:sz w:val="24"/>
          <w:szCs w:val="24"/>
          <w:rtl w:val="0"/>
        </w:rPr>
        <w:t xml:space="preserve"> 22.74 ÷ 30 = </w:t>
      </w:r>
      <w:r w:rsidDel="00000000" w:rsidR="00000000" w:rsidRPr="00000000">
        <w:rPr>
          <w:rFonts w:ascii="Times New Roman" w:cs="Times New Roman" w:eastAsia="Times New Roman" w:hAnsi="Times New Roman"/>
          <w:b w:val="1"/>
          <w:bCs w:val="1"/>
          <w:sz w:val="24"/>
          <w:szCs w:val="24"/>
          <w:rtl w:val="0"/>
        </w:rPr>
        <w:t xml:space="preserve">0.76</w:t>
      </w:r>
      <w:r w:rsidDel="00000000" w:rsidR="00000000" w:rsidRPr="00000000">
        <w:rPr>
          <w:rtl w:val="0"/>
        </w:rPr>
      </w:r>
    </w:p>
    <w:p w:rsidR="00000000" w:rsidDel="00000000" w:rsidP="00000000" w:rsidRDefault="00000000" w:rsidRPr="00000000" w14:paraId="00000191">
      <w:pPr>
        <w:numPr>
          <w:ilvl w:val="0"/>
          <w:numId w:val="48"/>
        </w:numP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Project C:</w:t>
      </w:r>
      <w:r w:rsidDel="00000000" w:rsidR="00000000" w:rsidRPr="00000000">
        <w:rPr>
          <w:rFonts w:ascii="Times New Roman" w:cs="Times New Roman" w:eastAsia="Times New Roman" w:hAnsi="Times New Roman"/>
          <w:sz w:val="24"/>
          <w:szCs w:val="24"/>
          <w:rtl w:val="0"/>
        </w:rPr>
        <w:t xml:space="preserve"> 52.04 ÷ 50 = </w:t>
      </w:r>
      <w:r w:rsidDel="00000000" w:rsidR="00000000" w:rsidRPr="00000000">
        <w:rPr>
          <w:rFonts w:ascii="Times New Roman" w:cs="Times New Roman" w:eastAsia="Times New Roman" w:hAnsi="Times New Roman"/>
          <w:b w:val="1"/>
          <w:bCs w:val="1"/>
          <w:sz w:val="24"/>
          <w:szCs w:val="24"/>
          <w:rtl w:val="0"/>
        </w:rPr>
        <w:t xml:space="preserve">1.04</w:t>
      </w:r>
      <w:r w:rsidDel="00000000" w:rsidR="00000000" w:rsidRPr="00000000">
        <w:rPr>
          <w:rtl w:val="0"/>
        </w:rPr>
      </w:r>
    </w:p>
    <w:p w:rsidR="00000000" w:rsidDel="00000000" w:rsidP="00000000" w:rsidRDefault="00000000" w:rsidRPr="00000000" w14:paraId="000001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r w:rsidDel="00000000" w:rsidR="00000000" w:rsidRPr="00000000">
        <w:rPr>
          <w:rFonts w:ascii="Times New Roman" w:cs="Times New Roman" w:eastAsia="Times New Roman" w:hAnsi="Times New Roman"/>
          <w:sz w:val="24"/>
          <w:szCs w:val="24"/>
          <w:rtl w:val="0"/>
        </w:rPr>
        <w:br w:type="textWrapping"/>
        <w:t xml:space="preserve">Project C is the capital-efficient project, followed by Project A. Project B is not capital-efficient under capital rationing.</w:t>
      </w:r>
    </w:p>
    <w:p w:rsidR="00000000" w:rsidDel="00000000" w:rsidP="00000000" w:rsidRDefault="00000000" w:rsidRPr="00000000" w14:paraId="00000193">
      <w:pPr>
        <w:pStyle w:val="Heading2"/>
        <w:spacing w:line="360" w:lineRule="auto"/>
        <w:rPr>
          <w:rFonts w:ascii="Times New Roman" w:cs="Times New Roman" w:eastAsia="Times New Roman" w:hAnsi="Times New Roman"/>
          <w:b w:val="1"/>
          <w:bCs w:val="1"/>
          <w:sz w:val="24"/>
          <w:szCs w:val="24"/>
        </w:rPr>
      </w:pPr>
      <w:bookmarkStart w:colFirst="0" w:colLast="0" w:name="_z2x3k3rtp54x" w:id="43"/>
      <w:bookmarkEnd w:id="43"/>
      <w:r w:rsidDel="00000000" w:rsidR="00000000" w:rsidRPr="00000000">
        <w:rPr>
          <w:rFonts w:ascii="Times New Roman" w:cs="Times New Roman" w:eastAsia="Times New Roman" w:hAnsi="Times New Roman"/>
          <w:b w:val="1"/>
          <w:bCs w:val="1"/>
          <w:sz w:val="24"/>
          <w:szCs w:val="24"/>
          <w:rtl w:val="0"/>
        </w:rPr>
        <w:t xml:space="preserve">5.6 Internal rate of return (IRR) Analysis.</w:t>
      </w:r>
    </w:p>
    <w:p w:rsidR="00000000" w:rsidDel="00000000" w:rsidP="00000000" w:rsidRDefault="00000000" w:rsidRPr="00000000" w14:paraId="000001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discount rate at which NPV equals zero is called the IRR.</w:t>
      </w:r>
    </w:p>
    <w:p w:rsidR="00000000" w:rsidDel="00000000" w:rsidP="00000000" w:rsidRDefault="00000000" w:rsidRPr="00000000" w14:paraId="000001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A</w:t>
      </w:r>
      <w:r w:rsidDel="00000000" w:rsidR="00000000" w:rsidRPr="00000000">
        <w:rPr>
          <w:rFonts w:ascii="Times New Roman" w:cs="Times New Roman" w:eastAsia="Times New Roman" w:hAnsi="Times New Roman"/>
          <w:sz w:val="24"/>
          <w:szCs w:val="24"/>
          <w:rtl w:val="0"/>
        </w:rPr>
        <w:t xml:space="preserve">: IRR ≈ 11%</w:t>
      </w:r>
    </w:p>
    <w:p w:rsidR="00000000" w:rsidDel="00000000" w:rsidP="00000000" w:rsidRDefault="00000000" w:rsidRPr="00000000" w14:paraId="000001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B: IRR</w:t>
      </w:r>
      <w:r w:rsidDel="00000000" w:rsidR="00000000" w:rsidRPr="00000000">
        <w:rPr>
          <w:rFonts w:ascii="Times New Roman" w:cs="Times New Roman" w:eastAsia="Times New Roman" w:hAnsi="Times New Roman"/>
          <w:sz w:val="24"/>
          <w:szCs w:val="24"/>
          <w:rtl w:val="0"/>
        </w:rPr>
        <w:t xml:space="preserve"> ≈ 5%</w:t>
      </w:r>
    </w:p>
    <w:p w:rsidR="00000000" w:rsidDel="00000000" w:rsidP="00000000" w:rsidRDefault="00000000" w:rsidRPr="00000000" w14:paraId="000001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 C:</w:t>
      </w:r>
      <w:r w:rsidDel="00000000" w:rsidR="00000000" w:rsidRPr="00000000">
        <w:rPr>
          <w:rFonts w:ascii="Times New Roman" w:cs="Times New Roman" w:eastAsia="Times New Roman" w:hAnsi="Times New Roman"/>
          <w:sz w:val="24"/>
          <w:szCs w:val="24"/>
          <w:rtl w:val="0"/>
        </w:rPr>
        <w:t xml:space="preserve"> IRR ≈ 12%</w:t>
      </w:r>
    </w:p>
    <w:p w:rsidR="00000000" w:rsidDel="00000000" w:rsidP="00000000" w:rsidRDefault="00000000" w:rsidRPr="00000000" w14:paraId="00000198">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Interpretation:</w:t>
      </w:r>
    </w:p>
    <w:p w:rsidR="00000000" w:rsidDel="00000000" w:rsidP="00000000" w:rsidRDefault="00000000" w:rsidRPr="00000000" w14:paraId="000001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A and C will meet the 10% hurdle rate, and Project B fails to meet the minimum number of returns.</w:t>
      </w:r>
    </w:p>
    <w:p w:rsidR="00000000" w:rsidDel="00000000" w:rsidP="00000000" w:rsidRDefault="00000000" w:rsidRPr="00000000" w14:paraId="0000019A">
      <w:pPr>
        <w:pStyle w:val="Heading2"/>
        <w:spacing w:line="360" w:lineRule="auto"/>
        <w:rPr>
          <w:rFonts w:ascii="Times New Roman" w:cs="Times New Roman" w:eastAsia="Times New Roman" w:hAnsi="Times New Roman"/>
          <w:b w:val="1"/>
          <w:bCs w:val="1"/>
          <w:sz w:val="24"/>
          <w:szCs w:val="24"/>
        </w:rPr>
      </w:pPr>
      <w:bookmarkStart w:colFirst="0" w:colLast="0" w:name="_o8n6lhm4toeo" w:id="44"/>
      <w:bookmarkEnd w:id="44"/>
      <w:r w:rsidDel="00000000" w:rsidR="00000000" w:rsidRPr="00000000">
        <w:rPr>
          <w:rFonts w:ascii="Times New Roman" w:cs="Times New Roman" w:eastAsia="Times New Roman" w:hAnsi="Times New Roman"/>
          <w:b w:val="1"/>
          <w:bCs w:val="1"/>
          <w:sz w:val="24"/>
          <w:szCs w:val="24"/>
          <w:rtl w:val="0"/>
        </w:rPr>
        <w:t xml:space="preserve">5.7 Capital Rationing Decision</w:t>
      </w:r>
    </w:p>
    <w:p w:rsidR="00000000" w:rsidDel="00000000" w:rsidP="00000000" w:rsidRDefault="00000000" w:rsidRPr="00000000" w14:paraId="0000019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Electronics is also restricted in terms of investment, with a limit of 60 million pounds, which means it cannot invest in any project.</w:t>
      </w:r>
    </w:p>
    <w:p w:rsidR="00000000" w:rsidDel="00000000" w:rsidP="00000000" w:rsidRDefault="00000000" w:rsidRPr="00000000" w14:paraId="000001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Projects A + B</w:t>
      </w:r>
      <w:r w:rsidDel="00000000" w:rsidR="00000000" w:rsidRPr="00000000">
        <w:rPr>
          <w:rFonts w:ascii="Times New Roman" w:cs="Times New Roman" w:eastAsia="Times New Roman" w:hAnsi="Times New Roman"/>
          <w:sz w:val="24"/>
          <w:szCs w:val="24"/>
          <w:rtl w:val="0"/>
        </w:rPr>
        <w:t xml:space="preserve"> = £70m (not feasible)</w:t>
      </w:r>
    </w:p>
    <w:p w:rsidR="00000000" w:rsidDel="00000000" w:rsidP="00000000" w:rsidRDefault="00000000" w:rsidRPr="00000000" w14:paraId="0000019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Projects B + C</w:t>
      </w:r>
      <w:r w:rsidDel="00000000" w:rsidR="00000000" w:rsidRPr="00000000">
        <w:rPr>
          <w:rFonts w:ascii="Times New Roman" w:cs="Times New Roman" w:eastAsia="Times New Roman" w:hAnsi="Times New Roman"/>
          <w:sz w:val="24"/>
          <w:szCs w:val="24"/>
          <w:rtl w:val="0"/>
        </w:rPr>
        <w:t xml:space="preserve"> = £80m (not feasible)</w:t>
      </w:r>
    </w:p>
    <w:p w:rsidR="00000000" w:rsidDel="00000000" w:rsidP="00000000" w:rsidRDefault="00000000" w:rsidRPr="00000000" w14:paraId="000001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tab/>
        <w:t xml:space="preserve">Projects A + C</w:t>
      </w:r>
      <w:r w:rsidDel="00000000" w:rsidR="00000000" w:rsidRPr="00000000">
        <w:rPr>
          <w:rFonts w:ascii="Times New Roman" w:cs="Times New Roman" w:eastAsia="Times New Roman" w:hAnsi="Times New Roman"/>
          <w:sz w:val="24"/>
          <w:szCs w:val="24"/>
          <w:rtl w:val="0"/>
        </w:rPr>
        <w:t xml:space="preserve"> = £90m (not feasible)</w:t>
      </w:r>
    </w:p>
    <w:p w:rsidR="00000000" w:rsidDel="00000000" w:rsidP="00000000" w:rsidRDefault="00000000" w:rsidRPr="00000000" w14:paraId="000001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C (single, 50m) is the only possible option for value creation.</w:t>
      </w:r>
    </w:p>
    <w:p w:rsidR="00000000" w:rsidDel="00000000" w:rsidP="00000000" w:rsidRDefault="00000000" w:rsidRPr="00000000" w14:paraId="000001A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Decision:</w:t>
      </w:r>
    </w:p>
    <w:p w:rsidR="00000000" w:rsidDel="00000000" w:rsidP="00000000" w:rsidRDefault="00000000" w:rsidRPr="00000000" w14:paraId="000001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C will be selected because it yields the highest NPV and PI and falls within the capital constraint.</w:t>
      </w:r>
    </w:p>
    <w:p w:rsidR="00000000" w:rsidDel="00000000" w:rsidP="00000000" w:rsidRDefault="00000000" w:rsidRPr="00000000" w14:paraId="000001A2">
      <w:pPr>
        <w:pStyle w:val="Heading2"/>
        <w:spacing w:line="360" w:lineRule="auto"/>
        <w:rPr>
          <w:rFonts w:ascii="Times New Roman" w:cs="Times New Roman" w:eastAsia="Times New Roman" w:hAnsi="Times New Roman"/>
          <w:sz w:val="24"/>
          <w:szCs w:val="24"/>
        </w:rPr>
      </w:pPr>
      <w:bookmarkStart w:colFirst="0" w:colLast="0" w:name="_cdb2k7mzu0sf" w:id="45"/>
      <w:bookmarkEnd w:id="45"/>
      <w:r w:rsidDel="00000000" w:rsidR="00000000" w:rsidRPr="00000000">
        <w:rPr>
          <w:rFonts w:ascii="Times New Roman" w:cs="Times New Roman" w:eastAsia="Times New Roman" w:hAnsi="Times New Roman"/>
          <w:b w:val="1"/>
          <w:bCs w:val="1"/>
          <w:sz w:val="24"/>
          <w:szCs w:val="24"/>
          <w:rtl w:val="0"/>
        </w:rPr>
        <w:t xml:space="preserve">5.8 Risk Factors and Financial Suitability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risk of project C is higher due to delayed cash flows, which increase the risk of forecasting errors. However, its value-creation excellence aligns with the firm's strategic need to return to profitability. Liquidity risk can be addressed by better managing working capital, as restructuring is carried out in accordance with the above recommendation. Project C is also strategic for long-term growth and operational renewal and thus aligns with the firm's turnaround targets.</w:t>
      </w:r>
    </w:p>
    <w:p w:rsidR="00000000" w:rsidDel="00000000" w:rsidP="00000000" w:rsidRDefault="00000000" w:rsidRPr="00000000" w14:paraId="000001A4">
      <w:pPr>
        <w:pStyle w:val="Heading1"/>
        <w:spacing w:line="360" w:lineRule="auto"/>
        <w:rPr>
          <w:rFonts w:ascii="Times New Roman" w:cs="Times New Roman" w:eastAsia="Times New Roman" w:hAnsi="Times New Roman"/>
          <w:b w:val="1"/>
          <w:bCs w:val="1"/>
          <w:sz w:val="24"/>
          <w:szCs w:val="24"/>
        </w:rPr>
      </w:pPr>
      <w:bookmarkStart w:colFirst="0" w:colLast="0" w:name="_5m9wg3ndpsye" w:id="46"/>
      <w:bookmarkEnd w:id="46"/>
      <w:r w:rsidDel="00000000" w:rsidR="00000000" w:rsidRPr="00000000">
        <w:rPr>
          <w:rFonts w:ascii="Times New Roman" w:cs="Times New Roman" w:eastAsia="Times New Roman" w:hAnsi="Times New Roman"/>
          <w:b w:val="1"/>
          <w:bCs w:val="1"/>
          <w:sz w:val="24"/>
          <w:szCs w:val="24"/>
          <w:rtl w:val="0"/>
        </w:rPr>
        <w:t xml:space="preserve">6. Conclusion</w:t>
      </w:r>
    </w:p>
    <w:p w:rsidR="00000000" w:rsidDel="00000000" w:rsidP="00000000" w:rsidRDefault="00000000" w:rsidRPr="00000000" w14:paraId="000001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performance analysis of General Electronics shows that the corporation is experiencing high economic pressure, which manifests itself in the lowering of revenues, increasing losses, deteriorating liquidity, and increasing solvency risk. Based on the ratio and cash flow analyses, the firm's current operating and economic structure cannot sustain any further without a drastic step.</w:t>
      </w:r>
    </w:p>
    <w:p w:rsidR="00000000" w:rsidDel="00000000" w:rsidP="00000000" w:rsidRDefault="00000000" w:rsidRPr="00000000" w14:paraId="000001A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turnaround priorities identified in this report are tight management of working capital, selective financial restructuring, and inflexible capital allocation. The stated measures included asset divestment, equity strengthening, and debt restructuring because they sought to regain economic strength without violating ethical and international obligations.</w:t>
      </w:r>
    </w:p>
    <w:p w:rsidR="00000000" w:rsidDel="00000000" w:rsidP="00000000" w:rsidRDefault="00000000" w:rsidRPr="00000000" w14:paraId="000001A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capital rationing used to evaluate the investment established that Project C will generate enough shareholder value and it can still operate within financial limits. Project C has a higher risk profile, making it the most strategic and financially fit to rebound in the long-term, rather than survive in the short-term. Restoring the firm as a CFO would involve balancing liquidity and value creation. The suggested restructuring and strict investment choices will enable General Electronics to normalise its financial position, reestablish stakeholder trust, and build a platform for sustainable growth in a highly competitive global market.</w:t>
      </w:r>
    </w:p>
    <w:p w:rsidR="00000000" w:rsidDel="00000000" w:rsidP="00000000" w:rsidRDefault="00000000" w:rsidRPr="00000000" w14:paraId="000001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pStyle w:val="Heading1"/>
        <w:spacing w:line="360" w:lineRule="auto"/>
        <w:rPr>
          <w:rFonts w:ascii="Times New Roman" w:cs="Times New Roman" w:eastAsia="Times New Roman" w:hAnsi="Times New Roman"/>
          <w:b w:val="1"/>
          <w:bCs w:val="1"/>
          <w:sz w:val="24"/>
          <w:szCs w:val="24"/>
        </w:rPr>
      </w:pPr>
      <w:bookmarkStart w:colFirst="0" w:colLast="0" w:name="_ci0pvuqnat4n" w:id="47"/>
      <w:bookmarkEnd w:id="47"/>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1B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Bansal, M., 2024. Expense shifting and revenue shifting in the income statement: substitutes or complements?. </w:t>
      </w:r>
      <w:r w:rsidDel="00000000" w:rsidR="00000000" w:rsidRPr="00000000">
        <w:rPr>
          <w:rFonts w:ascii="Times New Roman" w:cs="Times New Roman" w:eastAsia="Times New Roman" w:hAnsi="Times New Roman"/>
          <w:i w:val="1"/>
          <w:iCs w:val="1"/>
          <w:sz w:val="24"/>
          <w:szCs w:val="24"/>
          <w:rtl w:val="0"/>
        </w:rPr>
        <w:t xml:space="preserve">South Asian Journal of Business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(1), pp.18-36.</w:t>
      </w:r>
    </w:p>
    <w:p w:rsidR="00000000" w:rsidDel="00000000" w:rsidP="00000000" w:rsidRDefault="00000000" w:rsidRPr="00000000" w14:paraId="000001B9">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Barus, S.A. and Mita, A.F., 2025. Classification Analysis of The Presentation of Impairment Expenses in The Statement of Comprehensive Income. </w:t>
      </w:r>
      <w:r w:rsidDel="00000000" w:rsidR="00000000" w:rsidRPr="00000000">
        <w:rPr>
          <w:rFonts w:ascii="Times New Roman" w:cs="Times New Roman" w:eastAsia="Times New Roman" w:hAnsi="Times New Roman"/>
          <w:i w:val="1"/>
          <w:iCs w:val="1"/>
          <w:sz w:val="24"/>
          <w:szCs w:val="24"/>
          <w:rtl w:val="0"/>
        </w:rPr>
        <w:t xml:space="preserve">Eduvest-Journal of Universal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(6), pp.6217-6234.</w:t>
      </w:r>
    </w:p>
    <w:p w:rsidR="00000000" w:rsidDel="00000000" w:rsidP="00000000" w:rsidRDefault="00000000" w:rsidRPr="00000000" w14:paraId="000001BA">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Burkart, M. and Zhong, H., 2023. Equity issuance methods and dilution. </w:t>
      </w:r>
      <w:r w:rsidDel="00000000" w:rsidR="00000000" w:rsidRPr="00000000">
        <w:rPr>
          <w:rFonts w:ascii="Times New Roman" w:cs="Times New Roman" w:eastAsia="Times New Roman" w:hAnsi="Times New Roman"/>
          <w:i w:val="1"/>
          <w:iCs w:val="1"/>
          <w:sz w:val="24"/>
          <w:szCs w:val="24"/>
          <w:rtl w:val="0"/>
        </w:rPr>
        <w:t xml:space="preserve">The Review of Corporate Finance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(1), pp.78-130.</w:t>
      </w:r>
    </w:p>
    <w:p w:rsidR="00000000" w:rsidDel="00000000" w:rsidP="00000000" w:rsidRDefault="00000000" w:rsidRPr="00000000" w14:paraId="000001BB">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Dangl, T. and Zechner, J., 2021. Debt maturity and the dynamics of leverage. </w:t>
      </w:r>
      <w:r w:rsidDel="00000000" w:rsidR="00000000" w:rsidRPr="00000000">
        <w:rPr>
          <w:rFonts w:ascii="Times New Roman" w:cs="Times New Roman" w:eastAsia="Times New Roman" w:hAnsi="Times New Roman"/>
          <w:i w:val="1"/>
          <w:iCs w:val="1"/>
          <w:sz w:val="24"/>
          <w:szCs w:val="24"/>
          <w:rtl w:val="0"/>
        </w:rPr>
        <w:t xml:space="preserve">The Review of Financial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34</w:t>
      </w:r>
      <w:r w:rsidDel="00000000" w:rsidR="00000000" w:rsidRPr="00000000">
        <w:rPr>
          <w:rFonts w:ascii="Times New Roman" w:cs="Times New Roman" w:eastAsia="Times New Roman" w:hAnsi="Times New Roman"/>
          <w:sz w:val="24"/>
          <w:szCs w:val="24"/>
          <w:rtl w:val="0"/>
        </w:rPr>
        <w:t xml:space="preserve">(12), pp.5796-5840.</w:t>
      </w:r>
    </w:p>
    <w:p w:rsidR="00000000" w:rsidDel="00000000" w:rsidP="00000000" w:rsidRDefault="00000000" w:rsidRPr="00000000" w14:paraId="000001BC">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Eichengreen, B. and Esteves, R., 2022. Up and away? Inflation and debt consolidation in historical perspective. </w:t>
      </w:r>
      <w:r w:rsidDel="00000000" w:rsidR="00000000" w:rsidRPr="00000000">
        <w:rPr>
          <w:rFonts w:ascii="Times New Roman" w:cs="Times New Roman" w:eastAsia="Times New Roman" w:hAnsi="Times New Roman"/>
          <w:i w:val="1"/>
          <w:iCs w:val="1"/>
          <w:sz w:val="24"/>
          <w:szCs w:val="24"/>
          <w:rtl w:val="0"/>
        </w:rPr>
        <w:t xml:space="preserve">Oxford Open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p.odac008.</w:t>
      </w:r>
    </w:p>
    <w:p w:rsidR="00000000" w:rsidDel="00000000" w:rsidP="00000000" w:rsidRDefault="00000000" w:rsidRPr="00000000" w14:paraId="000001BD">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Elewa, M.M., 2022. Using altman Z-score models for predicting financial distress for companies–the case of Egypt panel data analysis. </w:t>
      </w:r>
      <w:r w:rsidDel="00000000" w:rsidR="00000000" w:rsidRPr="00000000">
        <w:rPr>
          <w:rFonts w:ascii="Times New Roman" w:cs="Times New Roman" w:eastAsia="Times New Roman" w:hAnsi="Times New Roman"/>
          <w:i w:val="1"/>
          <w:iCs w:val="1"/>
          <w:sz w:val="24"/>
          <w:szCs w:val="24"/>
          <w:rtl w:val="0"/>
        </w:rPr>
        <w:t xml:space="preserve">Alexandria Journal of Accounting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(1), pp.1-28.</w:t>
      </w:r>
    </w:p>
    <w:p w:rsidR="00000000" w:rsidDel="00000000" w:rsidP="00000000" w:rsidRDefault="00000000" w:rsidRPr="00000000" w14:paraId="000001BE">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Gatto, M., 2024. </w:t>
      </w:r>
      <w:r w:rsidDel="00000000" w:rsidR="00000000" w:rsidRPr="00000000">
        <w:rPr>
          <w:rFonts w:ascii="Times New Roman" w:cs="Times New Roman" w:eastAsia="Times New Roman" w:hAnsi="Times New Roman"/>
          <w:i w:val="1"/>
          <w:iCs w:val="1"/>
          <w:sz w:val="24"/>
          <w:szCs w:val="24"/>
          <w:rtl w:val="0"/>
        </w:rPr>
        <w:t xml:space="preserve">The Credit Investor's Handbook: Leveraged Loans, High Yield Bonds, and Distressed Debt</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1BF">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Ge.com. (2025). </w:t>
      </w:r>
      <w:r w:rsidDel="00000000" w:rsidR="00000000" w:rsidRPr="00000000">
        <w:rPr>
          <w:rFonts w:ascii="Times New Roman" w:cs="Times New Roman" w:eastAsia="Times New Roman" w:hAnsi="Times New Roman"/>
          <w:i w:val="1"/>
          <w:iCs w:val="1"/>
          <w:sz w:val="24"/>
          <w:szCs w:val="24"/>
          <w:rtl w:val="0"/>
        </w:rPr>
        <w:t xml:space="preserve">General Electric Company</w:t>
      </w:r>
      <w:r w:rsidDel="00000000" w:rsidR="00000000" w:rsidRPr="00000000">
        <w:rPr>
          <w:rFonts w:ascii="Times New Roman" w:cs="Times New Roman" w:eastAsia="Times New Roman" w:hAnsi="Times New Roman"/>
          <w:sz w:val="24"/>
          <w:szCs w:val="24"/>
          <w:rtl w:val="0"/>
        </w:rPr>
        <w:t xml:space="preserve">. [online] Available at: </w:t>
      </w:r>
      <w:hyperlink r:id="rId6">
        <w:r w:rsidDel="00000000" w:rsidR="00000000" w:rsidRPr="00000000">
          <w:rPr>
            <w:rFonts w:ascii="Times New Roman" w:cs="Times New Roman" w:eastAsia="Times New Roman" w:hAnsi="Times New Roman"/>
            <w:color w:val="0000ff"/>
            <w:sz w:val="24"/>
            <w:szCs w:val="24"/>
            <w:u w:val="single"/>
            <w:rtl w:val="0"/>
          </w:rPr>
          <w:t xml:space="preserve">https://www.ge.com</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0">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Harmon, M., 2024. The Financial Restructuring Tool Set: How to Fix Your Broken Balance Sheet. Columbia University Press.</w:t>
      </w:r>
    </w:p>
    <w:p w:rsidR="00000000" w:rsidDel="00000000" w:rsidP="00000000" w:rsidRDefault="00000000" w:rsidRPr="00000000" w14:paraId="000001C1">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Hasidi, M.H., Baheri, J. and Hajar, K.I., 2024. Financial performance evaluation using profitability and liquidity ratio analysis.</w:t>
      </w:r>
    </w:p>
    <w:p w:rsidR="00000000" w:rsidDel="00000000" w:rsidP="00000000" w:rsidRDefault="00000000" w:rsidRPr="00000000" w14:paraId="000001C2">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Hermawan, M. and Noveria, A., 2025. Fundamental Financial Performance Analysis and Stock Valuation of PT DCI Indonesia TBK at Year 2024. </w:t>
      </w:r>
      <w:r w:rsidDel="00000000" w:rsidR="00000000" w:rsidRPr="00000000">
        <w:rPr>
          <w:rFonts w:ascii="Times New Roman" w:cs="Times New Roman" w:eastAsia="Times New Roman" w:hAnsi="Times New Roman"/>
          <w:i w:val="1"/>
          <w:iCs w:val="1"/>
          <w:sz w:val="24"/>
          <w:szCs w:val="24"/>
          <w:rtl w:val="0"/>
        </w:rPr>
        <w:t xml:space="preserve">Eduvest-Journal of Universal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(10), pp.12197-12215.</w:t>
      </w:r>
    </w:p>
    <w:p w:rsidR="00000000" w:rsidDel="00000000" w:rsidP="00000000" w:rsidRDefault="00000000" w:rsidRPr="00000000" w14:paraId="000001C3">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Heron, N.M. and Markelevich, A., 2023. Segment Reporting and Segment Profitability: A Case Study on General Electric. </w:t>
      </w:r>
      <w:r w:rsidDel="00000000" w:rsidR="00000000" w:rsidRPr="00000000">
        <w:rPr>
          <w:rFonts w:ascii="Times New Roman" w:cs="Times New Roman" w:eastAsia="Times New Roman" w:hAnsi="Times New Roman"/>
          <w:i w:val="1"/>
          <w:iCs w:val="1"/>
          <w:sz w:val="24"/>
          <w:szCs w:val="24"/>
          <w:rtl w:val="0"/>
        </w:rPr>
        <w:t xml:space="preserve">Issues in Accounting Education Teaching Notes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(3), pp.TN9-TN42.</w:t>
      </w:r>
    </w:p>
    <w:p w:rsidR="00000000" w:rsidDel="00000000" w:rsidP="00000000" w:rsidRDefault="00000000" w:rsidRPr="00000000" w14:paraId="000001C4">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Ibrahem, N., 2021. Comparative mathematical model for predicting of financial loans default using altman Z-score and neutrosophic AHP methods.</w:t>
      </w:r>
    </w:p>
    <w:p w:rsidR="00000000" w:rsidDel="00000000" w:rsidP="00000000" w:rsidRDefault="00000000" w:rsidRPr="00000000" w14:paraId="000001C5">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Igwe, Q., 2023. Corporate Restructuring: Strategies, Implications, and Case Studies. </w:t>
      </w:r>
      <w:r w:rsidDel="00000000" w:rsidR="00000000" w:rsidRPr="00000000">
        <w:rPr>
          <w:rFonts w:ascii="Times New Roman" w:cs="Times New Roman" w:eastAsia="Times New Roman" w:hAnsi="Times New Roman"/>
          <w:i w:val="1"/>
          <w:iCs w:val="1"/>
          <w:sz w:val="24"/>
          <w:szCs w:val="24"/>
          <w:rtl w:val="0"/>
        </w:rPr>
        <w:t xml:space="preserve">Implications, and Case Studies (December 15,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6">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Imhanzenobe, J., 2021. Achieving competitive advantage and financial sustainability through acquisition and restructuring strategies. </w:t>
      </w:r>
      <w:r w:rsidDel="00000000" w:rsidR="00000000" w:rsidRPr="00000000">
        <w:rPr>
          <w:rFonts w:ascii="Times New Roman" w:cs="Times New Roman" w:eastAsia="Times New Roman" w:hAnsi="Times New Roman"/>
          <w:i w:val="1"/>
          <w:iCs w:val="1"/>
          <w:sz w:val="24"/>
          <w:szCs w:val="24"/>
          <w:rtl w:val="0"/>
        </w:rPr>
        <w:t xml:space="preserve">Journal of Accounting and Taxation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(3), pp.217-225.</w:t>
      </w:r>
    </w:p>
    <w:p w:rsidR="00000000" w:rsidDel="00000000" w:rsidP="00000000" w:rsidRDefault="00000000" w:rsidRPr="00000000" w14:paraId="000001C7">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Jerab, D. and Mabrouk, T., 2023. Strategies for effective organizational restructuring: A comprehensive guide. </w:t>
      </w:r>
      <w:r w:rsidDel="00000000" w:rsidR="00000000" w:rsidRPr="00000000">
        <w:rPr>
          <w:rFonts w:ascii="Times New Roman" w:cs="Times New Roman" w:eastAsia="Times New Roman" w:hAnsi="Times New Roman"/>
          <w:i w:val="1"/>
          <w:iCs w:val="1"/>
          <w:sz w:val="24"/>
          <w:szCs w:val="24"/>
          <w:rtl w:val="0"/>
        </w:rPr>
        <w:t xml:space="preserve">Available at SSRN 4584665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C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Kanana, K.D., 2024. </w:t>
      </w:r>
      <w:r w:rsidDel="00000000" w:rsidR="00000000" w:rsidRPr="00000000">
        <w:rPr>
          <w:rFonts w:ascii="Times New Roman" w:cs="Times New Roman" w:eastAsia="Times New Roman" w:hAnsi="Times New Roman"/>
          <w:i w:val="1"/>
          <w:iCs w:val="1"/>
          <w:sz w:val="24"/>
          <w:szCs w:val="24"/>
          <w:rtl w:val="0"/>
        </w:rPr>
        <w:t xml:space="preserve">Effects of Working Capital Management on Financial Performance of Level Three and Four Public Hospitals in Meru County</w:t>
      </w:r>
      <w:r w:rsidDel="00000000" w:rsidR="00000000" w:rsidRPr="00000000">
        <w:rPr>
          <w:rFonts w:ascii="Times New Roman" w:cs="Times New Roman" w:eastAsia="Times New Roman" w:hAnsi="Times New Roman"/>
          <w:sz w:val="24"/>
          <w:szCs w:val="24"/>
          <w:rtl w:val="0"/>
        </w:rPr>
        <w:t xml:space="preserve"> (Doctoral dissertation, KeMU).</w:t>
      </w:r>
    </w:p>
    <w:p w:rsidR="00000000" w:rsidDel="00000000" w:rsidP="00000000" w:rsidRDefault="00000000" w:rsidRPr="00000000" w14:paraId="000001C9">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Kasee, K.K., 2023. </w:t>
      </w:r>
      <w:r w:rsidDel="00000000" w:rsidR="00000000" w:rsidRPr="00000000">
        <w:rPr>
          <w:rFonts w:ascii="Times New Roman" w:cs="Times New Roman" w:eastAsia="Times New Roman" w:hAnsi="Times New Roman"/>
          <w:i w:val="1"/>
          <w:iCs w:val="1"/>
          <w:sz w:val="24"/>
          <w:szCs w:val="24"/>
          <w:rtl w:val="0"/>
        </w:rPr>
        <w:t xml:space="preserve">Effect of equity financing on shareholder value creation of firms listed at Nairobi Securities Exchange</w:t>
      </w:r>
      <w:r w:rsidDel="00000000" w:rsidR="00000000" w:rsidRPr="00000000">
        <w:rPr>
          <w:rFonts w:ascii="Times New Roman" w:cs="Times New Roman" w:eastAsia="Times New Roman" w:hAnsi="Times New Roman"/>
          <w:sz w:val="24"/>
          <w:szCs w:val="24"/>
          <w:rtl w:val="0"/>
        </w:rPr>
        <w:t xml:space="preserve"> (Doctoral dissertation, Kca University).</w:t>
      </w:r>
    </w:p>
    <w:p w:rsidR="00000000" w:rsidDel="00000000" w:rsidP="00000000" w:rsidRDefault="00000000" w:rsidRPr="00000000" w14:paraId="000001CA">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Kuchyn, A., 2025. Interrelation of operational, financial, and investment activities of an enterprise during and after the war period. In </w:t>
      </w:r>
      <w:r w:rsidDel="00000000" w:rsidR="00000000" w:rsidRPr="00000000">
        <w:rPr>
          <w:rFonts w:ascii="Times New Roman" w:cs="Times New Roman" w:eastAsia="Times New Roman" w:hAnsi="Times New Roman"/>
          <w:i w:val="1"/>
          <w:iCs w:val="1"/>
          <w:sz w:val="24"/>
          <w:szCs w:val="24"/>
          <w:rtl w:val="0"/>
        </w:rPr>
        <w:t xml:space="preserve">Economic Forum</w:t>
      </w:r>
      <w:r w:rsidDel="00000000" w:rsidR="00000000" w:rsidRPr="00000000">
        <w:rPr>
          <w:rFonts w:ascii="Times New Roman" w:cs="Times New Roman" w:eastAsia="Times New Roman" w:hAnsi="Times New Roman"/>
          <w:sz w:val="24"/>
          <w:szCs w:val="24"/>
          <w:rtl w:val="0"/>
        </w:rPr>
        <w:t xml:space="preserve"> (Vol. 15, No. 1, pp. 25-37). Lutsk, Ukraine: Lutsk National Technical University.</w:t>
      </w:r>
    </w:p>
    <w:p w:rsidR="00000000" w:rsidDel="00000000" w:rsidP="00000000" w:rsidRDefault="00000000" w:rsidRPr="00000000" w14:paraId="000001CB">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V.Y., 2021. </w:t>
      </w:r>
      <w:r w:rsidDel="00000000" w:rsidR="00000000" w:rsidRPr="00000000">
        <w:rPr>
          <w:rFonts w:ascii="Times New Roman" w:cs="Times New Roman" w:eastAsia="Times New Roman" w:hAnsi="Times New Roman"/>
          <w:i w:val="1"/>
          <w:iCs w:val="1"/>
          <w:sz w:val="24"/>
          <w:szCs w:val="24"/>
          <w:rtl w:val="0"/>
        </w:rPr>
        <w:t xml:space="preserve">Corporate asset restructuring through mergers and acquisitions and divestitures</w:t>
      </w:r>
      <w:r w:rsidDel="00000000" w:rsidR="00000000" w:rsidRPr="00000000">
        <w:rPr>
          <w:rFonts w:ascii="Times New Roman" w:cs="Times New Roman" w:eastAsia="Times New Roman" w:hAnsi="Times New Roman"/>
          <w:sz w:val="24"/>
          <w:szCs w:val="24"/>
          <w:rtl w:val="0"/>
        </w:rPr>
        <w:t xml:space="preserve"> (Doctoral dissertation, University of Reading).</w:t>
      </w:r>
    </w:p>
    <w:p w:rsidR="00000000" w:rsidDel="00000000" w:rsidP="00000000" w:rsidRDefault="00000000" w:rsidRPr="00000000" w14:paraId="000001CC">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J., 2024. Risk Assessment of Banks When Interest Rate Hikes. In </w:t>
      </w:r>
      <w:r w:rsidDel="00000000" w:rsidR="00000000" w:rsidRPr="00000000">
        <w:rPr>
          <w:rFonts w:ascii="Times New Roman" w:cs="Times New Roman" w:eastAsia="Times New Roman" w:hAnsi="Times New Roman"/>
          <w:i w:val="1"/>
          <w:iCs w:val="1"/>
          <w:sz w:val="24"/>
          <w:szCs w:val="24"/>
          <w:rtl w:val="0"/>
        </w:rPr>
        <w:t xml:space="preserve">SHS Web of Conferences</w:t>
      </w:r>
      <w:r w:rsidDel="00000000" w:rsidR="00000000" w:rsidRPr="00000000">
        <w:rPr>
          <w:rFonts w:ascii="Times New Roman" w:cs="Times New Roman" w:eastAsia="Times New Roman" w:hAnsi="Times New Roman"/>
          <w:sz w:val="24"/>
          <w:szCs w:val="24"/>
          <w:rtl w:val="0"/>
        </w:rPr>
        <w:t xml:space="preserve"> (Vol. 193, p. 01024). EDP Sciences.</w:t>
      </w:r>
    </w:p>
    <w:p w:rsidR="00000000" w:rsidDel="00000000" w:rsidP="00000000" w:rsidRDefault="00000000" w:rsidRPr="00000000" w14:paraId="000001CD">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Lugacheva, L.I., 2021. High-Tech and knowledge-Intensive Industries: Transformation of the asset Management System and New Business Strategies (on the Example of State Corporation rostech). </w:t>
      </w:r>
      <w:r w:rsidDel="00000000" w:rsidR="00000000" w:rsidRPr="00000000">
        <w:rPr>
          <w:rFonts w:ascii="Times New Roman" w:cs="Times New Roman" w:eastAsia="Times New Roman" w:hAnsi="Times New Roman"/>
          <w:i w:val="1"/>
          <w:iCs w:val="1"/>
          <w:sz w:val="24"/>
          <w:szCs w:val="24"/>
          <w:rtl w:val="0"/>
        </w:rPr>
        <w:t xml:space="preserve">WORLD OF NEW ECONOMY</w:t>
      </w:r>
      <w:r w:rsidDel="00000000" w:rsidR="00000000" w:rsidRPr="00000000">
        <w:rPr>
          <w:rFonts w:ascii="Times New Roman" w:cs="Times New Roman" w:eastAsia="Times New Roman" w:hAnsi="Times New Roman"/>
          <w:sz w:val="24"/>
          <w:szCs w:val="24"/>
          <w:rtl w:val="0"/>
        </w:rPr>
        <w:t xml:space="preserve">, p.88.</w:t>
      </w:r>
    </w:p>
    <w:p w:rsidR="00000000" w:rsidDel="00000000" w:rsidP="00000000" w:rsidRDefault="00000000" w:rsidRPr="00000000" w14:paraId="000001CE">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Madaus, S., 2021. The position of shareholders in a restructuring. In </w:t>
      </w:r>
      <w:r w:rsidDel="00000000" w:rsidR="00000000" w:rsidRPr="00000000">
        <w:rPr>
          <w:rFonts w:ascii="Times New Roman" w:cs="Times New Roman" w:eastAsia="Times New Roman" w:hAnsi="Times New Roman"/>
          <w:i w:val="1"/>
          <w:iCs w:val="1"/>
          <w:sz w:val="24"/>
          <w:szCs w:val="24"/>
          <w:rtl w:val="0"/>
        </w:rPr>
        <w:t xml:space="preserve">Research Handbook on Corporate Restructuring</w:t>
      </w:r>
      <w:r w:rsidDel="00000000" w:rsidR="00000000" w:rsidRPr="00000000">
        <w:rPr>
          <w:rFonts w:ascii="Times New Roman" w:cs="Times New Roman" w:eastAsia="Times New Roman" w:hAnsi="Times New Roman"/>
          <w:sz w:val="24"/>
          <w:szCs w:val="24"/>
          <w:rtl w:val="0"/>
        </w:rPr>
        <w:t xml:space="preserve"> (pp. 185-200). Edward Elgar Publishing.</w:t>
      </w:r>
    </w:p>
    <w:p w:rsidR="00000000" w:rsidDel="00000000" w:rsidP="00000000" w:rsidRDefault="00000000" w:rsidRPr="00000000" w14:paraId="000001CF">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Majka, M., 2024. </w:t>
      </w:r>
      <w:r w:rsidDel="00000000" w:rsidR="00000000" w:rsidRPr="00000000">
        <w:rPr>
          <w:rFonts w:ascii="Times New Roman" w:cs="Times New Roman" w:eastAsia="Times New Roman" w:hAnsi="Times New Roman"/>
          <w:i w:val="1"/>
          <w:iCs w:val="1"/>
          <w:sz w:val="24"/>
          <w:szCs w:val="24"/>
          <w:rtl w:val="0"/>
        </w:rPr>
        <w:t xml:space="preserve">Weighted Average Cost of Capital</w:t>
      </w:r>
      <w:r w:rsidDel="00000000" w:rsidR="00000000" w:rsidRPr="00000000">
        <w:rPr>
          <w:rFonts w:ascii="Times New Roman" w:cs="Times New Roman" w:eastAsia="Times New Roman" w:hAnsi="Times New Roman"/>
          <w:sz w:val="24"/>
          <w:szCs w:val="24"/>
          <w:rtl w:val="0"/>
        </w:rPr>
        <w:t xml:space="preserve"> [online]</w:t>
      </w:r>
    </w:p>
    <w:p w:rsidR="00000000" w:rsidDel="00000000" w:rsidP="00000000" w:rsidRDefault="00000000" w:rsidRPr="00000000" w14:paraId="000001D0">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Mweshi, G.K., 2022. Effects of overstocking and stockouts on the manufacturing sector. </w:t>
      </w:r>
      <w:r w:rsidDel="00000000" w:rsidR="00000000" w:rsidRPr="00000000">
        <w:rPr>
          <w:rFonts w:ascii="Times New Roman" w:cs="Times New Roman" w:eastAsia="Times New Roman" w:hAnsi="Times New Roman"/>
          <w:i w:val="1"/>
          <w:iCs w:val="1"/>
          <w:sz w:val="24"/>
          <w:szCs w:val="24"/>
          <w:rtl w:val="0"/>
        </w:rPr>
        <w:t xml:space="preserve">International Journal of Advances in Engineering and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(9), pp.1054-1064.</w:t>
      </w:r>
    </w:p>
    <w:p w:rsidR="00000000" w:rsidDel="00000000" w:rsidP="00000000" w:rsidRDefault="00000000" w:rsidRPr="00000000" w14:paraId="000001D1">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Potharla, S., 2025. From Debt to Divestiture: How Indian and Global Firms Reshaped through Corporate Restructuring. </w:t>
      </w:r>
      <w:r w:rsidDel="00000000" w:rsidR="00000000" w:rsidRPr="00000000">
        <w:rPr>
          <w:rFonts w:ascii="Times New Roman" w:cs="Times New Roman" w:eastAsia="Times New Roman" w:hAnsi="Times New Roman"/>
          <w:i w:val="1"/>
          <w:iCs w:val="1"/>
          <w:sz w:val="24"/>
          <w:szCs w:val="24"/>
          <w:rtl w:val="0"/>
        </w:rPr>
        <w:t xml:space="preserve">Available at SSRN 5348941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2">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Rashid, C.A., 2021. The efficiency of financial ratios analysis to evaluate company’s profitability. </w:t>
      </w:r>
      <w:r w:rsidDel="00000000" w:rsidR="00000000" w:rsidRPr="00000000">
        <w:rPr>
          <w:rFonts w:ascii="Times New Roman" w:cs="Times New Roman" w:eastAsia="Times New Roman" w:hAnsi="Times New Roman"/>
          <w:i w:val="1"/>
          <w:iCs w:val="1"/>
          <w:sz w:val="24"/>
          <w:szCs w:val="24"/>
          <w:rtl w:val="0"/>
        </w:rPr>
        <w:t xml:space="preserve">Journal of Global Economics and Business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(4), pp.119-132.</w:t>
      </w:r>
    </w:p>
    <w:p w:rsidR="00000000" w:rsidDel="00000000" w:rsidP="00000000" w:rsidRDefault="00000000" w:rsidRPr="00000000" w14:paraId="000001D3">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Ruguru, A.N., 2023. Effect of cash conversion cycle on profitability: A case study of binathman household supermarkets in Kenya. </w:t>
      </w:r>
      <w:r w:rsidDel="00000000" w:rsidR="00000000" w:rsidRPr="00000000">
        <w:rPr>
          <w:rFonts w:ascii="Times New Roman" w:cs="Times New Roman" w:eastAsia="Times New Roman" w:hAnsi="Times New Roman"/>
          <w:i w:val="1"/>
          <w:iCs w:val="1"/>
          <w:sz w:val="24"/>
          <w:szCs w:val="24"/>
          <w:rtl w:val="0"/>
        </w:rPr>
        <w:t xml:space="preserve">South Sahara Multidisciplinary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(1), pp.8-16.</w:t>
      </w:r>
    </w:p>
    <w:p w:rsidR="00000000" w:rsidDel="00000000" w:rsidP="00000000" w:rsidRDefault="00000000" w:rsidRPr="00000000" w14:paraId="000001D4">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Shem, A.M. and Mupa, M.N., 2024. </w:t>
      </w:r>
      <w:r w:rsidDel="00000000" w:rsidR="00000000" w:rsidRPr="00000000">
        <w:rPr>
          <w:rFonts w:ascii="Times New Roman" w:cs="Times New Roman" w:eastAsia="Times New Roman" w:hAnsi="Times New Roman"/>
          <w:i w:val="1"/>
          <w:iCs w:val="1"/>
          <w:sz w:val="24"/>
          <w:szCs w:val="24"/>
          <w:rtl w:val="0"/>
        </w:rPr>
        <w:t xml:space="preserve">Turnaround Financing: Legal and Financial Considerations for Distressed Companies</w:t>
      </w:r>
      <w:r w:rsidDel="00000000" w:rsidR="00000000" w:rsidRPr="00000000">
        <w:rPr>
          <w:rFonts w:ascii="Times New Roman" w:cs="Times New Roman" w:eastAsia="Times New Roman" w:hAnsi="Times New Roman"/>
          <w:sz w:val="24"/>
          <w:szCs w:val="24"/>
          <w:rtl w:val="0"/>
        </w:rPr>
        <w:t xml:space="preserve"> [online]</w:t>
      </w:r>
    </w:p>
    <w:p w:rsidR="00000000" w:rsidDel="00000000" w:rsidP="00000000" w:rsidRDefault="00000000" w:rsidRPr="00000000" w14:paraId="000001D5">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Simon, A.A., 2023. Tax planning for International mergers, acquisitions, joint ventures and restructurings.</w:t>
      </w:r>
    </w:p>
    <w:p w:rsidR="00000000" w:rsidDel="00000000" w:rsidP="00000000" w:rsidRDefault="00000000" w:rsidRPr="00000000" w14:paraId="000001D6">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Sunmola, P.T., 2021. </w:t>
      </w:r>
      <w:r w:rsidDel="00000000" w:rsidR="00000000" w:rsidRPr="00000000">
        <w:rPr>
          <w:rFonts w:ascii="Times New Roman" w:cs="Times New Roman" w:eastAsia="Times New Roman" w:hAnsi="Times New Roman"/>
          <w:i w:val="1"/>
          <w:iCs w:val="1"/>
          <w:sz w:val="24"/>
          <w:szCs w:val="24"/>
          <w:rtl w:val="0"/>
        </w:rPr>
        <w:t xml:space="preserve">The Use of Cash Flow Ratios for Risk Evaluation in An Organisation</w:t>
      </w:r>
      <w:r w:rsidDel="00000000" w:rsidR="00000000" w:rsidRPr="00000000">
        <w:rPr>
          <w:rFonts w:ascii="Times New Roman" w:cs="Times New Roman" w:eastAsia="Times New Roman" w:hAnsi="Times New Roman"/>
          <w:sz w:val="24"/>
          <w:szCs w:val="24"/>
          <w:rtl w:val="0"/>
        </w:rPr>
        <w:t xml:space="preserve"> (Doctoral dissertation, Bachelor’s thesis, Tallinn: Tallinn University of Technology School of Business and Governance).</w:t>
      </w:r>
    </w:p>
    <w:p w:rsidR="00000000" w:rsidDel="00000000" w:rsidP="00000000" w:rsidRDefault="00000000" w:rsidRPr="00000000" w14:paraId="000001D7">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Sutton, C.V., 2025. </w:t>
      </w:r>
      <w:r w:rsidDel="00000000" w:rsidR="00000000" w:rsidRPr="00000000">
        <w:rPr>
          <w:rFonts w:ascii="Times New Roman" w:cs="Times New Roman" w:eastAsia="Times New Roman" w:hAnsi="Times New Roman"/>
          <w:i w:val="1"/>
          <w:iCs w:val="1"/>
          <w:sz w:val="24"/>
          <w:szCs w:val="24"/>
          <w:rtl w:val="0"/>
        </w:rPr>
        <w:t xml:space="preserve">Navigating financial turbulence with confidence: preparing for future market challenges, crashes &amp; crises</w:t>
      </w:r>
      <w:r w:rsidDel="00000000" w:rsidR="00000000" w:rsidRPr="00000000">
        <w:rPr>
          <w:rFonts w:ascii="Times New Roman" w:cs="Times New Roman" w:eastAsia="Times New Roman" w:hAnsi="Times New Roman"/>
          <w:sz w:val="24"/>
          <w:szCs w:val="24"/>
          <w:rtl w:val="0"/>
        </w:rPr>
        <w:t xml:space="preserve">. NuovoNova Ltd.</w:t>
      </w:r>
    </w:p>
    <w:p w:rsidR="00000000" w:rsidDel="00000000" w:rsidP="00000000" w:rsidRDefault="00000000" w:rsidRPr="00000000" w14:paraId="000001D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‌Weber, I.M. and Wasner, E., 2023. Sellers’ inflation, profits and conflict: why can large firms hike prices in an emergency?. </w:t>
      </w:r>
      <w:r w:rsidDel="00000000" w:rsidR="00000000" w:rsidRPr="00000000">
        <w:rPr>
          <w:rFonts w:ascii="Times New Roman" w:cs="Times New Roman" w:eastAsia="Times New Roman" w:hAnsi="Times New Roman"/>
          <w:i w:val="1"/>
          <w:iCs w:val="1"/>
          <w:sz w:val="24"/>
          <w:szCs w:val="24"/>
          <w:rtl w:val="0"/>
        </w:rPr>
        <w:t xml:space="preserve">Review of Keynesian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(2), pp.183-213.</w:t>
      </w:r>
    </w:p>
    <w:p w:rsidR="00000000" w:rsidDel="00000000" w:rsidP="00000000" w:rsidRDefault="00000000" w:rsidRPr="00000000" w14:paraId="000001D9">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Wraith, A., 2022. Balance Sheet Strength: A Retrospective Analysis of Corporate Liquidity and Solvency and Firm Stock Returns.</w:t>
      </w:r>
    </w:p>
    <w:p w:rsidR="00000000" w:rsidDel="00000000" w:rsidP="00000000" w:rsidRDefault="00000000" w:rsidRPr="00000000" w14:paraId="000001DA">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 Y. and Lau, K.H., 2022. Competitive green supply chain transformation with dynamic capabilities—an exploratory case study of Chinese electronics industry.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p.8640.</w:t>
      </w:r>
    </w:p>
    <w:p w:rsidR="00000000" w:rsidDel="00000000" w:rsidP="00000000" w:rsidRDefault="00000000" w:rsidRPr="00000000" w14:paraId="000001DB">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Yenni, Y., Arifin, A., Gunawan, E., Pakpahan, L. and Siregar, H., 2021. The impact of solvency and working capital on profitability. </w:t>
      </w:r>
      <w:r w:rsidDel="00000000" w:rsidR="00000000" w:rsidRPr="00000000">
        <w:rPr>
          <w:rFonts w:ascii="Times New Roman" w:cs="Times New Roman" w:eastAsia="Times New Roman" w:hAnsi="Times New Roman"/>
          <w:i w:val="1"/>
          <w:iCs w:val="1"/>
          <w:sz w:val="24"/>
          <w:szCs w:val="24"/>
          <w:rtl w:val="0"/>
        </w:rPr>
        <w:t xml:space="preserve">Journal of Industrial Engineering &amp; Management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(4), pp.15-38.</w:t>
      </w:r>
    </w:p>
    <w:p w:rsidR="00000000" w:rsidDel="00000000" w:rsidP="00000000" w:rsidRDefault="00000000" w:rsidRPr="00000000" w14:paraId="000001DC">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Youssef, M.E.M.M., 2024. </w:t>
      </w:r>
      <w:r w:rsidDel="00000000" w:rsidR="00000000" w:rsidRPr="00000000">
        <w:rPr>
          <w:rFonts w:ascii="Times New Roman" w:cs="Times New Roman" w:eastAsia="Times New Roman" w:hAnsi="Times New Roman"/>
          <w:i w:val="1"/>
          <w:iCs w:val="1"/>
          <w:sz w:val="24"/>
          <w:szCs w:val="24"/>
          <w:rtl w:val="0"/>
        </w:rPr>
        <w:t xml:space="preserve">Predicting Bankruptcy And Financial Failure In the Egyptian listed companies: The Importance Of Cash Flow Statements</w:t>
      </w:r>
      <w:r w:rsidDel="00000000" w:rsidR="00000000" w:rsidRPr="00000000">
        <w:rPr>
          <w:rFonts w:ascii="Times New Roman" w:cs="Times New Roman" w:eastAsia="Times New Roman" w:hAnsi="Times New Roman"/>
          <w:sz w:val="24"/>
          <w:szCs w:val="24"/>
          <w:rtl w:val="0"/>
        </w:rPr>
        <w:t xml:space="preserve"> (Doctoral dissertation, UNS (Sebelas Maret University)).</w:t>
      </w:r>
    </w:p>
    <w:p w:rsidR="00000000" w:rsidDel="00000000" w:rsidP="00000000" w:rsidRDefault="00000000" w:rsidRPr="00000000" w14:paraId="000001DD">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Yunica, A.S. and Rokhim, R., 2023. Unveiling the hidden power: How ESG enhanced Indonesian companies' financial flexibility. </w:t>
      </w:r>
      <w:r w:rsidDel="00000000" w:rsidR="00000000" w:rsidRPr="00000000">
        <w:rPr>
          <w:rFonts w:ascii="Times New Roman" w:cs="Times New Roman" w:eastAsia="Times New Roman" w:hAnsi="Times New Roman"/>
          <w:i w:val="1"/>
          <w:iCs w:val="1"/>
          <w:sz w:val="24"/>
          <w:szCs w:val="24"/>
          <w:rtl w:val="0"/>
        </w:rPr>
        <w:t xml:space="preserve">Jurnal Siasat Bisnis</w:t>
      </w:r>
      <w:r w:rsidDel="00000000" w:rsidR="00000000" w:rsidRPr="00000000">
        <w:rPr>
          <w:rFonts w:ascii="Times New Roman" w:cs="Times New Roman" w:eastAsia="Times New Roman" w:hAnsi="Times New Roman"/>
          <w:sz w:val="24"/>
          <w:szCs w:val="24"/>
          <w:rtl w:val="0"/>
        </w:rPr>
        <w:t xml:space="preserve">, pp.171-187.</w:t>
      </w:r>
    </w:p>
    <w:p w:rsidR="00000000" w:rsidDel="00000000" w:rsidP="00000000" w:rsidRDefault="00000000" w:rsidRPr="00000000" w14:paraId="000001DE">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Zreik, M., 2023. Analytical study on foreign direct investment divestment inflows and outflows in developing economies: evidence of China. </w:t>
      </w:r>
      <w:r w:rsidDel="00000000" w:rsidR="00000000" w:rsidRPr="00000000">
        <w:rPr>
          <w:rFonts w:ascii="Times New Roman" w:cs="Times New Roman" w:eastAsia="Times New Roman" w:hAnsi="Times New Roman"/>
          <w:i w:val="1"/>
          <w:iCs w:val="1"/>
          <w:sz w:val="24"/>
          <w:szCs w:val="24"/>
          <w:rtl w:val="0"/>
        </w:rPr>
        <w:t xml:space="preserve">The Chinese Economy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56</w:t>
      </w:r>
      <w:r w:rsidDel="00000000" w:rsidR="00000000" w:rsidRPr="00000000">
        <w:rPr>
          <w:rFonts w:ascii="Times New Roman" w:cs="Times New Roman" w:eastAsia="Times New Roman" w:hAnsi="Times New Roman"/>
          <w:sz w:val="24"/>
          <w:szCs w:val="24"/>
          <w:rtl w:val="0"/>
        </w:rPr>
        <w:t xml:space="preserve">(6), pp.415-430.</w:t>
      </w:r>
    </w:p>
    <w:p w:rsidR="00000000" w:rsidDel="00000000" w:rsidP="00000000" w:rsidRDefault="00000000" w:rsidRPr="00000000" w14:paraId="000001D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pStyle w:val="Heading1"/>
        <w:spacing w:line="360" w:lineRule="auto"/>
        <w:rPr>
          <w:rFonts w:ascii="Times New Roman" w:cs="Times New Roman" w:eastAsia="Times New Roman" w:hAnsi="Times New Roman"/>
          <w:b w:val="1"/>
          <w:bCs w:val="1"/>
          <w:sz w:val="24"/>
          <w:szCs w:val="24"/>
        </w:rPr>
      </w:pPr>
      <w:bookmarkStart w:colFirst="0" w:colLast="0" w:name="_fioxkasqblod" w:id="48"/>
      <w:bookmarkEnd w:id="48"/>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1E9">
      <w:pPr>
        <w:pStyle w:val="Heading2"/>
        <w:spacing w:line="360" w:lineRule="auto"/>
        <w:rPr>
          <w:rFonts w:ascii="Times New Roman" w:cs="Times New Roman" w:eastAsia="Times New Roman" w:hAnsi="Times New Roman"/>
          <w:b w:val="1"/>
          <w:bCs w:val="1"/>
          <w:sz w:val="24"/>
          <w:szCs w:val="24"/>
        </w:rPr>
      </w:pPr>
      <w:bookmarkStart w:colFirst="0" w:colLast="0" w:name="_rs2w4m86ic6k" w:id="49"/>
      <w:bookmarkEnd w:id="49"/>
      <w:r w:rsidDel="00000000" w:rsidR="00000000" w:rsidRPr="00000000">
        <w:rPr>
          <w:rFonts w:ascii="Times New Roman" w:cs="Times New Roman" w:eastAsia="Times New Roman" w:hAnsi="Times New Roman"/>
          <w:b w:val="1"/>
          <w:bCs w:val="1"/>
          <w:sz w:val="24"/>
          <w:szCs w:val="24"/>
          <w:rtl w:val="0"/>
        </w:rPr>
        <w:t xml:space="preserve">Appendix A: Detailed Ratio Tables</w:t>
      </w:r>
    </w:p>
    <w:p w:rsidR="00000000" w:rsidDel="00000000" w:rsidP="00000000" w:rsidRDefault="00000000" w:rsidRPr="00000000" w14:paraId="000001E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A1: Profitability Ratios (2020–2024)</w:t>
      </w:r>
      <w:r w:rsidDel="00000000" w:rsidR="00000000" w:rsidRPr="00000000">
        <w:rPr>
          <w:rtl w:val="0"/>
        </w:rPr>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62"/>
        <w:gridCol w:w="2830"/>
        <w:gridCol w:w="836"/>
        <w:gridCol w:w="836"/>
        <w:gridCol w:w="836"/>
        <w:gridCol w:w="938"/>
        <w:gridCol w:w="938"/>
        <w:tblGridChange w:id="0">
          <w:tblGrid>
            <w:gridCol w:w="2362"/>
            <w:gridCol w:w="2830"/>
            <w:gridCol w:w="836"/>
            <w:gridCol w:w="836"/>
            <w:gridCol w:w="836"/>
            <w:gridCol w:w="938"/>
            <w:gridCol w:w="938"/>
          </w:tblGrid>
        </w:tblGridChange>
      </w:tblGrid>
      <w:tr>
        <w:trPr>
          <w:cantSplit w:val="0"/>
          <w:tblHeader w:val="0"/>
        </w:trPr>
        <w:tc>
          <w:tcPr/>
          <w:p w:rsidR="00000000" w:rsidDel="00000000" w:rsidP="00000000" w:rsidRDefault="00000000" w:rsidRPr="00000000" w14:paraId="000001EB">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Ratio</w:t>
            </w:r>
          </w:p>
        </w:tc>
        <w:tc>
          <w:tcPr/>
          <w:p w:rsidR="00000000" w:rsidDel="00000000" w:rsidP="00000000" w:rsidRDefault="00000000" w:rsidRPr="00000000" w14:paraId="000001EC">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p>
        </w:tc>
        <w:tc>
          <w:tcPr/>
          <w:p w:rsidR="00000000" w:rsidDel="00000000" w:rsidP="00000000" w:rsidRDefault="00000000" w:rsidRPr="00000000" w14:paraId="000001ED">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2020</w:t>
            </w:r>
          </w:p>
        </w:tc>
        <w:tc>
          <w:tcPr/>
          <w:p w:rsidR="00000000" w:rsidDel="00000000" w:rsidP="00000000" w:rsidRDefault="00000000" w:rsidRPr="00000000" w14:paraId="000001EE">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2021</w:t>
            </w:r>
          </w:p>
        </w:tc>
        <w:tc>
          <w:tcPr/>
          <w:p w:rsidR="00000000" w:rsidDel="00000000" w:rsidP="00000000" w:rsidRDefault="00000000" w:rsidRPr="00000000" w14:paraId="000001EF">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2022</w:t>
            </w:r>
          </w:p>
        </w:tc>
        <w:tc>
          <w:tcPr/>
          <w:p w:rsidR="00000000" w:rsidDel="00000000" w:rsidP="00000000" w:rsidRDefault="00000000" w:rsidRPr="00000000" w14:paraId="000001F0">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2023</w:t>
            </w:r>
          </w:p>
        </w:tc>
        <w:tc>
          <w:tcPr/>
          <w:p w:rsidR="00000000" w:rsidDel="00000000" w:rsidP="00000000" w:rsidRDefault="00000000" w:rsidRPr="00000000" w14:paraId="000001F1">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2024</w:t>
            </w:r>
          </w:p>
        </w:tc>
      </w:tr>
      <w:tr>
        <w:trPr>
          <w:cantSplit w:val="0"/>
          <w:tblHeader w:val="0"/>
        </w:trPr>
        <w:tc>
          <w:tcPr/>
          <w:p w:rsidR="00000000" w:rsidDel="00000000" w:rsidP="00000000" w:rsidRDefault="00000000" w:rsidRPr="00000000" w14:paraId="000001F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 Profit Margin</w:t>
            </w:r>
          </w:p>
        </w:tc>
        <w:tc>
          <w:tcPr/>
          <w:p w:rsidR="00000000" w:rsidDel="00000000" w:rsidP="00000000" w:rsidRDefault="00000000" w:rsidRPr="00000000" w14:paraId="000001F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 Profit ÷ Net Sales</w:t>
            </w:r>
          </w:p>
        </w:tc>
        <w:tc>
          <w:tcPr/>
          <w:p w:rsidR="00000000" w:rsidDel="00000000" w:rsidP="00000000" w:rsidRDefault="00000000" w:rsidRPr="00000000" w14:paraId="000001F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28.7%</w:t>
            </w:r>
          </w:p>
        </w:tc>
        <w:tc>
          <w:tcPr/>
          <w:p w:rsidR="00000000" w:rsidDel="00000000" w:rsidP="00000000" w:rsidRDefault="00000000" w:rsidRPr="00000000" w14:paraId="000001F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28.8%</w:t>
            </w:r>
          </w:p>
        </w:tc>
        <w:tc>
          <w:tcPr/>
          <w:p w:rsidR="00000000" w:rsidDel="00000000" w:rsidP="00000000" w:rsidRDefault="00000000" w:rsidRPr="00000000" w14:paraId="000001F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28.1%</w:t>
            </w:r>
          </w:p>
        </w:tc>
        <w:tc>
          <w:tcPr/>
          <w:p w:rsidR="00000000" w:rsidDel="00000000" w:rsidP="00000000" w:rsidRDefault="00000000" w:rsidRPr="00000000" w14:paraId="000001F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23.2%</w:t>
            </w:r>
          </w:p>
        </w:tc>
        <w:tc>
          <w:tcPr/>
          <w:p w:rsidR="00000000" w:rsidDel="00000000" w:rsidP="00000000" w:rsidRDefault="00000000" w:rsidRPr="00000000" w14:paraId="000001F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28.9%</w:t>
            </w:r>
          </w:p>
        </w:tc>
      </w:tr>
      <w:tr>
        <w:trPr>
          <w:cantSplit w:val="0"/>
          <w:tblHeader w:val="0"/>
        </w:trPr>
        <w:tc>
          <w:tcPr/>
          <w:p w:rsidR="00000000" w:rsidDel="00000000" w:rsidP="00000000" w:rsidRDefault="00000000" w:rsidRPr="00000000" w14:paraId="000001F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Operating Margin</w:t>
            </w:r>
          </w:p>
        </w:tc>
        <w:tc>
          <w:tcPr/>
          <w:p w:rsidR="00000000" w:rsidDel="00000000" w:rsidP="00000000" w:rsidRDefault="00000000" w:rsidRPr="00000000" w14:paraId="000001F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Operating Income ÷ Net Sales</w:t>
            </w:r>
          </w:p>
        </w:tc>
        <w:tc>
          <w:tcPr/>
          <w:p w:rsidR="00000000" w:rsidDel="00000000" w:rsidP="00000000" w:rsidRDefault="00000000" w:rsidRPr="00000000" w14:paraId="000001F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w:t>
            </w:r>
          </w:p>
        </w:tc>
        <w:tc>
          <w:tcPr/>
          <w:p w:rsidR="00000000" w:rsidDel="00000000" w:rsidP="00000000" w:rsidRDefault="00000000" w:rsidRPr="00000000" w14:paraId="000001F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c>
          <w:tcPr/>
          <w:p w:rsidR="00000000" w:rsidDel="00000000" w:rsidP="00000000" w:rsidRDefault="00000000" w:rsidRPr="00000000" w14:paraId="000001F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w:t>
            </w:r>
          </w:p>
        </w:tc>
        <w:tc>
          <w:tcPr/>
          <w:p w:rsidR="00000000" w:rsidDel="00000000" w:rsidP="00000000" w:rsidRDefault="00000000" w:rsidRPr="00000000" w14:paraId="000001F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–20.3%</w:t>
            </w:r>
          </w:p>
        </w:tc>
        <w:tc>
          <w:tcPr/>
          <w:p w:rsidR="00000000" w:rsidDel="00000000" w:rsidP="00000000" w:rsidRDefault="00000000" w:rsidRPr="00000000" w14:paraId="000001F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r>
      <w:tr>
        <w:trPr>
          <w:cantSplit w:val="0"/>
          <w:tblHeader w:val="0"/>
        </w:trPr>
        <w:tc>
          <w:tcPr/>
          <w:p w:rsidR="00000000" w:rsidDel="00000000" w:rsidP="00000000" w:rsidRDefault="00000000" w:rsidRPr="00000000" w14:paraId="0000020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Profit Margin</w:t>
            </w:r>
          </w:p>
        </w:tc>
        <w:tc>
          <w:tcPr/>
          <w:p w:rsidR="00000000" w:rsidDel="00000000" w:rsidP="00000000" w:rsidRDefault="00000000" w:rsidRPr="00000000" w14:paraId="0000020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Income ÷ Net Sales</w:t>
            </w:r>
          </w:p>
        </w:tc>
        <w:tc>
          <w:tcPr/>
          <w:p w:rsidR="00000000" w:rsidDel="00000000" w:rsidP="00000000" w:rsidRDefault="00000000" w:rsidRPr="00000000" w14:paraId="0000020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w:t>
            </w:r>
          </w:p>
        </w:tc>
        <w:tc>
          <w:tcPr/>
          <w:p w:rsidR="00000000" w:rsidDel="00000000" w:rsidP="00000000" w:rsidRDefault="00000000" w:rsidRPr="00000000" w14:paraId="0000020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w:t>
            </w:r>
          </w:p>
        </w:tc>
        <w:tc>
          <w:tcPr/>
          <w:p w:rsidR="00000000" w:rsidDel="00000000" w:rsidP="00000000" w:rsidRDefault="00000000" w:rsidRPr="00000000" w14:paraId="0000020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w:t>
            </w:r>
          </w:p>
        </w:tc>
        <w:tc>
          <w:tcPr/>
          <w:p w:rsidR="00000000" w:rsidDel="00000000" w:rsidP="00000000" w:rsidRDefault="00000000" w:rsidRPr="00000000" w14:paraId="0000020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–23.4%</w:t>
            </w:r>
          </w:p>
        </w:tc>
        <w:tc>
          <w:tcPr/>
          <w:p w:rsidR="00000000" w:rsidDel="00000000" w:rsidP="00000000" w:rsidRDefault="00000000" w:rsidRPr="00000000" w14:paraId="0000020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w:t>
            </w:r>
          </w:p>
        </w:tc>
      </w:tr>
      <w:tr>
        <w:trPr>
          <w:cantSplit w:val="0"/>
          <w:tblHeader w:val="0"/>
        </w:trPr>
        <w:tc>
          <w:tcPr/>
          <w:p w:rsidR="00000000" w:rsidDel="00000000" w:rsidP="00000000" w:rsidRDefault="00000000" w:rsidRPr="00000000" w14:paraId="0000020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on Assets (ROA)</w:t>
            </w:r>
          </w:p>
        </w:tc>
        <w:tc>
          <w:tcPr/>
          <w:p w:rsidR="00000000" w:rsidDel="00000000" w:rsidP="00000000" w:rsidRDefault="00000000" w:rsidRPr="00000000" w14:paraId="0000020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Income ÷ Total Assets</w:t>
            </w:r>
          </w:p>
        </w:tc>
        <w:tc>
          <w:tcPr/>
          <w:p w:rsidR="00000000" w:rsidDel="00000000" w:rsidP="00000000" w:rsidRDefault="00000000" w:rsidRPr="00000000" w14:paraId="0000020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w:t>
            </w:r>
          </w:p>
        </w:tc>
        <w:tc>
          <w:tcPr/>
          <w:p w:rsidR="00000000" w:rsidDel="00000000" w:rsidP="00000000" w:rsidRDefault="00000000" w:rsidRPr="00000000" w14:paraId="0000020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p w:rsidR="00000000" w:rsidDel="00000000" w:rsidP="00000000" w:rsidRDefault="00000000" w:rsidRPr="00000000" w14:paraId="0000020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w:t>
            </w:r>
          </w:p>
        </w:tc>
        <w:tc>
          <w:tcPr/>
          <w:p w:rsidR="00000000" w:rsidDel="00000000" w:rsidP="00000000" w:rsidRDefault="00000000" w:rsidRPr="00000000" w14:paraId="0000020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–27.6%</w:t>
            </w:r>
          </w:p>
        </w:tc>
        <w:tc>
          <w:tcPr/>
          <w:p w:rsidR="00000000" w:rsidDel="00000000" w:rsidP="00000000" w:rsidRDefault="00000000" w:rsidRPr="00000000" w14:paraId="0000020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w:t>
            </w:r>
          </w:p>
        </w:tc>
      </w:tr>
      <w:tr>
        <w:trPr>
          <w:cantSplit w:val="0"/>
          <w:tblHeader w:val="0"/>
        </w:trPr>
        <w:tc>
          <w:tcPr/>
          <w:p w:rsidR="00000000" w:rsidDel="00000000" w:rsidP="00000000" w:rsidRDefault="00000000" w:rsidRPr="00000000" w14:paraId="0000020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on Equity (ROE)</w:t>
            </w:r>
          </w:p>
        </w:tc>
        <w:tc>
          <w:tcPr/>
          <w:p w:rsidR="00000000" w:rsidDel="00000000" w:rsidP="00000000" w:rsidRDefault="00000000" w:rsidRPr="00000000" w14:paraId="0000020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Income ÷ Equity</w:t>
            </w:r>
          </w:p>
        </w:tc>
        <w:tc>
          <w:tcPr/>
          <w:p w:rsidR="00000000" w:rsidDel="00000000" w:rsidP="00000000" w:rsidRDefault="00000000" w:rsidRPr="00000000" w14:paraId="0000021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w:t>
            </w:r>
          </w:p>
        </w:tc>
        <w:tc>
          <w:tcPr/>
          <w:p w:rsidR="00000000" w:rsidDel="00000000" w:rsidP="00000000" w:rsidRDefault="00000000" w:rsidRPr="00000000" w14:paraId="0000021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r>
          </w:p>
        </w:tc>
        <w:tc>
          <w:tcPr/>
          <w:p w:rsidR="00000000" w:rsidDel="00000000" w:rsidP="00000000" w:rsidRDefault="00000000" w:rsidRPr="00000000" w14:paraId="0000021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w:t>
            </w:r>
          </w:p>
        </w:tc>
        <w:tc>
          <w:tcPr/>
          <w:p w:rsidR="00000000" w:rsidDel="00000000" w:rsidP="00000000" w:rsidRDefault="00000000" w:rsidRPr="00000000" w14:paraId="0000021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–54.9%</w:t>
            </w:r>
          </w:p>
        </w:tc>
        <w:tc>
          <w:tcPr/>
          <w:p w:rsidR="00000000" w:rsidDel="00000000" w:rsidP="00000000" w:rsidRDefault="00000000" w:rsidRPr="00000000" w14:paraId="0000021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–15.7%</w:t>
            </w:r>
          </w:p>
        </w:tc>
      </w:tr>
    </w:tbl>
    <w:p w:rsidR="00000000" w:rsidDel="00000000" w:rsidP="00000000" w:rsidRDefault="00000000" w:rsidRPr="00000000" w14:paraId="000002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A2: Liquidity Ratios</w:t>
      </w:r>
      <w:r w:rsidDel="00000000" w:rsidR="00000000" w:rsidRPr="00000000">
        <w:rPr>
          <w:rtl w:val="0"/>
        </w:rPr>
      </w:r>
    </w:p>
    <w:tbl>
      <w:tblPr>
        <w:tblStyle w:val="Table2"/>
        <w:tblW w:w="7453.000000000001"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0"/>
        <w:gridCol w:w="2443"/>
        <w:gridCol w:w="696"/>
        <w:gridCol w:w="696"/>
        <w:gridCol w:w="696"/>
        <w:gridCol w:w="696"/>
        <w:gridCol w:w="696"/>
        <w:tblGridChange w:id="0">
          <w:tblGrid>
            <w:gridCol w:w="1530"/>
            <w:gridCol w:w="2443"/>
            <w:gridCol w:w="696"/>
            <w:gridCol w:w="696"/>
            <w:gridCol w:w="696"/>
            <w:gridCol w:w="696"/>
            <w:gridCol w:w="696"/>
          </w:tblGrid>
        </w:tblGridChange>
      </w:tblGrid>
      <w:tr>
        <w:trPr>
          <w:cantSplit w:val="0"/>
          <w:tblHeader w:val="0"/>
        </w:trPr>
        <w:tc>
          <w:tcPr/>
          <w:p w:rsidR="00000000" w:rsidDel="00000000" w:rsidP="00000000" w:rsidRDefault="00000000" w:rsidRPr="00000000" w14:paraId="00000217">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Ratio</w:t>
            </w:r>
          </w:p>
        </w:tc>
        <w:tc>
          <w:tcPr/>
          <w:p w:rsidR="00000000" w:rsidDel="00000000" w:rsidP="00000000" w:rsidRDefault="00000000" w:rsidRPr="00000000" w14:paraId="00000218">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p>
        </w:tc>
        <w:tc>
          <w:tcPr/>
          <w:p w:rsidR="00000000" w:rsidDel="00000000" w:rsidP="00000000" w:rsidRDefault="00000000" w:rsidRPr="00000000" w14:paraId="00000219">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2020</w:t>
            </w:r>
          </w:p>
        </w:tc>
        <w:tc>
          <w:tcPr/>
          <w:p w:rsidR="00000000" w:rsidDel="00000000" w:rsidP="00000000" w:rsidRDefault="00000000" w:rsidRPr="00000000" w14:paraId="0000021A">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2021</w:t>
            </w:r>
          </w:p>
        </w:tc>
        <w:tc>
          <w:tcPr/>
          <w:p w:rsidR="00000000" w:rsidDel="00000000" w:rsidP="00000000" w:rsidRDefault="00000000" w:rsidRPr="00000000" w14:paraId="0000021B">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2022</w:t>
            </w:r>
          </w:p>
        </w:tc>
        <w:tc>
          <w:tcPr/>
          <w:p w:rsidR="00000000" w:rsidDel="00000000" w:rsidP="00000000" w:rsidRDefault="00000000" w:rsidRPr="00000000" w14:paraId="0000021C">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2023</w:t>
            </w:r>
          </w:p>
        </w:tc>
        <w:tc>
          <w:tcPr/>
          <w:p w:rsidR="00000000" w:rsidDel="00000000" w:rsidP="00000000" w:rsidRDefault="00000000" w:rsidRPr="00000000" w14:paraId="0000021D">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2024</w:t>
            </w:r>
          </w:p>
        </w:tc>
      </w:tr>
      <w:tr>
        <w:trPr>
          <w:cantSplit w:val="0"/>
          <w:tblHeader w:val="0"/>
        </w:trPr>
        <w:tc>
          <w:tcPr/>
          <w:p w:rsidR="00000000" w:rsidDel="00000000" w:rsidP="00000000" w:rsidRDefault="00000000" w:rsidRPr="00000000" w14:paraId="0000021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Ratio</w:t>
            </w:r>
          </w:p>
        </w:tc>
        <w:tc>
          <w:tcPr/>
          <w:p w:rsidR="00000000" w:rsidDel="00000000" w:rsidP="00000000" w:rsidRDefault="00000000" w:rsidRPr="00000000" w14:paraId="0000021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 ÷ CL</w:t>
            </w:r>
          </w:p>
        </w:tc>
        <w:tc>
          <w:tcPr/>
          <w:p w:rsidR="00000000" w:rsidDel="00000000" w:rsidP="00000000" w:rsidRDefault="00000000" w:rsidRPr="00000000" w14:paraId="0000022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w:t>
            </w:r>
          </w:p>
        </w:tc>
        <w:tc>
          <w:tcPr/>
          <w:p w:rsidR="00000000" w:rsidDel="00000000" w:rsidP="00000000" w:rsidRDefault="00000000" w:rsidRPr="00000000" w14:paraId="0000022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1.56</w:t>
            </w:r>
          </w:p>
        </w:tc>
        <w:tc>
          <w:tcPr/>
          <w:p w:rsidR="00000000" w:rsidDel="00000000" w:rsidP="00000000" w:rsidRDefault="00000000" w:rsidRPr="00000000" w14:paraId="0000022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1.56</w:t>
            </w:r>
          </w:p>
        </w:tc>
        <w:tc>
          <w:tcPr/>
          <w:p w:rsidR="00000000" w:rsidDel="00000000" w:rsidP="00000000" w:rsidRDefault="00000000" w:rsidRPr="00000000" w14:paraId="0000022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1.61</w:t>
            </w:r>
          </w:p>
        </w:tc>
        <w:tc>
          <w:tcPr/>
          <w:p w:rsidR="00000000" w:rsidDel="00000000" w:rsidP="00000000" w:rsidRDefault="00000000" w:rsidRPr="00000000" w14:paraId="0000022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w:t>
            </w:r>
          </w:p>
        </w:tc>
      </w:tr>
      <w:tr>
        <w:trPr>
          <w:cantSplit w:val="0"/>
          <w:tblHeader w:val="0"/>
        </w:trPr>
        <w:tc>
          <w:tcPr/>
          <w:p w:rsidR="00000000" w:rsidDel="00000000" w:rsidP="00000000" w:rsidRDefault="00000000" w:rsidRPr="00000000" w14:paraId="0000022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Quick Ratio</w:t>
            </w:r>
          </w:p>
        </w:tc>
        <w:tc>
          <w:tcPr/>
          <w:p w:rsidR="00000000" w:rsidDel="00000000" w:rsidP="00000000" w:rsidRDefault="00000000" w:rsidRPr="00000000" w14:paraId="0000022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 − Inventory) ÷ CL</w:t>
            </w:r>
          </w:p>
        </w:tc>
        <w:tc>
          <w:tcPr/>
          <w:p w:rsidR="00000000" w:rsidDel="00000000" w:rsidP="00000000" w:rsidRDefault="00000000" w:rsidRPr="00000000" w14:paraId="0000022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w:t>
            </w:r>
          </w:p>
        </w:tc>
        <w:tc>
          <w:tcPr/>
          <w:p w:rsidR="00000000" w:rsidDel="00000000" w:rsidP="00000000" w:rsidRDefault="00000000" w:rsidRPr="00000000" w14:paraId="0000022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0.93</w:t>
            </w:r>
          </w:p>
        </w:tc>
        <w:tc>
          <w:tcPr/>
          <w:p w:rsidR="00000000" w:rsidDel="00000000" w:rsidP="00000000" w:rsidRDefault="00000000" w:rsidRPr="00000000" w14:paraId="0000022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0.91</w:t>
            </w:r>
          </w:p>
        </w:tc>
        <w:tc>
          <w:tcPr/>
          <w:p w:rsidR="00000000" w:rsidDel="00000000" w:rsidP="00000000" w:rsidRDefault="00000000" w:rsidRPr="00000000" w14:paraId="0000022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w:t>
            </w:r>
          </w:p>
        </w:tc>
        <w:tc>
          <w:tcPr/>
          <w:p w:rsidR="00000000" w:rsidDel="00000000" w:rsidP="00000000" w:rsidRDefault="00000000" w:rsidRPr="00000000" w14:paraId="0000022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w:t>
            </w:r>
          </w:p>
        </w:tc>
      </w:tr>
      <w:tr>
        <w:trPr>
          <w:cantSplit w:val="0"/>
          <w:tblHeader w:val="0"/>
        </w:trPr>
        <w:tc>
          <w:tcPr/>
          <w:p w:rsidR="00000000" w:rsidDel="00000000" w:rsidP="00000000" w:rsidRDefault="00000000" w:rsidRPr="00000000" w14:paraId="0000022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Ratio</w:t>
            </w:r>
          </w:p>
        </w:tc>
        <w:tc>
          <w:tcPr/>
          <w:p w:rsidR="00000000" w:rsidDel="00000000" w:rsidP="00000000" w:rsidRDefault="00000000" w:rsidRPr="00000000" w14:paraId="0000022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 CL</w:t>
            </w:r>
          </w:p>
        </w:tc>
        <w:tc>
          <w:tcPr/>
          <w:p w:rsidR="00000000" w:rsidDel="00000000" w:rsidP="00000000" w:rsidRDefault="00000000" w:rsidRPr="00000000" w14:paraId="0000022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0.32</w:t>
            </w:r>
          </w:p>
        </w:tc>
        <w:tc>
          <w:tcPr/>
          <w:p w:rsidR="00000000" w:rsidDel="00000000" w:rsidP="00000000" w:rsidRDefault="00000000" w:rsidRPr="00000000" w14:paraId="0000022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0.28</w:t>
            </w:r>
          </w:p>
        </w:tc>
        <w:tc>
          <w:tcPr/>
          <w:p w:rsidR="00000000" w:rsidDel="00000000" w:rsidP="00000000" w:rsidRDefault="00000000" w:rsidRPr="00000000" w14:paraId="0000023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0.31</w:t>
            </w:r>
          </w:p>
        </w:tc>
        <w:tc>
          <w:tcPr/>
          <w:p w:rsidR="00000000" w:rsidDel="00000000" w:rsidP="00000000" w:rsidRDefault="00000000" w:rsidRPr="00000000" w14:paraId="0000023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0.27</w:t>
            </w:r>
          </w:p>
        </w:tc>
        <w:tc>
          <w:tcPr/>
          <w:p w:rsidR="00000000" w:rsidDel="00000000" w:rsidP="00000000" w:rsidRDefault="00000000" w:rsidRPr="00000000" w14:paraId="0000023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0.17</w:t>
            </w:r>
          </w:p>
        </w:tc>
      </w:tr>
    </w:tbl>
    <w:p w:rsidR="00000000" w:rsidDel="00000000" w:rsidP="00000000" w:rsidRDefault="00000000" w:rsidRPr="00000000" w14:paraId="000002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A3: Efficiency Ratios</w:t>
      </w:r>
      <w:r w:rsidDel="00000000" w:rsidR="00000000" w:rsidRPr="00000000">
        <w:rPr>
          <w:rtl w:val="0"/>
        </w:rPr>
      </w:r>
    </w:p>
    <w:tbl>
      <w:tblPr>
        <w:tblStyle w:val="Table3"/>
        <w:tblW w:w="63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16"/>
        <w:gridCol w:w="2668"/>
        <w:gridCol w:w="696"/>
        <w:gridCol w:w="696"/>
        <w:tblGridChange w:id="0">
          <w:tblGrid>
            <w:gridCol w:w="2316"/>
            <w:gridCol w:w="2668"/>
            <w:gridCol w:w="696"/>
            <w:gridCol w:w="696"/>
          </w:tblGrid>
        </w:tblGridChange>
      </w:tblGrid>
      <w:tr>
        <w:trPr>
          <w:cantSplit w:val="0"/>
          <w:tblHeader w:val="0"/>
        </w:trPr>
        <w:tc>
          <w:tcPr/>
          <w:p w:rsidR="00000000" w:rsidDel="00000000" w:rsidP="00000000" w:rsidRDefault="00000000" w:rsidRPr="00000000" w14:paraId="00000235">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Ratio</w:t>
            </w:r>
          </w:p>
        </w:tc>
        <w:tc>
          <w:tcPr/>
          <w:p w:rsidR="00000000" w:rsidDel="00000000" w:rsidP="00000000" w:rsidRDefault="00000000" w:rsidRPr="00000000" w14:paraId="00000236">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p>
        </w:tc>
        <w:tc>
          <w:tcPr/>
          <w:p w:rsidR="00000000" w:rsidDel="00000000" w:rsidP="00000000" w:rsidRDefault="00000000" w:rsidRPr="00000000" w14:paraId="00000237">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2020</w:t>
            </w:r>
          </w:p>
        </w:tc>
        <w:tc>
          <w:tcPr/>
          <w:p w:rsidR="00000000" w:rsidDel="00000000" w:rsidP="00000000" w:rsidRDefault="00000000" w:rsidRPr="00000000" w14:paraId="00000238">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2024</w:t>
            </w:r>
          </w:p>
        </w:tc>
      </w:tr>
      <w:tr>
        <w:trPr>
          <w:cantSplit w:val="0"/>
          <w:tblHeader w:val="0"/>
        </w:trPr>
        <w:tc>
          <w:tcPr/>
          <w:p w:rsidR="00000000" w:rsidDel="00000000" w:rsidP="00000000" w:rsidRDefault="00000000" w:rsidRPr="00000000" w14:paraId="0000023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 Turnover</w:t>
            </w:r>
          </w:p>
        </w:tc>
        <w:tc>
          <w:tcPr/>
          <w:p w:rsidR="00000000" w:rsidDel="00000000" w:rsidP="00000000" w:rsidRDefault="00000000" w:rsidRPr="00000000" w14:paraId="0000023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of Sales ÷ Inventory</w:t>
            </w:r>
          </w:p>
        </w:tc>
        <w:tc>
          <w:tcPr/>
          <w:p w:rsidR="00000000" w:rsidDel="00000000" w:rsidP="00000000" w:rsidRDefault="00000000" w:rsidRPr="00000000" w14:paraId="0000023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3.64</w:t>
            </w:r>
          </w:p>
        </w:tc>
        <w:tc>
          <w:tcPr/>
          <w:p w:rsidR="00000000" w:rsidDel="00000000" w:rsidP="00000000" w:rsidRDefault="00000000" w:rsidRPr="00000000" w14:paraId="0000023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3.54</w:t>
            </w:r>
          </w:p>
        </w:tc>
      </w:tr>
      <w:tr>
        <w:trPr>
          <w:cantSplit w:val="0"/>
          <w:tblHeader w:val="0"/>
        </w:trPr>
        <w:tc>
          <w:tcPr/>
          <w:p w:rsidR="00000000" w:rsidDel="00000000" w:rsidP="00000000" w:rsidRDefault="00000000" w:rsidRPr="00000000" w14:paraId="0000023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Receivables Turnover</w:t>
            </w:r>
          </w:p>
        </w:tc>
        <w:tc>
          <w:tcPr/>
          <w:p w:rsidR="00000000" w:rsidDel="00000000" w:rsidP="00000000" w:rsidRDefault="00000000" w:rsidRPr="00000000" w14:paraId="0000023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 Receivables</w:t>
            </w:r>
          </w:p>
        </w:tc>
        <w:tc>
          <w:tcPr/>
          <w:p w:rsidR="00000000" w:rsidDel="00000000" w:rsidP="00000000" w:rsidRDefault="00000000" w:rsidRPr="00000000" w14:paraId="0000023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4.75</w:t>
            </w:r>
          </w:p>
        </w:tc>
        <w:tc>
          <w:tcPr/>
          <w:p w:rsidR="00000000" w:rsidDel="00000000" w:rsidP="00000000" w:rsidRDefault="00000000" w:rsidRPr="00000000" w14:paraId="0000024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3.46</w:t>
            </w:r>
          </w:p>
        </w:tc>
      </w:tr>
      <w:tr>
        <w:trPr>
          <w:cantSplit w:val="0"/>
          <w:tblHeader w:val="0"/>
        </w:trPr>
        <w:tc>
          <w:tcPr/>
          <w:p w:rsidR="00000000" w:rsidDel="00000000" w:rsidP="00000000" w:rsidRDefault="00000000" w:rsidRPr="00000000" w14:paraId="0000024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Payables Turnover</w:t>
            </w:r>
          </w:p>
        </w:tc>
        <w:tc>
          <w:tcPr/>
          <w:p w:rsidR="00000000" w:rsidDel="00000000" w:rsidP="00000000" w:rsidRDefault="00000000" w:rsidRPr="00000000" w14:paraId="0000024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of Sales ÷ Payables</w:t>
            </w:r>
          </w:p>
        </w:tc>
        <w:tc>
          <w:tcPr/>
          <w:p w:rsidR="00000000" w:rsidDel="00000000" w:rsidP="00000000" w:rsidRDefault="00000000" w:rsidRPr="00000000" w14:paraId="0000024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5.27</w:t>
            </w:r>
          </w:p>
        </w:tc>
        <w:tc>
          <w:tcPr/>
          <w:p w:rsidR="00000000" w:rsidDel="00000000" w:rsidP="00000000" w:rsidRDefault="00000000" w:rsidRPr="00000000" w14:paraId="0000024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3.90</w:t>
            </w:r>
          </w:p>
        </w:tc>
      </w:tr>
      <w:tr>
        <w:trPr>
          <w:cantSplit w:val="0"/>
          <w:tblHeader w:val="0"/>
        </w:trPr>
        <w:tc>
          <w:tcPr/>
          <w:p w:rsidR="00000000" w:rsidDel="00000000" w:rsidP="00000000" w:rsidRDefault="00000000" w:rsidRPr="00000000" w14:paraId="0000024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Asset Turnover</w:t>
            </w:r>
          </w:p>
        </w:tc>
        <w:tc>
          <w:tcPr/>
          <w:p w:rsidR="00000000" w:rsidDel="00000000" w:rsidP="00000000" w:rsidRDefault="00000000" w:rsidRPr="00000000" w14:paraId="0000024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 Total Assets</w:t>
            </w:r>
          </w:p>
        </w:tc>
        <w:tc>
          <w:tcPr/>
          <w:p w:rsidR="00000000" w:rsidDel="00000000" w:rsidP="00000000" w:rsidRDefault="00000000" w:rsidRPr="00000000" w14:paraId="0000024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w:t>
            </w:r>
          </w:p>
        </w:tc>
        <w:tc>
          <w:tcPr/>
          <w:p w:rsidR="00000000" w:rsidDel="00000000" w:rsidP="00000000" w:rsidRDefault="00000000" w:rsidRPr="00000000" w14:paraId="0000024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w:t>
            </w:r>
          </w:p>
        </w:tc>
      </w:tr>
    </w:tbl>
    <w:p w:rsidR="00000000" w:rsidDel="00000000" w:rsidP="00000000" w:rsidRDefault="00000000" w:rsidRPr="00000000" w14:paraId="000002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A4: Gearing &amp; Solvency Ratios</w:t>
      </w:r>
      <w:r w:rsidDel="00000000" w:rsidR="00000000" w:rsidRPr="00000000">
        <w:rPr>
          <w:rtl w:val="0"/>
        </w:rPr>
      </w:r>
    </w:p>
    <w:tbl>
      <w:tblPr>
        <w:tblStyle w:val="Table4"/>
        <w:tblW w:w="638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6"/>
        <w:gridCol w:w="2927"/>
        <w:gridCol w:w="772"/>
        <w:gridCol w:w="772"/>
        <w:tblGridChange w:id="0">
          <w:tblGrid>
            <w:gridCol w:w="1916"/>
            <w:gridCol w:w="2927"/>
            <w:gridCol w:w="772"/>
            <w:gridCol w:w="772"/>
          </w:tblGrid>
        </w:tblGridChange>
      </w:tblGrid>
      <w:tr>
        <w:trPr>
          <w:cantSplit w:val="0"/>
          <w:tblHeader w:val="0"/>
        </w:trPr>
        <w:tc>
          <w:tcPr/>
          <w:p w:rsidR="00000000" w:rsidDel="00000000" w:rsidP="00000000" w:rsidRDefault="00000000" w:rsidRPr="00000000" w14:paraId="0000024B">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Ratio</w:t>
            </w:r>
          </w:p>
        </w:tc>
        <w:tc>
          <w:tcPr/>
          <w:p w:rsidR="00000000" w:rsidDel="00000000" w:rsidP="00000000" w:rsidRDefault="00000000" w:rsidRPr="00000000" w14:paraId="0000024C">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Formula</w:t>
            </w:r>
          </w:p>
        </w:tc>
        <w:tc>
          <w:tcPr/>
          <w:p w:rsidR="00000000" w:rsidDel="00000000" w:rsidP="00000000" w:rsidRDefault="00000000" w:rsidRPr="00000000" w14:paraId="0000024D">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2020</w:t>
            </w:r>
          </w:p>
        </w:tc>
        <w:tc>
          <w:tcPr/>
          <w:p w:rsidR="00000000" w:rsidDel="00000000" w:rsidP="00000000" w:rsidRDefault="00000000" w:rsidRPr="00000000" w14:paraId="0000024E">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2024</w:t>
            </w:r>
          </w:p>
        </w:tc>
      </w:tr>
      <w:tr>
        <w:trPr>
          <w:cantSplit w:val="0"/>
          <w:tblHeader w:val="0"/>
        </w:trPr>
        <w:tc>
          <w:tcPr/>
          <w:p w:rsidR="00000000" w:rsidDel="00000000" w:rsidP="00000000" w:rsidRDefault="00000000" w:rsidRPr="00000000" w14:paraId="0000024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Debt-to-Equity</w:t>
            </w:r>
          </w:p>
        </w:tc>
        <w:tc>
          <w:tcPr/>
          <w:p w:rsidR="00000000" w:rsidDel="00000000" w:rsidP="00000000" w:rsidRDefault="00000000" w:rsidRPr="00000000" w14:paraId="0000025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Liabilities ÷ Equity</w:t>
            </w:r>
          </w:p>
        </w:tc>
        <w:tc>
          <w:tcPr/>
          <w:p w:rsidR="00000000" w:rsidDel="00000000" w:rsidP="00000000" w:rsidRDefault="00000000" w:rsidRPr="00000000" w14:paraId="0000025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0.63</w:t>
            </w:r>
          </w:p>
        </w:tc>
        <w:tc>
          <w:tcPr/>
          <w:p w:rsidR="00000000" w:rsidDel="00000000" w:rsidP="00000000" w:rsidRDefault="00000000" w:rsidRPr="00000000" w14:paraId="0000025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w:t>
            </w:r>
          </w:p>
        </w:tc>
      </w:tr>
      <w:tr>
        <w:trPr>
          <w:cantSplit w:val="0"/>
          <w:tblHeader w:val="0"/>
        </w:trPr>
        <w:tc>
          <w:tcPr/>
          <w:p w:rsidR="00000000" w:rsidDel="00000000" w:rsidP="00000000" w:rsidRDefault="00000000" w:rsidRPr="00000000" w14:paraId="0000025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 Coverage</w:t>
            </w:r>
          </w:p>
        </w:tc>
        <w:tc>
          <w:tcPr/>
          <w:p w:rsidR="00000000" w:rsidDel="00000000" w:rsidP="00000000" w:rsidRDefault="00000000" w:rsidRPr="00000000" w14:paraId="0000025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Operating Income ÷ Interest</w:t>
            </w:r>
          </w:p>
        </w:tc>
        <w:tc>
          <w:tcPr/>
          <w:p w:rsidR="00000000" w:rsidDel="00000000" w:rsidP="00000000" w:rsidRDefault="00000000" w:rsidRPr="00000000" w14:paraId="0000025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26.2×</w:t>
            </w:r>
          </w:p>
        </w:tc>
        <w:tc>
          <w:tcPr/>
          <w:p w:rsidR="00000000" w:rsidDel="00000000" w:rsidP="00000000" w:rsidRDefault="00000000" w:rsidRPr="00000000" w14:paraId="0000025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w:t>
            </w:r>
          </w:p>
        </w:tc>
      </w:tr>
    </w:tbl>
    <w:p w:rsidR="00000000" w:rsidDel="00000000" w:rsidP="00000000" w:rsidRDefault="00000000" w:rsidRPr="00000000" w14:paraId="000002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pStyle w:val="Heading2"/>
        <w:spacing w:line="360" w:lineRule="auto"/>
        <w:rPr>
          <w:rFonts w:ascii="Times New Roman" w:cs="Times New Roman" w:eastAsia="Times New Roman" w:hAnsi="Times New Roman"/>
          <w:b w:val="1"/>
          <w:bCs w:val="1"/>
          <w:sz w:val="24"/>
          <w:szCs w:val="24"/>
        </w:rPr>
      </w:pPr>
      <w:bookmarkStart w:colFirst="0" w:colLast="0" w:name="_f2fiz23uoxym" w:id="50"/>
      <w:bookmarkEnd w:id="50"/>
      <w:r w:rsidDel="00000000" w:rsidR="00000000" w:rsidRPr="00000000">
        <w:rPr>
          <w:rFonts w:ascii="Times New Roman" w:cs="Times New Roman" w:eastAsia="Times New Roman" w:hAnsi="Times New Roman"/>
          <w:b w:val="1"/>
          <w:bCs w:val="1"/>
          <w:sz w:val="24"/>
          <w:szCs w:val="24"/>
          <w:rtl w:val="0"/>
        </w:rPr>
        <w:t xml:space="preserve">Appendix B: Ratio Trend Graphs</w:t>
      </w:r>
    </w:p>
    <w:p w:rsidR="00000000" w:rsidDel="00000000" w:rsidP="00000000" w:rsidRDefault="00000000" w:rsidRPr="00000000" w14:paraId="00000259">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Pr>
        <w:drawing>
          <wp:inline distB="0" distT="0" distL="0" distR="0">
            <wp:extent cx="5400000" cy="2700000"/>
            <wp:effectExtent b="5715" l="0" r="10795" t="0"/>
            <wp:docPr id="1" name=""/>
            <a:graphic>
              <a:graphicData uri="http://schemas.openxmlformats.org/drawingml/2006/chart">
                <c:chart r:id="rId7"/>
              </a:graphicData>
            </a:graphic>
          </wp:inline>
        </w:drawing>
      </w:r>
      <w:r w:rsidDel="00000000" w:rsidR="00000000" w:rsidRPr="00000000">
        <w:rPr>
          <w:rtl w:val="0"/>
        </w:rPr>
      </w:r>
    </w:p>
    <w:p w:rsidR="00000000" w:rsidDel="00000000" w:rsidP="00000000" w:rsidRDefault="00000000" w:rsidRPr="00000000" w14:paraId="0000025A">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00000" cy="2700000"/>
            <wp:effectExtent b="5715" l="0" r="10795" t="0"/>
            <wp:docPr id="3" name=""/>
            <a:graphic>
              <a:graphicData uri="http://schemas.openxmlformats.org/drawingml/2006/chart">
                <c:chart r:id="rId8"/>
              </a:graphicData>
            </a:graphic>
          </wp:inline>
        </w:drawing>
      </w:r>
      <w:r w:rsidDel="00000000" w:rsidR="00000000" w:rsidRPr="00000000">
        <w:rPr>
          <w:rtl w:val="0"/>
        </w:rPr>
      </w:r>
    </w:p>
    <w:p w:rsidR="00000000" w:rsidDel="00000000" w:rsidP="00000000" w:rsidRDefault="00000000" w:rsidRPr="00000000" w14:paraId="000002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00000" cy="2700000"/>
            <wp:effectExtent b="5715" l="0" r="10795" t="0"/>
            <wp:docPr id="2" name=""/>
            <a:graphic>
              <a:graphicData uri="http://schemas.openxmlformats.org/drawingml/2006/chart">
                <c:chart r:id="rId9"/>
              </a:graphicData>
            </a:graphic>
          </wp:inline>
        </w:drawing>
      </w:r>
      <w:r w:rsidDel="00000000" w:rsidR="00000000" w:rsidRPr="00000000">
        <w:rPr>
          <w:rtl w:val="0"/>
        </w:rPr>
      </w:r>
    </w:p>
    <w:p w:rsidR="00000000" w:rsidDel="00000000" w:rsidP="00000000" w:rsidRDefault="00000000" w:rsidRPr="00000000" w14:paraId="000002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00000" cy="2700000"/>
            <wp:effectExtent b="5715" l="0" r="10795" t="0"/>
            <wp:docPr id="4" name=""/>
            <a:graphic>
              <a:graphicData uri="http://schemas.openxmlformats.org/drawingml/2006/chart">
                <c:chart r:id="rId10"/>
              </a:graphicData>
            </a:graphic>
          </wp:inline>
        </w:drawing>
      </w:r>
      <w:r w:rsidDel="00000000" w:rsidR="00000000" w:rsidRPr="00000000">
        <w:rPr>
          <w:rtl w:val="0"/>
        </w:rPr>
      </w:r>
    </w:p>
    <w:p w:rsidR="00000000" w:rsidDel="00000000" w:rsidP="00000000" w:rsidRDefault="00000000" w:rsidRPr="00000000" w14:paraId="0000025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 C: Altman Z-Score Calculations</w:t>
      </w:r>
    </w:p>
    <w:p w:rsidR="00000000" w:rsidDel="00000000" w:rsidP="00000000" w:rsidRDefault="00000000" w:rsidRPr="00000000" w14:paraId="000002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Altman Z-Score</w:t>
      </w:r>
      <w:r w:rsidDel="00000000" w:rsidR="00000000" w:rsidRPr="00000000">
        <w:rPr>
          <w:rFonts w:ascii="Times New Roman" w:cs="Times New Roman" w:eastAsia="Times New Roman" w:hAnsi="Times New Roman"/>
          <w:sz w:val="24"/>
          <w:szCs w:val="24"/>
          <w:rtl w:val="0"/>
        </w:rPr>
        <w:t xml:space="preserve"> assesses bankruptcy risk using the following model:</w:t>
      </w:r>
    </w:p>
    <w:p w:rsidR="00000000" w:rsidDel="00000000" w:rsidP="00000000" w:rsidRDefault="00000000" w:rsidRPr="00000000" w14:paraId="00000260">
      <w:pPr>
        <w:jc w:val="center"/>
        <w:rPr>
          <w:rFonts w:ascii="Cambria Math" w:cs="Cambria Math" w:eastAsia="Cambria Math" w:hAnsi="Cambria Math"/>
          <w:sz w:val="24"/>
          <w:szCs w:val="24"/>
        </w:rPr>
      </w:pPr>
      <m:oMath>
        <m:r>
          <w:rPr>
            <w:rFonts w:ascii="Cambria Math" w:cs="Cambria Math" w:eastAsia="Cambria Math" w:hAnsi="Cambria Math"/>
            <w:sz w:val="24"/>
            <w:szCs w:val="24"/>
          </w:rPr>
          <m:t xml:space="preserve">Z=1.2</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1</m:t>
            </m:r>
          </m:sub>
        </m:sSub>
        <m:r>
          <w:rPr>
            <w:rFonts w:ascii="Cambria Math" w:cs="Cambria Math" w:eastAsia="Cambria Math" w:hAnsi="Cambria Math"/>
            <w:sz w:val="24"/>
            <w:szCs w:val="24"/>
          </w:rPr>
          <m:t xml:space="preserve">+1.4</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2</m:t>
            </m:r>
          </m:sub>
        </m:sSub>
        <m:r>
          <w:rPr>
            <w:rFonts w:ascii="Cambria Math" w:cs="Cambria Math" w:eastAsia="Cambria Math" w:hAnsi="Cambria Math"/>
            <w:sz w:val="24"/>
            <w:szCs w:val="24"/>
          </w:rPr>
          <m:t xml:space="preserve">+3.3</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3</m:t>
            </m:r>
          </m:sub>
        </m:sSub>
        <m:r>
          <w:rPr>
            <w:rFonts w:ascii="Cambria Math" w:cs="Cambria Math" w:eastAsia="Cambria Math" w:hAnsi="Cambria Math"/>
            <w:sz w:val="24"/>
            <w:szCs w:val="24"/>
          </w:rPr>
          <m:t xml:space="preserve">+0.6</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4</m:t>
            </m:r>
          </m:sub>
        </m:sSub>
        <m:r>
          <w:rPr>
            <w:rFonts w:ascii="Cambria Math" w:cs="Cambria Math" w:eastAsia="Cambria Math" w:hAnsi="Cambria Math"/>
            <w:sz w:val="24"/>
            <w:szCs w:val="24"/>
          </w:rPr>
          <m:t xml:space="preserve">+1.0</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5</m:t>
            </m:r>
          </m:sub>
        </m:sSub>
      </m:oMath>
      <w:r w:rsidDel="00000000" w:rsidR="00000000" w:rsidRPr="00000000">
        <w:rPr>
          <w:rtl w:val="0"/>
        </w:rPr>
      </w:r>
    </w:p>
    <w:p w:rsidR="00000000" w:rsidDel="00000000" w:rsidP="00000000" w:rsidRDefault="00000000" w:rsidRPr="00000000" w14:paraId="000002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262">
      <w:pPr>
        <w:numPr>
          <w:ilvl w:val="0"/>
          <w:numId w:val="50"/>
        </w:numPr>
        <w:spacing w:line="360" w:lineRule="auto"/>
        <w:ind w:left="720" w:hanging="360"/>
        <w:jc w:val="both"/>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1</m:t>
            </m:r>
          </m:sub>
        </m:sSub>
      </m:oMath>
      <w:r w:rsidDel="00000000" w:rsidR="00000000" w:rsidRPr="00000000">
        <w:rPr>
          <w:rFonts w:ascii="Times New Roman" w:cs="Times New Roman" w:eastAsia="Times New Roman" w:hAnsi="Times New Roman"/>
          <w:sz w:val="24"/>
          <w:szCs w:val="24"/>
          <w:rtl w:val="0"/>
        </w:rPr>
        <w:t xml:space="preserve">= Working Capital ÷ Total Assets</w:t>
      </w:r>
    </w:p>
    <w:p w:rsidR="00000000" w:rsidDel="00000000" w:rsidP="00000000" w:rsidRDefault="00000000" w:rsidRPr="00000000" w14:paraId="00000263">
      <w:pPr>
        <w:numPr>
          <w:ilvl w:val="0"/>
          <w:numId w:val="50"/>
        </w:numPr>
        <w:spacing w:line="360" w:lineRule="auto"/>
        <w:ind w:left="720" w:hanging="360"/>
        <w:jc w:val="both"/>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2</m:t>
            </m:r>
          </m:sub>
        </m:sSub>
      </m:oMath>
      <w:r w:rsidDel="00000000" w:rsidR="00000000" w:rsidRPr="00000000">
        <w:rPr>
          <w:rFonts w:ascii="Times New Roman" w:cs="Times New Roman" w:eastAsia="Times New Roman" w:hAnsi="Times New Roman"/>
          <w:sz w:val="24"/>
          <w:szCs w:val="24"/>
          <w:rtl w:val="0"/>
        </w:rPr>
        <w:t xml:space="preserve">= Retained Earnings ÷ Total Assets</w:t>
      </w:r>
    </w:p>
    <w:p w:rsidR="00000000" w:rsidDel="00000000" w:rsidP="00000000" w:rsidRDefault="00000000" w:rsidRPr="00000000" w14:paraId="00000264">
      <w:pPr>
        <w:numPr>
          <w:ilvl w:val="0"/>
          <w:numId w:val="50"/>
        </w:numPr>
        <w:spacing w:line="360" w:lineRule="auto"/>
        <w:ind w:left="720" w:hanging="360"/>
        <w:jc w:val="both"/>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3</m:t>
            </m:r>
          </m:sub>
        </m:sSub>
      </m:oMath>
      <w:r w:rsidDel="00000000" w:rsidR="00000000" w:rsidRPr="00000000">
        <w:rPr>
          <w:rFonts w:ascii="Times New Roman" w:cs="Times New Roman" w:eastAsia="Times New Roman" w:hAnsi="Times New Roman"/>
          <w:sz w:val="24"/>
          <w:szCs w:val="24"/>
          <w:rtl w:val="0"/>
        </w:rPr>
        <w:t xml:space="preserve">= EBIT ÷ Total Assets</w:t>
      </w:r>
    </w:p>
    <w:p w:rsidR="00000000" w:rsidDel="00000000" w:rsidP="00000000" w:rsidRDefault="00000000" w:rsidRPr="00000000" w14:paraId="00000265">
      <w:pPr>
        <w:numPr>
          <w:ilvl w:val="0"/>
          <w:numId w:val="50"/>
        </w:numPr>
        <w:spacing w:line="360" w:lineRule="auto"/>
        <w:ind w:left="720" w:hanging="360"/>
        <w:jc w:val="both"/>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4</m:t>
            </m:r>
          </m:sub>
        </m:sSub>
      </m:oMath>
      <w:r w:rsidDel="00000000" w:rsidR="00000000" w:rsidRPr="00000000">
        <w:rPr>
          <w:rFonts w:ascii="Times New Roman" w:cs="Times New Roman" w:eastAsia="Times New Roman" w:hAnsi="Times New Roman"/>
          <w:sz w:val="24"/>
          <w:szCs w:val="24"/>
          <w:rtl w:val="0"/>
        </w:rPr>
        <w:t xml:space="preserve">= Equity ÷ Total Liabilities</w:t>
      </w:r>
    </w:p>
    <w:p w:rsidR="00000000" w:rsidDel="00000000" w:rsidP="00000000" w:rsidRDefault="00000000" w:rsidRPr="00000000" w14:paraId="00000266">
      <w:pPr>
        <w:numPr>
          <w:ilvl w:val="0"/>
          <w:numId w:val="50"/>
        </w:numPr>
        <w:spacing w:line="360" w:lineRule="auto"/>
        <w:ind w:left="720" w:hanging="360"/>
        <w:jc w:val="both"/>
        <w:rPr/>
      </w:pPr>
      <m:oMath>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X</m:t>
            </m:r>
          </m:e>
          <m:sub>
            <m:r>
              <w:rPr>
                <w:rFonts w:ascii="Cambria Math" w:cs="Cambria Math" w:eastAsia="Cambria Math" w:hAnsi="Cambria Math"/>
                <w:sz w:val="24"/>
                <w:szCs w:val="24"/>
              </w:rPr>
              <m:t xml:space="preserve">5</m:t>
            </m:r>
          </m:sub>
        </m:sSub>
      </m:oMath>
      <w:r w:rsidDel="00000000" w:rsidR="00000000" w:rsidRPr="00000000">
        <w:rPr>
          <w:rFonts w:ascii="Times New Roman" w:cs="Times New Roman" w:eastAsia="Times New Roman" w:hAnsi="Times New Roman"/>
          <w:sz w:val="24"/>
          <w:szCs w:val="24"/>
          <w:rtl w:val="0"/>
        </w:rPr>
        <w:t xml:space="preserve">= Sales ÷ Total Assets</w:t>
      </w:r>
    </w:p>
    <w:p w:rsidR="00000000" w:rsidDel="00000000" w:rsidP="00000000" w:rsidRDefault="00000000" w:rsidRPr="00000000" w14:paraId="00000267">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5"/>
        <w:tblW w:w="55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3223"/>
        <w:gridCol w:w="870"/>
        <w:tblGridChange w:id="0">
          <w:tblGrid>
            <w:gridCol w:w="1417"/>
            <w:gridCol w:w="3223"/>
            <w:gridCol w:w="870"/>
          </w:tblGrid>
        </w:tblGridChange>
      </w:tblGrid>
      <w:tr>
        <w:trPr>
          <w:cantSplit w:val="0"/>
          <w:tblHeader w:val="0"/>
        </w:trPr>
        <w:tc>
          <w:tcPr/>
          <w:p w:rsidR="00000000" w:rsidDel="00000000" w:rsidP="00000000" w:rsidRDefault="00000000" w:rsidRPr="00000000" w14:paraId="00000268">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Component</w:t>
            </w:r>
          </w:p>
        </w:tc>
        <w:tc>
          <w:tcPr/>
          <w:p w:rsidR="00000000" w:rsidDel="00000000" w:rsidP="00000000" w:rsidRDefault="00000000" w:rsidRPr="00000000" w14:paraId="00000269">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Calculation</w:t>
            </w:r>
          </w:p>
        </w:tc>
        <w:tc>
          <w:tcPr/>
          <w:p w:rsidR="00000000" w:rsidDel="00000000" w:rsidP="00000000" w:rsidRDefault="00000000" w:rsidRPr="00000000" w14:paraId="0000026A">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Result</w:t>
            </w:r>
          </w:p>
        </w:tc>
      </w:tr>
      <w:tr>
        <w:trPr>
          <w:cantSplit w:val="0"/>
          <w:tblHeader w:val="0"/>
        </w:trPr>
        <w:tc>
          <w:tcPr/>
          <w:p w:rsidR="00000000" w:rsidDel="00000000" w:rsidP="00000000" w:rsidRDefault="00000000" w:rsidRPr="00000000" w14:paraId="0000026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X₁</w:t>
            </w:r>
          </w:p>
        </w:tc>
        <w:tc>
          <w:tcPr/>
          <w:p w:rsidR="00000000" w:rsidDel="00000000" w:rsidP="00000000" w:rsidRDefault="00000000" w:rsidRPr="00000000" w14:paraId="0000026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(242,494 − 158,291) ÷ 323,354</w:t>
            </w:r>
          </w:p>
        </w:tc>
        <w:tc>
          <w:tcPr/>
          <w:p w:rsidR="00000000" w:rsidDel="00000000" w:rsidP="00000000" w:rsidRDefault="00000000" w:rsidRPr="00000000" w14:paraId="0000026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0.26</w:t>
            </w:r>
          </w:p>
        </w:tc>
      </w:tr>
      <w:tr>
        <w:trPr>
          <w:cantSplit w:val="0"/>
          <w:tblHeader w:val="0"/>
        </w:trPr>
        <w:tc>
          <w:tcPr/>
          <w:p w:rsidR="00000000" w:rsidDel="00000000" w:rsidP="00000000" w:rsidRDefault="00000000" w:rsidRPr="00000000" w14:paraId="0000026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X₂</w:t>
            </w:r>
          </w:p>
        </w:tc>
        <w:tc>
          <w:tcPr/>
          <w:p w:rsidR="00000000" w:rsidDel="00000000" w:rsidP="00000000" w:rsidRDefault="00000000" w:rsidRPr="00000000" w14:paraId="0000026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208,431 ÷ 323,354</w:t>
            </w:r>
          </w:p>
        </w:tc>
        <w:tc>
          <w:tcPr/>
          <w:p w:rsidR="00000000" w:rsidDel="00000000" w:rsidP="00000000" w:rsidRDefault="00000000" w:rsidRPr="00000000" w14:paraId="0000027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0.64</w:t>
            </w:r>
          </w:p>
        </w:tc>
      </w:tr>
      <w:tr>
        <w:trPr>
          <w:cantSplit w:val="0"/>
          <w:tblHeader w:val="0"/>
        </w:trPr>
        <w:tc>
          <w:tcPr/>
          <w:p w:rsidR="00000000" w:rsidDel="00000000" w:rsidP="00000000" w:rsidRDefault="00000000" w:rsidRPr="00000000" w14:paraId="0000027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X₃</w:t>
            </w:r>
          </w:p>
        </w:tc>
        <w:tc>
          <w:tcPr/>
          <w:p w:rsidR="00000000" w:rsidDel="00000000" w:rsidP="00000000" w:rsidRDefault="00000000" w:rsidRPr="00000000" w14:paraId="0000027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–15,297 ÷ 323,354</w:t>
            </w:r>
          </w:p>
        </w:tc>
        <w:tc>
          <w:tcPr/>
          <w:p w:rsidR="00000000" w:rsidDel="00000000" w:rsidP="00000000" w:rsidRDefault="00000000" w:rsidRPr="00000000" w14:paraId="0000027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–0.05</w:t>
            </w:r>
          </w:p>
        </w:tc>
      </w:tr>
      <w:tr>
        <w:trPr>
          <w:cantSplit w:val="0"/>
          <w:tblHeader w:val="0"/>
        </w:trPr>
        <w:tc>
          <w:tcPr/>
          <w:p w:rsidR="00000000" w:rsidDel="00000000" w:rsidP="00000000" w:rsidRDefault="00000000" w:rsidRPr="00000000" w14:paraId="0000027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X₄</w:t>
            </w:r>
          </w:p>
        </w:tc>
        <w:tc>
          <w:tcPr/>
          <w:p w:rsidR="00000000" w:rsidDel="00000000" w:rsidP="00000000" w:rsidRDefault="00000000" w:rsidRPr="00000000" w14:paraId="0000027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153,105 ÷ 170,249</w:t>
            </w:r>
          </w:p>
        </w:tc>
        <w:tc>
          <w:tcPr/>
          <w:p w:rsidR="00000000" w:rsidDel="00000000" w:rsidP="00000000" w:rsidRDefault="00000000" w:rsidRPr="00000000" w14:paraId="0000027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0.90</w:t>
            </w:r>
          </w:p>
        </w:tc>
      </w:tr>
      <w:tr>
        <w:trPr>
          <w:cantSplit w:val="0"/>
          <w:tblHeader w:val="0"/>
        </w:trPr>
        <w:tc>
          <w:tcPr/>
          <w:p w:rsidR="00000000" w:rsidDel="00000000" w:rsidP="00000000" w:rsidRDefault="00000000" w:rsidRPr="00000000" w14:paraId="0000027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X₅</w:t>
            </w:r>
          </w:p>
        </w:tc>
        <w:tc>
          <w:tcPr/>
          <w:p w:rsidR="00000000" w:rsidDel="00000000" w:rsidP="00000000" w:rsidRDefault="00000000" w:rsidRPr="00000000" w14:paraId="0000027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394,879 ÷ 323,354</w:t>
            </w:r>
          </w:p>
        </w:tc>
        <w:tc>
          <w:tcPr/>
          <w:p w:rsidR="00000000" w:rsidDel="00000000" w:rsidP="00000000" w:rsidRDefault="00000000" w:rsidRPr="00000000" w14:paraId="0000027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w:t>
            </w:r>
          </w:p>
        </w:tc>
      </w:tr>
    </w:tbl>
    <w:p w:rsidR="00000000" w:rsidDel="00000000" w:rsidP="00000000" w:rsidRDefault="00000000" w:rsidRPr="00000000" w14:paraId="0000027A">
      <w:pPr>
        <w:pStyle w:val="Heading2"/>
        <w:spacing w:line="360" w:lineRule="auto"/>
        <w:rPr>
          <w:rFonts w:ascii="Times New Roman" w:cs="Times New Roman" w:eastAsia="Times New Roman" w:hAnsi="Times New Roman"/>
          <w:b w:val="1"/>
          <w:bCs w:val="1"/>
          <w:sz w:val="24"/>
          <w:szCs w:val="24"/>
        </w:rPr>
      </w:pPr>
      <w:bookmarkStart w:colFirst="0" w:colLast="0" w:name="_lh05t7mbi1q0" w:id="51"/>
      <w:bookmarkEnd w:id="51"/>
      <w:r w:rsidDel="00000000" w:rsidR="00000000" w:rsidRPr="00000000">
        <w:rPr>
          <w:rFonts w:ascii="Times New Roman" w:cs="Times New Roman" w:eastAsia="Times New Roman" w:hAnsi="Times New Roman"/>
          <w:b w:val="1"/>
          <w:bCs w:val="1"/>
          <w:sz w:val="24"/>
          <w:szCs w:val="24"/>
          <w:rtl w:val="0"/>
        </w:rPr>
        <w:t xml:space="preserve">Appendix D: Investment Appraisal Calculations (Excel Outputs)</w:t>
      </w:r>
    </w:p>
    <w:p w:rsidR="00000000" w:rsidDel="00000000" w:rsidP="00000000" w:rsidRDefault="00000000" w:rsidRPr="00000000" w14:paraId="000002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D1: Net Present Value (10% discount rate)</w:t>
      </w:r>
      <w:r w:rsidDel="00000000" w:rsidR="00000000" w:rsidRPr="00000000">
        <w:rPr>
          <w:rtl w:val="0"/>
        </w:rPr>
      </w:r>
    </w:p>
    <w:tbl>
      <w:tblPr>
        <w:tblStyle w:val="Table6"/>
        <w:tblW w:w="573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8"/>
        <w:gridCol w:w="1383"/>
        <w:gridCol w:w="2152"/>
        <w:gridCol w:w="1245"/>
        <w:tblGridChange w:id="0">
          <w:tblGrid>
            <w:gridCol w:w="958"/>
            <w:gridCol w:w="1383"/>
            <w:gridCol w:w="2152"/>
            <w:gridCol w:w="1245"/>
          </w:tblGrid>
        </w:tblGridChange>
      </w:tblGrid>
      <w:tr>
        <w:trPr>
          <w:cantSplit w:val="0"/>
          <w:tblHeader w:val="0"/>
        </w:trPr>
        <w:tc>
          <w:tcPr/>
          <w:p w:rsidR="00000000" w:rsidDel="00000000" w:rsidP="00000000" w:rsidRDefault="00000000" w:rsidRPr="00000000" w14:paraId="0000027C">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w:t>
            </w:r>
          </w:p>
        </w:tc>
        <w:tc>
          <w:tcPr/>
          <w:p w:rsidR="00000000" w:rsidDel="00000000" w:rsidP="00000000" w:rsidRDefault="00000000" w:rsidRPr="00000000" w14:paraId="0000027D">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Initial (£m)</w:t>
            </w:r>
          </w:p>
        </w:tc>
        <w:tc>
          <w:tcPr/>
          <w:p w:rsidR="00000000" w:rsidDel="00000000" w:rsidP="00000000" w:rsidRDefault="00000000" w:rsidRPr="00000000" w14:paraId="0000027E">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PV of Inflows (£m)</w:t>
            </w:r>
          </w:p>
        </w:tc>
        <w:tc>
          <w:tcPr/>
          <w:p w:rsidR="00000000" w:rsidDel="00000000" w:rsidP="00000000" w:rsidRDefault="00000000" w:rsidRPr="00000000" w14:paraId="0000027F">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NPV (£m)</w:t>
            </w:r>
          </w:p>
        </w:tc>
      </w:tr>
      <w:tr>
        <w:trPr>
          <w:cantSplit w:val="0"/>
          <w:tblHeader w:val="0"/>
        </w:trPr>
        <w:tc>
          <w:tcPr/>
          <w:p w:rsidR="00000000" w:rsidDel="00000000" w:rsidP="00000000" w:rsidRDefault="00000000" w:rsidRPr="00000000" w14:paraId="0000028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p w:rsidR="00000000" w:rsidDel="00000000" w:rsidP="00000000" w:rsidRDefault="00000000" w:rsidRPr="00000000" w14:paraId="0000028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c>
          <w:tcPr/>
          <w:p w:rsidR="00000000" w:rsidDel="00000000" w:rsidP="00000000" w:rsidRDefault="00000000" w:rsidRPr="00000000" w14:paraId="0000028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40.98</w:t>
            </w:r>
          </w:p>
        </w:tc>
        <w:tc>
          <w:tcPr/>
          <w:p w:rsidR="00000000" w:rsidDel="00000000" w:rsidP="00000000" w:rsidRDefault="00000000" w:rsidRPr="00000000" w14:paraId="0000028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+0.98</w:t>
            </w:r>
          </w:p>
        </w:tc>
      </w:tr>
      <w:tr>
        <w:trPr>
          <w:cantSplit w:val="0"/>
          <w:tblHeader w:val="0"/>
        </w:trPr>
        <w:tc>
          <w:tcPr/>
          <w:p w:rsidR="00000000" w:rsidDel="00000000" w:rsidP="00000000" w:rsidRDefault="00000000" w:rsidRPr="00000000" w14:paraId="0000028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p w:rsidR="00000000" w:rsidDel="00000000" w:rsidP="00000000" w:rsidRDefault="00000000" w:rsidRPr="00000000" w14:paraId="0000028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p>
        </w:tc>
        <w:tc>
          <w:tcPr/>
          <w:p w:rsidR="00000000" w:rsidDel="00000000" w:rsidP="00000000" w:rsidRDefault="00000000" w:rsidRPr="00000000" w14:paraId="00000286">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22.74</w:t>
            </w:r>
          </w:p>
        </w:tc>
        <w:tc>
          <w:tcPr/>
          <w:p w:rsidR="00000000" w:rsidDel="00000000" w:rsidP="00000000" w:rsidRDefault="00000000" w:rsidRPr="00000000" w14:paraId="00000287">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–7.26</w:t>
            </w:r>
          </w:p>
        </w:tc>
      </w:tr>
      <w:tr>
        <w:trPr>
          <w:cantSplit w:val="0"/>
          <w:tblHeader w:val="0"/>
        </w:trPr>
        <w:tc>
          <w:tcPr/>
          <w:p w:rsidR="00000000" w:rsidDel="00000000" w:rsidP="00000000" w:rsidRDefault="00000000" w:rsidRPr="00000000" w14:paraId="00000288">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tc>
        <w:tc>
          <w:tcPr/>
          <w:p w:rsidR="00000000" w:rsidDel="00000000" w:rsidP="00000000" w:rsidRDefault="00000000" w:rsidRPr="00000000" w14:paraId="00000289">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p w:rsidR="00000000" w:rsidDel="00000000" w:rsidP="00000000" w:rsidRDefault="00000000" w:rsidRPr="00000000" w14:paraId="0000028A">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52.04</w:t>
            </w:r>
          </w:p>
        </w:tc>
        <w:tc>
          <w:tcPr/>
          <w:p w:rsidR="00000000" w:rsidDel="00000000" w:rsidP="00000000" w:rsidRDefault="00000000" w:rsidRPr="00000000" w14:paraId="0000028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+2.04</w:t>
            </w:r>
          </w:p>
        </w:tc>
      </w:tr>
    </w:tbl>
    <w:p w:rsidR="00000000" w:rsidDel="00000000" w:rsidP="00000000" w:rsidRDefault="00000000" w:rsidRPr="00000000" w14:paraId="000002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D2: Payback Period</w:t>
      </w:r>
      <w:r w:rsidDel="00000000" w:rsidR="00000000" w:rsidRPr="00000000">
        <w:rPr>
          <w:rtl w:val="0"/>
        </w:rPr>
      </w:r>
    </w:p>
    <w:tbl>
      <w:tblPr>
        <w:tblStyle w:val="Table7"/>
        <w:tblW w:w="279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8"/>
        <w:gridCol w:w="1836"/>
        <w:tblGridChange w:id="0">
          <w:tblGrid>
            <w:gridCol w:w="958"/>
            <w:gridCol w:w="1836"/>
          </w:tblGrid>
        </w:tblGridChange>
      </w:tblGrid>
      <w:tr>
        <w:trPr>
          <w:cantSplit w:val="0"/>
          <w:tblHeader w:val="0"/>
        </w:trPr>
        <w:tc>
          <w:tcPr/>
          <w:p w:rsidR="00000000" w:rsidDel="00000000" w:rsidP="00000000" w:rsidRDefault="00000000" w:rsidRPr="00000000" w14:paraId="0000028E">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w:t>
            </w:r>
          </w:p>
        </w:tc>
        <w:tc>
          <w:tcPr/>
          <w:p w:rsidR="00000000" w:rsidDel="00000000" w:rsidP="00000000" w:rsidRDefault="00000000" w:rsidRPr="00000000" w14:paraId="0000028F">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Payback Period</w:t>
            </w:r>
          </w:p>
        </w:tc>
      </w:tr>
      <w:tr>
        <w:trPr>
          <w:cantSplit w:val="0"/>
          <w:tblHeader w:val="0"/>
        </w:trPr>
        <w:tc>
          <w:tcPr/>
          <w:p w:rsidR="00000000" w:rsidDel="00000000" w:rsidP="00000000" w:rsidRDefault="00000000" w:rsidRPr="00000000" w14:paraId="0000029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p w:rsidR="00000000" w:rsidDel="00000000" w:rsidP="00000000" w:rsidRDefault="00000000" w:rsidRPr="00000000" w14:paraId="0000029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years</w:t>
            </w:r>
          </w:p>
        </w:tc>
      </w:tr>
      <w:tr>
        <w:trPr>
          <w:cantSplit w:val="0"/>
          <w:tblHeader w:val="0"/>
        </w:trPr>
        <w:tc>
          <w:tcPr/>
          <w:p w:rsidR="00000000" w:rsidDel="00000000" w:rsidP="00000000" w:rsidRDefault="00000000" w:rsidRPr="00000000" w14:paraId="0000029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p w:rsidR="00000000" w:rsidDel="00000000" w:rsidP="00000000" w:rsidRDefault="00000000" w:rsidRPr="00000000" w14:paraId="0000029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 years</w:t>
            </w:r>
          </w:p>
        </w:tc>
      </w:tr>
      <w:tr>
        <w:trPr>
          <w:cantSplit w:val="0"/>
          <w:tblHeader w:val="0"/>
        </w:trPr>
        <w:tc>
          <w:tcPr/>
          <w:p w:rsidR="00000000" w:rsidDel="00000000" w:rsidP="00000000" w:rsidRDefault="00000000" w:rsidRPr="00000000" w14:paraId="00000294">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tc>
        <w:tc>
          <w:tcPr/>
          <w:p w:rsidR="00000000" w:rsidDel="00000000" w:rsidP="00000000" w:rsidRDefault="00000000" w:rsidRPr="00000000" w14:paraId="00000295">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years</w:t>
            </w:r>
          </w:p>
        </w:tc>
      </w:tr>
    </w:tbl>
    <w:p w:rsidR="00000000" w:rsidDel="00000000" w:rsidP="00000000" w:rsidRDefault="00000000" w:rsidRPr="00000000" w14:paraId="0000029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D3: ARR &amp; IRR</w:t>
      </w:r>
      <w:r w:rsidDel="00000000" w:rsidR="00000000" w:rsidRPr="00000000">
        <w:rPr>
          <w:rtl w:val="0"/>
        </w:rPr>
      </w:r>
    </w:p>
    <w:tbl>
      <w:tblPr>
        <w:tblStyle w:val="Table8"/>
        <w:tblW w:w="2350.9999999999995"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8"/>
        <w:gridCol w:w="736"/>
        <w:gridCol w:w="657"/>
        <w:tblGridChange w:id="0">
          <w:tblGrid>
            <w:gridCol w:w="958"/>
            <w:gridCol w:w="736"/>
            <w:gridCol w:w="657"/>
          </w:tblGrid>
        </w:tblGridChange>
      </w:tblGrid>
      <w:tr>
        <w:trPr>
          <w:cantSplit w:val="0"/>
          <w:tblHeader w:val="0"/>
        </w:trPr>
        <w:tc>
          <w:tcPr/>
          <w:p w:rsidR="00000000" w:rsidDel="00000000" w:rsidP="00000000" w:rsidRDefault="00000000" w:rsidRPr="00000000" w14:paraId="00000298">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w:t>
            </w:r>
          </w:p>
        </w:tc>
        <w:tc>
          <w:tcPr/>
          <w:p w:rsidR="00000000" w:rsidDel="00000000" w:rsidP="00000000" w:rsidRDefault="00000000" w:rsidRPr="00000000" w14:paraId="00000299">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ARR</w:t>
            </w:r>
          </w:p>
        </w:tc>
        <w:tc>
          <w:tcPr/>
          <w:p w:rsidR="00000000" w:rsidDel="00000000" w:rsidP="00000000" w:rsidRDefault="00000000" w:rsidRPr="00000000" w14:paraId="0000029A">
            <w:pPr>
              <w:spacing w:after="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IRR</w:t>
            </w:r>
          </w:p>
        </w:tc>
      </w:tr>
      <w:tr>
        <w:trPr>
          <w:cantSplit w:val="0"/>
          <w:tblHeader w:val="0"/>
        </w:trPr>
        <w:tc>
          <w:tcPr/>
          <w:p w:rsidR="00000000" w:rsidDel="00000000" w:rsidP="00000000" w:rsidRDefault="00000000" w:rsidRPr="00000000" w14:paraId="0000029B">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p>
        </w:tc>
        <w:tc>
          <w:tcPr/>
          <w:p w:rsidR="00000000" w:rsidDel="00000000" w:rsidP="00000000" w:rsidRDefault="00000000" w:rsidRPr="00000000" w14:paraId="0000029C">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p w:rsidR="00000000" w:rsidDel="00000000" w:rsidP="00000000" w:rsidRDefault="00000000" w:rsidRPr="00000000" w14:paraId="0000029D">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r>
      <w:tr>
        <w:trPr>
          <w:cantSplit w:val="0"/>
          <w:tblHeader w:val="0"/>
        </w:trPr>
        <w:tc>
          <w:tcPr/>
          <w:p w:rsidR="00000000" w:rsidDel="00000000" w:rsidP="00000000" w:rsidRDefault="00000000" w:rsidRPr="00000000" w14:paraId="0000029E">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tc>
        <w:tc>
          <w:tcPr/>
          <w:p w:rsidR="00000000" w:rsidDel="00000000" w:rsidP="00000000" w:rsidRDefault="00000000" w:rsidRPr="00000000" w14:paraId="0000029F">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p w:rsidR="00000000" w:rsidDel="00000000" w:rsidP="00000000" w:rsidRDefault="00000000" w:rsidRPr="00000000" w14:paraId="000002A0">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rPr>
          <w:cantSplit w:val="0"/>
          <w:tblHeader w:val="0"/>
        </w:trPr>
        <w:tc>
          <w:tcPr/>
          <w:p w:rsidR="00000000" w:rsidDel="00000000" w:rsidP="00000000" w:rsidRDefault="00000000" w:rsidRPr="00000000" w14:paraId="000002A1">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tc>
        <w:tc>
          <w:tcPr/>
          <w:p w:rsidR="00000000" w:rsidDel="00000000" w:rsidP="00000000" w:rsidRDefault="00000000" w:rsidRPr="00000000" w14:paraId="000002A2">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p w:rsidR="00000000" w:rsidDel="00000000" w:rsidP="00000000" w:rsidRDefault="00000000" w:rsidRPr="00000000" w14:paraId="000002A3">
            <w:pPr>
              <w:spacing w:after="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r>
    </w:tbl>
    <w:p w:rsidR="00000000" w:rsidDel="00000000" w:rsidP="00000000" w:rsidRDefault="00000000" w:rsidRPr="00000000" w14:paraId="000002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Capital Rationing Constraint:</w:t>
      </w:r>
      <w:r w:rsidDel="00000000" w:rsidR="00000000" w:rsidRPr="00000000">
        <w:rPr>
          <w:rFonts w:ascii="Times New Roman" w:cs="Times New Roman" w:eastAsia="Times New Roman" w:hAnsi="Times New Roman"/>
          <w:sz w:val="24"/>
          <w:szCs w:val="24"/>
          <w:rtl w:val="0"/>
        </w:rPr>
        <w:t xml:space="preserve"> £60 million</w:t>
      </w:r>
    </w:p>
    <w:p w:rsidR="00000000" w:rsidDel="00000000" w:rsidP="00000000" w:rsidRDefault="00000000" w:rsidRPr="00000000" w14:paraId="000002A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Selected Project: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Project C</w:t>
      </w:r>
      <w:r w:rsidDel="00000000" w:rsidR="00000000" w:rsidRPr="00000000">
        <w:rPr>
          <w:rtl w:val="0"/>
        </w:rPr>
      </w:r>
    </w:p>
    <w:p w:rsidR="00000000" w:rsidDel="00000000" w:rsidP="00000000" w:rsidRDefault="00000000" w:rsidRPr="00000000" w14:paraId="000002A7">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mbria" w:cs="Cambria" w:eastAsia="Cambria" w:hAnsi="Cambria"/>
      <w:color w:val="366091"/>
      <w:sz w:val="40"/>
      <w:szCs w:val="40"/>
    </w:rPr>
  </w:style>
  <w:style w:type="paragraph" w:styleId="Heading2">
    <w:name w:val="heading 2"/>
    <w:basedOn w:val="Normal"/>
    <w:next w:val="Normal"/>
    <w:pPr>
      <w:keepNext w:val="1"/>
      <w:keepLines w:val="1"/>
      <w:spacing w:after="80" w:before="160" w:lineRule="auto"/>
    </w:pPr>
    <w:rPr>
      <w:rFonts w:ascii="Cambria" w:cs="Cambria" w:eastAsia="Cambria" w:hAnsi="Cambria"/>
      <w:color w:val="366091"/>
      <w:sz w:val="32"/>
      <w:szCs w:val="32"/>
    </w:rPr>
  </w:style>
  <w:style w:type="paragraph" w:styleId="Heading3">
    <w:name w:val="heading 3"/>
    <w:basedOn w:val="Normal"/>
    <w:next w:val="Normal"/>
    <w:pPr>
      <w:keepNext w:val="1"/>
      <w:keepLines w:val="1"/>
      <w:spacing w:after="80" w:before="160" w:lineRule="auto"/>
    </w:pPr>
    <w:rPr>
      <w:color w:val="366091"/>
      <w:sz w:val="28"/>
      <w:szCs w:val="28"/>
    </w:rPr>
  </w:style>
  <w:style w:type="paragraph" w:styleId="Heading4">
    <w:name w:val="heading 4"/>
    <w:basedOn w:val="Normal"/>
    <w:next w:val="Normal"/>
    <w:pPr>
      <w:keepNext w:val="1"/>
      <w:keepLines w:val="1"/>
      <w:spacing w:after="40" w:before="80" w:lineRule="auto"/>
    </w:pPr>
    <w:rPr>
      <w:i w:val="1"/>
      <w:iCs w:val="1"/>
      <w:color w:val="366091"/>
    </w:rPr>
  </w:style>
  <w:style w:type="paragraph" w:styleId="Heading5">
    <w:name w:val="heading 5"/>
    <w:basedOn w:val="Normal"/>
    <w:next w:val="Normal"/>
    <w:pPr>
      <w:keepNext w:val="1"/>
      <w:keepLines w:val="1"/>
      <w:spacing w:after="40" w:before="80" w:lineRule="auto"/>
    </w:pPr>
    <w:rPr>
      <w:color w:val="36609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mbria" w:cs="Cambria" w:eastAsia="Cambria" w:hAnsi="Cambria"/>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chart" Target="charts/chart4.xml"/><Relationship Id="rId9" Type="http://schemas.openxmlformats.org/officeDocument/2006/relationships/chart" Target="charts/chart2.xml"/><Relationship Id="rId5" Type="http://schemas.openxmlformats.org/officeDocument/2006/relationships/styles" Target="styles.xml"/><Relationship Id="rId6" Type="http://schemas.openxmlformats.org/officeDocument/2006/relationships/hyperlink" Target="https://www.ge.com" TargetMode="External"/><Relationship Id="rId7" Type="http://schemas.openxmlformats.org/officeDocument/2006/relationships/chart" Target="charts/chart1.xml"/><Relationship Id="rId8"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wnloads\Appendix_B_Ratio_Trend_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ownloads\Appendix_B_Ratio_Trend_Graph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ownloads\Appendix_B_Ratio_Trend_Grap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ll\Downloads\Appendix_B_Ratio_Trend_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Profitability Trend</a:t>
            </a:r>
          </a:p>
        </c:rich>
      </c:tx>
      <c:overlay val="1"/>
      <c:spPr>
        <a:noFill/>
        <a:ln>
          <a:noFill/>
        </a:ln>
        <a:effectLst/>
      </c:spPr>
    </c:title>
    <c:autoTitleDeleted val="0"/>
    <c:plotArea>
      <c:layout/>
      <c:barChart>
        <c:barDir val="col"/>
        <c:grouping val="clustered"/>
        <c:varyColors val="1"/>
        <c:ser>
          <c:idx val="0"/>
          <c:order val="0"/>
          <c:tx>
            <c:strRef>
              <c:f>'Ratio Data'!$B$2</c:f>
              <c:strCache>
                <c:ptCount val="1"/>
                <c:pt idx="0">
                  <c:v>6.1</c:v>
                </c:pt>
              </c:strCache>
            </c:strRef>
          </c:tx>
          <c:spPr>
            <a:solidFill>
              <a:schemeClr val="accent1"/>
            </a:solidFill>
            <a:ln>
              <a:noFill/>
            </a:ln>
            <a:effectLst/>
          </c:spPr>
          <c:invertIfNegative val="0"/>
          <c:cat>
            <c:numRef>
              <c:f>'Ratio Data'!$B$1:$F$1</c:f>
              <c:numCache>
                <c:formatCode>General</c:formatCode>
                <c:ptCount val="5"/>
                <c:pt idx="0">
                  <c:v>2020</c:v>
                </c:pt>
                <c:pt idx="1">
                  <c:v>2021</c:v>
                </c:pt>
                <c:pt idx="2">
                  <c:v>2022</c:v>
                </c:pt>
                <c:pt idx="3">
                  <c:v>2023</c:v>
                </c:pt>
                <c:pt idx="4">
                  <c:v>2024</c:v>
                </c:pt>
              </c:numCache>
            </c:numRef>
          </c:cat>
          <c:val>
            <c:numRef>
              <c:f>'Ratio Data'!$B$3</c:f>
              <c:numCache>
                <c:formatCode>General</c:formatCode>
                <c:ptCount val="1"/>
                <c:pt idx="0">
                  <c:v>6.3</c:v>
                </c:pt>
              </c:numCache>
            </c:numRef>
          </c:val>
          <c:extLst>
            <c:ext xmlns:c16="http://schemas.microsoft.com/office/drawing/2014/chart" uri="{C3380CC4-5D6E-409C-BE32-E72D297353CC}">
              <c16:uniqueId val="{00000000-936C-433C-8AF5-B4C097BFAE61}"/>
            </c:ext>
          </c:extLst>
        </c:ser>
        <c:ser>
          <c:idx val="1"/>
          <c:order val="1"/>
          <c:tx>
            <c:strRef>
              <c:f>'Ratio Data'!$C$2</c:f>
              <c:strCache>
                <c:ptCount val="1"/>
                <c:pt idx="0">
                  <c:v>3.9</c:v>
                </c:pt>
              </c:strCache>
            </c:strRef>
          </c:tx>
          <c:spPr>
            <a:solidFill>
              <a:schemeClr val="accent2"/>
            </a:solidFill>
            <a:ln>
              <a:noFill/>
            </a:ln>
            <a:effectLst/>
          </c:spPr>
          <c:invertIfNegative val="0"/>
          <c:cat>
            <c:numRef>
              <c:f>'Ratio Data'!$B$1:$F$1</c:f>
              <c:numCache>
                <c:formatCode>General</c:formatCode>
                <c:ptCount val="5"/>
                <c:pt idx="0">
                  <c:v>2020</c:v>
                </c:pt>
                <c:pt idx="1">
                  <c:v>2021</c:v>
                </c:pt>
                <c:pt idx="2">
                  <c:v>2022</c:v>
                </c:pt>
                <c:pt idx="3">
                  <c:v>2023</c:v>
                </c:pt>
                <c:pt idx="4">
                  <c:v>2024</c:v>
                </c:pt>
              </c:numCache>
            </c:numRef>
          </c:cat>
          <c:val>
            <c:numRef>
              <c:f>'Ratio Data'!$C$3</c:f>
              <c:numCache>
                <c:formatCode>General</c:formatCode>
                <c:ptCount val="1"/>
                <c:pt idx="0">
                  <c:v>0.9</c:v>
                </c:pt>
              </c:numCache>
            </c:numRef>
          </c:val>
          <c:extLst>
            <c:ext xmlns:c16="http://schemas.microsoft.com/office/drawing/2014/chart" uri="{C3380CC4-5D6E-409C-BE32-E72D297353CC}">
              <c16:uniqueId val="{00000001-936C-433C-8AF5-B4C097BFAE61}"/>
            </c:ext>
          </c:extLst>
        </c:ser>
        <c:ser>
          <c:idx val="2"/>
          <c:order val="2"/>
          <c:tx>
            <c:strRef>
              <c:f>'Ratio Data'!$D$2</c:f>
              <c:strCache>
                <c:ptCount val="1"/>
                <c:pt idx="0">
                  <c:v>2.7</c:v>
                </c:pt>
              </c:strCache>
            </c:strRef>
          </c:tx>
          <c:spPr>
            <a:solidFill>
              <a:schemeClr val="accent3"/>
            </a:solidFill>
            <a:ln>
              <a:noFill/>
            </a:ln>
            <a:effectLst/>
          </c:spPr>
          <c:invertIfNegative val="0"/>
          <c:cat>
            <c:numRef>
              <c:f>'Ratio Data'!$B$1:$F$1</c:f>
              <c:numCache>
                <c:formatCode>General</c:formatCode>
                <c:ptCount val="5"/>
                <c:pt idx="0">
                  <c:v>2020</c:v>
                </c:pt>
                <c:pt idx="1">
                  <c:v>2021</c:v>
                </c:pt>
                <c:pt idx="2">
                  <c:v>2022</c:v>
                </c:pt>
                <c:pt idx="3">
                  <c:v>2023</c:v>
                </c:pt>
                <c:pt idx="4">
                  <c:v>2024</c:v>
                </c:pt>
              </c:numCache>
            </c:numRef>
          </c:cat>
          <c:val>
            <c:numRef>
              <c:f>'Ratio Data'!$D$3</c:f>
              <c:numCache>
                <c:formatCode>General</c:formatCode>
                <c:ptCount val="1"/>
                <c:pt idx="0">
                  <c:v>0.1</c:v>
                </c:pt>
              </c:numCache>
            </c:numRef>
          </c:val>
          <c:extLst>
            <c:ext xmlns:c16="http://schemas.microsoft.com/office/drawing/2014/chart" uri="{C3380CC4-5D6E-409C-BE32-E72D297353CC}">
              <c16:uniqueId val="{00000002-936C-433C-8AF5-B4C097BFAE61}"/>
            </c:ext>
          </c:extLst>
        </c:ser>
        <c:ser>
          <c:idx val="3"/>
          <c:order val="3"/>
          <c:tx>
            <c:strRef>
              <c:f>'Ratio Data'!$E$2</c:f>
              <c:strCache>
                <c:ptCount val="1"/>
                <c:pt idx="0">
                  <c:v>-20.3</c:v>
                </c:pt>
              </c:strCache>
            </c:strRef>
          </c:tx>
          <c:spPr>
            <a:solidFill>
              <a:schemeClr val="accent4"/>
            </a:solidFill>
            <a:ln>
              <a:noFill/>
            </a:ln>
            <a:effectLst/>
          </c:spPr>
          <c:invertIfNegative val="0"/>
          <c:cat>
            <c:numRef>
              <c:f>'Ratio Data'!$B$1:$F$1</c:f>
              <c:numCache>
                <c:formatCode>General</c:formatCode>
                <c:ptCount val="5"/>
                <c:pt idx="0">
                  <c:v>2020</c:v>
                </c:pt>
                <c:pt idx="1">
                  <c:v>2021</c:v>
                </c:pt>
                <c:pt idx="2">
                  <c:v>2022</c:v>
                </c:pt>
                <c:pt idx="3">
                  <c:v>2023</c:v>
                </c:pt>
                <c:pt idx="4">
                  <c:v>2024</c:v>
                </c:pt>
              </c:numCache>
            </c:numRef>
          </c:cat>
          <c:val>
            <c:numRef>
              <c:f>'Ratio Data'!$E$3</c:f>
              <c:numCache>
                <c:formatCode>General</c:formatCode>
                <c:ptCount val="1"/>
                <c:pt idx="0">
                  <c:v>-23.4</c:v>
                </c:pt>
              </c:numCache>
            </c:numRef>
          </c:val>
          <c:extLst>
            <c:ext xmlns:c16="http://schemas.microsoft.com/office/drawing/2014/chart" uri="{C3380CC4-5D6E-409C-BE32-E72D297353CC}">
              <c16:uniqueId val="{00000003-936C-433C-8AF5-B4C097BFAE61}"/>
            </c:ext>
          </c:extLst>
        </c:ser>
        <c:ser>
          <c:idx val="4"/>
          <c:order val="4"/>
          <c:tx>
            <c:strRef>
              <c:f>'Ratio Data'!$F$2</c:f>
              <c:strCache>
                <c:ptCount val="1"/>
                <c:pt idx="0">
                  <c:v>-3.9</c:v>
                </c:pt>
              </c:strCache>
            </c:strRef>
          </c:tx>
          <c:spPr>
            <a:solidFill>
              <a:schemeClr val="accent5"/>
            </a:solidFill>
            <a:ln>
              <a:noFill/>
            </a:ln>
            <a:effectLst/>
          </c:spPr>
          <c:invertIfNegative val="0"/>
          <c:cat>
            <c:numRef>
              <c:f>'Ratio Data'!$B$1:$F$1</c:f>
              <c:numCache>
                <c:formatCode>General</c:formatCode>
                <c:ptCount val="5"/>
                <c:pt idx="0">
                  <c:v>2020</c:v>
                </c:pt>
                <c:pt idx="1">
                  <c:v>2021</c:v>
                </c:pt>
                <c:pt idx="2">
                  <c:v>2022</c:v>
                </c:pt>
                <c:pt idx="3">
                  <c:v>2023</c:v>
                </c:pt>
                <c:pt idx="4">
                  <c:v>2024</c:v>
                </c:pt>
              </c:numCache>
            </c:numRef>
          </c:cat>
          <c:val>
            <c:numRef>
              <c:f>'Ratio Data'!$F$3</c:f>
              <c:numCache>
                <c:formatCode>General</c:formatCode>
                <c:ptCount val="1"/>
                <c:pt idx="0">
                  <c:v>-6.1</c:v>
                </c:pt>
              </c:numCache>
            </c:numRef>
          </c:val>
          <c:extLst>
            <c:ext xmlns:c16="http://schemas.microsoft.com/office/drawing/2014/chart" uri="{C3380CC4-5D6E-409C-BE32-E72D297353CC}">
              <c16:uniqueId val="{00000004-936C-433C-8AF5-B4C097BFAE61}"/>
            </c:ext>
          </c:extLst>
        </c:ser>
        <c:dLbls>
          <c:showLegendKey val="0"/>
          <c:showVal val="0"/>
          <c:showCatName val="0"/>
          <c:showSerName val="0"/>
          <c:showPercent val="0"/>
          <c:showBubbleSize val="0"/>
        </c:dLbls>
        <c:gapWidth val="267"/>
        <c:overlap val="-43"/>
        <c:axId val="10"/>
        <c:axId val="100"/>
      </c:barChart>
      <c:catAx>
        <c:axId val="10"/>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Year</a:t>
                </a:r>
              </a:p>
            </c:rich>
          </c:tx>
          <c:overlay val="1"/>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Percentage (%)</a:t>
                </a:r>
              </a:p>
            </c:rich>
          </c:tx>
          <c:overlay val="1"/>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1"/>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Gearing Trend</a:t>
            </a:r>
          </a:p>
        </c:rich>
      </c:tx>
      <c:overlay val="1"/>
    </c:title>
    <c:autoTitleDeleted val="0"/>
    <c:plotArea>
      <c:layout/>
      <c:lineChart>
        <c:grouping val="standard"/>
        <c:varyColors val="1"/>
        <c:ser>
          <c:idx val="0"/>
          <c:order val="0"/>
          <c:tx>
            <c:strRef>
              <c:f>'Ratio Data'!$B$7</c:f>
              <c:strCache>
                <c:ptCount val="1"/>
                <c:pt idx="0">
                  <c:v>0.63</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Data'!$B$7:$C$7</c:f>
              <c:numCache>
                <c:formatCode>General</c:formatCode>
                <c:ptCount val="2"/>
                <c:pt idx="0">
                  <c:v>0.63</c:v>
                </c:pt>
                <c:pt idx="1">
                  <c:v>0.85</c:v>
                </c:pt>
              </c:numCache>
            </c:numRef>
          </c:val>
          <c:smooth val="1"/>
          <c:extLst>
            <c:ext xmlns:c16="http://schemas.microsoft.com/office/drawing/2014/chart" uri="{C3380CC4-5D6E-409C-BE32-E72D297353CC}">
              <c16:uniqueId val="{00000000-8159-4BF0-BAE8-575887A65F61}"/>
            </c:ext>
          </c:extLst>
        </c:ser>
        <c:ser>
          <c:idx val="1"/>
          <c:order val="1"/>
          <c:tx>
            <c:strRef>
              <c:f>'Ratio Data'!$C$7</c:f>
              <c:strCache>
                <c:ptCount val="1"/>
                <c:pt idx="0">
                  <c:v>0.85</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Data'!$C$7:$D$7</c:f>
              <c:numCache>
                <c:formatCode>General</c:formatCode>
                <c:ptCount val="2"/>
                <c:pt idx="0">
                  <c:v>0.85</c:v>
                </c:pt>
                <c:pt idx="1">
                  <c:v>0.88</c:v>
                </c:pt>
              </c:numCache>
            </c:numRef>
          </c:val>
          <c:smooth val="1"/>
          <c:extLst>
            <c:ext xmlns:c16="http://schemas.microsoft.com/office/drawing/2014/chart" uri="{C3380CC4-5D6E-409C-BE32-E72D297353CC}">
              <c16:uniqueId val="{00000001-8159-4BF0-BAE8-575887A65F61}"/>
            </c:ext>
          </c:extLst>
        </c:ser>
        <c:ser>
          <c:idx val="2"/>
          <c:order val="2"/>
          <c:tx>
            <c:strRef>
              <c:f>'Ratio Data'!$D$7</c:f>
              <c:strCache>
                <c:ptCount val="1"/>
                <c:pt idx="0">
                  <c:v>0.88</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Data'!$D$7:$E$7</c:f>
              <c:numCache>
                <c:formatCode>General</c:formatCode>
                <c:ptCount val="2"/>
                <c:pt idx="0">
                  <c:v>0.88</c:v>
                </c:pt>
                <c:pt idx="1">
                  <c:v>0.99</c:v>
                </c:pt>
              </c:numCache>
            </c:numRef>
          </c:val>
          <c:smooth val="1"/>
          <c:extLst>
            <c:ext xmlns:c16="http://schemas.microsoft.com/office/drawing/2014/chart" uri="{C3380CC4-5D6E-409C-BE32-E72D297353CC}">
              <c16:uniqueId val="{00000002-8159-4BF0-BAE8-575887A65F61}"/>
            </c:ext>
          </c:extLst>
        </c:ser>
        <c:ser>
          <c:idx val="3"/>
          <c:order val="3"/>
          <c:tx>
            <c:strRef>
              <c:f>'Ratio Data'!$E$7</c:f>
              <c:strCache>
                <c:ptCount val="1"/>
                <c:pt idx="0">
                  <c:v>0.99</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Data'!$E$7:$F$7</c:f>
              <c:numCache>
                <c:formatCode>General</c:formatCode>
                <c:ptCount val="2"/>
                <c:pt idx="0">
                  <c:v>0.99</c:v>
                </c:pt>
                <c:pt idx="1">
                  <c:v>1.1100000000000001</c:v>
                </c:pt>
              </c:numCache>
            </c:numRef>
          </c:val>
          <c:smooth val="1"/>
          <c:extLst>
            <c:ext xmlns:c16="http://schemas.microsoft.com/office/drawing/2014/chart" uri="{C3380CC4-5D6E-409C-BE32-E72D297353CC}">
              <c16:uniqueId val="{00000003-8159-4BF0-BAE8-575887A65F61}"/>
            </c:ext>
          </c:extLst>
        </c:ser>
        <c:ser>
          <c:idx val="4"/>
          <c:order val="4"/>
          <c:tx>
            <c:strRef>
              <c:f>'Ratio Data'!$F$7</c:f>
              <c:strCache>
                <c:ptCount val="1"/>
                <c:pt idx="0">
                  <c:v>1.11</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Data'!$F$7:$G$7</c:f>
              <c:numCache>
                <c:formatCode>General</c:formatCode>
                <c:ptCount val="2"/>
                <c:pt idx="0">
                  <c:v>1.1100000000000001</c:v>
                </c:pt>
              </c:numCache>
            </c:numRef>
          </c:val>
          <c:smooth val="1"/>
          <c:extLst>
            <c:ext xmlns:c16="http://schemas.microsoft.com/office/drawing/2014/chart" uri="{C3380CC4-5D6E-409C-BE32-E72D297353CC}">
              <c16:uniqueId val="{00000004-8159-4BF0-BAE8-575887A65F61}"/>
            </c:ext>
          </c:extLst>
        </c:ser>
        <c:dLbls>
          <c:showLegendKey val="0"/>
          <c:showVal val="0"/>
          <c:showCatName val="0"/>
          <c:showSerName val="0"/>
          <c:showPercent val="0"/>
          <c:showBubbleSize val="0"/>
        </c:dLbls>
        <c:smooth val="0"/>
        <c:axId val="10"/>
        <c:axId val="100"/>
      </c:lineChart>
      <c:catAx>
        <c:axId val="10"/>
        <c:scaling>
          <c:orientation val="minMax"/>
        </c:scaling>
        <c:delete val="1"/>
        <c:axPos val="b"/>
        <c:title>
          <c:tx>
            <c:rich>
              <a:bodyPr/>
              <a:lstStyle/>
              <a:p>
                <a:pPr>
                  <a:defRPr/>
                </a:pPr>
                <a:r>
                  <a:rPr lang="en-US"/>
                  <a:t>Year</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title>
          <c:tx>
            <c:rich>
              <a:bodyPr/>
              <a:lstStyle/>
              <a:p>
                <a:pPr>
                  <a:defRPr/>
                </a:pPr>
                <a:r>
                  <a:rPr lang="en-US"/>
                  <a:t>Ratio</a:t>
                </a:r>
              </a:p>
            </c:rich>
          </c:tx>
          <c:overlay val="1"/>
        </c:title>
        <c:numFmt formatCode="General" sourceLinked="1"/>
        <c:majorTickMark val="none"/>
        <c:minorTickMark val="none"/>
        <c:tickLblPos val="nextTo"/>
        <c:crossAx val="10"/>
        <c:crosses val="autoZero"/>
        <c:crossBetween val="between"/>
      </c:valAx>
    </c:plotArea>
    <c:legend>
      <c:legendPos val="r"/>
      <c:overlay val="1"/>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Liquidity Trend</a:t>
            </a:r>
          </a:p>
        </c:rich>
      </c:tx>
      <c:overlay val="1"/>
    </c:title>
    <c:autoTitleDeleted val="0"/>
    <c:plotArea>
      <c:layout/>
      <c:lineChart>
        <c:grouping val="standard"/>
        <c:varyColors val="1"/>
        <c:ser>
          <c:idx val="0"/>
          <c:order val="0"/>
          <c:tx>
            <c:strRef>
              <c:f>'Ratio Data'!$B$4</c:f>
              <c:strCache>
                <c:ptCount val="1"/>
                <c:pt idx="0">
                  <c:v>1.82</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Data'!$B$5:$B$6</c:f>
              <c:numCache>
                <c:formatCode>General</c:formatCode>
                <c:ptCount val="2"/>
                <c:pt idx="0">
                  <c:v>1.1499999999999999</c:v>
                </c:pt>
                <c:pt idx="1">
                  <c:v>0.32</c:v>
                </c:pt>
              </c:numCache>
            </c:numRef>
          </c:val>
          <c:smooth val="1"/>
          <c:extLst>
            <c:ext xmlns:c16="http://schemas.microsoft.com/office/drawing/2014/chart" uri="{C3380CC4-5D6E-409C-BE32-E72D297353CC}">
              <c16:uniqueId val="{00000000-1042-48F5-87F6-A273DD21B25D}"/>
            </c:ext>
          </c:extLst>
        </c:ser>
        <c:ser>
          <c:idx val="1"/>
          <c:order val="1"/>
          <c:tx>
            <c:strRef>
              <c:f>'Ratio Data'!$C$4</c:f>
              <c:strCache>
                <c:ptCount val="1"/>
                <c:pt idx="0">
                  <c:v>1.56</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Data'!$C$5:$C$6</c:f>
              <c:numCache>
                <c:formatCode>General</c:formatCode>
                <c:ptCount val="2"/>
                <c:pt idx="0">
                  <c:v>0.93</c:v>
                </c:pt>
                <c:pt idx="1">
                  <c:v>0.28000000000000003</c:v>
                </c:pt>
              </c:numCache>
            </c:numRef>
          </c:val>
          <c:smooth val="1"/>
          <c:extLst>
            <c:ext xmlns:c16="http://schemas.microsoft.com/office/drawing/2014/chart" uri="{C3380CC4-5D6E-409C-BE32-E72D297353CC}">
              <c16:uniqueId val="{00000001-1042-48F5-87F6-A273DD21B25D}"/>
            </c:ext>
          </c:extLst>
        </c:ser>
        <c:ser>
          <c:idx val="2"/>
          <c:order val="2"/>
          <c:tx>
            <c:strRef>
              <c:f>'Ratio Data'!$D$4</c:f>
              <c:strCache>
                <c:ptCount val="1"/>
                <c:pt idx="0">
                  <c:v>1.56</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Data'!$D$5:$D$6</c:f>
              <c:numCache>
                <c:formatCode>General</c:formatCode>
                <c:ptCount val="2"/>
                <c:pt idx="0">
                  <c:v>0.91</c:v>
                </c:pt>
                <c:pt idx="1">
                  <c:v>0.31</c:v>
                </c:pt>
              </c:numCache>
            </c:numRef>
          </c:val>
          <c:smooth val="1"/>
          <c:extLst>
            <c:ext xmlns:c16="http://schemas.microsoft.com/office/drawing/2014/chart" uri="{C3380CC4-5D6E-409C-BE32-E72D297353CC}">
              <c16:uniqueId val="{00000002-1042-48F5-87F6-A273DD21B25D}"/>
            </c:ext>
          </c:extLst>
        </c:ser>
        <c:ser>
          <c:idx val="3"/>
          <c:order val="3"/>
          <c:tx>
            <c:strRef>
              <c:f>'Ratio Data'!$E$4</c:f>
              <c:strCache>
                <c:ptCount val="1"/>
                <c:pt idx="0">
                  <c:v>1.61</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Data'!$E$5:$E$6</c:f>
              <c:numCache>
                <c:formatCode>General</c:formatCode>
                <c:ptCount val="2"/>
                <c:pt idx="0">
                  <c:v>1.06</c:v>
                </c:pt>
                <c:pt idx="1">
                  <c:v>0.27</c:v>
                </c:pt>
              </c:numCache>
            </c:numRef>
          </c:val>
          <c:smooth val="1"/>
          <c:extLst>
            <c:ext xmlns:c16="http://schemas.microsoft.com/office/drawing/2014/chart" uri="{C3380CC4-5D6E-409C-BE32-E72D297353CC}">
              <c16:uniqueId val="{00000003-1042-48F5-87F6-A273DD21B25D}"/>
            </c:ext>
          </c:extLst>
        </c:ser>
        <c:ser>
          <c:idx val="4"/>
          <c:order val="4"/>
          <c:tx>
            <c:strRef>
              <c:f>'Ratio Data'!$F$4</c:f>
              <c:strCache>
                <c:ptCount val="1"/>
                <c:pt idx="0">
                  <c:v>1.53</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Data'!$F$5:$F$6</c:f>
              <c:numCache>
                <c:formatCode>General</c:formatCode>
                <c:ptCount val="2"/>
                <c:pt idx="0">
                  <c:v>1.03</c:v>
                </c:pt>
                <c:pt idx="1">
                  <c:v>0.17</c:v>
                </c:pt>
              </c:numCache>
            </c:numRef>
          </c:val>
          <c:smooth val="1"/>
          <c:extLst>
            <c:ext xmlns:c16="http://schemas.microsoft.com/office/drawing/2014/chart" uri="{C3380CC4-5D6E-409C-BE32-E72D297353CC}">
              <c16:uniqueId val="{00000004-1042-48F5-87F6-A273DD21B25D}"/>
            </c:ext>
          </c:extLst>
        </c:ser>
        <c:dLbls>
          <c:showLegendKey val="0"/>
          <c:showVal val="0"/>
          <c:showCatName val="0"/>
          <c:showSerName val="0"/>
          <c:showPercent val="0"/>
          <c:showBubbleSize val="0"/>
        </c:dLbls>
        <c:smooth val="0"/>
        <c:axId val="10"/>
        <c:axId val="100"/>
      </c:lineChart>
      <c:catAx>
        <c:axId val="10"/>
        <c:scaling>
          <c:orientation val="minMax"/>
        </c:scaling>
        <c:delete val="1"/>
        <c:axPos val="b"/>
        <c:title>
          <c:tx>
            <c:rich>
              <a:bodyPr/>
              <a:lstStyle/>
              <a:p>
                <a:pPr>
                  <a:defRPr/>
                </a:pPr>
                <a:r>
                  <a:rPr lang="en-US"/>
                  <a:t>Year</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title>
          <c:tx>
            <c:rich>
              <a:bodyPr/>
              <a:lstStyle/>
              <a:p>
                <a:pPr>
                  <a:defRPr/>
                </a:pPr>
                <a:r>
                  <a:rPr lang="en-US"/>
                  <a:t>Ratio</a:t>
                </a:r>
              </a:p>
            </c:rich>
          </c:tx>
          <c:overlay val="1"/>
        </c:title>
        <c:numFmt formatCode="General" sourceLinked="1"/>
        <c:majorTickMark val="none"/>
        <c:minorTickMark val="none"/>
        <c:tickLblPos val="nextTo"/>
        <c:crossAx val="10"/>
        <c:crosses val="autoZero"/>
        <c:crossBetween val="between"/>
      </c:valAx>
    </c:plotArea>
    <c:legend>
      <c:legendPos val="r"/>
      <c:overlay val="1"/>
    </c:legend>
    <c:plotVisOnly val="1"/>
    <c:dispBlanksAs val="gap"/>
    <c:showDLblsOverMax val="1"/>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Operating Cash Flow Trend</a:t>
            </a:r>
          </a:p>
        </c:rich>
      </c:tx>
      <c:overlay val="1"/>
    </c:title>
    <c:autoTitleDeleted val="0"/>
    <c:plotArea>
      <c:layout/>
      <c:lineChart>
        <c:grouping val="standard"/>
        <c:varyColors val="1"/>
        <c:ser>
          <c:idx val="0"/>
          <c:order val="0"/>
          <c:tx>
            <c:strRef>
              <c:f>'Ratio Data'!$B$8</c:f>
              <c:strCache>
                <c:ptCount val="1"/>
                <c:pt idx="0">
                  <c:v>73392</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Data'!$B$8:$C$8</c:f>
              <c:numCache>
                <c:formatCode>General</c:formatCode>
                <c:ptCount val="2"/>
                <c:pt idx="0">
                  <c:v>73392</c:v>
                </c:pt>
                <c:pt idx="1">
                  <c:v>40283</c:v>
                </c:pt>
              </c:numCache>
            </c:numRef>
          </c:val>
          <c:smooth val="1"/>
          <c:extLst>
            <c:ext xmlns:c16="http://schemas.microsoft.com/office/drawing/2014/chart" uri="{C3380CC4-5D6E-409C-BE32-E72D297353CC}">
              <c16:uniqueId val="{00000000-F572-4569-AE96-33FCF81096B6}"/>
            </c:ext>
          </c:extLst>
        </c:ser>
        <c:ser>
          <c:idx val="1"/>
          <c:order val="1"/>
          <c:tx>
            <c:strRef>
              <c:f>'Ratio Data'!$C$8</c:f>
              <c:strCache>
                <c:ptCount val="1"/>
                <c:pt idx="0">
                  <c:v>40283</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Data'!$C$8:$D$8</c:f>
              <c:numCache>
                <c:formatCode>General</c:formatCode>
                <c:ptCount val="2"/>
                <c:pt idx="0">
                  <c:v>40283</c:v>
                </c:pt>
                <c:pt idx="1">
                  <c:v>10926</c:v>
                </c:pt>
              </c:numCache>
            </c:numRef>
          </c:val>
          <c:smooth val="1"/>
          <c:extLst>
            <c:ext xmlns:c16="http://schemas.microsoft.com/office/drawing/2014/chart" uri="{C3380CC4-5D6E-409C-BE32-E72D297353CC}">
              <c16:uniqueId val="{00000001-F572-4569-AE96-33FCF81096B6}"/>
            </c:ext>
          </c:extLst>
        </c:ser>
        <c:ser>
          <c:idx val="2"/>
          <c:order val="2"/>
          <c:tx>
            <c:strRef>
              <c:f>'Ratio Data'!$D$8</c:f>
              <c:strCache>
                <c:ptCount val="1"/>
                <c:pt idx="0">
                  <c:v>10926</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Data'!$D$8:$E$8</c:f>
              <c:numCache>
                <c:formatCode>General</c:formatCode>
                <c:ptCount val="2"/>
                <c:pt idx="0">
                  <c:v>10926</c:v>
                </c:pt>
                <c:pt idx="1">
                  <c:v>25190</c:v>
                </c:pt>
              </c:numCache>
            </c:numRef>
          </c:val>
          <c:smooth val="1"/>
          <c:extLst>
            <c:ext xmlns:c16="http://schemas.microsoft.com/office/drawing/2014/chart" uri="{C3380CC4-5D6E-409C-BE32-E72D297353CC}">
              <c16:uniqueId val="{00000002-F572-4569-AE96-33FCF81096B6}"/>
            </c:ext>
          </c:extLst>
        </c:ser>
        <c:ser>
          <c:idx val="3"/>
          <c:order val="3"/>
          <c:tx>
            <c:strRef>
              <c:f>'Ratio Data'!$E$8</c:f>
              <c:strCache>
                <c:ptCount val="1"/>
                <c:pt idx="0">
                  <c:v>25190</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Data'!$E$8:$F$8</c:f>
              <c:numCache>
                <c:formatCode>General</c:formatCode>
                <c:ptCount val="2"/>
                <c:pt idx="0">
                  <c:v>25190</c:v>
                </c:pt>
                <c:pt idx="1">
                  <c:v>14822</c:v>
                </c:pt>
              </c:numCache>
            </c:numRef>
          </c:val>
          <c:smooth val="1"/>
          <c:extLst>
            <c:ext xmlns:c16="http://schemas.microsoft.com/office/drawing/2014/chart" uri="{C3380CC4-5D6E-409C-BE32-E72D297353CC}">
              <c16:uniqueId val="{00000003-F572-4569-AE96-33FCF81096B6}"/>
            </c:ext>
          </c:extLst>
        </c:ser>
        <c:ser>
          <c:idx val="4"/>
          <c:order val="4"/>
          <c:tx>
            <c:strRef>
              <c:f>'Ratio Data'!$F$8</c:f>
              <c:strCache>
                <c:ptCount val="1"/>
                <c:pt idx="0">
                  <c:v>14822</c:v>
                </c:pt>
              </c:strCache>
            </c:strRef>
          </c:tx>
          <c:spPr>
            <a:ln>
              <a:prstDash val="solid"/>
            </a:ln>
          </c:spPr>
          <c:marker>
            <c:symbol val="none"/>
          </c:marker>
          <c:cat>
            <c:numRef>
              <c:f>'Ratio Data'!$B$1:$F$1</c:f>
              <c:numCache>
                <c:formatCode>General</c:formatCode>
                <c:ptCount val="5"/>
                <c:pt idx="0">
                  <c:v>2020</c:v>
                </c:pt>
                <c:pt idx="1">
                  <c:v>2021</c:v>
                </c:pt>
                <c:pt idx="2">
                  <c:v>2022</c:v>
                </c:pt>
                <c:pt idx="3">
                  <c:v>2023</c:v>
                </c:pt>
                <c:pt idx="4">
                  <c:v>2024</c:v>
                </c:pt>
              </c:numCache>
            </c:numRef>
          </c:cat>
          <c:val>
            <c:numRef>
              <c:f>'Ratio Data'!$F$8:$G$8</c:f>
              <c:numCache>
                <c:formatCode>General</c:formatCode>
                <c:ptCount val="2"/>
                <c:pt idx="0">
                  <c:v>14822</c:v>
                </c:pt>
              </c:numCache>
            </c:numRef>
          </c:val>
          <c:smooth val="1"/>
          <c:extLst>
            <c:ext xmlns:c16="http://schemas.microsoft.com/office/drawing/2014/chart" uri="{C3380CC4-5D6E-409C-BE32-E72D297353CC}">
              <c16:uniqueId val="{00000004-F572-4569-AE96-33FCF81096B6}"/>
            </c:ext>
          </c:extLst>
        </c:ser>
        <c:dLbls>
          <c:showLegendKey val="0"/>
          <c:showVal val="0"/>
          <c:showCatName val="0"/>
          <c:showSerName val="0"/>
          <c:showPercent val="0"/>
          <c:showBubbleSize val="0"/>
        </c:dLbls>
        <c:smooth val="0"/>
        <c:axId val="10"/>
        <c:axId val="100"/>
      </c:lineChart>
      <c:catAx>
        <c:axId val="10"/>
        <c:scaling>
          <c:orientation val="minMax"/>
        </c:scaling>
        <c:delete val="1"/>
        <c:axPos val="b"/>
        <c:title>
          <c:tx>
            <c:rich>
              <a:bodyPr/>
              <a:lstStyle/>
              <a:p>
                <a:pPr>
                  <a:defRPr/>
                </a:pPr>
                <a:r>
                  <a:rPr lang="en-US"/>
                  <a:t>Year</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title>
          <c:tx>
            <c:rich>
              <a:bodyPr/>
              <a:lstStyle/>
              <a:p>
                <a:pPr>
                  <a:defRPr/>
                </a:pPr>
                <a:r>
                  <a:rPr lang="en-US"/>
                  <a:t>£ million</a:t>
                </a:r>
              </a:p>
            </c:rich>
          </c:tx>
          <c:overlay val="1"/>
        </c:title>
        <c:numFmt formatCode="General" sourceLinked="1"/>
        <c:majorTickMark val="none"/>
        <c:minorTickMark val="none"/>
        <c:tickLblPos val="nextTo"/>
        <c:crossAx val="10"/>
        <c:crosses val="autoZero"/>
        <c:crossBetween val="between"/>
      </c:valAx>
    </c:plotArea>
    <c:legend>
      <c:legendPos val="r"/>
      <c:overlay val="1"/>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