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D32FA" w14:textId="77777777" w:rsidR="005B0A3D" w:rsidRDefault="005B0A3D" w:rsidP="005B0A3D">
      <w:pPr>
        <w:spacing w:after="0" w:line="276" w:lineRule="auto"/>
        <w:ind w:right="531"/>
        <w:rPr>
          <w:rFonts w:ascii="Arial" w:eastAsia="Times New Roman" w:hAnsi="Arial" w:cs="Arial"/>
          <w:b/>
          <w:bCs/>
          <w:u w:val="single"/>
          <w:lang w:eastAsia="en-GB"/>
        </w:rPr>
      </w:pPr>
      <w:r>
        <w:rPr>
          <w:rFonts w:ascii="Arial" w:eastAsia="Times New Roman" w:hAnsi="Arial" w:cs="Arial"/>
          <w:b/>
          <w:bCs/>
          <w:u w:val="single"/>
          <w:lang w:eastAsia="en-GB"/>
        </w:rPr>
        <w:t>Analyse the role of independent bodies (</w:t>
      </w:r>
      <w:proofErr w:type="gramStart"/>
      <w:r>
        <w:rPr>
          <w:rFonts w:ascii="Arial" w:eastAsia="Times New Roman" w:hAnsi="Arial" w:cs="Arial"/>
          <w:b/>
          <w:bCs/>
          <w:u w:val="single"/>
          <w:lang w:eastAsia="en-GB"/>
        </w:rPr>
        <w:t>i.e.</w:t>
      </w:r>
      <w:proofErr w:type="gramEnd"/>
      <w:r>
        <w:rPr>
          <w:rFonts w:ascii="Arial" w:eastAsia="Times New Roman" w:hAnsi="Arial" w:cs="Arial"/>
          <w:b/>
          <w:bCs/>
          <w:u w:val="single"/>
          <w:lang w:eastAsia="en-GB"/>
        </w:rPr>
        <w:t xml:space="preserve"> IOPC/HMICFRS) in holding the police accountable to those they serve. Consider how and why it is necessary to hold the police to account, and the effectiveness of these independent bodies at fulfilling this task. You should also consider how else the police might be held to account, including whether any policies are in place internally to prevent this.</w:t>
      </w:r>
    </w:p>
    <w:p w14:paraId="21797890" w14:textId="77777777" w:rsidR="005B0A3D" w:rsidRDefault="005B0A3D" w:rsidP="005B0A3D">
      <w:pPr>
        <w:spacing w:after="0" w:line="276" w:lineRule="auto"/>
        <w:ind w:right="531"/>
        <w:rPr>
          <w:rFonts w:ascii="Arial" w:eastAsia="Times New Roman" w:hAnsi="Arial" w:cs="Arial"/>
          <w:b/>
          <w:bCs/>
          <w:u w:val="single"/>
          <w:lang w:eastAsia="en-GB"/>
        </w:rPr>
      </w:pPr>
    </w:p>
    <w:p w14:paraId="4C12FAB0"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The IOPC, The Independent Office for Police Conduct, is an independent organisation which oversees complaints, reviews and appeals made against the police. The IOPC also investigate serious matters, for example deaths following police contact, serious corruption or where an officer has committed a criminal offence (IOPC, 2020).</w:t>
      </w:r>
    </w:p>
    <w:p w14:paraId="0F280BA1" w14:textId="77777777" w:rsidR="005B0A3D" w:rsidRDefault="005B0A3D" w:rsidP="005B0A3D">
      <w:pPr>
        <w:spacing w:after="0" w:line="276" w:lineRule="auto"/>
        <w:ind w:right="531"/>
        <w:rPr>
          <w:rFonts w:ascii="Arial" w:eastAsia="Times New Roman" w:hAnsi="Arial" w:cs="Arial"/>
          <w:lang w:eastAsia="en-GB"/>
        </w:rPr>
      </w:pPr>
    </w:p>
    <w:p w14:paraId="0E52E33A"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IOPC was formed in January 2018. Before this the organisation was previously known as the IPCC, the Independent Police Complaints Commission. This change came about after the Home Office carried out a structural review that would better suit the increasing workload the organisation was taking on (IOPC, 2020). </w:t>
      </w:r>
    </w:p>
    <w:p w14:paraId="1CE3E357" w14:textId="77777777" w:rsidR="005B0A3D" w:rsidRDefault="005B0A3D" w:rsidP="005B0A3D">
      <w:pPr>
        <w:spacing w:after="0" w:line="276" w:lineRule="auto"/>
        <w:ind w:right="531"/>
        <w:rPr>
          <w:rFonts w:ascii="Arial" w:eastAsia="Times New Roman" w:hAnsi="Arial" w:cs="Arial"/>
          <w:lang w:eastAsia="en-GB"/>
        </w:rPr>
      </w:pPr>
    </w:p>
    <w:p w14:paraId="6D954E14"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From research conducted in the year 2020/21 the IOPC recorded 67,732 complaints. Of these some 36,365 of those complaints were recorded formally and from those complaints, a total of 109,151 allegations were logged (IOPC, 2021)</w:t>
      </w:r>
    </w:p>
    <w:p w14:paraId="13E14E6D" w14:textId="77777777" w:rsidR="005B0A3D" w:rsidRDefault="005B0A3D" w:rsidP="005B0A3D">
      <w:pPr>
        <w:spacing w:after="0" w:line="276" w:lineRule="auto"/>
        <w:ind w:right="531"/>
        <w:rPr>
          <w:rFonts w:ascii="Arial" w:eastAsia="Times New Roman" w:hAnsi="Arial" w:cs="Arial"/>
          <w:lang w:eastAsia="en-GB"/>
        </w:rPr>
      </w:pPr>
    </w:p>
    <w:p w14:paraId="458A7A7F"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role of the IOPC is to oversee each complaint made. This will include </w:t>
      </w:r>
      <w:proofErr w:type="gramStart"/>
      <w:r>
        <w:rPr>
          <w:rFonts w:ascii="Arial" w:eastAsia="Times New Roman" w:hAnsi="Arial" w:cs="Arial"/>
          <w:lang w:eastAsia="en-GB"/>
        </w:rPr>
        <w:t>conducting an investigation</w:t>
      </w:r>
      <w:proofErr w:type="gramEnd"/>
      <w:r>
        <w:rPr>
          <w:rFonts w:ascii="Arial" w:eastAsia="Times New Roman" w:hAnsi="Arial" w:cs="Arial"/>
          <w:lang w:eastAsia="en-GB"/>
        </w:rPr>
        <w:t xml:space="preserve"> and if the complaint is upheld, deciding on what action should then be taken. It is key for an organisation like this to exist and so it ensures any investigation is independent and free from bias, as well as providing the public with high levels of confidence that the police are being held accountable to the highest of standards (IOPC, 2022).</w:t>
      </w:r>
    </w:p>
    <w:p w14:paraId="6C8A3E3D" w14:textId="77777777" w:rsidR="005B0A3D" w:rsidRDefault="005B0A3D" w:rsidP="005B0A3D">
      <w:pPr>
        <w:spacing w:after="0" w:line="276" w:lineRule="auto"/>
        <w:ind w:right="531"/>
        <w:rPr>
          <w:rFonts w:ascii="Arial" w:eastAsia="Times New Roman" w:hAnsi="Arial" w:cs="Arial"/>
          <w:lang w:eastAsia="en-GB"/>
        </w:rPr>
      </w:pPr>
    </w:p>
    <w:p w14:paraId="0E829DC7"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Although the IOPC are responsible for overseeing complaints made against the police, the majority of these will be handled by a force’s PSD, Professional Standards Department. This will involve PSD investigating complaints of public dissatisfaction, which could include how an </w:t>
      </w:r>
      <w:proofErr w:type="gramStart"/>
      <w:r>
        <w:rPr>
          <w:rFonts w:ascii="Arial" w:eastAsia="Times New Roman" w:hAnsi="Arial" w:cs="Arial"/>
          <w:lang w:eastAsia="en-GB"/>
        </w:rPr>
        <w:t>officer</w:t>
      </w:r>
      <w:proofErr w:type="gramEnd"/>
      <w:r>
        <w:rPr>
          <w:rFonts w:ascii="Arial" w:eastAsia="Times New Roman" w:hAnsi="Arial" w:cs="Arial"/>
          <w:lang w:eastAsia="en-GB"/>
        </w:rPr>
        <w:t xml:space="preserve"> or a member of police staff dealt with a member of the public, or if they are unhappy with how an investigation was handled. This ensures that the high standards and integrity of the force, all officers and staff are adhered to (Gwent Police, 2022).</w:t>
      </w:r>
    </w:p>
    <w:p w14:paraId="43EB9942" w14:textId="77777777" w:rsidR="005B0A3D" w:rsidRDefault="005B0A3D" w:rsidP="005B0A3D">
      <w:pPr>
        <w:spacing w:after="0" w:line="276" w:lineRule="auto"/>
        <w:ind w:right="531"/>
        <w:rPr>
          <w:rFonts w:ascii="Arial" w:eastAsia="Times New Roman" w:hAnsi="Arial" w:cs="Arial"/>
          <w:lang w:eastAsia="en-GB"/>
        </w:rPr>
      </w:pPr>
    </w:p>
    <w:p w14:paraId="40635B22"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From research that has been carried out it shows that an independent review of complaints made against the police are preferred, rather than relying on Professional Standards Departments to conduct internal investigations and that this would improve the public’s view on the way that police officers are held accountable (Brown, 2020).</w:t>
      </w:r>
    </w:p>
    <w:p w14:paraId="3EABFF3E" w14:textId="77777777" w:rsidR="005B0A3D" w:rsidRDefault="005B0A3D" w:rsidP="005B0A3D">
      <w:pPr>
        <w:spacing w:after="0" w:line="276" w:lineRule="auto"/>
        <w:ind w:right="531"/>
        <w:rPr>
          <w:rFonts w:ascii="Arial" w:eastAsia="Times New Roman" w:hAnsi="Arial" w:cs="Arial"/>
          <w:lang w:eastAsia="en-GB"/>
        </w:rPr>
      </w:pPr>
    </w:p>
    <w:p w14:paraId="676BC9D5"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In addition to overseeing complaints the IOPC also focus on working on areas of concern to the public by sharing their learning </w:t>
      </w:r>
      <w:proofErr w:type="gramStart"/>
      <w:r>
        <w:rPr>
          <w:rFonts w:ascii="Arial" w:eastAsia="Times New Roman" w:hAnsi="Arial" w:cs="Arial"/>
          <w:lang w:eastAsia="en-GB"/>
        </w:rPr>
        <w:t>in order to</w:t>
      </w:r>
      <w:proofErr w:type="gramEnd"/>
      <w:r>
        <w:rPr>
          <w:rFonts w:ascii="Arial" w:eastAsia="Times New Roman" w:hAnsi="Arial" w:cs="Arial"/>
          <w:lang w:eastAsia="en-GB"/>
        </w:rPr>
        <w:t xml:space="preserve"> improve policing and protecting the public from harm, in particular victims of domestic violence (Stratton, 2018). </w:t>
      </w:r>
    </w:p>
    <w:p w14:paraId="2D2AE831" w14:textId="77777777" w:rsidR="005B0A3D" w:rsidRDefault="005B0A3D" w:rsidP="005B0A3D">
      <w:pPr>
        <w:spacing w:after="0" w:line="276" w:lineRule="auto"/>
        <w:ind w:right="531"/>
        <w:rPr>
          <w:rFonts w:ascii="Arial" w:eastAsia="Times New Roman" w:hAnsi="Arial" w:cs="Arial"/>
          <w:lang w:eastAsia="en-GB"/>
        </w:rPr>
      </w:pPr>
    </w:p>
    <w:p w14:paraId="621A6449" w14:textId="77777777" w:rsidR="005B0A3D" w:rsidRDefault="005B0A3D" w:rsidP="005B0A3D">
      <w:pPr>
        <w:spacing w:after="0" w:line="276" w:lineRule="auto"/>
        <w:ind w:right="531"/>
        <w:rPr>
          <w:rFonts w:ascii="Arial" w:eastAsia="Times New Roman" w:hAnsi="Arial" w:cs="Arial"/>
          <w:lang w:eastAsia="en-GB"/>
        </w:rPr>
      </w:pPr>
    </w:p>
    <w:p w14:paraId="29861F1C" w14:textId="77777777" w:rsidR="005B0A3D" w:rsidRDefault="005B0A3D" w:rsidP="005B0A3D">
      <w:pPr>
        <w:spacing w:after="0" w:line="276" w:lineRule="auto"/>
        <w:ind w:right="531"/>
        <w:rPr>
          <w:rFonts w:ascii="Arial" w:eastAsia="Times New Roman" w:hAnsi="Arial" w:cs="Arial"/>
          <w:lang w:eastAsia="en-GB"/>
        </w:rPr>
      </w:pPr>
    </w:p>
    <w:p w14:paraId="19643FCE" w14:textId="77777777" w:rsidR="005B0A3D" w:rsidRDefault="005B0A3D" w:rsidP="005B0A3D">
      <w:pPr>
        <w:spacing w:after="0" w:line="276" w:lineRule="auto"/>
        <w:ind w:right="531"/>
        <w:rPr>
          <w:rFonts w:ascii="Arial" w:eastAsia="Times New Roman" w:hAnsi="Arial" w:cs="Arial"/>
          <w:lang w:eastAsia="en-GB"/>
        </w:rPr>
      </w:pPr>
    </w:p>
    <w:p w14:paraId="35F07204"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lastRenderedPageBreak/>
        <w:t xml:space="preserve">While most investigations, appeals and reviews conducted by the IOPC focus on individual cases, they also provide recommendations of learning and/or improvement to individual forces as well as at national level. This ultimately helps to build public confidence, improve </w:t>
      </w:r>
      <w:proofErr w:type="gramStart"/>
      <w:r>
        <w:rPr>
          <w:rFonts w:ascii="Arial" w:eastAsia="Times New Roman" w:hAnsi="Arial" w:cs="Arial"/>
          <w:lang w:eastAsia="en-GB"/>
        </w:rPr>
        <w:t>policing</w:t>
      </w:r>
      <w:proofErr w:type="gramEnd"/>
      <w:r>
        <w:rPr>
          <w:rFonts w:ascii="Arial" w:eastAsia="Times New Roman" w:hAnsi="Arial" w:cs="Arial"/>
          <w:lang w:eastAsia="en-GB"/>
        </w:rPr>
        <w:t xml:space="preserve"> and protect the public from harm (IOPC, 2020). </w:t>
      </w:r>
    </w:p>
    <w:p w14:paraId="6452D56C" w14:textId="77777777" w:rsidR="005B0A3D" w:rsidRDefault="005B0A3D" w:rsidP="005B0A3D">
      <w:pPr>
        <w:spacing w:after="0" w:line="276" w:lineRule="auto"/>
        <w:ind w:right="531"/>
        <w:rPr>
          <w:rFonts w:ascii="Arial" w:eastAsia="Times New Roman" w:hAnsi="Arial" w:cs="Arial"/>
          <w:lang w:eastAsia="en-GB"/>
        </w:rPr>
      </w:pPr>
    </w:p>
    <w:p w14:paraId="58D2857F"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According to the IOPC Learning Strategy of 2020, these recommendations can help bring about changes to policing and protect both members of the public and the police by:</w:t>
      </w:r>
    </w:p>
    <w:p w14:paraId="1F583D3E" w14:textId="77777777" w:rsidR="005B0A3D" w:rsidRDefault="005B0A3D" w:rsidP="005B0A3D">
      <w:pPr>
        <w:spacing w:after="0" w:line="276" w:lineRule="auto"/>
        <w:ind w:left="720" w:right="531"/>
        <w:rPr>
          <w:rFonts w:ascii="Arial" w:eastAsia="Times New Roman" w:hAnsi="Arial" w:cs="Arial"/>
          <w:lang w:eastAsia="en-GB"/>
        </w:rPr>
      </w:pPr>
    </w:p>
    <w:p w14:paraId="173240C7" w14:textId="77777777" w:rsidR="005B0A3D" w:rsidRDefault="005B0A3D" w:rsidP="005B0A3D">
      <w:pPr>
        <w:spacing w:after="0" w:line="276" w:lineRule="auto"/>
        <w:ind w:left="720" w:right="531"/>
        <w:rPr>
          <w:rFonts w:ascii="Arial" w:eastAsia="Times New Roman" w:hAnsi="Arial" w:cs="Arial"/>
          <w:lang w:eastAsia="en-GB"/>
        </w:rPr>
      </w:pPr>
      <w:r>
        <w:rPr>
          <w:rFonts w:ascii="Arial" w:eastAsia="Times New Roman" w:hAnsi="Arial" w:cs="Arial"/>
          <w:lang w:eastAsia="en-GB"/>
        </w:rPr>
        <w:t>• preventing similar incidents where something has gone wrong</w:t>
      </w:r>
    </w:p>
    <w:p w14:paraId="7DEBD02E" w14:textId="77777777" w:rsidR="005B0A3D" w:rsidRDefault="005B0A3D" w:rsidP="005B0A3D">
      <w:pPr>
        <w:spacing w:after="0" w:line="276" w:lineRule="auto"/>
        <w:ind w:left="720" w:right="531"/>
        <w:rPr>
          <w:rFonts w:ascii="Arial" w:eastAsia="Times New Roman" w:hAnsi="Arial" w:cs="Arial"/>
          <w:lang w:eastAsia="en-GB"/>
        </w:rPr>
      </w:pPr>
      <w:r>
        <w:rPr>
          <w:rFonts w:ascii="Arial" w:eastAsia="Times New Roman" w:hAnsi="Arial" w:cs="Arial"/>
          <w:lang w:eastAsia="en-GB"/>
        </w:rPr>
        <w:t>• raising awareness of gaps in policy or training</w:t>
      </w:r>
    </w:p>
    <w:p w14:paraId="5A9E7643" w14:textId="77777777" w:rsidR="005B0A3D" w:rsidRDefault="005B0A3D" w:rsidP="005B0A3D">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 highlighting issues with equipment, </w:t>
      </w:r>
      <w:proofErr w:type="gramStart"/>
      <w:r>
        <w:rPr>
          <w:rFonts w:ascii="Arial" w:eastAsia="Times New Roman" w:hAnsi="Arial" w:cs="Arial"/>
          <w:lang w:eastAsia="en-GB"/>
        </w:rPr>
        <w:t>systems</w:t>
      </w:r>
      <w:proofErr w:type="gramEnd"/>
      <w:r>
        <w:rPr>
          <w:rFonts w:ascii="Arial" w:eastAsia="Times New Roman" w:hAnsi="Arial" w:cs="Arial"/>
          <w:lang w:eastAsia="en-GB"/>
        </w:rPr>
        <w:t xml:space="preserve"> or practices</w:t>
      </w:r>
    </w:p>
    <w:p w14:paraId="0C2BC46E" w14:textId="77777777" w:rsidR="005B0A3D" w:rsidRDefault="005B0A3D" w:rsidP="005B0A3D">
      <w:pPr>
        <w:spacing w:after="0" w:line="276" w:lineRule="auto"/>
        <w:ind w:left="720" w:right="531"/>
        <w:rPr>
          <w:rFonts w:ascii="Arial" w:eastAsia="Times New Roman" w:hAnsi="Arial" w:cs="Arial"/>
          <w:lang w:eastAsia="en-GB"/>
        </w:rPr>
      </w:pPr>
      <w:r>
        <w:rPr>
          <w:rFonts w:ascii="Arial" w:eastAsia="Times New Roman" w:hAnsi="Arial" w:cs="Arial"/>
          <w:lang w:eastAsia="en-GB"/>
        </w:rPr>
        <w:t>• encouraging forces to adopt good practice</w:t>
      </w:r>
    </w:p>
    <w:p w14:paraId="061B6C82" w14:textId="77777777" w:rsidR="005B0A3D" w:rsidRDefault="005B0A3D" w:rsidP="005B0A3D">
      <w:pPr>
        <w:spacing w:after="0" w:line="276" w:lineRule="auto"/>
        <w:ind w:left="720" w:right="531"/>
        <w:rPr>
          <w:rFonts w:ascii="Arial" w:eastAsia="Times New Roman" w:hAnsi="Arial" w:cs="Arial"/>
          <w:lang w:eastAsia="en-GB"/>
        </w:rPr>
      </w:pPr>
    </w:p>
    <w:p w14:paraId="651E61B5"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Whilst the IOPC and PSD are responsible for overseeing complaints made against the police, the HMICFRS are responsible for inspecting and reporting on the efficiency and effectiveness of a force, which is done in the interests of the public (HMICFRS, 2017). </w:t>
      </w:r>
    </w:p>
    <w:p w14:paraId="59975C95" w14:textId="77777777" w:rsidR="005B0A3D" w:rsidRDefault="005B0A3D" w:rsidP="005B0A3D">
      <w:pPr>
        <w:spacing w:after="0" w:line="276" w:lineRule="auto"/>
        <w:ind w:right="531"/>
        <w:rPr>
          <w:rFonts w:ascii="Arial" w:eastAsia="Times New Roman" w:hAnsi="Arial" w:cs="Arial"/>
          <w:lang w:eastAsia="en-GB"/>
        </w:rPr>
      </w:pPr>
    </w:p>
    <w:p w14:paraId="1EC79553"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HMIC was established in 1856 and is responsible for inspecting every force in England, Wales, and Northern Ireland, as well as inspecting overseas territories and dependencies by invitation from the relevant government. In 2017 the HMICFRS came into being, which saw the HMIC take on the inspections of England’s fire and rescue services. To reflect this new role, they changed the name to what it is today (HMICFRS, 2018). </w:t>
      </w:r>
    </w:p>
    <w:p w14:paraId="69B858C8" w14:textId="77777777" w:rsidR="005B0A3D" w:rsidRDefault="005B0A3D" w:rsidP="005B0A3D">
      <w:pPr>
        <w:spacing w:after="0" w:line="276" w:lineRule="auto"/>
        <w:ind w:right="531"/>
        <w:rPr>
          <w:rFonts w:ascii="Arial" w:eastAsia="Times New Roman" w:hAnsi="Arial" w:cs="Arial"/>
          <w:lang w:eastAsia="en-GB"/>
        </w:rPr>
      </w:pPr>
    </w:p>
    <w:p w14:paraId="6032E35F"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HMICFRS are an independent body free from any government or police authority, which allows them to routinely monitor the quality of performance of police forces with the aim of encouraging improvement. When conducting an inspection, they will </w:t>
      </w:r>
      <w:proofErr w:type="gramStart"/>
      <w:r>
        <w:rPr>
          <w:rFonts w:ascii="Arial" w:eastAsia="Times New Roman" w:hAnsi="Arial" w:cs="Arial"/>
          <w:lang w:eastAsia="en-GB"/>
        </w:rPr>
        <w:t>take into account</w:t>
      </w:r>
      <w:proofErr w:type="gramEnd"/>
      <w:r>
        <w:rPr>
          <w:rFonts w:ascii="Arial" w:eastAsia="Times New Roman" w:hAnsi="Arial" w:cs="Arial"/>
          <w:lang w:eastAsia="en-GB"/>
        </w:rPr>
        <w:t xml:space="preserve"> the quality of service being provided to the public or any risks they may be exposed to, the environment the force operates in and the effect the inspection may have on the force. Ultimately the benefit is for the public to see an improvement in the force’s performance following an inspection (HMICFRS, 2020).</w:t>
      </w:r>
    </w:p>
    <w:p w14:paraId="1B4990E0" w14:textId="77777777" w:rsidR="005B0A3D" w:rsidRDefault="005B0A3D" w:rsidP="005B0A3D">
      <w:pPr>
        <w:spacing w:after="0" w:line="276" w:lineRule="auto"/>
        <w:ind w:right="531"/>
        <w:rPr>
          <w:rFonts w:ascii="Arial" w:eastAsia="Times New Roman" w:hAnsi="Arial" w:cs="Arial"/>
          <w:lang w:eastAsia="en-GB"/>
        </w:rPr>
      </w:pPr>
    </w:p>
    <w:p w14:paraId="7047A149"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In more recent times, particularly with social media and mobile phones becoming more widespread, the actions of the police have become more scrutinised than ever. Some areas that regularly come under review are the police use of Stop and Search and the investigating of crimes involving vulnerable victims (HMICFRS, 2022).</w:t>
      </w:r>
    </w:p>
    <w:p w14:paraId="07036B67" w14:textId="77777777" w:rsidR="005B0A3D" w:rsidRDefault="005B0A3D" w:rsidP="005B0A3D">
      <w:pPr>
        <w:spacing w:after="0" w:line="276" w:lineRule="auto"/>
        <w:ind w:right="531"/>
        <w:rPr>
          <w:rFonts w:ascii="Arial" w:eastAsia="Times New Roman" w:hAnsi="Arial" w:cs="Arial"/>
          <w:lang w:eastAsia="en-GB"/>
        </w:rPr>
      </w:pPr>
    </w:p>
    <w:p w14:paraId="293C07E4"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As an independent body, the public can take confidence that the HMICFRS will ask relevant and probing questions of the force they are inspecting and that their findings, </w:t>
      </w:r>
      <w:proofErr w:type="gramStart"/>
      <w:r>
        <w:rPr>
          <w:rFonts w:ascii="Arial" w:eastAsia="Times New Roman" w:hAnsi="Arial" w:cs="Arial"/>
          <w:lang w:eastAsia="en-GB"/>
        </w:rPr>
        <w:t>conclusions</w:t>
      </w:r>
      <w:proofErr w:type="gramEnd"/>
      <w:r>
        <w:rPr>
          <w:rFonts w:ascii="Arial" w:eastAsia="Times New Roman" w:hAnsi="Arial" w:cs="Arial"/>
          <w:lang w:eastAsia="en-GB"/>
        </w:rPr>
        <w:t xml:space="preserve"> and recommendations will be published. This in turn allows the public to compare their force and how it is performing against others.</w:t>
      </w:r>
    </w:p>
    <w:p w14:paraId="7F077583" w14:textId="77777777" w:rsidR="005B0A3D" w:rsidRDefault="005B0A3D" w:rsidP="005B0A3D">
      <w:pPr>
        <w:spacing w:after="0" w:line="276" w:lineRule="auto"/>
        <w:ind w:right="531"/>
        <w:rPr>
          <w:rFonts w:ascii="Arial" w:eastAsia="Times New Roman" w:hAnsi="Arial" w:cs="Arial"/>
          <w:lang w:eastAsia="en-GB"/>
        </w:rPr>
      </w:pPr>
    </w:p>
    <w:p w14:paraId="5C3431ED"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If the public are then not happy with how their force is performing, they </w:t>
      </w:r>
      <w:proofErr w:type="gramStart"/>
      <w:r>
        <w:rPr>
          <w:rFonts w:ascii="Arial" w:eastAsia="Times New Roman" w:hAnsi="Arial" w:cs="Arial"/>
          <w:lang w:eastAsia="en-GB"/>
        </w:rPr>
        <w:t>have the opportunity to</w:t>
      </w:r>
      <w:proofErr w:type="gramEnd"/>
      <w:r>
        <w:rPr>
          <w:rFonts w:ascii="Arial" w:eastAsia="Times New Roman" w:hAnsi="Arial" w:cs="Arial"/>
          <w:lang w:eastAsia="en-GB"/>
        </w:rPr>
        <w:t xml:space="preserve"> bring about change. This could be in the form of engaging with members of the Chief Officer or Senior Management Team or by voting for a new Police &amp; Crime Commissioner during elections.</w:t>
      </w:r>
    </w:p>
    <w:p w14:paraId="596C3D5E" w14:textId="77777777" w:rsidR="005B0A3D" w:rsidRDefault="005B0A3D" w:rsidP="005B0A3D">
      <w:pPr>
        <w:spacing w:after="0" w:line="276" w:lineRule="auto"/>
        <w:ind w:right="531"/>
        <w:rPr>
          <w:rFonts w:ascii="Arial" w:eastAsia="Times New Roman" w:hAnsi="Arial" w:cs="Arial"/>
          <w:lang w:eastAsia="en-GB"/>
        </w:rPr>
      </w:pPr>
    </w:p>
    <w:p w14:paraId="287B2B0C" w14:textId="328B23A6"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lastRenderedPageBreak/>
        <w:t xml:space="preserve">Overall accountability refers to the process whereby the public expects police officers and police staff to take responsibility for their actions and that they will be held accountable, and sanctions imposed if they fail to abide by the law or the policies and procedures each force puts in place. This also applies to police forces, who are responsible for effectively delivering a service in respect of maintaining law and order, keeping the Queens’ </w:t>
      </w:r>
      <w:proofErr w:type="gramStart"/>
      <w:r>
        <w:rPr>
          <w:rFonts w:ascii="Arial" w:eastAsia="Times New Roman" w:hAnsi="Arial" w:cs="Arial"/>
          <w:lang w:eastAsia="en-GB"/>
        </w:rPr>
        <w:t>peace</w:t>
      </w:r>
      <w:proofErr w:type="gramEnd"/>
      <w:r>
        <w:rPr>
          <w:rFonts w:ascii="Arial" w:eastAsia="Times New Roman" w:hAnsi="Arial" w:cs="Arial"/>
          <w:lang w:eastAsia="en-GB"/>
        </w:rPr>
        <w:t xml:space="preserve"> and recording and investigating crime as well as maintaining high levels of public satisfaction.</w:t>
      </w:r>
    </w:p>
    <w:p w14:paraId="425A4ECE" w14:textId="77777777" w:rsidR="005B0A3D" w:rsidRDefault="005B0A3D" w:rsidP="005B0A3D">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8FDE80F" w14:textId="3A1E9581" w:rsidR="005B0A3D" w:rsidRDefault="005B0A3D" w:rsidP="005B0A3D">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r>
        <w:rPr>
          <w:rFonts w:ascii="Arial" w:eastAsia="Times New Roman" w:hAnsi="Arial" w:cs="Arial"/>
          <w:b/>
          <w:bCs/>
          <w:u w:val="single"/>
          <w:lang w:eastAsia="en-GB"/>
        </w:rPr>
        <w:t xml:space="preserve">Evaluate the effect of multi-culturalism on policing ethics and values and examine how </w:t>
      </w:r>
      <w:proofErr w:type="gramStart"/>
      <w:r>
        <w:rPr>
          <w:rFonts w:ascii="Arial" w:eastAsia="Times New Roman" w:hAnsi="Arial" w:cs="Arial"/>
          <w:b/>
          <w:bCs/>
          <w:u w:val="single"/>
          <w:lang w:eastAsia="en-GB"/>
        </w:rPr>
        <w:t>officers</w:t>
      </w:r>
      <w:proofErr w:type="gramEnd"/>
      <w:r>
        <w:rPr>
          <w:rFonts w:ascii="Arial" w:eastAsia="Times New Roman" w:hAnsi="Arial" w:cs="Arial"/>
          <w:b/>
          <w:bCs/>
          <w:u w:val="single"/>
          <w:lang w:eastAsia="en-GB"/>
        </w:rPr>
        <w:t xml:space="preserve"> police diverse communities. Your answer should be based on academic research, rather than personal experience.</w:t>
      </w:r>
    </w:p>
    <w:p w14:paraId="6B940E83"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b/>
          <w:bCs/>
          <w:u w:val="single"/>
          <w:lang w:eastAsia="en-GB"/>
        </w:rPr>
      </w:pPr>
    </w:p>
    <w:p w14:paraId="52DFCB43" w14:textId="1D8DFF9E"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In the 21</w:t>
      </w:r>
      <w:r>
        <w:rPr>
          <w:rFonts w:ascii="Arial" w:eastAsia="Times New Roman" w:hAnsi="Arial" w:cs="Arial"/>
          <w:vertAlign w:val="superscript"/>
          <w:lang w:eastAsia="en-GB"/>
        </w:rPr>
        <w:t>st</w:t>
      </w:r>
      <w:r>
        <w:rPr>
          <w:rFonts w:ascii="Arial" w:eastAsia="Times New Roman" w:hAnsi="Arial" w:cs="Arial"/>
          <w:lang w:eastAsia="en-GB"/>
        </w:rPr>
        <w:t xml:space="preserve"> century the United Kingdom has seen an increase in multicultural communities growing within many towns and cities, largely down to the migration of these communities.</w:t>
      </w:r>
    </w:p>
    <w:p w14:paraId="6E859EE8"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172E14C2"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These changes present </w:t>
      </w:r>
      <w:proofErr w:type="gramStart"/>
      <w:r>
        <w:rPr>
          <w:rFonts w:ascii="Arial" w:eastAsia="Times New Roman" w:hAnsi="Arial" w:cs="Arial"/>
          <w:lang w:eastAsia="en-GB"/>
        </w:rPr>
        <w:t>a number of</w:t>
      </w:r>
      <w:proofErr w:type="gramEnd"/>
      <w:r>
        <w:rPr>
          <w:rFonts w:ascii="Arial" w:eastAsia="Times New Roman" w:hAnsi="Arial" w:cs="Arial"/>
          <w:lang w:eastAsia="en-GB"/>
        </w:rPr>
        <w:t xml:space="preserve"> challenges for the police in respect of those communities, who may have deeply rooted cultural traditions, for example a lone female not having contact with a male officer or where any contact has to be female to female. In addition to this, some communities may have reservations about co-operating with the police due to their past experiences in their country of origin and so earning their trust becomes paramount (Jackson et al, 2017).</w:t>
      </w:r>
    </w:p>
    <w:p w14:paraId="5DDF0E4C"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1345FD0"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One example of being able to build trust and confidence within these communities is for the police to recruit and retain an ethnically diverse police force.</w:t>
      </w:r>
    </w:p>
    <w:p w14:paraId="614C7F1C"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EB53920"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roofErr w:type="gramStart"/>
      <w:r>
        <w:rPr>
          <w:rFonts w:ascii="Arial" w:eastAsia="Times New Roman" w:hAnsi="Arial" w:cs="Arial"/>
          <w:lang w:eastAsia="en-GB"/>
        </w:rPr>
        <w:t>In an attempt to</w:t>
      </w:r>
      <w:proofErr w:type="gramEnd"/>
      <w:r>
        <w:rPr>
          <w:rFonts w:ascii="Arial" w:eastAsia="Times New Roman" w:hAnsi="Arial" w:cs="Arial"/>
          <w:lang w:eastAsia="en-GB"/>
        </w:rPr>
        <w:t xml:space="preserve"> address this the Metropolitan Police and the Mayor of London are working together to increase the number of Black, Asian and Minority Ethnic (BAME) officers.</w:t>
      </w:r>
    </w:p>
    <w:p w14:paraId="195D664E"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2F2A8478"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In the early 2000’s and following the inquiry into the murder of Stephen Lawrence, only 3% of the Metropolitan Police’s officers were from a BAME background. Today, 13% of the officers recruited by the Met are now from a BAME background, with this number on the increase every time they recruit. In</w:t>
      </w:r>
    </w:p>
    <w:p w14:paraId="0D28CA09"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addition to this, half of the total officers recruited in England &amp; Wales and who are from a BAME background work for the Metropolitan Police (Metropolitan Police, 2017).</w:t>
      </w:r>
    </w:p>
    <w:p w14:paraId="70DB77F5"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2E95F727"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According to the Metropolitan Police (2017) they have identified 7 guiding priorities </w:t>
      </w:r>
      <w:proofErr w:type="gramStart"/>
      <w:r>
        <w:rPr>
          <w:rFonts w:ascii="Arial" w:eastAsia="Times New Roman" w:hAnsi="Arial" w:cs="Arial"/>
          <w:lang w:eastAsia="en-GB"/>
        </w:rPr>
        <w:t>in order for</w:t>
      </w:r>
      <w:proofErr w:type="gramEnd"/>
      <w:r>
        <w:rPr>
          <w:rFonts w:ascii="Arial" w:eastAsia="Times New Roman" w:hAnsi="Arial" w:cs="Arial"/>
          <w:lang w:eastAsia="en-GB"/>
        </w:rPr>
        <w:t xml:space="preserve"> this strategy to work, which are:</w:t>
      </w:r>
    </w:p>
    <w:p w14:paraId="4A376477"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A160624" w14:textId="77777777" w:rsidR="005B0A3D" w:rsidRDefault="005B0A3D" w:rsidP="005B0A3D">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Continue in the recruitment of a more representative workforce</w:t>
      </w:r>
    </w:p>
    <w:p w14:paraId="49F675E9" w14:textId="77777777" w:rsidR="005B0A3D" w:rsidRDefault="005B0A3D" w:rsidP="005B0A3D">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Improve progression, </w:t>
      </w:r>
      <w:proofErr w:type="gramStart"/>
      <w:r>
        <w:rPr>
          <w:rFonts w:ascii="Arial" w:eastAsia="Times New Roman" w:hAnsi="Arial" w:cs="Arial"/>
          <w:lang w:eastAsia="en-GB"/>
        </w:rPr>
        <w:t>development</w:t>
      </w:r>
      <w:proofErr w:type="gramEnd"/>
      <w:r>
        <w:rPr>
          <w:rFonts w:ascii="Arial" w:eastAsia="Times New Roman" w:hAnsi="Arial" w:cs="Arial"/>
          <w:lang w:eastAsia="en-GB"/>
        </w:rPr>
        <w:t xml:space="preserve"> and retention of officers from underrepresented groups</w:t>
      </w:r>
    </w:p>
    <w:p w14:paraId="0F163587" w14:textId="77777777" w:rsidR="005B0A3D" w:rsidRDefault="005B0A3D" w:rsidP="005B0A3D">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Improve levels of fairness in which all colleagues are treated equally</w:t>
      </w:r>
    </w:p>
    <w:p w14:paraId="62103343" w14:textId="77777777" w:rsidR="005B0A3D" w:rsidRDefault="005B0A3D" w:rsidP="005B0A3D">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Reduce the level of inequalities in satisfaction and confidence</w:t>
      </w:r>
    </w:p>
    <w:p w14:paraId="228B8C86" w14:textId="77777777" w:rsidR="005B0A3D" w:rsidRDefault="005B0A3D" w:rsidP="005B0A3D">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lastRenderedPageBreak/>
        <w:t>Increase victim satisfaction for all victims, with particular focus on all hate crime</w:t>
      </w:r>
    </w:p>
    <w:p w14:paraId="5E9ABBD5" w14:textId="77777777" w:rsidR="005B0A3D" w:rsidRDefault="005B0A3D" w:rsidP="005B0A3D">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Improve the response to complaints from members of the BAME community</w:t>
      </w:r>
    </w:p>
    <w:p w14:paraId="7124BB55" w14:textId="77777777" w:rsidR="005B0A3D" w:rsidRDefault="005B0A3D" w:rsidP="005B0A3D">
      <w:pPr>
        <w:pStyle w:val="ListParagraph"/>
        <w:numPr>
          <w:ilvl w:val="0"/>
          <w:numId w:val="1"/>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Work with partner agencies to develop a stronger understanding of the effect of race on the public’s confidence on the Metropolitan Police</w:t>
      </w:r>
    </w:p>
    <w:p w14:paraId="2933ADBB"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E9CB088"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1C2D23D4"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AC44E5E" w14:textId="77777777" w:rsidR="005B0A3D" w:rsidRDefault="005B0A3D" w:rsidP="005B0A3D">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7FF112A"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According to Tina Orr-Munro (n.d.) crimes are not solved in a vacuum. They are solved when members of the public come forward with information and members of the public will only come forward if they trust the police. If that trust isn’t there, people don’t engage with the police and trust can only be built if the public believes they are the police i.e., the officers they deal with could just as easily be members of their community. But communities are not geographic. They can be defined by a wide range of shared characteristics including age, </w:t>
      </w:r>
      <w:proofErr w:type="gramStart"/>
      <w:r>
        <w:rPr>
          <w:rFonts w:ascii="Arial" w:eastAsia="Times New Roman" w:hAnsi="Arial" w:cs="Arial"/>
          <w:lang w:eastAsia="en-GB"/>
        </w:rPr>
        <w:t>gender</w:t>
      </w:r>
      <w:proofErr w:type="gramEnd"/>
      <w:r>
        <w:rPr>
          <w:rFonts w:ascii="Arial" w:eastAsia="Times New Roman" w:hAnsi="Arial" w:cs="Arial"/>
          <w:lang w:eastAsia="en-GB"/>
        </w:rPr>
        <w:t xml:space="preserve"> and cultural beliefs. </w:t>
      </w:r>
    </w:p>
    <w:p w14:paraId="7F4247C1"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2CC7AC9A"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However, when the public looks markedly different to its police service, it creates a distance between the two and a sense the police service no longer serves their community. If that distance becomes too great or, worse, distorted, the relationship between the police and public breaks down to the detriment of everyone. </w:t>
      </w:r>
    </w:p>
    <w:p w14:paraId="03356298"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214221C"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Ensuring the make-up of the police service reflects all sections of society including, and maybe especially, under-represented groups because they are disproportionately affected by crime helps to build that trust. If policing can demonstrate that it has a truly diverse mix of employees within its ranks, the message it sends to the public is clear - the police are there to serve everyone. It is telling the public; we are just like you and, just like you, we want to keep all our communities safe. </w:t>
      </w:r>
    </w:p>
    <w:p w14:paraId="496D4B30"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0EA5811"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It has been recognised that “By promoting a career in policing within those under-represented groups, it helps create as diverse a police service as possible. This is a bold ambition, but it is vital because unless policing becomes truly diverse in all its forms it will fall short in the service it provides its communities.” (Orr-Munro, n.d.).</w:t>
      </w:r>
    </w:p>
    <w:p w14:paraId="39413FAB"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17346582"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One element where the police must improve how they police diverse communities, and which is continually under scrutiny and regularly receives criticism in the news is the use of Stop &amp; Search.</w:t>
      </w:r>
    </w:p>
    <w:p w14:paraId="5026D7C2"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D301BC5"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Certain communities believe this power is used unlawfully, which can be supported by current Government figures where in England and Wales between April 2020 and March 2021, there were 697,405 stop/searches. Out of those there were 7.5 stop and searches for every </w:t>
      </w:r>
      <w:proofErr w:type="gramStart"/>
      <w:r>
        <w:rPr>
          <w:rFonts w:ascii="Arial" w:eastAsia="Times New Roman" w:hAnsi="Arial" w:cs="Arial"/>
          <w:lang w:eastAsia="en-GB"/>
        </w:rPr>
        <w:t>1,000 white</w:t>
      </w:r>
      <w:proofErr w:type="gramEnd"/>
      <w:r>
        <w:rPr>
          <w:rFonts w:ascii="Arial" w:eastAsia="Times New Roman" w:hAnsi="Arial" w:cs="Arial"/>
          <w:lang w:eastAsia="en-GB"/>
        </w:rPr>
        <w:t xml:space="preserve"> people, compared with </w:t>
      </w:r>
      <w:r>
        <w:rPr>
          <w:rFonts w:ascii="Arial" w:eastAsia="Times New Roman" w:hAnsi="Arial" w:cs="Arial"/>
          <w:lang w:eastAsia="en-GB"/>
        </w:rPr>
        <w:lastRenderedPageBreak/>
        <w:t>52.6 for every 1,000 black people and 17.8 for every Asian people (GOV.UK, 2022).</w:t>
      </w:r>
    </w:p>
    <w:p w14:paraId="39A63CCB"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97704B3"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According to the College of Policing (2020) all forces must allow for community oversight when it comes to helping build public trust amongst diverse communities, which comes under two key aspects in the context of stop and search, or policing in general. These are:</w:t>
      </w:r>
    </w:p>
    <w:p w14:paraId="25FC0F69"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1E7F474"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Community engagement – This involves informing communities about stop and search, listening to their views (however challenging they may be), and taking those views into account</w:t>
      </w:r>
    </w:p>
    <w:p w14:paraId="4A99E0A7"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C4C50B2"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Independent scrutiny – Where the police open stop and search practices up to communities for close examination, with a view to them providing constructive oversight, </w:t>
      </w:r>
      <w:proofErr w:type="gramStart"/>
      <w:r>
        <w:rPr>
          <w:rFonts w:ascii="Arial" w:eastAsia="Times New Roman" w:hAnsi="Arial" w:cs="Arial"/>
          <w:lang w:eastAsia="en-GB"/>
        </w:rPr>
        <w:t>dialogue</w:t>
      </w:r>
      <w:proofErr w:type="gramEnd"/>
      <w:r>
        <w:rPr>
          <w:rFonts w:ascii="Arial" w:eastAsia="Times New Roman" w:hAnsi="Arial" w:cs="Arial"/>
          <w:lang w:eastAsia="en-GB"/>
        </w:rPr>
        <w:t xml:space="preserve"> and challenge</w:t>
      </w:r>
    </w:p>
    <w:p w14:paraId="66C070F6"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FBA8553"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The benefits to the police in respect of community oversight can provide opportunities to:</w:t>
      </w:r>
    </w:p>
    <w:p w14:paraId="3199B9F0"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17EFE88" w14:textId="77777777" w:rsidR="005B0A3D" w:rsidRDefault="005B0A3D" w:rsidP="005B0A3D">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Understand communities’ concerns and take steps, where appropriate, to improve policies, </w:t>
      </w:r>
      <w:proofErr w:type="gramStart"/>
      <w:r>
        <w:rPr>
          <w:rFonts w:ascii="Arial" w:eastAsia="Times New Roman" w:hAnsi="Arial" w:cs="Arial"/>
          <w:lang w:eastAsia="en-GB"/>
        </w:rPr>
        <w:t>procedures</w:t>
      </w:r>
      <w:proofErr w:type="gramEnd"/>
      <w:r>
        <w:rPr>
          <w:rFonts w:ascii="Arial" w:eastAsia="Times New Roman" w:hAnsi="Arial" w:cs="Arial"/>
          <w:lang w:eastAsia="en-GB"/>
        </w:rPr>
        <w:t xml:space="preserve"> and practices</w:t>
      </w:r>
    </w:p>
    <w:p w14:paraId="2FF79926" w14:textId="77777777" w:rsidR="005B0A3D" w:rsidRDefault="005B0A3D" w:rsidP="005B0A3D">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Help ensure that people understand police powers and how they are used</w:t>
      </w:r>
    </w:p>
    <w:p w14:paraId="48BB1674" w14:textId="77777777" w:rsidR="005B0A3D" w:rsidRDefault="005B0A3D" w:rsidP="005B0A3D">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Increase the legitimacy of stop and search and public trust in the police</w:t>
      </w:r>
    </w:p>
    <w:p w14:paraId="4C593D33" w14:textId="77777777" w:rsidR="005B0A3D" w:rsidRDefault="005B0A3D" w:rsidP="005B0A3D">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Obtain the views of the public on crime and disorder in the local area and provide local information about crime and policing</w:t>
      </w:r>
    </w:p>
    <w:p w14:paraId="168DBE4C"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6CA2B3F" w14:textId="29FDA7AF"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bookmarkStart w:id="0" w:name="_Hlk109672318"/>
      <w:r>
        <w:rPr>
          <w:rFonts w:ascii="Arial" w:eastAsia="Times New Roman" w:hAnsi="Arial" w:cs="Arial"/>
          <w:lang w:eastAsia="en-GB"/>
        </w:rPr>
        <w:t>By</w:t>
      </w:r>
      <w:bookmarkEnd w:id="0"/>
      <w:r>
        <w:rPr>
          <w:rFonts w:ascii="Arial" w:eastAsia="Times New Roman" w:hAnsi="Arial" w:cs="Arial"/>
          <w:lang w:eastAsia="en-GB"/>
        </w:rPr>
        <w:t xml:space="preserve"> demonstrating an organisational commitment to engagement and valuing the input of communities, it establishes a two-way dialogue between the police and local communities and brings clear, open and a specific purpose for the engagement in respect of stop and search or policing in general.</w:t>
      </w:r>
    </w:p>
    <w:p w14:paraId="0316B43A" w14:textId="190CCBC5"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B39873C" w14:textId="77777777" w:rsidR="005B0A3D" w:rsidRDefault="005B0A3D" w:rsidP="005B0A3D">
      <w:pPr>
        <w:spacing w:after="0" w:line="276" w:lineRule="auto"/>
        <w:ind w:right="531"/>
        <w:rPr>
          <w:rFonts w:ascii="Arial" w:eastAsia="Times New Roman" w:hAnsi="Arial" w:cs="Arial"/>
          <w:b/>
          <w:bCs/>
          <w:u w:val="single"/>
          <w:lang w:eastAsia="en-GB"/>
        </w:rPr>
      </w:pPr>
      <w:bookmarkStart w:id="1" w:name="_Hlk103601358"/>
      <w:r>
        <w:rPr>
          <w:rFonts w:ascii="Arial" w:eastAsia="Times New Roman" w:hAnsi="Arial" w:cs="Arial"/>
          <w:b/>
          <w:bCs/>
          <w:u w:val="single"/>
          <w:lang w:eastAsia="en-GB"/>
        </w:rPr>
        <w:t>Assess the impact of early intervention and partnership approaches in reducing re-offending in relation to gang-related activity. Your answer should consider theories relating to the onset of offending, and comment on how these influence relevant interventions and approaches.</w:t>
      </w:r>
    </w:p>
    <w:p w14:paraId="1905EEA1" w14:textId="77777777" w:rsidR="005B0A3D" w:rsidRDefault="005B0A3D" w:rsidP="005B0A3D">
      <w:pPr>
        <w:spacing w:after="0" w:line="276" w:lineRule="auto"/>
        <w:ind w:left="567" w:right="531"/>
        <w:rPr>
          <w:rFonts w:ascii="Arial" w:eastAsia="Times New Roman" w:hAnsi="Arial" w:cs="Arial"/>
          <w:b/>
          <w:bCs/>
          <w:u w:val="single"/>
          <w:lang w:eastAsia="en-GB"/>
        </w:rPr>
      </w:pPr>
    </w:p>
    <w:p w14:paraId="13A04446"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There is no single solution to preventing children and young people from becoming involved in gang-related activity.</w:t>
      </w:r>
    </w:p>
    <w:p w14:paraId="0667E43C" w14:textId="77777777" w:rsidR="005B0A3D" w:rsidRDefault="005B0A3D" w:rsidP="005B0A3D">
      <w:pPr>
        <w:spacing w:after="0" w:line="276" w:lineRule="auto"/>
        <w:ind w:left="567" w:right="531"/>
        <w:rPr>
          <w:rFonts w:ascii="Arial" w:eastAsia="Times New Roman" w:hAnsi="Arial" w:cs="Arial"/>
          <w:lang w:eastAsia="en-GB"/>
        </w:rPr>
      </w:pPr>
    </w:p>
    <w:p w14:paraId="5AAB8B1E"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According to the Ministry of Justice (2021), preventing children </w:t>
      </w:r>
      <w:proofErr w:type="gramStart"/>
      <w:r>
        <w:rPr>
          <w:rFonts w:ascii="Arial" w:eastAsia="Times New Roman" w:hAnsi="Arial" w:cs="Arial"/>
          <w:lang w:eastAsia="en-GB"/>
        </w:rPr>
        <w:t>coming into contact with</w:t>
      </w:r>
      <w:proofErr w:type="gramEnd"/>
      <w:r>
        <w:rPr>
          <w:rFonts w:ascii="Arial" w:eastAsia="Times New Roman" w:hAnsi="Arial" w:cs="Arial"/>
          <w:lang w:eastAsia="en-GB"/>
        </w:rPr>
        <w:t xml:space="preserve"> the youth justice system is a complex and dynamic problem, with traditional approaches that focus on single interventions unlikely to succeed and that almost all of the causes of childhood offending lie outside of the direct influence of the youth justice system. Therefore, it is crucial that health, education, social care, law enforcement and other services form a collaborative approach to preventing offending and reoffending behaviour in children and young people. </w:t>
      </w:r>
    </w:p>
    <w:p w14:paraId="0204D605" w14:textId="77777777" w:rsidR="005B0A3D" w:rsidRDefault="005B0A3D" w:rsidP="005B0A3D">
      <w:pPr>
        <w:spacing w:after="0" w:line="276" w:lineRule="auto"/>
        <w:ind w:left="567" w:right="531"/>
        <w:rPr>
          <w:rFonts w:ascii="Arial" w:eastAsia="Times New Roman" w:hAnsi="Arial" w:cs="Arial"/>
          <w:lang w:eastAsia="en-GB"/>
        </w:rPr>
      </w:pPr>
    </w:p>
    <w:p w14:paraId="0E93224F"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lastRenderedPageBreak/>
        <w:t xml:space="preserve">The main aim of early intervention is to prevent children and young people entering the justice system. Although current research shows that less children are being arrested (Ministry of Justice, 2021), far more are </w:t>
      </w:r>
      <w:proofErr w:type="gramStart"/>
      <w:r>
        <w:rPr>
          <w:rFonts w:ascii="Arial" w:eastAsia="Times New Roman" w:hAnsi="Arial" w:cs="Arial"/>
          <w:lang w:eastAsia="en-GB"/>
        </w:rPr>
        <w:t>coming into contact with</w:t>
      </w:r>
      <w:proofErr w:type="gramEnd"/>
      <w:r>
        <w:rPr>
          <w:rFonts w:ascii="Arial" w:eastAsia="Times New Roman" w:hAnsi="Arial" w:cs="Arial"/>
          <w:lang w:eastAsia="en-GB"/>
        </w:rPr>
        <w:t xml:space="preserve"> the police and partner agencies. This can be achieved by stakeholders working together to identify a range of actions to tackle the problem, rather than working alone on isolated short-term interventions.</w:t>
      </w:r>
    </w:p>
    <w:p w14:paraId="3D97F5C9" w14:textId="77777777" w:rsidR="005B0A3D" w:rsidRDefault="005B0A3D" w:rsidP="005B0A3D">
      <w:pPr>
        <w:spacing w:after="0" w:line="276" w:lineRule="auto"/>
        <w:ind w:left="567" w:right="531"/>
        <w:rPr>
          <w:rFonts w:ascii="Arial" w:eastAsia="Times New Roman" w:hAnsi="Arial" w:cs="Arial"/>
          <w:lang w:eastAsia="en-GB"/>
        </w:rPr>
      </w:pPr>
    </w:p>
    <w:p w14:paraId="09BCFCA2" w14:textId="77777777" w:rsidR="005B0A3D" w:rsidRDefault="005B0A3D" w:rsidP="005B0A3D">
      <w:pPr>
        <w:spacing w:after="0" w:line="276" w:lineRule="auto"/>
        <w:ind w:right="531"/>
        <w:rPr>
          <w:rFonts w:ascii="Arial" w:eastAsia="Times New Roman" w:hAnsi="Arial" w:cs="Arial"/>
          <w:lang w:eastAsia="en-GB"/>
        </w:rPr>
      </w:pPr>
      <w:proofErr w:type="gramStart"/>
      <w:r>
        <w:rPr>
          <w:rFonts w:ascii="Arial" w:eastAsia="Times New Roman" w:hAnsi="Arial" w:cs="Arial"/>
          <w:lang w:eastAsia="en-GB"/>
        </w:rPr>
        <w:t>In order to</w:t>
      </w:r>
      <w:proofErr w:type="gramEnd"/>
      <w:r>
        <w:rPr>
          <w:rFonts w:ascii="Arial" w:eastAsia="Times New Roman" w:hAnsi="Arial" w:cs="Arial"/>
          <w:lang w:eastAsia="en-GB"/>
        </w:rPr>
        <w:t xml:space="preserve"> reduce or even prevent re-offending, stakeholders need to identify the root cause of the problem that has led to the child or young person becoming involved with a gang in the first place.</w:t>
      </w:r>
    </w:p>
    <w:p w14:paraId="323499CF" w14:textId="77777777" w:rsidR="005B0A3D" w:rsidRDefault="005B0A3D" w:rsidP="005B0A3D">
      <w:pPr>
        <w:spacing w:after="0" w:line="276" w:lineRule="auto"/>
        <w:ind w:left="567" w:right="531"/>
        <w:rPr>
          <w:rFonts w:ascii="Arial" w:eastAsia="Times New Roman" w:hAnsi="Arial" w:cs="Arial"/>
          <w:lang w:eastAsia="en-GB"/>
        </w:rPr>
      </w:pPr>
    </w:p>
    <w:p w14:paraId="26FD7491"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On </w:t>
      </w:r>
      <w:proofErr w:type="gramStart"/>
      <w:r>
        <w:rPr>
          <w:rFonts w:ascii="Arial" w:eastAsia="Times New Roman" w:hAnsi="Arial" w:cs="Arial"/>
          <w:lang w:eastAsia="en-GB"/>
        </w:rPr>
        <w:t>the majority of</w:t>
      </w:r>
      <w:proofErr w:type="gramEnd"/>
      <w:r>
        <w:rPr>
          <w:rFonts w:ascii="Arial" w:eastAsia="Times New Roman" w:hAnsi="Arial" w:cs="Arial"/>
          <w:lang w:eastAsia="en-GB"/>
        </w:rPr>
        <w:t xml:space="preserve"> occasions, it can be found that the child has had contact with partner agencies from a very young age (Dr </w:t>
      </w:r>
      <w:proofErr w:type="spellStart"/>
      <w:r>
        <w:rPr>
          <w:rFonts w:ascii="Arial" w:eastAsia="Times New Roman" w:hAnsi="Arial" w:cs="Arial"/>
          <w:lang w:eastAsia="en-GB"/>
        </w:rPr>
        <w:t>Peden</w:t>
      </w:r>
      <w:proofErr w:type="spellEnd"/>
      <w:r>
        <w:rPr>
          <w:rFonts w:ascii="Arial" w:eastAsia="Times New Roman" w:hAnsi="Arial" w:cs="Arial"/>
          <w:lang w:eastAsia="en-GB"/>
        </w:rPr>
        <w:t xml:space="preserve"> et al, 2019). This can present itself in </w:t>
      </w:r>
      <w:proofErr w:type="gramStart"/>
      <w:r>
        <w:rPr>
          <w:rFonts w:ascii="Arial" w:eastAsia="Times New Roman" w:hAnsi="Arial" w:cs="Arial"/>
          <w:lang w:eastAsia="en-GB"/>
        </w:rPr>
        <w:t>a number of</w:t>
      </w:r>
      <w:proofErr w:type="gramEnd"/>
      <w:r>
        <w:rPr>
          <w:rFonts w:ascii="Arial" w:eastAsia="Times New Roman" w:hAnsi="Arial" w:cs="Arial"/>
          <w:lang w:eastAsia="en-GB"/>
        </w:rPr>
        <w:t xml:space="preserve"> different forms including:</w:t>
      </w:r>
    </w:p>
    <w:p w14:paraId="646D9466" w14:textId="77777777" w:rsidR="005B0A3D" w:rsidRDefault="005B0A3D" w:rsidP="005B0A3D">
      <w:pPr>
        <w:spacing w:after="0" w:line="276" w:lineRule="auto"/>
        <w:ind w:left="567" w:right="531"/>
        <w:rPr>
          <w:rFonts w:ascii="Arial" w:eastAsia="Times New Roman" w:hAnsi="Arial" w:cs="Arial"/>
          <w:lang w:eastAsia="en-GB"/>
        </w:rPr>
      </w:pPr>
    </w:p>
    <w:p w14:paraId="5AE2EFF5" w14:textId="77777777" w:rsidR="005B0A3D" w:rsidRDefault="005B0A3D" w:rsidP="005B0A3D">
      <w:pPr>
        <w:pStyle w:val="ListParagraph"/>
        <w:numPr>
          <w:ilvl w:val="0"/>
          <w:numId w:val="3"/>
        </w:numPr>
        <w:spacing w:after="0" w:line="276" w:lineRule="auto"/>
        <w:ind w:right="531"/>
        <w:rPr>
          <w:rFonts w:ascii="Arial" w:eastAsia="Times New Roman" w:hAnsi="Arial" w:cs="Arial"/>
          <w:lang w:eastAsia="en-GB"/>
        </w:rPr>
      </w:pPr>
      <w:r>
        <w:rPr>
          <w:rFonts w:ascii="Arial" w:eastAsia="Times New Roman" w:hAnsi="Arial" w:cs="Arial"/>
          <w:lang w:eastAsia="en-GB"/>
        </w:rPr>
        <w:t>They have been a witness to domestic violence</w:t>
      </w:r>
    </w:p>
    <w:p w14:paraId="4F1C8137" w14:textId="77777777" w:rsidR="005B0A3D" w:rsidRDefault="005B0A3D" w:rsidP="005B0A3D">
      <w:pPr>
        <w:pStyle w:val="ListParagraph"/>
        <w:numPr>
          <w:ilvl w:val="0"/>
          <w:numId w:val="3"/>
        </w:numPr>
        <w:spacing w:after="0" w:line="276" w:lineRule="auto"/>
        <w:ind w:right="531"/>
        <w:rPr>
          <w:rFonts w:ascii="Arial" w:eastAsia="Times New Roman" w:hAnsi="Arial" w:cs="Arial"/>
          <w:lang w:eastAsia="en-GB"/>
        </w:rPr>
      </w:pPr>
      <w:r>
        <w:rPr>
          <w:rFonts w:ascii="Arial" w:eastAsia="Times New Roman" w:hAnsi="Arial" w:cs="Arial"/>
          <w:lang w:eastAsia="en-GB"/>
        </w:rPr>
        <w:t>The child’s parent(s) have been arrested and/or been to prison</w:t>
      </w:r>
    </w:p>
    <w:p w14:paraId="1395F473" w14:textId="77777777" w:rsidR="005B0A3D" w:rsidRDefault="005B0A3D" w:rsidP="005B0A3D">
      <w:pPr>
        <w:pStyle w:val="ListParagraph"/>
        <w:numPr>
          <w:ilvl w:val="0"/>
          <w:numId w:val="3"/>
        </w:numPr>
        <w:spacing w:after="0" w:line="276" w:lineRule="auto"/>
        <w:ind w:right="531"/>
        <w:rPr>
          <w:rFonts w:ascii="Arial" w:eastAsia="Times New Roman" w:hAnsi="Arial" w:cs="Arial"/>
          <w:lang w:eastAsia="en-GB"/>
        </w:rPr>
      </w:pPr>
      <w:r>
        <w:rPr>
          <w:rFonts w:ascii="Arial" w:eastAsia="Times New Roman" w:hAnsi="Arial" w:cs="Arial"/>
          <w:lang w:eastAsia="en-GB"/>
        </w:rPr>
        <w:t>They have experienced Adverse Childhood Experience’s</w:t>
      </w:r>
    </w:p>
    <w:p w14:paraId="7ACF8E9B" w14:textId="77777777" w:rsidR="005B0A3D" w:rsidRDefault="005B0A3D" w:rsidP="005B0A3D">
      <w:pPr>
        <w:pStyle w:val="ListParagraph"/>
        <w:numPr>
          <w:ilvl w:val="0"/>
          <w:numId w:val="3"/>
        </w:numPr>
        <w:spacing w:after="0" w:line="276" w:lineRule="auto"/>
        <w:ind w:right="531"/>
        <w:rPr>
          <w:rFonts w:ascii="Arial" w:eastAsia="Times New Roman" w:hAnsi="Arial" w:cs="Arial"/>
          <w:lang w:eastAsia="en-GB"/>
        </w:rPr>
      </w:pPr>
      <w:r>
        <w:rPr>
          <w:rFonts w:ascii="Arial" w:eastAsia="Times New Roman" w:hAnsi="Arial" w:cs="Arial"/>
          <w:lang w:eastAsia="en-GB"/>
        </w:rPr>
        <w:t>The child is being bullied or regularly fails to attend school</w:t>
      </w:r>
    </w:p>
    <w:p w14:paraId="079EBE4F" w14:textId="77777777" w:rsidR="005B0A3D" w:rsidRDefault="005B0A3D" w:rsidP="005B0A3D">
      <w:pPr>
        <w:pStyle w:val="ListParagraph"/>
        <w:numPr>
          <w:ilvl w:val="0"/>
          <w:numId w:val="3"/>
        </w:numPr>
        <w:spacing w:after="0" w:line="276" w:lineRule="auto"/>
        <w:ind w:right="531"/>
        <w:rPr>
          <w:rFonts w:ascii="Arial" w:eastAsia="Times New Roman" w:hAnsi="Arial" w:cs="Arial"/>
          <w:lang w:eastAsia="en-GB"/>
        </w:rPr>
      </w:pPr>
      <w:r>
        <w:rPr>
          <w:rFonts w:ascii="Arial" w:eastAsia="Times New Roman" w:hAnsi="Arial" w:cs="Arial"/>
          <w:lang w:eastAsia="en-GB"/>
        </w:rPr>
        <w:t>The child has been placed into the care of the Local Authority</w:t>
      </w:r>
    </w:p>
    <w:p w14:paraId="6FF782AF" w14:textId="77777777" w:rsidR="005B0A3D" w:rsidRDefault="005B0A3D" w:rsidP="005B0A3D">
      <w:pPr>
        <w:pStyle w:val="ListParagraph"/>
        <w:numPr>
          <w:ilvl w:val="0"/>
          <w:numId w:val="3"/>
        </w:numPr>
        <w:spacing w:after="0" w:line="276" w:lineRule="auto"/>
        <w:ind w:right="531"/>
        <w:rPr>
          <w:rFonts w:ascii="Arial" w:eastAsia="Times New Roman" w:hAnsi="Arial" w:cs="Arial"/>
          <w:lang w:eastAsia="en-GB"/>
        </w:rPr>
      </w:pPr>
      <w:r>
        <w:rPr>
          <w:rFonts w:ascii="Arial" w:eastAsia="Times New Roman" w:hAnsi="Arial" w:cs="Arial"/>
          <w:lang w:eastAsia="en-GB"/>
        </w:rPr>
        <w:t>They are being criminally exploited</w:t>
      </w:r>
    </w:p>
    <w:p w14:paraId="055D774D" w14:textId="77777777" w:rsidR="005B0A3D" w:rsidRDefault="005B0A3D" w:rsidP="005B0A3D">
      <w:pPr>
        <w:spacing w:after="0" w:line="276" w:lineRule="auto"/>
        <w:ind w:right="531"/>
        <w:rPr>
          <w:rFonts w:ascii="Arial" w:eastAsia="Times New Roman" w:hAnsi="Arial" w:cs="Arial"/>
          <w:lang w:eastAsia="en-GB"/>
        </w:rPr>
      </w:pPr>
    </w:p>
    <w:p w14:paraId="6DB68509"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Having identified some of the causes as to why a child or young person may want to join a gang, if they haven’t already, partner agencies can then support the child according to their level of involvement.</w:t>
      </w:r>
    </w:p>
    <w:p w14:paraId="0E1A8FBA" w14:textId="77777777" w:rsidR="005B0A3D" w:rsidRDefault="005B0A3D" w:rsidP="005B0A3D">
      <w:pPr>
        <w:spacing w:after="0" w:line="276" w:lineRule="auto"/>
        <w:ind w:left="720" w:right="531"/>
        <w:rPr>
          <w:rFonts w:ascii="Arial" w:eastAsia="Times New Roman" w:hAnsi="Arial" w:cs="Arial"/>
          <w:lang w:eastAsia="en-GB"/>
        </w:rPr>
      </w:pPr>
    </w:p>
    <w:p w14:paraId="2C0883F3"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For a child or young person who is yet to join a gang stakeholders should promote a more therapeutic approach. This could include school curriculum-based programmes in which teachers or police School’s Liaison Officers deliver lessons on the dangers of joining a gang or family-based programmes where the aim is to equip parents with the knowledge and skills to guide their child and enhance positive parent/child interactions, rather than a controlling strategy or more disciplined approach which can </w:t>
      </w:r>
      <w:proofErr w:type="gramStart"/>
      <w:r>
        <w:rPr>
          <w:rFonts w:ascii="Arial" w:eastAsia="Times New Roman" w:hAnsi="Arial" w:cs="Arial"/>
          <w:lang w:eastAsia="en-GB"/>
        </w:rPr>
        <w:t>actually have</w:t>
      </w:r>
      <w:proofErr w:type="gramEnd"/>
      <w:r>
        <w:rPr>
          <w:rFonts w:ascii="Arial" w:eastAsia="Times New Roman" w:hAnsi="Arial" w:cs="Arial"/>
          <w:lang w:eastAsia="en-GB"/>
        </w:rPr>
        <w:t xml:space="preserve"> the opposite effect and lead to offending behaviour.</w:t>
      </w:r>
    </w:p>
    <w:p w14:paraId="5DBACFA7" w14:textId="77777777" w:rsidR="005B0A3D" w:rsidRDefault="005B0A3D" w:rsidP="005B0A3D">
      <w:pPr>
        <w:spacing w:after="0" w:line="276" w:lineRule="auto"/>
        <w:ind w:left="720" w:right="531"/>
        <w:rPr>
          <w:rFonts w:ascii="Arial" w:eastAsia="Times New Roman" w:hAnsi="Arial" w:cs="Arial"/>
          <w:lang w:eastAsia="en-GB"/>
        </w:rPr>
      </w:pPr>
    </w:p>
    <w:p w14:paraId="62BD135B"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For children &amp; young people who have then been identified as being at risk, for example those who display poor behaviour or under achieve at school, whose parents have poor parenting skills or where they are living in poverty or in an area with high levels of violence, the programmes being delivered will need to be more specific to the risks identified. </w:t>
      </w:r>
    </w:p>
    <w:p w14:paraId="0A9C7429" w14:textId="77777777" w:rsidR="005B0A3D" w:rsidRDefault="005B0A3D" w:rsidP="005B0A3D">
      <w:pPr>
        <w:spacing w:after="0" w:line="276" w:lineRule="auto"/>
        <w:ind w:left="720" w:right="531"/>
        <w:rPr>
          <w:rFonts w:ascii="Arial" w:eastAsia="Times New Roman" w:hAnsi="Arial" w:cs="Arial"/>
          <w:lang w:eastAsia="en-GB"/>
        </w:rPr>
      </w:pPr>
    </w:p>
    <w:p w14:paraId="2F21042A"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According to Dr Walker (2021), this could include parent and family training where the aim is to help parents develop effective responses to a child’s negative behaviour and encourage positive parent/child interactions and include home visits. Another option is focused on the school curriculum and a skills-based programme. This aims to prevent or reduce risk factors and negative outcomes, as well as improve skills and enhance positive outcomes. Most of the programmes are delivered with small groups of children </w:t>
      </w:r>
      <w:r>
        <w:rPr>
          <w:rFonts w:ascii="Arial" w:eastAsia="Times New Roman" w:hAnsi="Arial" w:cs="Arial"/>
          <w:lang w:eastAsia="en-GB"/>
        </w:rPr>
        <w:lastRenderedPageBreak/>
        <w:t>or young people who have been referred by a teacher or another stakeholder because they are displaying concerning behaviour.</w:t>
      </w:r>
    </w:p>
    <w:p w14:paraId="20A98CBC" w14:textId="77777777" w:rsidR="005B0A3D" w:rsidRDefault="005B0A3D" w:rsidP="005B0A3D">
      <w:pPr>
        <w:spacing w:after="0" w:line="276" w:lineRule="auto"/>
        <w:ind w:left="720" w:right="531"/>
        <w:rPr>
          <w:rFonts w:ascii="Arial" w:eastAsia="Times New Roman" w:hAnsi="Arial" w:cs="Arial"/>
          <w:lang w:eastAsia="en-GB"/>
        </w:rPr>
      </w:pPr>
    </w:p>
    <w:p w14:paraId="2388DB18"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In addition to the above options the Youth Offending Team (YOT) can also support children and young people from either joining a gang or helping them leave one. </w:t>
      </w:r>
    </w:p>
    <w:p w14:paraId="5449F68B" w14:textId="77777777" w:rsidR="005B0A3D" w:rsidRDefault="005B0A3D" w:rsidP="005B0A3D">
      <w:pPr>
        <w:spacing w:after="0" w:line="276" w:lineRule="auto"/>
        <w:ind w:left="720" w:right="531"/>
        <w:rPr>
          <w:rFonts w:ascii="Arial" w:eastAsia="Times New Roman" w:hAnsi="Arial" w:cs="Arial"/>
          <w:lang w:eastAsia="en-GB"/>
        </w:rPr>
      </w:pPr>
    </w:p>
    <w:p w14:paraId="34840FA2" w14:textId="032BA932"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T</w:t>
      </w:r>
      <w:r>
        <w:rPr>
          <w:rFonts w:ascii="Arial" w:eastAsia="Times New Roman" w:hAnsi="Arial" w:cs="Arial"/>
          <w:lang w:eastAsia="en-GB"/>
        </w:rPr>
        <w:t xml:space="preserve">he youth offending team are an independent organisation from the police but work closely with them and other organisations, such as probation officers, health, social services, </w:t>
      </w:r>
      <w:proofErr w:type="gramStart"/>
      <w:r>
        <w:rPr>
          <w:rFonts w:ascii="Arial" w:eastAsia="Times New Roman" w:hAnsi="Arial" w:cs="Arial"/>
          <w:lang w:eastAsia="en-GB"/>
        </w:rPr>
        <w:t>schools</w:t>
      </w:r>
      <w:proofErr w:type="gramEnd"/>
      <w:r>
        <w:rPr>
          <w:rFonts w:ascii="Arial" w:eastAsia="Times New Roman" w:hAnsi="Arial" w:cs="Arial"/>
          <w:lang w:eastAsia="en-GB"/>
        </w:rPr>
        <w:t xml:space="preserve"> and charities within the local community (GOV.UK, 2022)</w:t>
      </w:r>
    </w:p>
    <w:p w14:paraId="49588B39" w14:textId="77777777" w:rsidR="005B0A3D" w:rsidRDefault="005B0A3D" w:rsidP="005B0A3D">
      <w:pPr>
        <w:spacing w:after="0" w:line="276" w:lineRule="auto"/>
        <w:ind w:left="720" w:right="531"/>
        <w:rPr>
          <w:rFonts w:ascii="Arial" w:eastAsia="Times New Roman" w:hAnsi="Arial" w:cs="Arial"/>
          <w:lang w:eastAsia="en-GB"/>
        </w:rPr>
      </w:pPr>
    </w:p>
    <w:p w14:paraId="64E1ED96"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main purpose of the YOT is to work with the child or a young person and their family and deter them from re-offending or returning to a gang they may be part of. It is this style of intervention, which is also likely to be their last before they could be prosecuted, that is designed to lead them out of their current situation and put them back on the right path (Brighter futures for children, 2022). </w:t>
      </w:r>
    </w:p>
    <w:p w14:paraId="4A647234" w14:textId="77777777" w:rsidR="005B0A3D" w:rsidRDefault="005B0A3D" w:rsidP="005B0A3D">
      <w:pPr>
        <w:spacing w:after="0" w:line="276" w:lineRule="auto"/>
        <w:ind w:left="720" w:right="531"/>
        <w:rPr>
          <w:rFonts w:ascii="Arial" w:eastAsia="Times New Roman" w:hAnsi="Arial" w:cs="Arial"/>
          <w:lang w:eastAsia="en-GB"/>
        </w:rPr>
      </w:pPr>
    </w:p>
    <w:p w14:paraId="0A7DFF26"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Being arrested or dealt with by the police is not the only way a young person can be referred to the YOT. Their teacher, a social worker or even their parent can refer them.</w:t>
      </w:r>
    </w:p>
    <w:p w14:paraId="1EB20882" w14:textId="77777777" w:rsidR="005B0A3D" w:rsidRDefault="005B0A3D" w:rsidP="005B0A3D">
      <w:pPr>
        <w:spacing w:after="0" w:line="276" w:lineRule="auto"/>
        <w:ind w:left="720" w:right="531"/>
        <w:rPr>
          <w:rFonts w:ascii="Arial" w:eastAsia="Times New Roman" w:hAnsi="Arial" w:cs="Arial"/>
          <w:lang w:eastAsia="en-GB"/>
        </w:rPr>
      </w:pPr>
    </w:p>
    <w:p w14:paraId="2EFD2371" w14:textId="77777777"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Having been referred, the YOT will work with the child or young person through one of their Youth Inclusion Programmes. The youth inclusion programme is for children aged between 8 and 17 and lasts for a set length of time, usually 6 weeks, and involves the child or young person having to attend and carry out various activities that are designed to build their awareness in respect of what they have got themselves involved in (Positive Futures, 2022). </w:t>
      </w:r>
    </w:p>
    <w:p w14:paraId="40457314" w14:textId="77777777" w:rsidR="005B0A3D" w:rsidRDefault="005B0A3D" w:rsidP="005B0A3D">
      <w:pPr>
        <w:spacing w:after="0" w:line="276" w:lineRule="auto"/>
        <w:ind w:left="720" w:right="531"/>
        <w:rPr>
          <w:rFonts w:ascii="Arial" w:eastAsia="Times New Roman" w:hAnsi="Arial" w:cs="Arial"/>
          <w:lang w:eastAsia="en-GB"/>
        </w:rPr>
      </w:pPr>
    </w:p>
    <w:p w14:paraId="435C959D" w14:textId="77777777" w:rsidR="005B0A3D" w:rsidRDefault="005B0A3D" w:rsidP="005B0A3D">
      <w:pPr>
        <w:spacing w:after="0" w:line="276" w:lineRule="auto"/>
        <w:ind w:right="531"/>
        <w:rPr>
          <w:rFonts w:ascii="Arial" w:eastAsia="Times New Roman" w:hAnsi="Arial" w:cs="Arial"/>
          <w:lang w:eastAsia="en-GB"/>
        </w:rPr>
      </w:pPr>
      <w:proofErr w:type="gramStart"/>
      <w:r>
        <w:rPr>
          <w:rFonts w:ascii="Arial" w:eastAsia="Times New Roman" w:hAnsi="Arial" w:cs="Arial"/>
          <w:lang w:eastAsia="en-GB"/>
        </w:rPr>
        <w:t>It is clear that this</w:t>
      </w:r>
      <w:proofErr w:type="gramEnd"/>
      <w:r>
        <w:rPr>
          <w:rFonts w:ascii="Arial" w:eastAsia="Times New Roman" w:hAnsi="Arial" w:cs="Arial"/>
          <w:lang w:eastAsia="en-GB"/>
        </w:rPr>
        <w:t xml:space="preserve"> level of intervention is having a positive effect. Since April 2010 there has been a dramatic fall in the number of children and young people being either cautioned or charged in England and Wales. Up to March 2020 this figure stood at 19,000 but has seen a significant drop during this time, with a 12% fall in the last year alone. Although the last year has only seen a 1% drop in the 4,400 knife and offensive weapon offences that were committed by children during this period, this figure is 5% lower compared to April 2010. Since December 2018 there has also been an 84% fall in the number of first-time entrants into the Youth Justice System, which stood at almost 11,100 in March 2010 (Ministry of Justice, 2021).</w:t>
      </w:r>
    </w:p>
    <w:p w14:paraId="51E48F96" w14:textId="77777777" w:rsidR="005B0A3D" w:rsidRDefault="005B0A3D" w:rsidP="005B0A3D">
      <w:pPr>
        <w:spacing w:after="0" w:line="276" w:lineRule="auto"/>
        <w:ind w:left="720" w:right="531"/>
        <w:rPr>
          <w:rFonts w:ascii="Arial" w:eastAsia="Times New Roman" w:hAnsi="Arial" w:cs="Arial"/>
          <w:lang w:eastAsia="en-GB"/>
        </w:rPr>
      </w:pPr>
    </w:p>
    <w:p w14:paraId="709697BD" w14:textId="419CD9F1" w:rsidR="005B0A3D" w:rsidRDefault="005B0A3D" w:rsidP="005B0A3D">
      <w:pPr>
        <w:spacing w:after="0" w:line="276" w:lineRule="auto"/>
        <w:ind w:right="531"/>
        <w:rPr>
          <w:rFonts w:ascii="Arial" w:eastAsia="Times New Roman" w:hAnsi="Arial" w:cs="Arial"/>
          <w:lang w:eastAsia="en-GB"/>
        </w:rPr>
      </w:pPr>
      <w:r>
        <w:rPr>
          <w:rFonts w:ascii="Arial" w:eastAsia="Times New Roman" w:hAnsi="Arial" w:cs="Arial"/>
          <w:lang w:eastAsia="en-GB"/>
        </w:rPr>
        <w:t>Overall, this shows that early intervention is key when protecting young people from gang related activity. The number of children getting involved in crime is reducing and that those engaging with the various programmes are moving away from gangs and choosing a better way of life.</w:t>
      </w:r>
    </w:p>
    <w:p w14:paraId="3961C6C5" w14:textId="771353B2" w:rsidR="005B0A3D" w:rsidRDefault="005B0A3D" w:rsidP="005B0A3D">
      <w:pPr>
        <w:spacing w:after="0" w:line="276" w:lineRule="auto"/>
        <w:ind w:right="531"/>
        <w:rPr>
          <w:rFonts w:ascii="Arial" w:eastAsia="Times New Roman" w:hAnsi="Arial" w:cs="Arial"/>
          <w:lang w:eastAsia="en-GB"/>
        </w:rPr>
      </w:pPr>
    </w:p>
    <w:p w14:paraId="28CF7525" w14:textId="77777777" w:rsidR="005B0A3D" w:rsidRDefault="005B0A3D" w:rsidP="005B0A3D">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29C35872" w14:textId="77777777" w:rsidR="005B0A3D" w:rsidRDefault="005B0A3D" w:rsidP="005B0A3D">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0BC39419" w14:textId="77777777" w:rsidR="005B0A3D" w:rsidRDefault="005B0A3D" w:rsidP="005B0A3D">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6DE37D3B" w14:textId="77777777" w:rsidR="005B0A3D" w:rsidRDefault="005B0A3D" w:rsidP="005B0A3D">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2BF8F501" w14:textId="77777777" w:rsidR="005B0A3D" w:rsidRDefault="005B0A3D" w:rsidP="005B0A3D">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6F38F6D7" w14:textId="77777777" w:rsidR="005B0A3D" w:rsidRDefault="005B0A3D" w:rsidP="005B0A3D">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18605694" w14:textId="2CA27395" w:rsidR="005B0A3D" w:rsidRDefault="005B0A3D" w:rsidP="005B0A3D">
      <w:p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r>
        <w:rPr>
          <w:rFonts w:ascii="Arial" w:eastAsia="Times New Roman" w:hAnsi="Arial" w:cs="Arial"/>
          <w:b/>
          <w:bCs/>
          <w:u w:val="single"/>
          <w:lang w:eastAsia="en-GB"/>
        </w:rPr>
        <w:lastRenderedPageBreak/>
        <w:t>Analyse potential links between serious and organised crime and public protection issues and evaluate the effectiveness of current public protection practices in investigating such incidents. Your answer should indicate why certain groups might be targeted by S/OCGs. Rather than relying on personal experience, support your answer with relevant evidence drawn from academic sources.</w:t>
      </w:r>
    </w:p>
    <w:p w14:paraId="42E633C6" w14:textId="77777777" w:rsidR="005B0A3D" w:rsidRDefault="005B0A3D" w:rsidP="005B0A3D"/>
    <w:p w14:paraId="145CFBC3" w14:textId="77777777" w:rsidR="005B0A3D" w:rsidRDefault="005B0A3D" w:rsidP="005B0A3D">
      <w:pPr>
        <w:rPr>
          <w:rFonts w:ascii="Arial" w:hAnsi="Arial" w:cs="Arial"/>
        </w:rPr>
      </w:pPr>
      <w:r>
        <w:rPr>
          <w:rFonts w:ascii="Arial" w:hAnsi="Arial" w:cs="Arial"/>
        </w:rPr>
        <w:t xml:space="preserve">Although serious and organised crime (SOC) is often thought of as being a regional or national problem, its greatest impact is felt most by local communities. It harms individuals, </w:t>
      </w:r>
      <w:proofErr w:type="gramStart"/>
      <w:r>
        <w:rPr>
          <w:rFonts w:ascii="Arial" w:hAnsi="Arial" w:cs="Arial"/>
        </w:rPr>
        <w:t>families</w:t>
      </w:r>
      <w:proofErr w:type="gramEnd"/>
      <w:r>
        <w:rPr>
          <w:rFonts w:ascii="Arial" w:hAnsi="Arial" w:cs="Arial"/>
        </w:rPr>
        <w:t xml:space="preserve"> and local businesses alike with rippling implications for even the smallest and most rural communities.</w:t>
      </w:r>
    </w:p>
    <w:p w14:paraId="4E333098" w14:textId="77777777" w:rsidR="005B0A3D" w:rsidRDefault="005B0A3D" w:rsidP="005B0A3D">
      <w:pPr>
        <w:rPr>
          <w:rFonts w:ascii="Arial" w:hAnsi="Arial" w:cs="Arial"/>
        </w:rPr>
      </w:pPr>
      <w:r>
        <w:rPr>
          <w:rFonts w:ascii="Arial" w:hAnsi="Arial" w:cs="Arial"/>
        </w:rPr>
        <w:t xml:space="preserve">However, this is not a crime itself. SOC is controlled and led by organised crime groups (OCG’s) that use intimidation tactics and corruption for unlawful gain and will often prey on vulnerable individuals to profit financially or otherwise. Amongst other things they supply and distribute illegal drugs, facilitate human </w:t>
      </w:r>
      <w:proofErr w:type="gramStart"/>
      <w:r>
        <w:rPr>
          <w:rFonts w:ascii="Arial" w:hAnsi="Arial" w:cs="Arial"/>
        </w:rPr>
        <w:t>trafficking</w:t>
      </w:r>
      <w:proofErr w:type="gramEnd"/>
      <w:r>
        <w:rPr>
          <w:rFonts w:ascii="Arial" w:hAnsi="Arial" w:cs="Arial"/>
        </w:rPr>
        <w:t xml:space="preserve"> and exploit children.</w:t>
      </w:r>
    </w:p>
    <w:p w14:paraId="1CDC1F5F" w14:textId="77777777" w:rsidR="005B0A3D" w:rsidRDefault="005B0A3D" w:rsidP="005B0A3D">
      <w:pPr>
        <w:rPr>
          <w:rFonts w:ascii="Arial" w:hAnsi="Arial" w:cs="Arial"/>
        </w:rPr>
      </w:pPr>
      <w:r>
        <w:rPr>
          <w:rFonts w:ascii="Arial" w:hAnsi="Arial" w:cs="Arial"/>
        </w:rPr>
        <w:t xml:space="preserve">From research conducted </w:t>
      </w:r>
      <w:proofErr w:type="gramStart"/>
      <w:r>
        <w:rPr>
          <w:rFonts w:ascii="Arial" w:hAnsi="Arial" w:cs="Arial"/>
        </w:rPr>
        <w:t>it is clear that the</w:t>
      </w:r>
      <w:proofErr w:type="gramEnd"/>
      <w:r>
        <w:rPr>
          <w:rFonts w:ascii="Arial" w:hAnsi="Arial" w:cs="Arial"/>
        </w:rPr>
        <w:t xml:space="preserve"> supplying and trafficking of controlled drugs, by targeting and exploiting vulnerable adults and children, is on the increase. One element of this is what is known as County Lines. County Lines is defined as: “OCG’s involved in exporting illegal drugs into one or more areas by using dedicated mobile phone lines or other form of “deal line”. They are likely to exploit children and vulnerable adults to move and store the drugs and money and they will often use coercion, </w:t>
      </w:r>
      <w:proofErr w:type="gramStart"/>
      <w:r>
        <w:rPr>
          <w:rFonts w:ascii="Arial" w:hAnsi="Arial" w:cs="Arial"/>
        </w:rPr>
        <w:t>intimidation</w:t>
      </w:r>
      <w:proofErr w:type="gramEnd"/>
      <w:r>
        <w:rPr>
          <w:rFonts w:ascii="Arial" w:hAnsi="Arial" w:cs="Arial"/>
        </w:rPr>
        <w:t xml:space="preserve"> and violence.” (National Crime Agency, 2022).</w:t>
      </w:r>
    </w:p>
    <w:p w14:paraId="43AC456B" w14:textId="77777777" w:rsidR="005B0A3D" w:rsidRDefault="005B0A3D" w:rsidP="005B0A3D">
      <w:pPr>
        <w:rPr>
          <w:rFonts w:ascii="Arial" w:hAnsi="Arial" w:cs="Arial"/>
        </w:rPr>
      </w:pPr>
      <w:r>
        <w:rPr>
          <w:rFonts w:ascii="Arial" w:hAnsi="Arial" w:cs="Arial"/>
        </w:rPr>
        <w:t>So why do OCG’s specifically target children and vulnerable adults?</w:t>
      </w:r>
    </w:p>
    <w:p w14:paraId="42F005C5" w14:textId="77777777" w:rsidR="005B0A3D" w:rsidRDefault="005B0A3D" w:rsidP="005B0A3D">
      <w:pPr>
        <w:rPr>
          <w:rFonts w:ascii="Arial" w:hAnsi="Arial" w:cs="Arial"/>
        </w:rPr>
      </w:pPr>
      <w:r>
        <w:rPr>
          <w:rFonts w:ascii="Arial" w:hAnsi="Arial" w:cs="Arial"/>
        </w:rPr>
        <w:t>Vulnerable adults are targeted so that OCG’s can then take over their homes and use this as a base to store and deal controlled drugs from. This is known as Cuckooing. Cuckooing is described as: “A form of criminal exploitation. OCG’s target victims of 'cuckooing' as they usually tend to live alone, they are often drug users themselves and may also be suffering with mental/physical health problems.” (Programme Challenger, 2022)</w:t>
      </w:r>
    </w:p>
    <w:p w14:paraId="0D1A1FA0" w14:textId="77777777" w:rsidR="005B0A3D" w:rsidRDefault="005B0A3D" w:rsidP="005B0A3D">
      <w:pPr>
        <w:rPr>
          <w:rFonts w:ascii="Arial" w:hAnsi="Arial" w:cs="Arial"/>
        </w:rPr>
      </w:pPr>
      <w:proofErr w:type="gramStart"/>
      <w:r>
        <w:rPr>
          <w:rFonts w:ascii="Arial" w:hAnsi="Arial" w:cs="Arial"/>
        </w:rPr>
        <w:t>In order to</w:t>
      </w:r>
      <w:proofErr w:type="gramEnd"/>
      <w:r>
        <w:rPr>
          <w:rFonts w:ascii="Arial" w:hAnsi="Arial" w:cs="Arial"/>
        </w:rPr>
        <w:t xml:space="preserve"> enter the victim’s address, the OCG’s will first try to gain their trust. This could include providing them with drugs </w:t>
      </w:r>
      <w:proofErr w:type="gramStart"/>
      <w:r>
        <w:rPr>
          <w:rFonts w:ascii="Arial" w:hAnsi="Arial" w:cs="Arial"/>
        </w:rPr>
        <w:t>in order for</w:t>
      </w:r>
      <w:proofErr w:type="gramEnd"/>
      <w:r>
        <w:rPr>
          <w:rFonts w:ascii="Arial" w:hAnsi="Arial" w:cs="Arial"/>
        </w:rPr>
        <w:t xml:space="preserve"> them to use their house or flat. Victims at first may be unaware that they are being exploited and when they do try to get them to leave, the OCG’s will revert to violence and intimidation to stay (Programme Challenger, 2022).  </w:t>
      </w:r>
    </w:p>
    <w:p w14:paraId="3E3BF46C" w14:textId="77777777" w:rsidR="005B0A3D" w:rsidRDefault="005B0A3D" w:rsidP="005B0A3D">
      <w:pPr>
        <w:rPr>
          <w:rFonts w:ascii="Arial" w:hAnsi="Arial" w:cs="Arial"/>
        </w:rPr>
      </w:pPr>
      <w:r>
        <w:rPr>
          <w:rFonts w:ascii="Arial" w:hAnsi="Arial" w:cs="Arial"/>
        </w:rPr>
        <w:t xml:space="preserve">While vulnerable adults are predominantly targeted </w:t>
      </w:r>
      <w:proofErr w:type="gramStart"/>
      <w:r>
        <w:rPr>
          <w:rFonts w:ascii="Arial" w:hAnsi="Arial" w:cs="Arial"/>
        </w:rPr>
        <w:t>in order to</w:t>
      </w:r>
      <w:proofErr w:type="gramEnd"/>
      <w:r>
        <w:rPr>
          <w:rFonts w:ascii="Arial" w:hAnsi="Arial" w:cs="Arial"/>
        </w:rPr>
        <w:t xml:space="preserve"> take over their homes, OCG’s “recruit” children in order to move, deliver and supply their drugs. In 2019, The National Crime Agency (NCA) estimated there were over 2,000 County Lines involved in the movement of Class A drugs around the country.</w:t>
      </w:r>
    </w:p>
    <w:p w14:paraId="1D1CAF06" w14:textId="77777777" w:rsidR="005B0A3D" w:rsidRDefault="005B0A3D" w:rsidP="005B0A3D">
      <w:pPr>
        <w:rPr>
          <w:rFonts w:ascii="Arial" w:hAnsi="Arial" w:cs="Arial"/>
        </w:rPr>
      </w:pPr>
      <w:r>
        <w:rPr>
          <w:rFonts w:ascii="Arial" w:hAnsi="Arial" w:cs="Arial"/>
        </w:rPr>
        <w:t xml:space="preserve">From the number of referrals received by the NCA </w:t>
      </w:r>
      <w:proofErr w:type="gramStart"/>
      <w:r>
        <w:rPr>
          <w:rFonts w:ascii="Arial" w:hAnsi="Arial" w:cs="Arial"/>
        </w:rPr>
        <w:t>the majority of</w:t>
      </w:r>
      <w:proofErr w:type="gramEnd"/>
      <w:r>
        <w:rPr>
          <w:rFonts w:ascii="Arial" w:hAnsi="Arial" w:cs="Arial"/>
        </w:rPr>
        <w:t xml:space="preserve"> children recruited are males between the ages of 15-17. Children of this age are specifically identified as they are likely to have enough awareness, </w:t>
      </w:r>
      <w:proofErr w:type="gramStart"/>
      <w:r>
        <w:rPr>
          <w:rFonts w:ascii="Arial" w:hAnsi="Arial" w:cs="Arial"/>
        </w:rPr>
        <w:t>knowledge</w:t>
      </w:r>
      <w:proofErr w:type="gramEnd"/>
      <w:r>
        <w:rPr>
          <w:rFonts w:ascii="Arial" w:hAnsi="Arial" w:cs="Arial"/>
        </w:rPr>
        <w:t xml:space="preserve"> and physical ability in order to fulfil their role. Other factors why children of this age are targeted is because they have been excluded from school, they are under the care of the Local Authority (particularly those residing in care homes) or they regularly go missing (National Crime Agency, 2019).</w:t>
      </w:r>
    </w:p>
    <w:p w14:paraId="70734036" w14:textId="77777777" w:rsidR="005B0A3D" w:rsidRDefault="005B0A3D" w:rsidP="005B0A3D">
      <w:pPr>
        <w:rPr>
          <w:rFonts w:ascii="Arial" w:hAnsi="Arial" w:cs="Arial"/>
        </w:rPr>
      </w:pPr>
      <w:r>
        <w:rPr>
          <w:rFonts w:ascii="Arial" w:hAnsi="Arial" w:cs="Arial"/>
        </w:rPr>
        <w:t xml:space="preserve">OCG’s will recruit a child using </w:t>
      </w:r>
      <w:proofErr w:type="gramStart"/>
      <w:r>
        <w:rPr>
          <w:rFonts w:ascii="Arial" w:hAnsi="Arial" w:cs="Arial"/>
        </w:rPr>
        <w:t>a number of</w:t>
      </w:r>
      <w:proofErr w:type="gramEnd"/>
      <w:r>
        <w:rPr>
          <w:rFonts w:ascii="Arial" w:hAnsi="Arial" w:cs="Arial"/>
        </w:rPr>
        <w:t xml:space="preserve"> methods. This could include using a child already under their control to recruit their friends, the offer of cash or material possessions such as mobile phones or making them feel they are part of a family by joining, but if a child </w:t>
      </w:r>
      <w:r>
        <w:rPr>
          <w:rFonts w:ascii="Arial" w:hAnsi="Arial" w:cs="Arial"/>
        </w:rPr>
        <w:lastRenderedPageBreak/>
        <w:t>attempts to move away from an OCG they are likely to intimidate the child by threatening their family with violence or claim they are in debt to them for the items they have received, such as cash or a mobile phone (National Crime Agency, 2019).</w:t>
      </w:r>
    </w:p>
    <w:p w14:paraId="107338F4" w14:textId="77777777" w:rsidR="005B0A3D" w:rsidRDefault="005B0A3D" w:rsidP="005B0A3D">
      <w:pPr>
        <w:rPr>
          <w:rFonts w:ascii="Arial" w:hAnsi="Arial" w:cs="Arial"/>
        </w:rPr>
      </w:pPr>
      <w:r>
        <w:rPr>
          <w:rFonts w:ascii="Arial" w:hAnsi="Arial" w:cs="Arial"/>
        </w:rPr>
        <w:t xml:space="preserve">Although the NCA are the lead on this matter they recognise that a multi-agency approach is required to tackle this issue and created a national strategy, referred to as the 4 P’s – Pursue, Prevent, Protect and Prepare (Local Government Association, 2015). </w:t>
      </w:r>
    </w:p>
    <w:p w14:paraId="2F5C9A52" w14:textId="77777777" w:rsidR="005B0A3D" w:rsidRDefault="005B0A3D" w:rsidP="005B0A3D">
      <w:pPr>
        <w:rPr>
          <w:rFonts w:ascii="Arial" w:hAnsi="Arial" w:cs="Arial"/>
        </w:rPr>
      </w:pPr>
      <w:r>
        <w:rPr>
          <w:rFonts w:ascii="Arial" w:hAnsi="Arial" w:cs="Arial"/>
        </w:rPr>
        <w:t>Whilst the Pursue and Prepare elements focus on disrupting people engaged in SOC (Pursue) and reducing the impact of the criminality where it takes place (Prepare), the Prevent and Protect elements are key in helping protect the most vulnerable from becoming involved in SOC.</w:t>
      </w:r>
    </w:p>
    <w:p w14:paraId="0E98FFAD" w14:textId="77777777" w:rsidR="005B0A3D" w:rsidRDefault="005B0A3D" w:rsidP="005B0A3D">
      <w:pPr>
        <w:rPr>
          <w:rFonts w:ascii="Arial" w:hAnsi="Arial" w:cs="Arial"/>
        </w:rPr>
      </w:pPr>
      <w:r>
        <w:rPr>
          <w:rFonts w:ascii="Arial" w:hAnsi="Arial" w:cs="Arial"/>
        </w:rPr>
        <w:t xml:space="preserve">The Prevent element is aimed at deterring individuals from getting drawn into SOC or previous offenders returning to crime. This will include a wide range of local approaches that raise awareness of the reality and consequences of being involved with OCG’s. </w:t>
      </w:r>
    </w:p>
    <w:p w14:paraId="1E95590E" w14:textId="77777777" w:rsidR="005B0A3D" w:rsidRDefault="005B0A3D" w:rsidP="005B0A3D">
      <w:pPr>
        <w:rPr>
          <w:rFonts w:ascii="Arial" w:hAnsi="Arial" w:cs="Arial"/>
        </w:rPr>
      </w:pPr>
      <w:r>
        <w:rPr>
          <w:rFonts w:ascii="Arial" w:hAnsi="Arial" w:cs="Arial"/>
        </w:rPr>
        <w:t>This could include School’s Liaison Officers going into both Primary and Secondary schools and delivering a presentation about recognising the signs of being approached to join a OCG or if you know somebody who is, who you could contact to report it. This information can then be distributed to all relevant agencies who can then provide a joint approach in supporting that child and their family.</w:t>
      </w:r>
    </w:p>
    <w:p w14:paraId="62863351" w14:textId="77777777" w:rsidR="005B0A3D" w:rsidRDefault="005B0A3D" w:rsidP="005B0A3D">
      <w:pPr>
        <w:rPr>
          <w:rFonts w:ascii="Arial" w:hAnsi="Arial" w:cs="Arial"/>
        </w:rPr>
      </w:pPr>
      <w:proofErr w:type="gramStart"/>
      <w:r>
        <w:rPr>
          <w:rFonts w:ascii="Arial" w:hAnsi="Arial" w:cs="Arial"/>
        </w:rPr>
        <w:t>In order to</w:t>
      </w:r>
      <w:proofErr w:type="gramEnd"/>
      <w:r>
        <w:rPr>
          <w:rFonts w:ascii="Arial" w:hAnsi="Arial" w:cs="Arial"/>
        </w:rPr>
        <w:t xml:space="preserve"> Protect the aim is to protect the vulnerable from OCG’s. This involves ensuring the right controls and practices are in place to safeguard that person as well as providing information that allows them to protect themselves.</w:t>
      </w:r>
    </w:p>
    <w:p w14:paraId="516BA455" w14:textId="77777777" w:rsidR="005B0A3D" w:rsidRDefault="005B0A3D" w:rsidP="005B0A3D">
      <w:pPr>
        <w:rPr>
          <w:rFonts w:ascii="Arial" w:hAnsi="Arial" w:cs="Arial"/>
        </w:rPr>
      </w:pPr>
      <w:r>
        <w:rPr>
          <w:rFonts w:ascii="Arial" w:hAnsi="Arial" w:cs="Arial"/>
        </w:rPr>
        <w:t>An example of this is where a vulnerable adult is being cuckooed. Neighbours may notice an increase in people coming and going from the address and may be reluctant to report this to the police, so they report this to the housing association. Through information sharing protocols the housing association can then pass this onto the police as well as other agencies, such as the health authority.</w:t>
      </w:r>
    </w:p>
    <w:p w14:paraId="298C3F06" w14:textId="77777777" w:rsidR="005B0A3D" w:rsidRDefault="005B0A3D" w:rsidP="005B0A3D">
      <w:pPr>
        <w:rPr>
          <w:rFonts w:ascii="Arial" w:hAnsi="Arial" w:cs="Arial"/>
        </w:rPr>
      </w:pPr>
      <w:r>
        <w:rPr>
          <w:rFonts w:ascii="Arial" w:hAnsi="Arial" w:cs="Arial"/>
        </w:rPr>
        <w:t>At this time there may be insufficient information or intelligence for the police to justify entering the address or obtaining a warrant, so a housing officer or a health professional may be able to enter the address as part of their everyday duties. They can then assess the situation first hand and update all the relevant agencies. This would then likely provide the police with sufficient information in which to obtain and then execute a warrant at the address (Local Government Association, 2015).</w:t>
      </w:r>
    </w:p>
    <w:p w14:paraId="045AA379" w14:textId="77627C88" w:rsidR="005B0A3D" w:rsidRDefault="005B0A3D" w:rsidP="005B0A3D">
      <w:pPr>
        <w:rPr>
          <w:rFonts w:ascii="Arial" w:hAnsi="Arial" w:cs="Arial"/>
        </w:rPr>
      </w:pPr>
      <w:r>
        <w:rPr>
          <w:rFonts w:ascii="Arial" w:hAnsi="Arial" w:cs="Arial"/>
        </w:rPr>
        <w:t>As the police progress any investigation linked to possible SOC, the health board and housing association can safeguard the victim by carrying out a physical and/or mental health assessment and rehousing them.</w:t>
      </w:r>
    </w:p>
    <w:p w14:paraId="185052F0" w14:textId="5C8A7975" w:rsidR="005B0A3D" w:rsidRDefault="005B0A3D" w:rsidP="005B0A3D">
      <w:pPr>
        <w:rPr>
          <w:rFonts w:ascii="Arial" w:hAnsi="Arial" w:cs="Arial"/>
        </w:rPr>
      </w:pPr>
    </w:p>
    <w:p w14:paraId="47626727" w14:textId="251C215B" w:rsidR="005B0A3D" w:rsidRDefault="005B0A3D" w:rsidP="005B0A3D">
      <w:pPr>
        <w:rPr>
          <w:rFonts w:ascii="Arial" w:hAnsi="Arial" w:cs="Arial"/>
        </w:rPr>
      </w:pPr>
    </w:p>
    <w:p w14:paraId="43385FE6" w14:textId="64C3CB1A" w:rsidR="005B0A3D" w:rsidRDefault="005B0A3D" w:rsidP="005B0A3D">
      <w:pPr>
        <w:rPr>
          <w:rFonts w:ascii="Arial" w:hAnsi="Arial" w:cs="Arial"/>
        </w:rPr>
      </w:pPr>
    </w:p>
    <w:p w14:paraId="46538866" w14:textId="0DA496BC" w:rsidR="005B0A3D" w:rsidRDefault="005B0A3D" w:rsidP="005B0A3D">
      <w:pPr>
        <w:rPr>
          <w:rFonts w:ascii="Arial" w:hAnsi="Arial" w:cs="Arial"/>
        </w:rPr>
      </w:pPr>
    </w:p>
    <w:p w14:paraId="7E37706D" w14:textId="2FE10667" w:rsidR="005B0A3D" w:rsidRDefault="005B0A3D" w:rsidP="005B0A3D">
      <w:pPr>
        <w:rPr>
          <w:rFonts w:ascii="Arial" w:hAnsi="Arial" w:cs="Arial"/>
        </w:rPr>
      </w:pPr>
    </w:p>
    <w:p w14:paraId="66BF5A2F" w14:textId="55F3A2D3" w:rsidR="005B0A3D" w:rsidRDefault="005B0A3D" w:rsidP="005B0A3D">
      <w:pPr>
        <w:rPr>
          <w:rFonts w:ascii="Arial" w:hAnsi="Arial" w:cs="Arial"/>
        </w:rPr>
      </w:pPr>
    </w:p>
    <w:p w14:paraId="7EBA6C1D" w14:textId="50D29137" w:rsidR="005B0A3D" w:rsidRDefault="005B0A3D" w:rsidP="005B0A3D">
      <w:pPr>
        <w:rPr>
          <w:rFonts w:ascii="Arial" w:hAnsi="Arial" w:cs="Arial"/>
        </w:rPr>
      </w:pPr>
    </w:p>
    <w:p w14:paraId="473F217E" w14:textId="77777777" w:rsidR="005B0A3D" w:rsidRDefault="005B0A3D" w:rsidP="005B0A3D">
      <w:pPr>
        <w:jc w:val="center"/>
        <w:rPr>
          <w:b/>
          <w:bCs/>
          <w:sz w:val="40"/>
          <w:szCs w:val="40"/>
          <w:u w:val="single"/>
        </w:rPr>
      </w:pPr>
      <w:r>
        <w:rPr>
          <w:b/>
          <w:bCs/>
          <w:sz w:val="40"/>
          <w:szCs w:val="40"/>
          <w:u w:val="single"/>
        </w:rPr>
        <w:lastRenderedPageBreak/>
        <w:t>Referencing</w:t>
      </w:r>
    </w:p>
    <w:p w14:paraId="5BF4B1F1" w14:textId="77777777" w:rsidR="005B0A3D" w:rsidRDefault="005B0A3D" w:rsidP="005B0A3D"/>
    <w:p w14:paraId="555B5C37" w14:textId="77777777" w:rsidR="005B0A3D" w:rsidRDefault="005B0A3D" w:rsidP="005B0A3D">
      <w:r>
        <w:t xml:space="preserve">Brighter futures for children (2022) </w:t>
      </w:r>
      <w:r>
        <w:rPr>
          <w:i/>
          <w:iCs/>
        </w:rPr>
        <w:t>Youth Offending Services</w:t>
      </w:r>
    </w:p>
    <w:p w14:paraId="2CED98E0" w14:textId="77777777" w:rsidR="005B0A3D" w:rsidRDefault="005B0A3D" w:rsidP="005B0A3D">
      <w:hyperlink r:id="rId7" w:history="1">
        <w:r>
          <w:rPr>
            <w:rStyle w:val="Hyperlink"/>
          </w:rPr>
          <w:t>https://brighterfuturesforchildren.org/for-parents-carers/youth-offending-services/</w:t>
        </w:r>
      </w:hyperlink>
      <w:r>
        <w:t xml:space="preserve"> </w:t>
      </w:r>
    </w:p>
    <w:p w14:paraId="320E9C9F" w14:textId="77777777" w:rsidR="005B0A3D" w:rsidRDefault="005B0A3D" w:rsidP="005B0A3D"/>
    <w:p w14:paraId="759B5208" w14:textId="77777777" w:rsidR="005B0A3D" w:rsidRDefault="005B0A3D" w:rsidP="005B0A3D">
      <w:pPr>
        <w:rPr>
          <w:i/>
          <w:iCs/>
        </w:rPr>
      </w:pPr>
      <w:r>
        <w:t xml:space="preserve">Brown, J. (2020) </w:t>
      </w:r>
      <w:r>
        <w:rPr>
          <w:i/>
          <w:iCs/>
        </w:rPr>
        <w:t>Police complaints and discipline</w:t>
      </w:r>
    </w:p>
    <w:p w14:paraId="62A6E7AD" w14:textId="77777777" w:rsidR="005B0A3D" w:rsidRDefault="005B0A3D" w:rsidP="005B0A3D">
      <w:hyperlink r:id="rId8" w:history="1">
        <w:r>
          <w:rPr>
            <w:rStyle w:val="Hyperlink"/>
          </w:rPr>
          <w:t>https://commonslibrary.parliament.uk/research-briefings/sn02056/</w:t>
        </w:r>
      </w:hyperlink>
    </w:p>
    <w:p w14:paraId="3812D1E8" w14:textId="77777777" w:rsidR="005B0A3D" w:rsidRDefault="005B0A3D" w:rsidP="005B0A3D"/>
    <w:p w14:paraId="450B8700" w14:textId="77777777" w:rsidR="005B0A3D" w:rsidRDefault="005B0A3D" w:rsidP="005B0A3D">
      <w:r>
        <w:t xml:space="preserve">College of Policing (2020) </w:t>
      </w:r>
      <w:r>
        <w:rPr>
          <w:i/>
          <w:iCs/>
        </w:rPr>
        <w:t>Transparent, Authorised Professional Practice</w:t>
      </w:r>
    </w:p>
    <w:p w14:paraId="6646DD0B" w14:textId="77777777" w:rsidR="005B0A3D" w:rsidRDefault="005B0A3D" w:rsidP="005B0A3D">
      <w:hyperlink r:id="rId9" w:history="1">
        <w:r>
          <w:rPr>
            <w:rStyle w:val="Hyperlink"/>
          </w:rPr>
          <w:t>https://www.college.police.uk/app/stop-and-search/transparent</w:t>
        </w:r>
      </w:hyperlink>
      <w:r>
        <w:t xml:space="preserve"> </w:t>
      </w:r>
    </w:p>
    <w:p w14:paraId="479AEB3A" w14:textId="77777777" w:rsidR="005B0A3D" w:rsidRDefault="005B0A3D" w:rsidP="005B0A3D"/>
    <w:p w14:paraId="1D3EF00E" w14:textId="77777777" w:rsidR="005B0A3D" w:rsidRDefault="005B0A3D" w:rsidP="005B0A3D">
      <w:r>
        <w:t xml:space="preserve">GOV.UK (2022) </w:t>
      </w:r>
      <w:r>
        <w:rPr>
          <w:i/>
          <w:iCs/>
        </w:rPr>
        <w:t xml:space="preserve">Crime, </w:t>
      </w:r>
      <w:proofErr w:type="gramStart"/>
      <w:r>
        <w:rPr>
          <w:i/>
          <w:iCs/>
        </w:rPr>
        <w:t>Justice</w:t>
      </w:r>
      <w:proofErr w:type="gramEnd"/>
      <w:r>
        <w:rPr>
          <w:i/>
          <w:iCs/>
        </w:rPr>
        <w:t xml:space="preserve"> and the Law – Stop and Search</w:t>
      </w:r>
    </w:p>
    <w:p w14:paraId="128C16B7" w14:textId="77777777" w:rsidR="005B0A3D" w:rsidRDefault="005B0A3D" w:rsidP="005B0A3D">
      <w:hyperlink r:id="rId10" w:history="1">
        <w:r>
          <w:rPr>
            <w:rStyle w:val="Hyperlink"/>
          </w:rPr>
          <w:t>https://www.ethnicity-facts-figures.service.gov.uk/crime-justice-and-the-law/policing/stop-and-search/latest</w:t>
        </w:r>
      </w:hyperlink>
      <w:r>
        <w:t xml:space="preserve"> </w:t>
      </w:r>
    </w:p>
    <w:p w14:paraId="235024DA" w14:textId="77777777" w:rsidR="005B0A3D" w:rsidRDefault="005B0A3D" w:rsidP="005B0A3D"/>
    <w:p w14:paraId="54A285C7" w14:textId="77777777" w:rsidR="005B0A3D" w:rsidRDefault="005B0A3D" w:rsidP="005B0A3D">
      <w:r>
        <w:t xml:space="preserve">GOV.UK (2022) </w:t>
      </w:r>
      <w:r>
        <w:rPr>
          <w:i/>
          <w:iCs/>
        </w:rPr>
        <w:t>Young people and the law</w:t>
      </w:r>
    </w:p>
    <w:p w14:paraId="79F3012D" w14:textId="77777777" w:rsidR="005B0A3D" w:rsidRDefault="005B0A3D" w:rsidP="005B0A3D">
      <w:hyperlink r:id="rId11" w:history="1">
        <w:r>
          <w:rPr>
            <w:rStyle w:val="Hyperlink"/>
          </w:rPr>
          <w:t>https://www.gov.uk/youth-offending-team</w:t>
        </w:r>
      </w:hyperlink>
      <w:r>
        <w:t xml:space="preserve"> </w:t>
      </w:r>
    </w:p>
    <w:p w14:paraId="7A810C09" w14:textId="77777777" w:rsidR="005B0A3D" w:rsidRDefault="005B0A3D" w:rsidP="005B0A3D"/>
    <w:p w14:paraId="43B7BCAA" w14:textId="77777777" w:rsidR="005B0A3D" w:rsidRDefault="005B0A3D" w:rsidP="005B0A3D">
      <w:r>
        <w:t xml:space="preserve">Gwent Police (2022) </w:t>
      </w:r>
      <w:r>
        <w:rPr>
          <w:i/>
          <w:iCs/>
        </w:rPr>
        <w:t>Force Intranet Page</w:t>
      </w:r>
    </w:p>
    <w:p w14:paraId="7ACDA849" w14:textId="77777777" w:rsidR="005B0A3D" w:rsidRDefault="005B0A3D" w:rsidP="005B0A3D">
      <w:hyperlink r:id="rId12" w:history="1">
        <w:r>
          <w:rPr>
            <w:rStyle w:val="Hyperlink"/>
          </w:rPr>
          <w:t>https://thebeat/sorce/beacon/default.aspx?pageid=GWP_Professional_Standards_Department</w:t>
        </w:r>
      </w:hyperlink>
      <w:r>
        <w:t xml:space="preserve"> </w:t>
      </w:r>
    </w:p>
    <w:p w14:paraId="3EBDF341" w14:textId="77777777" w:rsidR="005B0A3D" w:rsidRDefault="005B0A3D" w:rsidP="005B0A3D"/>
    <w:p w14:paraId="1829CC79" w14:textId="77777777" w:rsidR="005B0A3D" w:rsidRDefault="005B0A3D" w:rsidP="005B0A3D">
      <w:r>
        <w:t xml:space="preserve">HMICFRS (2018) </w:t>
      </w:r>
      <w:r>
        <w:rPr>
          <w:i/>
          <w:iCs/>
        </w:rPr>
        <w:t>What we do</w:t>
      </w:r>
    </w:p>
    <w:p w14:paraId="1695F8DB" w14:textId="77777777" w:rsidR="005B0A3D" w:rsidRDefault="005B0A3D" w:rsidP="005B0A3D">
      <w:hyperlink r:id="rId13" w:history="1">
        <w:r>
          <w:rPr>
            <w:rStyle w:val="Hyperlink"/>
          </w:rPr>
          <w:t>https://www.justiceinspectorates.gov.uk/hmicfrs/about-us/what-we-do/</w:t>
        </w:r>
      </w:hyperlink>
      <w:r>
        <w:t xml:space="preserve"> </w:t>
      </w:r>
    </w:p>
    <w:p w14:paraId="12789432" w14:textId="77777777" w:rsidR="005B0A3D" w:rsidRDefault="005B0A3D" w:rsidP="005B0A3D"/>
    <w:p w14:paraId="36DA0334" w14:textId="77777777" w:rsidR="005B0A3D" w:rsidRDefault="005B0A3D" w:rsidP="005B0A3D">
      <w:r>
        <w:t xml:space="preserve">HMICFRS (2020) </w:t>
      </w:r>
      <w:r>
        <w:rPr>
          <w:i/>
          <w:iCs/>
        </w:rPr>
        <w:t>Independence</w:t>
      </w:r>
    </w:p>
    <w:p w14:paraId="64B9AED7" w14:textId="77777777" w:rsidR="005B0A3D" w:rsidRDefault="005B0A3D" w:rsidP="005B0A3D">
      <w:hyperlink r:id="rId14" w:history="1">
        <w:r>
          <w:rPr>
            <w:rStyle w:val="Hyperlink"/>
          </w:rPr>
          <w:t>https://www.justiceinspectorates.gov.uk/hmicfrs/about-us/what-we-do/independence/</w:t>
        </w:r>
      </w:hyperlink>
      <w:r>
        <w:t xml:space="preserve"> </w:t>
      </w:r>
    </w:p>
    <w:p w14:paraId="42755CDA" w14:textId="77777777" w:rsidR="005B0A3D" w:rsidRDefault="005B0A3D" w:rsidP="005B0A3D"/>
    <w:p w14:paraId="2B77DC81" w14:textId="77777777" w:rsidR="005B0A3D" w:rsidRDefault="005B0A3D" w:rsidP="005B0A3D">
      <w:r>
        <w:t xml:space="preserve">HMICFRS (2022) </w:t>
      </w:r>
      <w:r>
        <w:rPr>
          <w:i/>
          <w:iCs/>
        </w:rPr>
        <w:t>Her Majesty’s Inspectorate of Constabulary and Fire &amp; Rescue Services homepage</w:t>
      </w:r>
    </w:p>
    <w:p w14:paraId="30531B61" w14:textId="77777777" w:rsidR="005B0A3D" w:rsidRDefault="005B0A3D" w:rsidP="005B0A3D">
      <w:hyperlink r:id="rId15" w:history="1">
        <w:r>
          <w:rPr>
            <w:rStyle w:val="Hyperlink"/>
          </w:rPr>
          <w:t>https://www.justiceinspectorates.gov.uk/hmicfrs/</w:t>
        </w:r>
      </w:hyperlink>
      <w:r>
        <w:t xml:space="preserve"> </w:t>
      </w:r>
    </w:p>
    <w:p w14:paraId="7F4E1BE5" w14:textId="77777777" w:rsidR="005B0A3D" w:rsidRDefault="005B0A3D" w:rsidP="005B0A3D"/>
    <w:p w14:paraId="72912137" w14:textId="77777777" w:rsidR="005B0A3D" w:rsidRDefault="005B0A3D" w:rsidP="005B0A3D"/>
    <w:p w14:paraId="44B43317" w14:textId="77777777" w:rsidR="005B0A3D" w:rsidRDefault="005B0A3D" w:rsidP="005B0A3D">
      <w:r>
        <w:lastRenderedPageBreak/>
        <w:t xml:space="preserve">HMICFRS (2022) </w:t>
      </w:r>
      <w:r>
        <w:rPr>
          <w:i/>
          <w:iCs/>
        </w:rPr>
        <w:t>Our approach to monitoring forces</w:t>
      </w:r>
      <w:r>
        <w:t xml:space="preserve"> </w:t>
      </w:r>
    </w:p>
    <w:p w14:paraId="5018D9CA" w14:textId="77777777" w:rsidR="005B0A3D" w:rsidRDefault="005B0A3D" w:rsidP="005B0A3D">
      <w:hyperlink r:id="rId16" w:history="1">
        <w:r>
          <w:rPr>
            <w:rStyle w:val="Hyperlink"/>
          </w:rPr>
          <w:t>https://www.justiceinspectorates.gov.uk/hmicfrs/about-us/what-we-do/our-approach-to-monitoring-forces/</w:t>
        </w:r>
      </w:hyperlink>
      <w:r>
        <w:t xml:space="preserve"> </w:t>
      </w:r>
    </w:p>
    <w:p w14:paraId="6467EB74" w14:textId="77777777" w:rsidR="005B0A3D" w:rsidRDefault="005B0A3D" w:rsidP="005B0A3D"/>
    <w:p w14:paraId="01C0AF84" w14:textId="77777777" w:rsidR="005B0A3D" w:rsidRDefault="005B0A3D" w:rsidP="005B0A3D">
      <w:pPr>
        <w:rPr>
          <w:i/>
          <w:iCs/>
        </w:rPr>
      </w:pPr>
      <w:r>
        <w:t xml:space="preserve">IOPC (2020) </w:t>
      </w:r>
      <w:r>
        <w:rPr>
          <w:i/>
          <w:iCs/>
        </w:rPr>
        <w:t>Improving policing by identifying and sharing learning from our work</w:t>
      </w:r>
    </w:p>
    <w:p w14:paraId="5819FD6B" w14:textId="77777777" w:rsidR="005B0A3D" w:rsidRDefault="005B0A3D" w:rsidP="005B0A3D">
      <w:hyperlink r:id="rId17" w:history="1">
        <w:r>
          <w:rPr>
            <w:rStyle w:val="Hyperlink"/>
          </w:rPr>
          <w:t>https://policeconduct.gov.uk/sites/default/files/Documents/research-learning/IOPC_Learning_Strategy_April_2020.pdf</w:t>
        </w:r>
      </w:hyperlink>
    </w:p>
    <w:p w14:paraId="781BE0FD" w14:textId="77777777" w:rsidR="005B0A3D" w:rsidRDefault="005B0A3D" w:rsidP="005B0A3D"/>
    <w:p w14:paraId="60934910" w14:textId="77777777" w:rsidR="005B0A3D" w:rsidRDefault="005B0A3D" w:rsidP="005B0A3D">
      <w:pPr>
        <w:rPr>
          <w:i/>
          <w:iCs/>
        </w:rPr>
      </w:pPr>
      <w:r>
        <w:t xml:space="preserve">IOPC (2020) </w:t>
      </w:r>
      <w:r>
        <w:rPr>
          <w:i/>
          <w:iCs/>
        </w:rPr>
        <w:t>Independent office for police conduct homepage</w:t>
      </w:r>
    </w:p>
    <w:p w14:paraId="0D66CE19" w14:textId="77777777" w:rsidR="005B0A3D" w:rsidRDefault="005B0A3D" w:rsidP="005B0A3D">
      <w:pPr>
        <w:rPr>
          <w:color w:val="0563C1" w:themeColor="hyperlink"/>
          <w:u w:val="single"/>
        </w:rPr>
      </w:pPr>
      <w:hyperlink r:id="rId18" w:history="1">
        <w:r>
          <w:rPr>
            <w:rStyle w:val="Hyperlink"/>
          </w:rPr>
          <w:t>https://www.policeconduct.gov.uk/</w:t>
        </w:r>
      </w:hyperlink>
    </w:p>
    <w:p w14:paraId="3BFD3C0C" w14:textId="77777777" w:rsidR="005B0A3D" w:rsidRDefault="005B0A3D" w:rsidP="005B0A3D"/>
    <w:p w14:paraId="7CF55D37" w14:textId="77777777" w:rsidR="005B0A3D" w:rsidRDefault="005B0A3D" w:rsidP="005B0A3D">
      <w:pPr>
        <w:rPr>
          <w:i/>
          <w:iCs/>
        </w:rPr>
      </w:pPr>
      <w:r>
        <w:t xml:space="preserve">IOPC (2020) </w:t>
      </w:r>
      <w:r>
        <w:rPr>
          <w:i/>
          <w:iCs/>
        </w:rPr>
        <w:t>Our learning strategy</w:t>
      </w:r>
    </w:p>
    <w:p w14:paraId="6C060468" w14:textId="77777777" w:rsidR="005B0A3D" w:rsidRDefault="005B0A3D" w:rsidP="005B0A3D">
      <w:hyperlink r:id="rId19" w:history="1">
        <w:r>
          <w:rPr>
            <w:rStyle w:val="Hyperlink"/>
          </w:rPr>
          <w:t>https://policeconduct.gov.uk/research-and-learning/learning-and-recommendations</w:t>
        </w:r>
      </w:hyperlink>
    </w:p>
    <w:p w14:paraId="3DE40CAE" w14:textId="77777777" w:rsidR="005B0A3D" w:rsidRDefault="005B0A3D" w:rsidP="005B0A3D"/>
    <w:p w14:paraId="70C755A3" w14:textId="77777777" w:rsidR="005B0A3D" w:rsidRDefault="005B0A3D" w:rsidP="005B0A3D">
      <w:pPr>
        <w:rPr>
          <w:i/>
          <w:iCs/>
        </w:rPr>
      </w:pPr>
      <w:r>
        <w:t xml:space="preserve">IOPC (2020) </w:t>
      </w:r>
      <w:r>
        <w:rPr>
          <w:i/>
          <w:iCs/>
        </w:rPr>
        <w:t>Who we are</w:t>
      </w:r>
    </w:p>
    <w:p w14:paraId="2A2D33AB" w14:textId="77777777" w:rsidR="005B0A3D" w:rsidRDefault="005B0A3D" w:rsidP="005B0A3D">
      <w:pPr>
        <w:rPr>
          <w:color w:val="0563C1" w:themeColor="hyperlink"/>
          <w:u w:val="single"/>
        </w:rPr>
      </w:pPr>
      <w:hyperlink r:id="rId20" w:history="1">
        <w:r>
          <w:rPr>
            <w:rStyle w:val="Hyperlink"/>
          </w:rPr>
          <w:t>https://www.policeconduct.gov.uk/who-we-are</w:t>
        </w:r>
      </w:hyperlink>
    </w:p>
    <w:p w14:paraId="2323FEDD" w14:textId="77777777" w:rsidR="005B0A3D" w:rsidRDefault="005B0A3D" w:rsidP="005B0A3D"/>
    <w:p w14:paraId="36F532A9" w14:textId="77777777" w:rsidR="005B0A3D" w:rsidRDefault="005B0A3D" w:rsidP="005B0A3D">
      <w:pPr>
        <w:rPr>
          <w:i/>
          <w:iCs/>
        </w:rPr>
      </w:pPr>
      <w:r>
        <w:t xml:space="preserve">IOPC (2021) </w:t>
      </w:r>
      <w:r>
        <w:rPr>
          <w:i/>
          <w:iCs/>
        </w:rPr>
        <w:t>Police Complaints Statistics for England and Wales 2020/21 (Experimental statistics)</w:t>
      </w:r>
    </w:p>
    <w:p w14:paraId="77A55715" w14:textId="77777777" w:rsidR="005B0A3D" w:rsidRDefault="005B0A3D" w:rsidP="005B0A3D">
      <w:hyperlink r:id="rId21" w:anchor=":~:text=A%20complaint%20cases%20rate%20per,across%20all%20forces%20were%20logged" w:history="1">
        <w:r>
          <w:rPr>
            <w:rStyle w:val="Hyperlink"/>
          </w:rPr>
          <w:t>https://policeconduct.gov.uk/police-complaints-statistics-england-and-wales-202021-experimental-statistics#:~:text=A%20complaint%20cases%20rate%20per,across%20all%20forces%20were%20logged</w:t>
        </w:r>
      </w:hyperlink>
    </w:p>
    <w:p w14:paraId="1D0AAABB" w14:textId="77777777" w:rsidR="005B0A3D" w:rsidRDefault="005B0A3D" w:rsidP="005B0A3D"/>
    <w:p w14:paraId="3D448334" w14:textId="77777777" w:rsidR="005B0A3D" w:rsidRDefault="005B0A3D" w:rsidP="005B0A3D">
      <w:r>
        <w:t xml:space="preserve">IOPC (2022) </w:t>
      </w:r>
      <w:r>
        <w:rPr>
          <w:i/>
          <w:iCs/>
        </w:rPr>
        <w:t>How to make a complaint: A guide to the police complaints system</w:t>
      </w:r>
    </w:p>
    <w:p w14:paraId="086A2F5F" w14:textId="77777777" w:rsidR="005B0A3D" w:rsidRDefault="005B0A3D" w:rsidP="005B0A3D">
      <w:hyperlink r:id="rId22" w:history="1">
        <w:r>
          <w:rPr>
            <w:rStyle w:val="Hyperlink"/>
          </w:rPr>
          <w:t>https://policeconduct.gov.uk/sites/default/files/Documents/Complaint_forms/20220707_A_guide_to_complaint_system_2022.pdf</w:t>
        </w:r>
      </w:hyperlink>
    </w:p>
    <w:p w14:paraId="6CA7FBF1" w14:textId="77777777" w:rsidR="005B0A3D" w:rsidRDefault="005B0A3D" w:rsidP="005B0A3D"/>
    <w:p w14:paraId="037941BE" w14:textId="77777777" w:rsidR="005B0A3D" w:rsidRDefault="005B0A3D" w:rsidP="005B0A3D">
      <w:r>
        <w:t xml:space="preserve">Jackson, J. et al (2017) </w:t>
      </w:r>
      <w:r>
        <w:rPr>
          <w:i/>
          <w:iCs/>
        </w:rPr>
        <w:t>A leap of faith? Trust in the police among migrants in England and Wales</w:t>
      </w:r>
    </w:p>
    <w:p w14:paraId="5DDBCCCB" w14:textId="77777777" w:rsidR="005B0A3D" w:rsidRDefault="005B0A3D" w:rsidP="005B0A3D">
      <w:hyperlink r:id="rId23" w:history="1">
        <w:r>
          <w:rPr>
            <w:rStyle w:val="Hyperlink"/>
          </w:rPr>
          <w:t>http://eprints.lse.ac.uk/64678/1/Jackson_A%20leap%20of%20faith_2015.pdf</w:t>
        </w:r>
      </w:hyperlink>
      <w:r>
        <w:t xml:space="preserve"> </w:t>
      </w:r>
    </w:p>
    <w:p w14:paraId="544C7F7B" w14:textId="77777777" w:rsidR="005B0A3D" w:rsidRDefault="005B0A3D" w:rsidP="005B0A3D"/>
    <w:p w14:paraId="15C37591" w14:textId="77777777" w:rsidR="005B0A3D" w:rsidRDefault="005B0A3D" w:rsidP="005B0A3D">
      <w:r>
        <w:t xml:space="preserve">Local Government Association (2015) </w:t>
      </w:r>
      <w:r>
        <w:rPr>
          <w:i/>
          <w:iCs/>
        </w:rPr>
        <w:t>Tackling serious and organised crime, a local response</w:t>
      </w:r>
    </w:p>
    <w:p w14:paraId="0681F407" w14:textId="77777777" w:rsidR="005B0A3D" w:rsidRDefault="005B0A3D" w:rsidP="005B0A3D">
      <w:hyperlink r:id="rId24" w:history="1">
        <w:r>
          <w:rPr>
            <w:rStyle w:val="Hyperlink"/>
          </w:rPr>
          <w:t>https://www.local.gov.uk/sites/default/files/documents/tackling-serious-and-orga-44a.pdf</w:t>
        </w:r>
      </w:hyperlink>
      <w:r>
        <w:t xml:space="preserve"> </w:t>
      </w:r>
    </w:p>
    <w:p w14:paraId="427B546F" w14:textId="77777777" w:rsidR="005B0A3D" w:rsidRDefault="005B0A3D" w:rsidP="005B0A3D"/>
    <w:p w14:paraId="10630064" w14:textId="77777777" w:rsidR="005B0A3D" w:rsidRDefault="005B0A3D" w:rsidP="005B0A3D"/>
    <w:p w14:paraId="4112BC8B" w14:textId="77777777" w:rsidR="005B0A3D" w:rsidRDefault="005B0A3D" w:rsidP="005B0A3D">
      <w:r>
        <w:lastRenderedPageBreak/>
        <w:t xml:space="preserve">Metropolitan Police (2017) </w:t>
      </w:r>
      <w:r>
        <w:rPr>
          <w:i/>
          <w:iCs/>
        </w:rPr>
        <w:t>Policies &amp; Inclusion Strategy</w:t>
      </w:r>
    </w:p>
    <w:p w14:paraId="06D7ED87" w14:textId="77777777" w:rsidR="005B0A3D" w:rsidRDefault="005B0A3D" w:rsidP="005B0A3D">
      <w:hyperlink r:id="rId25" w:history="1">
        <w:r>
          <w:rPr>
            <w:rStyle w:val="Hyperlink"/>
          </w:rPr>
          <w:t>https://www.met.police.uk/SysSiteAssets/foi-media/metropolitan-police/policies/inclusion-strategy-2017-2021.pdf</w:t>
        </w:r>
      </w:hyperlink>
      <w:r>
        <w:t xml:space="preserve"> </w:t>
      </w:r>
    </w:p>
    <w:p w14:paraId="24BFFD08" w14:textId="77777777" w:rsidR="005B0A3D" w:rsidRDefault="005B0A3D" w:rsidP="005B0A3D"/>
    <w:p w14:paraId="745ADD17" w14:textId="77777777" w:rsidR="005B0A3D" w:rsidRDefault="005B0A3D" w:rsidP="005B0A3D">
      <w:pPr>
        <w:rPr>
          <w:i/>
          <w:iCs/>
        </w:rPr>
      </w:pPr>
      <w:r>
        <w:t xml:space="preserve">Ministry of Justice (2021) </w:t>
      </w:r>
      <w:r>
        <w:rPr>
          <w:i/>
          <w:iCs/>
        </w:rPr>
        <w:t>Youth Justice Statistics 2019/20 England and Wales</w:t>
      </w:r>
    </w:p>
    <w:p w14:paraId="5CE0BC9B" w14:textId="77777777" w:rsidR="005B0A3D" w:rsidRDefault="005B0A3D" w:rsidP="005B0A3D">
      <w:hyperlink r:id="rId26" w:history="1">
        <w:r>
          <w:rPr>
            <w:rStyle w:val="Hyperlink"/>
          </w:rPr>
          <w:t>https://assets.publishing.service.gov.uk/government/uploads/system/uploads/attachment_data/file/956621/youth-justice-statistics-2019-2020.pdf</w:t>
        </w:r>
      </w:hyperlink>
      <w:r>
        <w:t xml:space="preserve"> </w:t>
      </w:r>
    </w:p>
    <w:p w14:paraId="34B06CE3" w14:textId="77777777" w:rsidR="005B0A3D" w:rsidRDefault="005B0A3D" w:rsidP="005B0A3D"/>
    <w:p w14:paraId="6F4E0D7D" w14:textId="77777777" w:rsidR="005B0A3D" w:rsidRDefault="005B0A3D" w:rsidP="005B0A3D">
      <w:pPr>
        <w:rPr>
          <w:i/>
          <w:iCs/>
        </w:rPr>
      </w:pPr>
      <w:r>
        <w:t xml:space="preserve">National Crime Agency (2019) </w:t>
      </w:r>
      <w:r>
        <w:rPr>
          <w:i/>
          <w:iCs/>
        </w:rPr>
        <w:t xml:space="preserve">County Lines drug supply, </w:t>
      </w:r>
      <w:proofErr w:type="gramStart"/>
      <w:r>
        <w:rPr>
          <w:i/>
          <w:iCs/>
        </w:rPr>
        <w:t>vulnerability</w:t>
      </w:r>
      <w:proofErr w:type="gramEnd"/>
      <w:r>
        <w:rPr>
          <w:i/>
          <w:iCs/>
        </w:rPr>
        <w:t xml:space="preserve"> and harm</w:t>
      </w:r>
    </w:p>
    <w:p w14:paraId="20686A20" w14:textId="77777777" w:rsidR="005B0A3D" w:rsidRDefault="005B0A3D" w:rsidP="005B0A3D">
      <w:hyperlink r:id="rId27" w:history="1">
        <w:r>
          <w:rPr>
            <w:rStyle w:val="Hyperlink"/>
          </w:rPr>
          <w:t>https://www.nationalcrimeagency.gov.uk/who-we-are/publications/257-county-lines-drug-supply-vulnerability-and-harm-2018/file</w:t>
        </w:r>
      </w:hyperlink>
      <w:r>
        <w:rPr>
          <w:rStyle w:val="Hyperlink"/>
        </w:rPr>
        <w:t xml:space="preserve"> </w:t>
      </w:r>
    </w:p>
    <w:p w14:paraId="60BC0EE3" w14:textId="77777777" w:rsidR="005B0A3D" w:rsidRDefault="005B0A3D" w:rsidP="005B0A3D"/>
    <w:p w14:paraId="2993FC53" w14:textId="77777777" w:rsidR="005B0A3D" w:rsidRDefault="005B0A3D" w:rsidP="005B0A3D">
      <w:r>
        <w:t xml:space="preserve">National Crime Agency (2022) </w:t>
      </w:r>
      <w:r>
        <w:rPr>
          <w:i/>
          <w:iCs/>
        </w:rPr>
        <w:t>County Lines</w:t>
      </w:r>
    </w:p>
    <w:p w14:paraId="2D43B82C" w14:textId="77777777" w:rsidR="005B0A3D" w:rsidRDefault="005B0A3D" w:rsidP="005B0A3D">
      <w:hyperlink r:id="rId28" w:history="1">
        <w:r>
          <w:rPr>
            <w:rStyle w:val="Hyperlink"/>
          </w:rPr>
          <w:t>https://www.nationalcrimeagency.gov.uk/what-we-do/crime-threats/drug-trafficking/county-lines</w:t>
        </w:r>
      </w:hyperlink>
      <w:r>
        <w:rPr>
          <w:rStyle w:val="Hyperlink"/>
        </w:rPr>
        <w:t xml:space="preserve"> </w:t>
      </w:r>
    </w:p>
    <w:p w14:paraId="19FD366B" w14:textId="77777777" w:rsidR="005B0A3D" w:rsidRDefault="005B0A3D" w:rsidP="005B0A3D"/>
    <w:p w14:paraId="221D76D2" w14:textId="77777777" w:rsidR="005B0A3D" w:rsidRDefault="005B0A3D" w:rsidP="005B0A3D">
      <w:pPr>
        <w:rPr>
          <w:i/>
          <w:iCs/>
        </w:rPr>
      </w:pPr>
      <w:r>
        <w:t xml:space="preserve">Orr-Munro, T. (n.d.) </w:t>
      </w:r>
      <w:r>
        <w:rPr>
          <w:i/>
          <w:iCs/>
        </w:rPr>
        <w:t>Why it is important we have a diverse police service</w:t>
      </w:r>
    </w:p>
    <w:p w14:paraId="5F6428DC" w14:textId="77777777" w:rsidR="005B0A3D" w:rsidRDefault="005B0A3D" w:rsidP="005B0A3D">
      <w:hyperlink r:id="rId29" w:history="1">
        <w:r>
          <w:rPr>
            <w:rStyle w:val="Hyperlink"/>
          </w:rPr>
          <w:t>https://allpolicejobs.co.uk/blog/why-it-is-important-we-have-a-diverse-police-service</w:t>
        </w:r>
      </w:hyperlink>
    </w:p>
    <w:p w14:paraId="20806035" w14:textId="77777777" w:rsidR="005B0A3D" w:rsidRDefault="005B0A3D" w:rsidP="005B0A3D"/>
    <w:p w14:paraId="77F79463" w14:textId="77777777" w:rsidR="005B0A3D" w:rsidRDefault="005B0A3D" w:rsidP="005B0A3D">
      <w:pPr>
        <w:rPr>
          <w:i/>
          <w:iCs/>
        </w:rPr>
      </w:pPr>
      <w:proofErr w:type="spellStart"/>
      <w:r>
        <w:t>Peden</w:t>
      </w:r>
      <w:proofErr w:type="spellEnd"/>
      <w:r>
        <w:t xml:space="preserve">, Dr J. </w:t>
      </w:r>
      <w:r>
        <w:rPr>
          <w:i/>
          <w:iCs/>
        </w:rPr>
        <w:t>et al</w:t>
      </w:r>
      <w:r>
        <w:t xml:space="preserve"> (2019)</w:t>
      </w:r>
      <w:r>
        <w:rPr>
          <w:i/>
          <w:iCs/>
        </w:rPr>
        <w:t xml:space="preserve"> Collaborative approaches to preventing offending and re-offending in children (CAPRICORN)</w:t>
      </w:r>
    </w:p>
    <w:p w14:paraId="70049093" w14:textId="77777777" w:rsidR="005B0A3D" w:rsidRDefault="005B0A3D" w:rsidP="005B0A3D">
      <w:hyperlink r:id="rId30" w:history="1">
        <w:r>
          <w:rPr>
            <w:rStyle w:val="Hyperlink"/>
          </w:rPr>
          <w:t>https://assets.publishing.service.gov.uk/government/uploads/system/uploads/attachment_data/file/828228/CAPRICORN_resource.pdf</w:t>
        </w:r>
      </w:hyperlink>
    </w:p>
    <w:p w14:paraId="7A2B45EB" w14:textId="77777777" w:rsidR="005B0A3D" w:rsidRDefault="005B0A3D" w:rsidP="005B0A3D"/>
    <w:p w14:paraId="69264593" w14:textId="77777777" w:rsidR="005B0A3D" w:rsidRDefault="005B0A3D" w:rsidP="005B0A3D">
      <w:r>
        <w:t xml:space="preserve">Positive Futures (2022) </w:t>
      </w:r>
      <w:r>
        <w:rPr>
          <w:i/>
          <w:iCs/>
        </w:rPr>
        <w:t>Positive Futures</w:t>
      </w:r>
    </w:p>
    <w:p w14:paraId="7C480652" w14:textId="77777777" w:rsidR="005B0A3D" w:rsidRDefault="005B0A3D" w:rsidP="005B0A3D">
      <w:hyperlink r:id="rId31" w:history="1">
        <w:r>
          <w:rPr>
            <w:rStyle w:val="Hyperlink"/>
          </w:rPr>
          <w:t>https://www.newportlive.co.uk/en/community-support/community-sport-and-wellbeing/our-projects-programmes-and-initiatives/positive-futures/</w:t>
        </w:r>
      </w:hyperlink>
    </w:p>
    <w:p w14:paraId="72276389" w14:textId="77777777" w:rsidR="005B0A3D" w:rsidRDefault="005B0A3D" w:rsidP="005B0A3D"/>
    <w:p w14:paraId="6C226066" w14:textId="77777777" w:rsidR="005B0A3D" w:rsidRDefault="005B0A3D" w:rsidP="005B0A3D">
      <w:r>
        <w:t xml:space="preserve">Programme Challenger (2022) </w:t>
      </w:r>
      <w:r>
        <w:rPr>
          <w:i/>
          <w:iCs/>
        </w:rPr>
        <w:t>Cuckooing</w:t>
      </w:r>
    </w:p>
    <w:p w14:paraId="7DD91CF7" w14:textId="77777777" w:rsidR="005B0A3D" w:rsidRDefault="005B0A3D" w:rsidP="005B0A3D">
      <w:hyperlink r:id="rId32" w:history="1">
        <w:r>
          <w:rPr>
            <w:rStyle w:val="Hyperlink"/>
          </w:rPr>
          <w:t>https://www.programmechallenger.co.uk/practitioner/resources/cuckooing/</w:t>
        </w:r>
      </w:hyperlink>
      <w:r>
        <w:t xml:space="preserve"> </w:t>
      </w:r>
    </w:p>
    <w:p w14:paraId="0D392FF0" w14:textId="77777777" w:rsidR="005B0A3D" w:rsidRDefault="005B0A3D" w:rsidP="005B0A3D"/>
    <w:p w14:paraId="65F0B592" w14:textId="77777777" w:rsidR="005B0A3D" w:rsidRDefault="005B0A3D" w:rsidP="005B0A3D">
      <w:pPr>
        <w:rPr>
          <w:i/>
          <w:iCs/>
        </w:rPr>
      </w:pPr>
      <w:r>
        <w:t xml:space="preserve">Russell, Dr K. (2021) </w:t>
      </w:r>
      <w:r>
        <w:rPr>
          <w:i/>
          <w:iCs/>
        </w:rPr>
        <w:t>What Works to Prevent Youth Violence: A Summary of the Evidence</w:t>
      </w:r>
    </w:p>
    <w:p w14:paraId="5E728265" w14:textId="77777777" w:rsidR="005B0A3D" w:rsidRDefault="005B0A3D" w:rsidP="005B0A3D">
      <w:hyperlink r:id="rId33" w:history="1">
        <w:r>
          <w:rPr>
            <w:rStyle w:val="Hyperlink"/>
          </w:rPr>
          <w:t>http://www.svru.co.uk/wp-content/uploads/2021/02/570415_SCT0121834710-001_p2_YVMainReport.pdf</w:t>
        </w:r>
      </w:hyperlink>
    </w:p>
    <w:p w14:paraId="6A014D28" w14:textId="77777777" w:rsidR="005B0A3D" w:rsidRDefault="005B0A3D" w:rsidP="005B0A3D"/>
    <w:p w14:paraId="4EF9EA05" w14:textId="77777777" w:rsidR="005B0A3D" w:rsidRDefault="005B0A3D" w:rsidP="005B0A3D">
      <w:r>
        <w:lastRenderedPageBreak/>
        <w:t xml:space="preserve">Stratton, S. (2018) </w:t>
      </w:r>
      <w:r>
        <w:rPr>
          <w:i/>
          <w:iCs/>
        </w:rPr>
        <w:t>Learning the lessons: Protecting vulnerable people</w:t>
      </w:r>
    </w:p>
    <w:p w14:paraId="6493B0A2" w14:textId="77777777" w:rsidR="005B0A3D" w:rsidRDefault="005B0A3D" w:rsidP="005B0A3D">
      <w:hyperlink r:id="rId34" w:history="1">
        <w:r>
          <w:rPr>
            <w:rStyle w:val="Hyperlink"/>
          </w:rPr>
          <w:t>https://policeconduct.gov.uk/sites/default/files/Documents/Learningthelessons/32/LearningtheLessons_Bulletin32_March2018.pdf</w:t>
        </w:r>
      </w:hyperlink>
    </w:p>
    <w:p w14:paraId="474211C3" w14:textId="77777777" w:rsidR="005B0A3D" w:rsidRDefault="005B0A3D" w:rsidP="005B0A3D">
      <w:pPr>
        <w:rPr>
          <w:rFonts w:ascii="Arial" w:hAnsi="Arial" w:cs="Arial"/>
          <w:b/>
          <w:bCs/>
        </w:rPr>
      </w:pPr>
    </w:p>
    <w:p w14:paraId="3B7ED597" w14:textId="77777777" w:rsidR="005B0A3D" w:rsidRDefault="005B0A3D" w:rsidP="005B0A3D">
      <w:pPr>
        <w:spacing w:after="0" w:line="276" w:lineRule="auto"/>
        <w:ind w:right="531"/>
        <w:rPr>
          <w:rFonts w:ascii="Arial" w:eastAsia="Times New Roman" w:hAnsi="Arial" w:cs="Arial"/>
          <w:lang w:eastAsia="en-GB"/>
        </w:rPr>
      </w:pPr>
    </w:p>
    <w:p w14:paraId="5C481A14" w14:textId="77777777" w:rsidR="005B0A3D" w:rsidRDefault="005B0A3D" w:rsidP="005B0A3D">
      <w:pPr>
        <w:spacing w:after="0" w:line="276" w:lineRule="auto"/>
        <w:ind w:left="720" w:right="531"/>
        <w:rPr>
          <w:rFonts w:ascii="Arial" w:eastAsia="Times New Roman" w:hAnsi="Arial" w:cs="Arial"/>
          <w:lang w:eastAsia="en-GB"/>
        </w:rPr>
      </w:pPr>
    </w:p>
    <w:bookmarkEnd w:id="1"/>
    <w:p w14:paraId="551D6B2C" w14:textId="77777777" w:rsidR="005B0A3D" w:rsidRDefault="005B0A3D" w:rsidP="005B0A3D">
      <w:pPr>
        <w:spacing w:after="0" w:line="276" w:lineRule="auto"/>
        <w:ind w:left="720" w:right="531"/>
        <w:rPr>
          <w:rFonts w:ascii="Arial" w:eastAsia="Times New Roman" w:hAnsi="Arial" w:cs="Arial"/>
          <w:lang w:eastAsia="en-GB"/>
        </w:rPr>
      </w:pPr>
    </w:p>
    <w:p w14:paraId="1AF20EFA" w14:textId="77777777" w:rsidR="005B0A3D" w:rsidRDefault="005B0A3D" w:rsidP="005B0A3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12F13AED" w14:textId="77777777" w:rsidR="005B0A3D" w:rsidRDefault="005B0A3D" w:rsidP="005B0A3D">
      <w:pPr>
        <w:spacing w:after="0" w:line="276" w:lineRule="auto"/>
        <w:ind w:right="531"/>
        <w:rPr>
          <w:rFonts w:ascii="Arial" w:eastAsia="Times New Roman" w:hAnsi="Arial" w:cs="Arial"/>
          <w:lang w:eastAsia="en-GB"/>
        </w:rPr>
      </w:pPr>
    </w:p>
    <w:p w14:paraId="286F0B24" w14:textId="77777777" w:rsidR="00F457BE" w:rsidRDefault="005B0A3D"/>
    <w:sectPr w:rsidR="00F457BE">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A4F26" w14:textId="77777777" w:rsidR="005B0A3D" w:rsidRDefault="005B0A3D" w:rsidP="005B0A3D">
      <w:pPr>
        <w:spacing w:after="0" w:line="240" w:lineRule="auto"/>
      </w:pPr>
      <w:r>
        <w:separator/>
      </w:r>
    </w:p>
  </w:endnote>
  <w:endnote w:type="continuationSeparator" w:id="0">
    <w:p w14:paraId="30F0BAC2" w14:textId="77777777" w:rsidR="005B0A3D" w:rsidRDefault="005B0A3D" w:rsidP="005B0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98ABE" w14:textId="77777777" w:rsidR="005B0A3D" w:rsidRDefault="005B0A3D" w:rsidP="005B0A3D">
      <w:pPr>
        <w:spacing w:after="0" w:line="240" w:lineRule="auto"/>
      </w:pPr>
      <w:r>
        <w:separator/>
      </w:r>
    </w:p>
  </w:footnote>
  <w:footnote w:type="continuationSeparator" w:id="0">
    <w:p w14:paraId="300C1535" w14:textId="77777777" w:rsidR="005B0A3D" w:rsidRDefault="005B0A3D" w:rsidP="005B0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7C0DD" w14:textId="05D58274" w:rsidR="005B0A3D" w:rsidRDefault="005B0A3D">
    <w:pPr>
      <w:pStyle w:val="Header"/>
    </w:pPr>
    <w:r>
      <w:t xml:space="preserve">James Richens 2029658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AF6A9E"/>
    <w:multiLevelType w:val="hybridMultilevel"/>
    <w:tmpl w:val="ED0A253A"/>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 w15:restartNumberingAfterBreak="0">
    <w:nsid w:val="3D761C1A"/>
    <w:multiLevelType w:val="hybridMultilevel"/>
    <w:tmpl w:val="7E00349E"/>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2" w15:restartNumberingAfterBreak="0">
    <w:nsid w:val="747C06DD"/>
    <w:multiLevelType w:val="hybridMultilevel"/>
    <w:tmpl w:val="CB1696E4"/>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A3D"/>
    <w:rsid w:val="00453D89"/>
    <w:rsid w:val="005B0A3D"/>
    <w:rsid w:val="00CF4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544AB"/>
  <w15:chartTrackingRefBased/>
  <w15:docId w15:val="{D3E44AF9-BF25-4C84-A71B-04B838C07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A3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0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A3D"/>
  </w:style>
  <w:style w:type="paragraph" w:styleId="Footer">
    <w:name w:val="footer"/>
    <w:basedOn w:val="Normal"/>
    <w:link w:val="FooterChar"/>
    <w:uiPriority w:val="99"/>
    <w:unhideWhenUsed/>
    <w:rsid w:val="005B0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A3D"/>
  </w:style>
  <w:style w:type="paragraph" w:styleId="ListParagraph">
    <w:name w:val="List Paragraph"/>
    <w:basedOn w:val="Normal"/>
    <w:uiPriority w:val="34"/>
    <w:qFormat/>
    <w:rsid w:val="005B0A3D"/>
    <w:pPr>
      <w:ind w:left="720"/>
      <w:contextualSpacing/>
    </w:pPr>
  </w:style>
  <w:style w:type="character" w:styleId="Hyperlink">
    <w:name w:val="Hyperlink"/>
    <w:basedOn w:val="DefaultParagraphFont"/>
    <w:uiPriority w:val="99"/>
    <w:semiHidden/>
    <w:unhideWhenUsed/>
    <w:rsid w:val="005B0A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503493">
      <w:bodyDiv w:val="1"/>
      <w:marLeft w:val="0"/>
      <w:marRight w:val="0"/>
      <w:marTop w:val="0"/>
      <w:marBottom w:val="0"/>
      <w:divBdr>
        <w:top w:val="none" w:sz="0" w:space="0" w:color="auto"/>
        <w:left w:val="none" w:sz="0" w:space="0" w:color="auto"/>
        <w:bottom w:val="none" w:sz="0" w:space="0" w:color="auto"/>
        <w:right w:val="none" w:sz="0" w:space="0" w:color="auto"/>
      </w:divBdr>
    </w:div>
    <w:div w:id="1166939114">
      <w:bodyDiv w:val="1"/>
      <w:marLeft w:val="0"/>
      <w:marRight w:val="0"/>
      <w:marTop w:val="0"/>
      <w:marBottom w:val="0"/>
      <w:divBdr>
        <w:top w:val="none" w:sz="0" w:space="0" w:color="auto"/>
        <w:left w:val="none" w:sz="0" w:space="0" w:color="auto"/>
        <w:bottom w:val="none" w:sz="0" w:space="0" w:color="auto"/>
        <w:right w:val="none" w:sz="0" w:space="0" w:color="auto"/>
      </w:divBdr>
    </w:div>
    <w:div w:id="1405764117">
      <w:bodyDiv w:val="1"/>
      <w:marLeft w:val="0"/>
      <w:marRight w:val="0"/>
      <w:marTop w:val="0"/>
      <w:marBottom w:val="0"/>
      <w:divBdr>
        <w:top w:val="none" w:sz="0" w:space="0" w:color="auto"/>
        <w:left w:val="none" w:sz="0" w:space="0" w:color="auto"/>
        <w:bottom w:val="none" w:sz="0" w:space="0" w:color="auto"/>
        <w:right w:val="none" w:sz="0" w:space="0" w:color="auto"/>
      </w:divBdr>
    </w:div>
    <w:div w:id="1906640295">
      <w:bodyDiv w:val="1"/>
      <w:marLeft w:val="0"/>
      <w:marRight w:val="0"/>
      <w:marTop w:val="0"/>
      <w:marBottom w:val="0"/>
      <w:divBdr>
        <w:top w:val="none" w:sz="0" w:space="0" w:color="auto"/>
        <w:left w:val="none" w:sz="0" w:space="0" w:color="auto"/>
        <w:bottom w:val="none" w:sz="0" w:space="0" w:color="auto"/>
        <w:right w:val="none" w:sz="0" w:space="0" w:color="auto"/>
      </w:divBdr>
    </w:div>
    <w:div w:id="192291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sn02056/" TargetMode="External"/><Relationship Id="rId13" Type="http://schemas.openxmlformats.org/officeDocument/2006/relationships/hyperlink" Target="https://www.justiceinspectorates.gov.uk/hmicfrs/about-us/what-we-do/" TargetMode="External"/><Relationship Id="rId18" Type="http://schemas.openxmlformats.org/officeDocument/2006/relationships/hyperlink" Target="https://www.policeconduct.gov.uk/" TargetMode="External"/><Relationship Id="rId26" Type="http://schemas.openxmlformats.org/officeDocument/2006/relationships/hyperlink" Target="https://assets.publishing.service.gov.uk/government/uploads/system/uploads/attachment_data/file/956621/youth-justice-statistics-2019-2020.pdf" TargetMode="External"/><Relationship Id="rId3" Type="http://schemas.openxmlformats.org/officeDocument/2006/relationships/settings" Target="settings.xml"/><Relationship Id="rId21" Type="http://schemas.openxmlformats.org/officeDocument/2006/relationships/hyperlink" Target="https://policeconduct.gov.uk/police-complaints-statistics-england-and-wales-202021-experimental-statistics" TargetMode="External"/><Relationship Id="rId34" Type="http://schemas.openxmlformats.org/officeDocument/2006/relationships/hyperlink" Target="https://policeconduct.gov.uk/sites/default/files/Documents/Learningthelessons/32/LearningtheLessons_Bulletin32_March2018.pdf" TargetMode="External"/><Relationship Id="rId7" Type="http://schemas.openxmlformats.org/officeDocument/2006/relationships/hyperlink" Target="https://brighterfuturesforchildren.org/for-parents-carers/youth-offending-services/" TargetMode="External"/><Relationship Id="rId12" Type="http://schemas.openxmlformats.org/officeDocument/2006/relationships/hyperlink" Target="https://thebeat/sorce/beacon/default.aspx?pageid=GWP_Professional_Standards_Department" TargetMode="External"/><Relationship Id="rId17" Type="http://schemas.openxmlformats.org/officeDocument/2006/relationships/hyperlink" Target="https://policeconduct.gov.uk/sites/default/files/Documents/research-learning/IOPC_Learning_Strategy_April_2020.pdf" TargetMode="External"/><Relationship Id="rId25" Type="http://schemas.openxmlformats.org/officeDocument/2006/relationships/hyperlink" Target="https://www.met.police.uk/SysSiteAssets/foi-media/metropolitan-police/policies/inclusion-strategy-2017-2021.pdf" TargetMode="External"/><Relationship Id="rId33" Type="http://schemas.openxmlformats.org/officeDocument/2006/relationships/hyperlink" Target="http://www.svru.co.uk/wp-content/uploads/2021/02/570415_SCT0121834710-001_p2_YVMainReport.pdf" TargetMode="External"/><Relationship Id="rId2" Type="http://schemas.openxmlformats.org/officeDocument/2006/relationships/styles" Target="styles.xml"/><Relationship Id="rId16" Type="http://schemas.openxmlformats.org/officeDocument/2006/relationships/hyperlink" Target="https://www.justiceinspectorates.gov.uk/hmicfrs/about-us/what-we-do/our-approach-to-monitoring-forces/" TargetMode="External"/><Relationship Id="rId20" Type="http://schemas.openxmlformats.org/officeDocument/2006/relationships/hyperlink" Target="https://www.policeconduct.gov.uk/who-we-are" TargetMode="External"/><Relationship Id="rId29" Type="http://schemas.openxmlformats.org/officeDocument/2006/relationships/hyperlink" Target="https://allpolicejobs.co.uk/blog/why-it-is-important-we-have-a-diverse-police-serv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youth-offending-team" TargetMode="External"/><Relationship Id="rId24" Type="http://schemas.openxmlformats.org/officeDocument/2006/relationships/hyperlink" Target="https://www.local.gov.uk/sites/default/files/documents/tackling-serious-and-orga-44a.pdf" TargetMode="External"/><Relationship Id="rId32" Type="http://schemas.openxmlformats.org/officeDocument/2006/relationships/hyperlink" Target="https://www.programmechallenger.co.uk/practitioner/resources/cuckooing/"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justiceinspectorates.gov.uk/hmicfrs/" TargetMode="External"/><Relationship Id="rId23" Type="http://schemas.openxmlformats.org/officeDocument/2006/relationships/hyperlink" Target="http://eprints.lse.ac.uk/64678/1/Jackson_A%20leap%20of%20faith_2015.pdf" TargetMode="External"/><Relationship Id="rId28" Type="http://schemas.openxmlformats.org/officeDocument/2006/relationships/hyperlink" Target="https://www.nationalcrimeagency.gov.uk/what-we-do/crime-threats/drug-trafficking/county-lines" TargetMode="External"/><Relationship Id="rId36" Type="http://schemas.openxmlformats.org/officeDocument/2006/relationships/fontTable" Target="fontTable.xml"/><Relationship Id="rId10" Type="http://schemas.openxmlformats.org/officeDocument/2006/relationships/hyperlink" Target="https://www.ethnicity-facts-figures.service.gov.uk/crime-justice-and-the-law/policing/stop-and-search/latest" TargetMode="External"/><Relationship Id="rId19" Type="http://schemas.openxmlformats.org/officeDocument/2006/relationships/hyperlink" Target="https://policeconduct.gov.uk/research-and-learning/learning-and-recommendations" TargetMode="External"/><Relationship Id="rId31" Type="http://schemas.openxmlformats.org/officeDocument/2006/relationships/hyperlink" Target="https://www.newportlive.co.uk/en/community-support/community-sport-and-wellbeing/our-projects-programmes-and-initiatives/positive-futures/" TargetMode="External"/><Relationship Id="rId4" Type="http://schemas.openxmlformats.org/officeDocument/2006/relationships/webSettings" Target="webSettings.xml"/><Relationship Id="rId9" Type="http://schemas.openxmlformats.org/officeDocument/2006/relationships/hyperlink" Target="https://www.college.police.uk/app/stop-and-search/transparent" TargetMode="External"/><Relationship Id="rId14" Type="http://schemas.openxmlformats.org/officeDocument/2006/relationships/hyperlink" Target="https://www.justiceinspectorates.gov.uk/hmicfrs/about-us/what-we-do/independence/" TargetMode="External"/><Relationship Id="rId22" Type="http://schemas.openxmlformats.org/officeDocument/2006/relationships/hyperlink" Target="https://policeconduct.gov.uk/sites/default/files/Documents/Complaint_forms/20220707_A_guide_to_complaint_system_2022.pdf" TargetMode="External"/><Relationship Id="rId27" Type="http://schemas.openxmlformats.org/officeDocument/2006/relationships/hyperlink" Target="https://www.nationalcrimeagency.gov.uk/who-we-are/publications/257-county-lines-drug-supply-vulnerability-and-harm-2018/file" TargetMode="External"/><Relationship Id="rId30" Type="http://schemas.openxmlformats.org/officeDocument/2006/relationships/hyperlink" Target="https://assets.publishing.service.gov.uk/government/uploads/system/uploads/attachment_data/file/828228/CAPRICORN_resource.pdf"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4886</Words>
  <Characters>27856</Characters>
  <Application>Microsoft Office Word</Application>
  <DocSecurity>0</DocSecurity>
  <Lines>232</Lines>
  <Paragraphs>65</Paragraphs>
  <ScaleCrop>false</ScaleCrop>
  <Company>Gwent Police</Company>
  <LinksUpToDate>false</LinksUpToDate>
  <CharactersWithSpaces>32677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Richens, James</dc:creator>
  <cp:keywords/>
  <dc:description/>
  <cp:lastModifiedBy>Richens, James</cp:lastModifiedBy>
  <cp:revision>1</cp:revision>
  <dcterms:created xsi:type="dcterms:W3CDTF">2022-08-31T17:44:00Z</dcterms:created>
  <dcterms:modified xsi:type="dcterms:W3CDTF">2022-08-31T17:48:00Z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2022-08-31T17:44:18Z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17f84f88-db2d-4794-885c-cae61de1ea42</vt:lpwstr>
  </property>
  <property fmtid="{D5CDD505-2E9C-101B-9397-08002B2CF9AE}" pid="8" name="MSIP_Label_f2acd28b-79a3-4a0f-b0ff-4b75658b1549_ContentBits">
    <vt:lpwstr>0</vt:lpwstr>
  </property>
</Properties>
</file>