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C657D" w14:textId="77777777" w:rsidR="00AD4F8A" w:rsidRDefault="00AD4F8A" w:rsidP="00955A75"/>
    <w:p w14:paraId="2EF95741" w14:textId="682B2BC8" w:rsidR="00AD4F8A" w:rsidRDefault="00AD4F8A" w:rsidP="00955A75">
      <w:r>
        <w:t>Mohammed</w:t>
      </w:r>
      <w:r w:rsidR="00CD0921">
        <w:t xml:space="preserve"> </w:t>
      </w:r>
      <w:proofErr w:type="spellStart"/>
      <w:r w:rsidR="00CD0921">
        <w:t>Ashfaq</w:t>
      </w:r>
      <w:proofErr w:type="spellEnd"/>
      <w:r w:rsidR="00CD0921">
        <w:t xml:space="preserve"> </w:t>
      </w:r>
      <w:r w:rsidR="002B11D3">
        <w:t>:</w:t>
      </w:r>
      <w:r w:rsidR="00CD0921">
        <w:t xml:space="preserve"> 2315557</w:t>
      </w:r>
    </w:p>
    <w:p w14:paraId="2A526107" w14:textId="1099BA58" w:rsidR="00CD0921" w:rsidRDefault="00CD0921" w:rsidP="00955A75">
      <w:r>
        <w:t>Lecturer</w:t>
      </w:r>
      <w:r w:rsidR="00B96182">
        <w:t xml:space="preserve"> </w:t>
      </w:r>
      <w:r w:rsidR="002B11D3">
        <w:t xml:space="preserve">: </w:t>
      </w:r>
      <w:r>
        <w:t xml:space="preserve">Samuel </w:t>
      </w:r>
      <w:r w:rsidR="00DC788D">
        <w:t>Assan</w:t>
      </w:r>
    </w:p>
    <w:p w14:paraId="3A03A440" w14:textId="3D1E1F47" w:rsidR="00CD0921" w:rsidRDefault="00311549" w:rsidP="00955A75">
      <w:r>
        <w:t>Date</w:t>
      </w:r>
      <w:r w:rsidR="00B96182">
        <w:t xml:space="preserve"> :</w:t>
      </w:r>
      <w:r>
        <w:t xml:space="preserve"> 17 June 2026</w:t>
      </w:r>
    </w:p>
    <w:p w14:paraId="1E32A2C4" w14:textId="7B55191B" w:rsidR="00311549" w:rsidRDefault="00311549" w:rsidP="00955A75">
      <w:r>
        <w:t>Component 2</w:t>
      </w:r>
      <w:r w:rsidR="00B96182">
        <w:t xml:space="preserve"> : BMHP6030</w:t>
      </w:r>
    </w:p>
    <w:p w14:paraId="7995FF29" w14:textId="2D2C0F32" w:rsidR="00CD0921" w:rsidRDefault="002B11D3" w:rsidP="00955A75">
      <w:r>
        <w:t>Module:</w:t>
      </w:r>
      <w:r w:rsidR="00B96182">
        <w:t xml:space="preserve"> </w:t>
      </w:r>
      <w:r>
        <w:t xml:space="preserve">Health, Wellbeing and Sustainable </w:t>
      </w:r>
      <w:r w:rsidR="00DC788D">
        <w:t>Development</w:t>
      </w:r>
    </w:p>
    <w:p w14:paraId="2A6A5896" w14:textId="77777777" w:rsidR="00AD4F8A" w:rsidRDefault="00AD4F8A" w:rsidP="00955A75"/>
    <w:p w14:paraId="5F2E2186" w14:textId="77777777" w:rsidR="00AD4F8A" w:rsidRDefault="00AD4F8A" w:rsidP="00955A75"/>
    <w:p w14:paraId="649AD209" w14:textId="0D9657D5" w:rsidR="00B1016A" w:rsidRPr="00B568CB" w:rsidRDefault="00955A75" w:rsidP="00955A75">
      <w:pPr>
        <w:rPr>
          <w:b/>
          <w:bCs/>
          <w:sz w:val="36"/>
          <w:szCs w:val="36"/>
        </w:rPr>
      </w:pPr>
      <w:r w:rsidRPr="00B568CB">
        <w:rPr>
          <w:b/>
          <w:bCs/>
          <w:sz w:val="36"/>
          <w:szCs w:val="36"/>
        </w:rPr>
        <w:t>Critical Examination of Global, National, and Local Health, Wellbeing, and Sustainability Policy</w:t>
      </w:r>
    </w:p>
    <w:p w14:paraId="76B47D2F" w14:textId="323832ED" w:rsidR="00955A75" w:rsidRDefault="00955A75" w:rsidP="00955A75"/>
    <w:p w14:paraId="053379FA" w14:textId="15250206" w:rsidR="00955A75" w:rsidRPr="00E73319" w:rsidRDefault="00955A75" w:rsidP="00E73319">
      <w:pPr>
        <w:spacing w:line="360" w:lineRule="auto"/>
        <w:jc w:val="both"/>
        <w:rPr>
          <w:b/>
          <w:bCs/>
        </w:rPr>
      </w:pPr>
      <w:r w:rsidRPr="00E73319">
        <w:rPr>
          <w:b/>
          <w:bCs/>
        </w:rPr>
        <w:t>Introduction</w:t>
      </w:r>
    </w:p>
    <w:p w14:paraId="22DB0FB7" w14:textId="77777777" w:rsidR="00955A75" w:rsidRPr="000C679E" w:rsidRDefault="00955A75" w:rsidP="00E73319">
      <w:pPr>
        <w:spacing w:line="360" w:lineRule="auto"/>
        <w:jc w:val="both"/>
      </w:pPr>
      <w:r w:rsidRPr="000C679E">
        <w:t>The pursuit of global sustainability has shifted from a peripheral environmental concern to a central tenet of modern governance and public health. With the adoption of the 2030 Agenda for Sustainable Development, the United Nations established a comprehensive framework to address the intertwined challenges of climate change, inequality, and systemic health disparities. This report provides a critical examination of current health, wellbeing, and sustainability policies, focusing specifically on Sustainable Development Goal (SDG) 3 (Good Health and Wellbeing) and SDG 11 (Sustainable Cities and Communities).</w:t>
      </w:r>
    </w:p>
    <w:p w14:paraId="48F6932E" w14:textId="77777777" w:rsidR="00955A75" w:rsidRPr="000C679E" w:rsidRDefault="00955A75" w:rsidP="00E73319">
      <w:pPr>
        <w:spacing w:line="360" w:lineRule="auto"/>
        <w:jc w:val="both"/>
      </w:pPr>
      <w:r w:rsidRPr="000C679E">
        <w:t xml:space="preserve">These two goals are intrinsically linked. Because the majority of the global population resides in urban environments, the design and management of cities fundamentally determine the health trajectories of billions of citizens. This report evaluates the effectiveness of these policies across global, national, and local scales. By applying established theoretical frameworks, namely the Health Belief Model and Social Cognitive Theory, this analysis highlights the persistent gaps between high-level policy ambition and practical, community-level implementation. Finally, it offers evidence-based recommendations to foster integrated, resilient, and equitable health and sustainability outcomes, acknowledging the limitations of current </w:t>
      </w:r>
      <w:proofErr w:type="spellStart"/>
      <w:r w:rsidRPr="000C679E">
        <w:t>siloed</w:t>
      </w:r>
      <w:proofErr w:type="spellEnd"/>
      <w:r w:rsidRPr="000C679E">
        <w:t xml:space="preserve"> governance structures.</w:t>
      </w:r>
    </w:p>
    <w:p w14:paraId="3679324A" w14:textId="5E6944CC" w:rsidR="00955A75" w:rsidRPr="008F08F5" w:rsidRDefault="00955A75" w:rsidP="00E73319">
      <w:pPr>
        <w:spacing w:line="360" w:lineRule="auto"/>
        <w:jc w:val="both"/>
        <w:rPr>
          <w:b/>
          <w:bCs/>
        </w:rPr>
      </w:pPr>
      <w:r w:rsidRPr="000C679E">
        <w:t xml:space="preserve"> </w:t>
      </w:r>
      <w:r w:rsidRPr="008F08F5">
        <w:rPr>
          <w:b/>
          <w:bCs/>
        </w:rPr>
        <w:t>Section 1: SDG 3 Good Health and Wellbeing</w:t>
      </w:r>
    </w:p>
    <w:p w14:paraId="628B0DE8" w14:textId="2BD5D88A" w:rsidR="00955A75" w:rsidRPr="008F08F5" w:rsidRDefault="00955A75" w:rsidP="00E73319">
      <w:pPr>
        <w:spacing w:line="360" w:lineRule="auto"/>
        <w:jc w:val="both"/>
        <w:rPr>
          <w:b/>
          <w:bCs/>
          <w:i/>
          <w:iCs/>
        </w:rPr>
      </w:pPr>
      <w:r w:rsidRPr="008F08F5">
        <w:rPr>
          <w:b/>
          <w:bCs/>
          <w:i/>
          <w:iCs/>
        </w:rPr>
        <w:t>Overview and Policy Context</w:t>
      </w:r>
    </w:p>
    <w:p w14:paraId="0BA172FF" w14:textId="2910F60F" w:rsidR="00955A75" w:rsidRPr="000C679E" w:rsidRDefault="00955A75" w:rsidP="00E73319">
      <w:pPr>
        <w:spacing w:line="360" w:lineRule="auto"/>
        <w:jc w:val="both"/>
      </w:pPr>
      <w:r w:rsidRPr="000C679E">
        <w:t>SDG 3 aims to ensure healthy lives and promote wellbeing for all at all ages. Global efforts, largely spearheaded by the World Health Organization (WHO), have heavily prioritized Universal Health Coverage (UHC), maternal health, and the management of non-communicable diseases (</w:t>
      </w:r>
      <w:r w:rsidR="009A07D5">
        <w:t>World Health Organization Regional</w:t>
      </w:r>
      <w:r w:rsidRPr="000C679E">
        <w:t>, 2025). Universal Health Coverage is often viewed as the structural backbone of SDG 3, as it seeks to ensure that all individuals have access to necessary health services without suffering financial hardship (</w:t>
      </w:r>
      <w:proofErr w:type="spellStart"/>
      <w:r w:rsidRPr="000C679E">
        <w:t>Endalamaw</w:t>
      </w:r>
      <w:proofErr w:type="spellEnd"/>
      <w:r w:rsidRPr="000C679E">
        <w:t>, 2025).</w:t>
      </w:r>
    </w:p>
    <w:p w14:paraId="4BC561D3" w14:textId="77777777" w:rsidR="00955A75" w:rsidRPr="000C679E" w:rsidRDefault="00955A75" w:rsidP="00E73319">
      <w:pPr>
        <w:spacing w:line="360" w:lineRule="auto"/>
        <w:jc w:val="both"/>
      </w:pPr>
      <w:r w:rsidRPr="000C679E">
        <w:t>However, recent evaluations reveal that global progress towards UHC is severely off-track. The "</w:t>
      </w:r>
      <w:proofErr w:type="spellStart"/>
      <w:r w:rsidRPr="000C679E">
        <w:t>polycrisis</w:t>
      </w:r>
      <w:proofErr w:type="spellEnd"/>
      <w:r w:rsidRPr="000C679E">
        <w:t>" era, characterized by geopolitical instability, economic downturns, and the escalating impacts of climate change, has pressured national health budgets. Consequently, national governments frequently shift their focus toward short-term security rather than long-term health resilience (</w:t>
      </w:r>
      <w:proofErr w:type="spellStart"/>
      <w:r w:rsidRPr="000C679E">
        <w:t>Kickbusch</w:t>
      </w:r>
      <w:proofErr w:type="spellEnd"/>
      <w:r w:rsidRPr="000C679E">
        <w:t xml:space="preserve"> and </w:t>
      </w:r>
      <w:proofErr w:type="spellStart"/>
      <w:r w:rsidRPr="000C679E">
        <w:t>Alakija</w:t>
      </w:r>
      <w:proofErr w:type="spellEnd"/>
      <w:r w:rsidRPr="000C679E">
        <w:t xml:space="preserve">, 2023). At the national level, policies often struggle to bridge the gap between clinical interventions and the underlying social determinants of health, such as income, housing, and education (Pinto, </w:t>
      </w:r>
      <w:proofErr w:type="spellStart"/>
      <w:r w:rsidRPr="000C679E">
        <w:t>Savedoff</w:t>
      </w:r>
      <w:proofErr w:type="spellEnd"/>
      <w:r w:rsidRPr="000C679E">
        <w:t xml:space="preserve"> and </w:t>
      </w:r>
      <w:proofErr w:type="spellStart"/>
      <w:r w:rsidRPr="000C679E">
        <w:t>Bauhoff</w:t>
      </w:r>
      <w:proofErr w:type="spellEnd"/>
      <w:r w:rsidRPr="000C679E">
        <w:t>, 2024). Locally, health initiatives are frequently fragmented, relying on underfunded public health departments that lack the authority to influence broader socio-economic policies.</w:t>
      </w:r>
    </w:p>
    <w:p w14:paraId="6E46B68A" w14:textId="73BD90A0" w:rsidR="00955A75" w:rsidRPr="008F08F5" w:rsidRDefault="007F4793" w:rsidP="00E73319">
      <w:pPr>
        <w:spacing w:line="360" w:lineRule="auto"/>
        <w:jc w:val="both"/>
        <w:rPr>
          <w:b/>
          <w:bCs/>
          <w:i/>
          <w:iCs/>
        </w:rPr>
      </w:pPr>
      <w:r w:rsidRPr="008F08F5">
        <w:rPr>
          <w:b/>
          <w:bCs/>
          <w:i/>
          <w:iCs/>
        </w:rPr>
        <w:t>T</w:t>
      </w:r>
      <w:r w:rsidR="00955A75" w:rsidRPr="008F08F5">
        <w:rPr>
          <w:b/>
          <w:bCs/>
          <w:i/>
          <w:iCs/>
        </w:rPr>
        <w:t>heoretical Application: The Health Belief Model</w:t>
      </w:r>
    </w:p>
    <w:p w14:paraId="29D5B2A3" w14:textId="2DC07002" w:rsidR="00955A75" w:rsidRPr="000C679E" w:rsidRDefault="00955A75" w:rsidP="00E73319">
      <w:pPr>
        <w:spacing w:line="360" w:lineRule="auto"/>
        <w:jc w:val="both"/>
      </w:pPr>
      <w:r w:rsidRPr="000C679E">
        <w:t xml:space="preserve">The effectiveness of national and local health initiatives often hinges on individual and community </w:t>
      </w:r>
      <w:r w:rsidR="00B5655B" w:rsidRPr="000C679E">
        <w:t>behaviour</w:t>
      </w:r>
      <w:r w:rsidRPr="000C679E">
        <w:t xml:space="preserve"> change, which can be critically evaluated through the Health Belief Model (HBM). The HBM posits that individuals will engage in healthy </w:t>
      </w:r>
      <w:r w:rsidR="00B5655B" w:rsidRPr="000C679E">
        <w:t>behaviours</w:t>
      </w:r>
      <w:r w:rsidRPr="000C679E">
        <w:t xml:space="preserve"> if they perceive a genuine threat (susceptibility and severity) and believe that the benefits of taking action outweigh the perceived barriers (</w:t>
      </w:r>
      <w:proofErr w:type="spellStart"/>
      <w:r w:rsidRPr="000C679E">
        <w:t>Alyafei</w:t>
      </w:r>
      <w:proofErr w:type="spellEnd"/>
      <w:r w:rsidRPr="000C679E">
        <w:t>, 2024).</w:t>
      </w:r>
    </w:p>
    <w:p w14:paraId="0632DD47" w14:textId="5B48085E" w:rsidR="00955A75" w:rsidRPr="000C679E" w:rsidRDefault="00955A75" w:rsidP="00E73319">
      <w:pPr>
        <w:spacing w:line="360" w:lineRule="auto"/>
        <w:jc w:val="both"/>
      </w:pPr>
      <w:r w:rsidRPr="000C679E">
        <w:t xml:space="preserve">For example, national vaccination campaigns or pandemic preventive measures often fail when they do not adequately account for perceived barriers such as financial constraints, medical mistrust, or a lack of clear "cues to action." Research during the COVID-19 pandemic demonstrated that the HBM has a strong predictive ability for preventive </w:t>
      </w:r>
      <w:r w:rsidR="00B5655B" w:rsidRPr="000C679E">
        <w:t>behaviours</w:t>
      </w:r>
      <w:r w:rsidRPr="000C679E">
        <w:t>, with "perceived benefit" being the most significant predictor of compliance (</w:t>
      </w:r>
      <w:proofErr w:type="spellStart"/>
      <w:r w:rsidRPr="000C679E">
        <w:t>Zewdie</w:t>
      </w:r>
      <w:proofErr w:type="spellEnd"/>
      <w:r w:rsidRPr="000C679E">
        <w:t xml:space="preserve"> et al., 2022). Furthermore, individuals with higher health literacy exhibit lower perceived barriers, demonstrating that health education policies directly influence the cognitive constructs of the HBM (Zhang, Chen and Zhang, 2022). By moving away from generic public warnings toward targeted support that enhances self-efficacy, policies become significantly more effective at bridging the gap between clinical knowledge and patient compliance.</w:t>
      </w:r>
    </w:p>
    <w:p w14:paraId="685F99E6" w14:textId="1DF64FCE" w:rsidR="00955A75" w:rsidRPr="008F08F5" w:rsidRDefault="00955A75" w:rsidP="00E73319">
      <w:pPr>
        <w:spacing w:line="360" w:lineRule="auto"/>
        <w:jc w:val="both"/>
        <w:rPr>
          <w:b/>
          <w:bCs/>
        </w:rPr>
      </w:pPr>
      <w:r w:rsidRPr="008F08F5">
        <w:rPr>
          <w:b/>
          <w:bCs/>
        </w:rPr>
        <w:t>Critical Evaluation</w:t>
      </w:r>
    </w:p>
    <w:p w14:paraId="369FF3BB" w14:textId="77777777" w:rsidR="00955A75" w:rsidRPr="000C679E" w:rsidRDefault="00955A75" w:rsidP="00E73319">
      <w:pPr>
        <w:spacing w:line="360" w:lineRule="auto"/>
        <w:jc w:val="both"/>
      </w:pPr>
      <w:r w:rsidRPr="000C679E">
        <w:t xml:space="preserve">A significant limitation in current SDG 3 implementation is the over-reliance on clinical healthcare systems to solve socio-structural problems. Health inequities are a consequence of multiple social and environmental factors, making </w:t>
      </w:r>
      <w:proofErr w:type="spellStart"/>
      <w:r w:rsidRPr="000C679E">
        <w:t>multisectoral</w:t>
      </w:r>
      <w:proofErr w:type="spellEnd"/>
      <w:r w:rsidRPr="000C679E">
        <w:t xml:space="preserve"> approaches absolutely necessary (Pinto, </w:t>
      </w:r>
      <w:proofErr w:type="spellStart"/>
      <w:r w:rsidRPr="000C679E">
        <w:t>Savedoff</w:t>
      </w:r>
      <w:proofErr w:type="spellEnd"/>
      <w:r w:rsidRPr="000C679E">
        <w:t xml:space="preserve"> and </w:t>
      </w:r>
      <w:proofErr w:type="spellStart"/>
      <w:r w:rsidRPr="000C679E">
        <w:t>Bauhoff</w:t>
      </w:r>
      <w:proofErr w:type="spellEnd"/>
      <w:r w:rsidRPr="000C679E">
        <w:t>, 2024). Furthermore, the acceleration of climate change poses a direct threat to achieving SDG 3 targets. Rising global temperatures have led to a marked increase in heat-related illnesses and the geographic expansion of vector-borne diseases, fundamentally reshaping global epidemiological patterns (</w:t>
      </w:r>
      <w:proofErr w:type="spellStart"/>
      <w:r w:rsidRPr="000C679E">
        <w:t>Darwish</w:t>
      </w:r>
      <w:proofErr w:type="spellEnd"/>
      <w:r w:rsidRPr="000C679E">
        <w:t>, 2026). Health policies that fail to integrate climate adaptation are increasingly obsolete. Furthermore, qualitative data indicates that vulnerable populations, such as pregnant women and the elderly, face intersecting socio-cultural and structural barriers that prevent them from accessing care, directly undermining UHC objectives (</w:t>
      </w:r>
      <w:proofErr w:type="spellStart"/>
      <w:r w:rsidRPr="000C679E">
        <w:t>Chimukuche</w:t>
      </w:r>
      <w:proofErr w:type="spellEnd"/>
      <w:r w:rsidRPr="000C679E">
        <w:t>, 2025).</w:t>
      </w:r>
    </w:p>
    <w:p w14:paraId="31562B58" w14:textId="6533DFFC" w:rsidR="00955A75" w:rsidRPr="008F08F5" w:rsidRDefault="00955A75" w:rsidP="00E73319">
      <w:pPr>
        <w:spacing w:line="360" w:lineRule="auto"/>
        <w:jc w:val="both"/>
        <w:rPr>
          <w:b/>
          <w:bCs/>
        </w:rPr>
      </w:pPr>
      <w:r w:rsidRPr="008F08F5">
        <w:rPr>
          <w:b/>
          <w:bCs/>
        </w:rPr>
        <w:t>Recommendations</w:t>
      </w:r>
    </w:p>
    <w:p w14:paraId="51C9A3B6" w14:textId="77777777" w:rsidR="00955A75" w:rsidRPr="000C679E" w:rsidRDefault="00955A75" w:rsidP="00E73319">
      <w:pPr>
        <w:spacing w:line="360" w:lineRule="auto"/>
        <w:jc w:val="both"/>
      </w:pPr>
      <w:r w:rsidRPr="000C679E">
        <w:t>To improve the implementation of SDG 3, governments must mandate climate-resilient health systems, ensuring that infrastructure can withstand extreme weather events and shifting disease burdens (</w:t>
      </w:r>
      <w:proofErr w:type="spellStart"/>
      <w:r w:rsidRPr="000C679E">
        <w:t>Darwish</w:t>
      </w:r>
      <w:proofErr w:type="spellEnd"/>
      <w:r w:rsidRPr="000C679E">
        <w:t>, 2026). Additionally, policymakers should embed HBM principles into public health campaigns by actively removing structural barriers (such as the cost of transport to clinics) rather than simply increasing awareness. Finally, national governments must adopt an Integrated Health in All Policies approach, ensuring that social determinants like mental health are addressed across all sectors of governance (</w:t>
      </w:r>
      <w:proofErr w:type="spellStart"/>
      <w:r w:rsidRPr="000C679E">
        <w:t>Fiorillo</w:t>
      </w:r>
      <w:proofErr w:type="spellEnd"/>
      <w:r w:rsidRPr="000C679E">
        <w:t>, 2024).</w:t>
      </w:r>
    </w:p>
    <w:p w14:paraId="3F9A67AA" w14:textId="201357FC" w:rsidR="00955A75" w:rsidRPr="008F08F5" w:rsidRDefault="00955A75" w:rsidP="00E73319">
      <w:pPr>
        <w:spacing w:line="360" w:lineRule="auto"/>
        <w:jc w:val="both"/>
        <w:rPr>
          <w:b/>
          <w:bCs/>
        </w:rPr>
      </w:pPr>
      <w:r w:rsidRPr="008F08F5">
        <w:rPr>
          <w:b/>
          <w:bCs/>
        </w:rPr>
        <w:t>Section 2: SDG 11 Sustainable Cities and Communities</w:t>
      </w:r>
    </w:p>
    <w:p w14:paraId="2187C9D7" w14:textId="5EF8D3A1" w:rsidR="00955A75" w:rsidRPr="008F08F5" w:rsidRDefault="00955A75" w:rsidP="00E73319">
      <w:pPr>
        <w:spacing w:line="360" w:lineRule="auto"/>
        <w:jc w:val="both"/>
        <w:rPr>
          <w:b/>
          <w:bCs/>
          <w:i/>
          <w:iCs/>
        </w:rPr>
      </w:pPr>
      <w:r w:rsidRPr="000C679E">
        <w:t xml:space="preserve"> </w:t>
      </w:r>
      <w:r w:rsidRPr="008F08F5">
        <w:rPr>
          <w:b/>
          <w:bCs/>
          <w:i/>
          <w:iCs/>
        </w:rPr>
        <w:t>Overview and Policy Context</w:t>
      </w:r>
    </w:p>
    <w:p w14:paraId="7156F1DA" w14:textId="77777777" w:rsidR="00955A75" w:rsidRPr="000C679E" w:rsidRDefault="00955A75" w:rsidP="00E73319">
      <w:pPr>
        <w:spacing w:line="360" w:lineRule="auto"/>
        <w:jc w:val="both"/>
      </w:pPr>
      <w:r w:rsidRPr="000C679E">
        <w:t>SDG 11 seeks to make cities and human settlements inclusive, safe, resilient, and sustainable. Because urban areas are now home to the majority of the global population, the stakes for urban development have never been higher (</w:t>
      </w:r>
      <w:proofErr w:type="spellStart"/>
      <w:r w:rsidRPr="000C679E">
        <w:t>Boxner</w:t>
      </w:r>
      <w:proofErr w:type="spellEnd"/>
      <w:r w:rsidRPr="000C679E">
        <w:t xml:space="preserve"> </w:t>
      </w:r>
      <w:proofErr w:type="spellStart"/>
      <w:r w:rsidRPr="000C679E">
        <w:t>Åsbrink</w:t>
      </w:r>
      <w:proofErr w:type="spellEnd"/>
      <w:r w:rsidRPr="000C679E">
        <w:t>, 2024). Policies under SDG 11 focus on transforming urban infrastructure, improving air quality, expanding public transport, and ensuring universal access to green and public spaces.</w:t>
      </w:r>
    </w:p>
    <w:p w14:paraId="2F89339B" w14:textId="4943B5A4" w:rsidR="00955A75" w:rsidRPr="000C679E" w:rsidRDefault="00955A75" w:rsidP="00E73319">
      <w:pPr>
        <w:spacing w:line="360" w:lineRule="auto"/>
        <w:jc w:val="both"/>
      </w:pPr>
      <w:r w:rsidRPr="000C679E">
        <w:t xml:space="preserve">In England, recent planning policy frameworks have placed a stronger emphasis on decreasing spatial disparities and actively reducing health inequalities between the most and least deprived communities (Sutton, 2026). Tools such as the Health Impact Assessment (HIA) have emerged as vital mechanisms to integrate health considerations into local planning decisions. Furthermore, global movements like the WHO Healthy Cities initiative advocate for putting health, equity, and sustainable development at the absolute </w:t>
      </w:r>
      <w:r w:rsidR="00B5655B" w:rsidRPr="000C679E">
        <w:t>centre</w:t>
      </w:r>
      <w:r w:rsidRPr="000C679E">
        <w:t xml:space="preserve"> of local political agendas (World Health Organization, 2025). However, despite these frameworks, the integration of health into urban planning remains highly inconsistent due to </w:t>
      </w:r>
      <w:proofErr w:type="spellStart"/>
      <w:r w:rsidRPr="000C679E">
        <w:t>siloed</w:t>
      </w:r>
      <w:proofErr w:type="spellEnd"/>
      <w:r w:rsidRPr="000C679E">
        <w:t xml:space="preserve"> departmental responsibilities and competing economic priorities.</w:t>
      </w:r>
    </w:p>
    <w:p w14:paraId="3D8D7B14" w14:textId="4202E51E" w:rsidR="00955A75" w:rsidRPr="008F08F5" w:rsidRDefault="00955A75" w:rsidP="00E73319">
      <w:pPr>
        <w:spacing w:line="360" w:lineRule="auto"/>
        <w:jc w:val="both"/>
        <w:rPr>
          <w:b/>
          <w:bCs/>
          <w:i/>
          <w:iCs/>
        </w:rPr>
      </w:pPr>
      <w:r w:rsidRPr="008F08F5">
        <w:rPr>
          <w:b/>
          <w:bCs/>
          <w:i/>
          <w:iCs/>
        </w:rPr>
        <w:t>Theoretical Application: Social Cognitive Theory</w:t>
      </w:r>
    </w:p>
    <w:p w14:paraId="77B789D3" w14:textId="187CDA4F" w:rsidR="00955A75" w:rsidRPr="000C679E" w:rsidRDefault="00955A75" w:rsidP="00E73319">
      <w:pPr>
        <w:spacing w:line="360" w:lineRule="auto"/>
        <w:jc w:val="both"/>
      </w:pPr>
      <w:r w:rsidRPr="000C679E">
        <w:t xml:space="preserve">Social Cognitive Theory (SCT) provides a highly robust lens for evaluating urban planning and sustainability initiatives. SCT emphasizes "reciprocal determinism," which is the continuous interaction between an individual's </w:t>
      </w:r>
      <w:r w:rsidR="00350BCE" w:rsidRPr="000C679E">
        <w:t>behaviour</w:t>
      </w:r>
      <w:r w:rsidRPr="000C679E">
        <w:t>, their personal cognitive factors, and their physical environment (</w:t>
      </w:r>
      <w:proofErr w:type="spellStart"/>
      <w:r w:rsidRPr="000C679E">
        <w:t>Zhai</w:t>
      </w:r>
      <w:proofErr w:type="spellEnd"/>
      <w:r w:rsidRPr="000C679E">
        <w:t xml:space="preserve"> et al., 2023).</w:t>
      </w:r>
    </w:p>
    <w:p w14:paraId="572F6281" w14:textId="0B86287A" w:rsidR="00955A75" w:rsidRPr="000C679E" w:rsidRDefault="00955A75" w:rsidP="00E73319">
      <w:pPr>
        <w:spacing w:line="360" w:lineRule="auto"/>
        <w:jc w:val="both"/>
      </w:pPr>
      <w:r w:rsidRPr="000C679E">
        <w:t xml:space="preserve">If a local authority aims to increase physical activity to combat cardiovascular disease, it cannot rely solely on individual motivation. Applying SCT, local initiatives reshape the built environment (such as creating safe cycle paths, reducing household air pollution, or installing accessible green spaces) to make healthy choices the default option. Research demonstrates that a </w:t>
      </w:r>
      <w:r w:rsidR="00350BCE" w:rsidRPr="000C679E">
        <w:t>favourable</w:t>
      </w:r>
      <w:r w:rsidRPr="000C679E">
        <w:t xml:space="preserve"> </w:t>
      </w:r>
      <w:r w:rsidR="00350BCE" w:rsidRPr="000C679E">
        <w:t>neighbourhood</w:t>
      </w:r>
      <w:r w:rsidRPr="000C679E">
        <w:t xml:space="preserve"> environment is indirectly associated with higher physical activity levels among older adults because it positively influences their self-efficacy and outcome expectations (Ying, 2025). When an environment actively facilitates a </w:t>
      </w:r>
      <w:r w:rsidR="00C554D3" w:rsidRPr="000C679E">
        <w:t>behaviour</w:t>
      </w:r>
      <w:r w:rsidRPr="000C679E">
        <w:t xml:space="preserve">, it increases a citizen’s belief in their own capability to overcome barriers. Therefore, urban planning is not just an infrastructural exercise; it is a direct </w:t>
      </w:r>
      <w:r w:rsidR="00350BCE" w:rsidRPr="000C679E">
        <w:t>behavioural</w:t>
      </w:r>
      <w:r w:rsidRPr="000C679E">
        <w:t xml:space="preserve"> intervention.</w:t>
      </w:r>
    </w:p>
    <w:p w14:paraId="4FE2DCA2" w14:textId="11458413" w:rsidR="00955A75" w:rsidRPr="008F08F5" w:rsidRDefault="00955A75" w:rsidP="00E73319">
      <w:pPr>
        <w:spacing w:line="360" w:lineRule="auto"/>
        <w:jc w:val="both"/>
        <w:rPr>
          <w:b/>
          <w:bCs/>
        </w:rPr>
      </w:pPr>
      <w:r w:rsidRPr="008F08F5">
        <w:rPr>
          <w:b/>
          <w:bCs/>
        </w:rPr>
        <w:t>Critical Evaluation</w:t>
      </w:r>
    </w:p>
    <w:p w14:paraId="4D3710A9" w14:textId="77777777" w:rsidR="00955A75" w:rsidRPr="000C679E" w:rsidRDefault="00955A75" w:rsidP="00E73319">
      <w:pPr>
        <w:spacing w:line="360" w:lineRule="auto"/>
        <w:jc w:val="both"/>
      </w:pPr>
      <w:r w:rsidRPr="000C679E">
        <w:t>While sustainable urban policies are widely praised, a critical evaluation reveals severe challenges regarding equity and environmental justice. Studies assessing global disparities in urban tree exposure reveal that vulnerable and low-income populations consistently experience significantly lower green space exposure than advantaged demographics (Lin, 2026). This disparity hinders progress toward SDG 11 targets regarding universal access to green spaces.</w:t>
      </w:r>
    </w:p>
    <w:p w14:paraId="54870D1E" w14:textId="7040A897" w:rsidR="00955A75" w:rsidRPr="000C679E" w:rsidRDefault="00955A75" w:rsidP="00E73319">
      <w:pPr>
        <w:spacing w:line="360" w:lineRule="auto"/>
        <w:jc w:val="both"/>
      </w:pPr>
      <w:r w:rsidRPr="000C679E">
        <w:t xml:space="preserve">Furthermore, a review of local authority green infrastructure strategies in England highlighted that while most strategies reference general health benefits, very few detail specific actions to target health inequalities or monitor longitudinal health impacts (Hands, 2025). Often, urban greening initiatives trigger "eco-gentrification," where improvements in </w:t>
      </w:r>
      <w:r w:rsidR="00350BCE" w:rsidRPr="000C679E">
        <w:t>neighbourhood</w:t>
      </w:r>
      <w:r w:rsidRPr="000C679E">
        <w:t xml:space="preserve"> sustainability inadvertently drive up housing costs, displacing the exact vulnerable populations the policies were intended to help. Similarly, coastal towns in England face a significantly higher burden of ill health compared to non-coastal areas due to economic deprivation and geographic isolation, requiring highly tailored, place-based public health interventions rather than generic national urban policies (</w:t>
      </w:r>
      <w:proofErr w:type="spellStart"/>
      <w:r w:rsidRPr="000C679E">
        <w:t>Udugbo</w:t>
      </w:r>
      <w:proofErr w:type="spellEnd"/>
      <w:r w:rsidRPr="000C679E">
        <w:t>, 2024).</w:t>
      </w:r>
    </w:p>
    <w:p w14:paraId="5C0F1D0D" w14:textId="2D62C310" w:rsidR="00955A75" w:rsidRPr="008F08F5" w:rsidRDefault="00955A75" w:rsidP="00E73319">
      <w:pPr>
        <w:spacing w:line="360" w:lineRule="auto"/>
        <w:jc w:val="both"/>
        <w:rPr>
          <w:b/>
          <w:bCs/>
        </w:rPr>
      </w:pPr>
      <w:r w:rsidRPr="008F08F5">
        <w:rPr>
          <w:b/>
          <w:bCs/>
        </w:rPr>
        <w:t>Recommendations</w:t>
      </w:r>
    </w:p>
    <w:p w14:paraId="4ADA5DCE" w14:textId="1E661FF6" w:rsidR="00955A75" w:rsidRPr="000C679E" w:rsidRDefault="00955A75" w:rsidP="00E73319">
      <w:pPr>
        <w:spacing w:line="360" w:lineRule="auto"/>
        <w:jc w:val="both"/>
      </w:pPr>
      <w:r w:rsidRPr="000C679E">
        <w:t xml:space="preserve">To address these shortcomings, it is recommended that local authorities mandate comprehensive Health Impact Assessments for all major urban developments to systematically evaluate the positive and negative implications upon marginalized communities (Sutton, 2026). Secondly, urban green space planning must utilize spatial analysis and Multi-Criteria Analysis tools to deliberately target interventions in the most deprived </w:t>
      </w:r>
      <w:r w:rsidR="00350BCE" w:rsidRPr="000C679E">
        <w:t>neighbourhoods</w:t>
      </w:r>
      <w:r w:rsidRPr="000C679E">
        <w:t>, ensuring environmental justice (</w:t>
      </w:r>
      <w:proofErr w:type="spellStart"/>
      <w:r w:rsidRPr="000C679E">
        <w:t>Kayitete</w:t>
      </w:r>
      <w:proofErr w:type="spellEnd"/>
      <w:r w:rsidRPr="000C679E">
        <w:t>, 2025). Finally, cities must move towards community co-production, engaging residents in the design of their environments to foster self-efficacy and ensure that urban developments are culturally and socially appropriate.</w:t>
      </w:r>
    </w:p>
    <w:p w14:paraId="364D78C2" w14:textId="46425FDD" w:rsidR="00955A75" w:rsidRPr="008F08F5" w:rsidRDefault="00955A75" w:rsidP="00E73319">
      <w:pPr>
        <w:spacing w:line="360" w:lineRule="auto"/>
        <w:jc w:val="both"/>
        <w:rPr>
          <w:b/>
          <w:bCs/>
        </w:rPr>
      </w:pPr>
      <w:r w:rsidRPr="008F08F5">
        <w:rPr>
          <w:b/>
          <w:bCs/>
        </w:rPr>
        <w:t>Conclusion</w:t>
      </w:r>
    </w:p>
    <w:p w14:paraId="551E8AE9" w14:textId="77777777" w:rsidR="00955A75" w:rsidRPr="000C679E" w:rsidRDefault="00955A75" w:rsidP="00E73319">
      <w:pPr>
        <w:spacing w:line="360" w:lineRule="auto"/>
        <w:jc w:val="both"/>
      </w:pPr>
      <w:r w:rsidRPr="000C679E">
        <w:t>The intrinsic interconnectedness of SDG 3 and SDG 11 demonstrates conclusively that public health cannot be treated strictly as a biomedical issue. Health is fundamentally a spatial, environmental, and structural outcome of how we design and govern our human settlements. This report has demonstrated that while ambitious high-level policy frameworks exist globally, their practical success is frequently curtailed by fragmented governance, insufficient funding, and a persistent failure to integrate health considerations into broader socio-economic and urban planning.</w:t>
      </w:r>
    </w:p>
    <w:p w14:paraId="0FC3DDB8" w14:textId="7DD0B634" w:rsidR="00955A75" w:rsidRPr="000C679E" w:rsidRDefault="00955A75" w:rsidP="00E73319">
      <w:pPr>
        <w:spacing w:line="360" w:lineRule="auto"/>
        <w:jc w:val="both"/>
      </w:pPr>
      <w:r w:rsidRPr="000C679E">
        <w:t xml:space="preserve">By applying </w:t>
      </w:r>
      <w:r w:rsidR="00350BCE" w:rsidRPr="000C679E">
        <w:t>behavioural</w:t>
      </w:r>
      <w:r w:rsidRPr="000C679E">
        <w:t xml:space="preserve"> theories such as the Health Belief Model and Social Cognitive Theory, policymakers can better understand that modifying the physical and social environment is a prerequisite for driving positive </w:t>
      </w:r>
      <w:r w:rsidR="00350BCE" w:rsidRPr="000C679E">
        <w:t>behavioural</w:t>
      </w:r>
      <w:r w:rsidRPr="000C679E">
        <w:t xml:space="preserve"> health outcomes. Furthermore, the escalating crisis of climate change requires a radical shift in policy priorities. Moving forward, the global community must embrace a "Health in All Policies" approach, shifting away from isolated, </w:t>
      </w:r>
      <w:proofErr w:type="spellStart"/>
      <w:r w:rsidRPr="000C679E">
        <w:t>siloed</w:t>
      </w:r>
      <w:proofErr w:type="spellEnd"/>
      <w:r w:rsidRPr="000C679E">
        <w:t xml:space="preserve"> initiatives toward systemic, cross-</w:t>
      </w:r>
      <w:r w:rsidR="00303DB8" w:rsidRPr="000C679E">
        <w:t>sectorial</w:t>
      </w:r>
      <w:r w:rsidRPr="000C679E">
        <w:t xml:space="preserve"> transformations. Only by embedding equity and climate resilience into the heart of both health systems and urban infrastructure can nations hope to </w:t>
      </w:r>
      <w:r w:rsidR="00303DB8" w:rsidRPr="000C679E">
        <w:t>fulfil</w:t>
      </w:r>
      <w:r w:rsidRPr="000C679E">
        <w:t xml:space="preserve"> the true promise of the Sustainable Development Goals.</w:t>
      </w:r>
    </w:p>
    <w:p w14:paraId="2AD388A1" w14:textId="77777777" w:rsidR="00362BD0" w:rsidRDefault="00362BD0" w:rsidP="00E73319">
      <w:pPr>
        <w:spacing w:line="360" w:lineRule="auto"/>
        <w:jc w:val="both"/>
      </w:pPr>
    </w:p>
    <w:p w14:paraId="48930B30" w14:textId="794371BD" w:rsidR="00362BD0" w:rsidRPr="00A376EB" w:rsidRDefault="00362BD0" w:rsidP="008D2582">
      <w:pPr>
        <w:spacing w:line="360" w:lineRule="auto"/>
        <w:jc w:val="both"/>
        <w:rPr>
          <w:rFonts w:ascii="Arial" w:hAnsi="Arial" w:cs="Arial"/>
          <w:b/>
          <w:bCs/>
          <w:sz w:val="22"/>
          <w:szCs w:val="22"/>
        </w:rPr>
      </w:pPr>
      <w:r w:rsidRPr="00A376EB">
        <w:rPr>
          <w:rFonts w:ascii="Arial" w:hAnsi="Arial" w:cs="Arial"/>
          <w:b/>
          <w:bCs/>
          <w:sz w:val="22"/>
          <w:szCs w:val="22"/>
        </w:rPr>
        <w:t>References</w:t>
      </w:r>
    </w:p>
    <w:p w14:paraId="2398FADB" w14:textId="212C0339" w:rsidR="00C32D88" w:rsidRPr="004E20C7" w:rsidRDefault="007F7CB5" w:rsidP="008D2582">
      <w:pPr>
        <w:pStyle w:val="NormalWeb"/>
        <w:spacing w:line="360" w:lineRule="auto"/>
        <w:rPr>
          <w:rFonts w:ascii="Arial" w:hAnsi="Arial" w:cs="Arial"/>
          <w:sz w:val="22"/>
          <w:szCs w:val="22"/>
        </w:rPr>
      </w:pPr>
      <w:r w:rsidRPr="004E20C7">
        <w:rPr>
          <w:rFonts w:ascii="Arial" w:hAnsi="Arial" w:cs="Arial"/>
          <w:sz w:val="22"/>
          <w:szCs w:val="22"/>
        </w:rPr>
        <w:t>​</w:t>
      </w:r>
      <w:r w:rsidR="00C32D88" w:rsidRPr="004E20C7">
        <w:rPr>
          <w:rFonts w:ascii="Arial" w:hAnsi="Arial" w:cs="Arial"/>
          <w:sz w:val="22"/>
          <w:szCs w:val="22"/>
        </w:rPr>
        <w:t>​</w:t>
      </w:r>
      <w:proofErr w:type="spellStart"/>
      <w:r w:rsidR="00C32D88" w:rsidRPr="004E20C7">
        <w:rPr>
          <w:rFonts w:ascii="Arial" w:hAnsi="Arial" w:cs="Arial"/>
          <w:sz w:val="22"/>
          <w:szCs w:val="22"/>
        </w:rPr>
        <w:t>Alyafei</w:t>
      </w:r>
      <w:proofErr w:type="spellEnd"/>
      <w:r w:rsidR="00C32D88" w:rsidRPr="004E20C7">
        <w:rPr>
          <w:rFonts w:ascii="Arial" w:hAnsi="Arial" w:cs="Arial"/>
          <w:sz w:val="22"/>
          <w:szCs w:val="22"/>
        </w:rPr>
        <w:t xml:space="preserve">, A. (2024) </w:t>
      </w:r>
      <w:r w:rsidR="00C32D88" w:rsidRPr="004E20C7">
        <w:rPr>
          <w:rFonts w:ascii="Arial" w:hAnsi="Arial" w:cs="Arial"/>
          <w:i/>
          <w:iCs/>
          <w:sz w:val="22"/>
          <w:szCs w:val="22"/>
        </w:rPr>
        <w:t xml:space="preserve">The </w:t>
      </w:r>
      <w:r w:rsidR="00C32D88" w:rsidRPr="00E9740B">
        <w:rPr>
          <w:rFonts w:ascii="Arial" w:hAnsi="Arial" w:cs="Arial"/>
          <w:i/>
          <w:iCs/>
          <w:sz w:val="22"/>
          <w:szCs w:val="22"/>
        </w:rPr>
        <w:t xml:space="preserve">Health Belief Model of </w:t>
      </w:r>
      <w:r w:rsidR="00520B64" w:rsidRPr="00E9740B">
        <w:rPr>
          <w:rFonts w:ascii="Arial" w:hAnsi="Arial" w:cs="Arial"/>
          <w:i/>
          <w:iCs/>
          <w:sz w:val="22"/>
          <w:szCs w:val="22"/>
        </w:rPr>
        <w:t>behaviour</w:t>
      </w:r>
      <w:r w:rsidR="00C32D88" w:rsidRPr="00E9740B">
        <w:rPr>
          <w:rFonts w:ascii="Arial" w:hAnsi="Arial" w:cs="Arial"/>
          <w:i/>
          <w:iCs/>
          <w:sz w:val="22"/>
          <w:szCs w:val="22"/>
        </w:rPr>
        <w:t xml:space="preserve"> change</w:t>
      </w:r>
      <w:r w:rsidR="00C32D88" w:rsidRPr="00E9740B">
        <w:rPr>
          <w:rFonts w:ascii="Arial" w:hAnsi="Arial" w:cs="Arial"/>
          <w:sz w:val="22"/>
          <w:szCs w:val="22"/>
        </w:rPr>
        <w:t xml:space="preserve">. </w:t>
      </w:r>
      <w:r w:rsidR="00C32D88" w:rsidRPr="004E20C7">
        <w:rPr>
          <w:rFonts w:ascii="Arial" w:hAnsi="Arial" w:cs="Arial"/>
          <w:sz w:val="22"/>
          <w:szCs w:val="22"/>
        </w:rPr>
        <w:t xml:space="preserve">Available at: </w:t>
      </w:r>
      <w:hyperlink r:id="rId4" w:history="1">
        <w:r w:rsidR="00C32D88" w:rsidRPr="004E20C7">
          <w:rPr>
            <w:rFonts w:ascii="Arial" w:hAnsi="Arial" w:cs="Arial"/>
            <w:color w:val="0000FF"/>
            <w:sz w:val="22"/>
            <w:szCs w:val="22"/>
            <w:u w:val="single"/>
          </w:rPr>
          <w:t>https://www.ncbi.nlm.nih.gov/books/NBK606120/</w:t>
        </w:r>
      </w:hyperlink>
      <w:r w:rsidR="00C32D88" w:rsidRPr="004E20C7">
        <w:rPr>
          <w:rFonts w:ascii="Arial" w:hAnsi="Arial" w:cs="Arial"/>
          <w:sz w:val="22"/>
          <w:szCs w:val="22"/>
        </w:rPr>
        <w:t xml:space="preserve"> (Accessed: 1 June 2026).</w:t>
      </w:r>
    </w:p>
    <w:p w14:paraId="3EDC5C21" w14:textId="5FA2B753"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w:t>
      </w:r>
      <w:proofErr w:type="spellStart"/>
      <w:r w:rsidRPr="004E20C7">
        <w:rPr>
          <w:rFonts w:ascii="Arial" w:hAnsi="Arial" w:cs="Arial"/>
          <w:kern w:val="0"/>
          <w:sz w:val="22"/>
          <w:szCs w:val="22"/>
          <w14:ligatures w14:val="none"/>
        </w:rPr>
        <w:t>Boxner</w:t>
      </w:r>
      <w:proofErr w:type="spellEnd"/>
      <w:r w:rsidRPr="004E20C7">
        <w:rPr>
          <w:rFonts w:ascii="Arial" w:hAnsi="Arial" w:cs="Arial"/>
          <w:kern w:val="0"/>
          <w:sz w:val="22"/>
          <w:szCs w:val="22"/>
          <w14:ligatures w14:val="none"/>
        </w:rPr>
        <w:t xml:space="preserve"> </w:t>
      </w:r>
      <w:proofErr w:type="spellStart"/>
      <w:r w:rsidR="00BB4A79">
        <w:rPr>
          <w:rFonts w:ascii="Arial" w:hAnsi="Arial" w:cs="Arial"/>
          <w:kern w:val="0"/>
          <w:sz w:val="22"/>
          <w:szCs w:val="22"/>
          <w14:ligatures w14:val="none"/>
        </w:rPr>
        <w:t>A</w:t>
      </w:r>
      <w:r w:rsidRPr="004E20C7">
        <w:rPr>
          <w:rFonts w:ascii="Arial" w:hAnsi="Arial" w:cs="Arial"/>
          <w:kern w:val="0"/>
          <w:sz w:val="22"/>
          <w:szCs w:val="22"/>
          <w14:ligatures w14:val="none"/>
        </w:rPr>
        <w:t>sbrink</w:t>
      </w:r>
      <w:proofErr w:type="spellEnd"/>
      <w:r w:rsidRPr="004E20C7">
        <w:rPr>
          <w:rFonts w:ascii="Arial" w:hAnsi="Arial" w:cs="Arial"/>
          <w:kern w:val="0"/>
          <w:sz w:val="22"/>
          <w:szCs w:val="22"/>
          <w14:ligatures w14:val="none"/>
        </w:rPr>
        <w:t xml:space="preserve">, J. (2024) </w:t>
      </w:r>
      <w:r w:rsidRPr="004E20C7">
        <w:rPr>
          <w:rFonts w:ascii="Arial" w:hAnsi="Arial" w:cs="Arial"/>
          <w:i/>
          <w:iCs/>
          <w:kern w:val="0"/>
          <w:sz w:val="22"/>
          <w:szCs w:val="22"/>
          <w14:ligatures w14:val="none"/>
        </w:rPr>
        <w:t>Operationalizing Sustainable Development Goal 11</w:t>
      </w:r>
      <w:r w:rsidRPr="004E20C7">
        <w:rPr>
          <w:rFonts w:ascii="Arial" w:hAnsi="Arial" w:cs="Arial"/>
          <w:kern w:val="0"/>
          <w:sz w:val="22"/>
          <w:szCs w:val="22"/>
          <w14:ligatures w14:val="none"/>
        </w:rPr>
        <w:t xml:space="preserve">. Available at: </w:t>
      </w:r>
      <w:hyperlink r:id="rId5" w:history="1">
        <w:r w:rsidRPr="004E20C7">
          <w:rPr>
            <w:rFonts w:ascii="Arial" w:hAnsi="Arial" w:cs="Arial"/>
            <w:color w:val="0000FF"/>
            <w:kern w:val="0"/>
            <w:sz w:val="22"/>
            <w:szCs w:val="22"/>
            <w:u w:val="single"/>
            <w14:ligatures w14:val="none"/>
          </w:rPr>
          <w:t>https://www.diva-portal.org/smash/get/diva2:1777429/FULLTEXT01.pdf</w:t>
        </w:r>
      </w:hyperlink>
      <w:r w:rsidRPr="004E20C7">
        <w:rPr>
          <w:rFonts w:ascii="Arial" w:hAnsi="Arial" w:cs="Arial"/>
          <w:kern w:val="0"/>
          <w:sz w:val="22"/>
          <w:szCs w:val="22"/>
          <w14:ligatures w14:val="none"/>
        </w:rPr>
        <w:t xml:space="preserve"> (Accessed: </w:t>
      </w:r>
      <w:r w:rsidR="00A376EB">
        <w:rPr>
          <w:rFonts w:ascii="Arial" w:hAnsi="Arial" w:cs="Arial"/>
          <w:kern w:val="0"/>
          <w:sz w:val="22"/>
          <w:szCs w:val="22"/>
          <w14:ligatures w14:val="none"/>
        </w:rPr>
        <w:t>9</w:t>
      </w:r>
      <w:r w:rsidRPr="004E20C7">
        <w:rPr>
          <w:rFonts w:ascii="Arial" w:hAnsi="Arial" w:cs="Arial"/>
          <w:kern w:val="0"/>
          <w:sz w:val="22"/>
          <w:szCs w:val="22"/>
          <w14:ligatures w14:val="none"/>
        </w:rPr>
        <w:t xml:space="preserve"> June 2026).</w:t>
      </w:r>
    </w:p>
    <w:p w14:paraId="26C73D26"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w:t>
      </w:r>
      <w:proofErr w:type="spellStart"/>
      <w:r w:rsidRPr="004E20C7">
        <w:rPr>
          <w:rFonts w:ascii="Arial" w:hAnsi="Arial" w:cs="Arial"/>
          <w:kern w:val="0"/>
          <w:sz w:val="22"/>
          <w:szCs w:val="22"/>
          <w14:ligatures w14:val="none"/>
        </w:rPr>
        <w:t>Chimukuche</w:t>
      </w:r>
      <w:proofErr w:type="spellEnd"/>
      <w:r w:rsidRPr="004E20C7">
        <w:rPr>
          <w:rFonts w:ascii="Arial" w:hAnsi="Arial" w:cs="Arial"/>
          <w:kern w:val="0"/>
          <w:sz w:val="22"/>
          <w:szCs w:val="22"/>
          <w14:ligatures w14:val="none"/>
        </w:rPr>
        <w:t xml:space="preserve">, R.S. (2025) 'Challenges and opportunities in achieving sustainable development goal 3 in KwaZulu-Natal: reflections from a research institute, South Africa', </w:t>
      </w:r>
      <w:r w:rsidRPr="004E20C7">
        <w:rPr>
          <w:rFonts w:ascii="Arial" w:hAnsi="Arial" w:cs="Arial"/>
          <w:i/>
          <w:iCs/>
          <w:kern w:val="0"/>
          <w:sz w:val="22"/>
          <w:szCs w:val="22"/>
          <w14:ligatures w14:val="none"/>
        </w:rPr>
        <w:t>Global Public Health</w:t>
      </w:r>
      <w:r w:rsidRPr="004E20C7">
        <w:rPr>
          <w:rFonts w:ascii="Arial" w:hAnsi="Arial" w:cs="Arial"/>
          <w:kern w:val="0"/>
          <w:sz w:val="22"/>
          <w:szCs w:val="22"/>
          <w14:ligatures w14:val="none"/>
        </w:rPr>
        <w:t>, 20(1), pp. 1-15.</w:t>
      </w:r>
    </w:p>
    <w:p w14:paraId="4481A881"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w:t>
      </w:r>
      <w:proofErr w:type="spellStart"/>
      <w:r w:rsidRPr="004E20C7">
        <w:rPr>
          <w:rFonts w:ascii="Arial" w:hAnsi="Arial" w:cs="Arial"/>
          <w:kern w:val="0"/>
          <w:sz w:val="22"/>
          <w:szCs w:val="22"/>
          <w14:ligatures w14:val="none"/>
        </w:rPr>
        <w:t>Cremonini</w:t>
      </w:r>
      <w:proofErr w:type="spellEnd"/>
      <w:r w:rsidRPr="004E20C7">
        <w:rPr>
          <w:rFonts w:ascii="Arial" w:hAnsi="Arial" w:cs="Arial"/>
          <w:kern w:val="0"/>
          <w:sz w:val="22"/>
          <w:szCs w:val="22"/>
          <w14:ligatures w14:val="none"/>
        </w:rPr>
        <w:t xml:space="preserve">, L. (2024) 'Urban effects of climate change on elderly population and the need for implementing urban policies', </w:t>
      </w:r>
      <w:r w:rsidRPr="004E20C7">
        <w:rPr>
          <w:rFonts w:ascii="Arial" w:hAnsi="Arial" w:cs="Arial"/>
          <w:i/>
          <w:iCs/>
          <w:kern w:val="0"/>
          <w:sz w:val="22"/>
          <w:szCs w:val="22"/>
          <w14:ligatures w14:val="none"/>
        </w:rPr>
        <w:t>MDPI Sustainability</w:t>
      </w:r>
      <w:r w:rsidRPr="004E20C7">
        <w:rPr>
          <w:rFonts w:ascii="Arial" w:hAnsi="Arial" w:cs="Arial"/>
          <w:kern w:val="0"/>
          <w:sz w:val="22"/>
          <w:szCs w:val="22"/>
          <w14:ligatures w14:val="none"/>
        </w:rPr>
        <w:t>, 5(3), p. 140.</w:t>
      </w:r>
    </w:p>
    <w:p w14:paraId="3D2A4491"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w:t>
      </w:r>
      <w:proofErr w:type="spellStart"/>
      <w:r w:rsidRPr="004E20C7">
        <w:rPr>
          <w:rFonts w:ascii="Arial" w:hAnsi="Arial" w:cs="Arial"/>
          <w:kern w:val="0"/>
          <w:sz w:val="22"/>
          <w:szCs w:val="22"/>
          <w14:ligatures w14:val="none"/>
        </w:rPr>
        <w:t>Darwish</w:t>
      </w:r>
      <w:proofErr w:type="spellEnd"/>
      <w:r w:rsidRPr="004E20C7">
        <w:rPr>
          <w:rFonts w:ascii="Arial" w:hAnsi="Arial" w:cs="Arial"/>
          <w:kern w:val="0"/>
          <w:sz w:val="22"/>
          <w:szCs w:val="22"/>
          <w14:ligatures w14:val="none"/>
        </w:rPr>
        <w:t xml:space="preserve">, M. (2026) 'Climate change and global public health: Advancing SDG 3 in light of COP30', </w:t>
      </w:r>
      <w:r w:rsidRPr="004E20C7">
        <w:rPr>
          <w:rFonts w:ascii="Arial" w:hAnsi="Arial" w:cs="Arial"/>
          <w:i/>
          <w:iCs/>
          <w:kern w:val="0"/>
          <w:sz w:val="22"/>
          <w:szCs w:val="22"/>
          <w14:ligatures w14:val="none"/>
        </w:rPr>
        <w:t>Journal of Global Health</w:t>
      </w:r>
      <w:r w:rsidRPr="004E20C7">
        <w:rPr>
          <w:rFonts w:ascii="Arial" w:hAnsi="Arial" w:cs="Arial"/>
          <w:kern w:val="0"/>
          <w:sz w:val="22"/>
          <w:szCs w:val="22"/>
          <w14:ligatures w14:val="none"/>
        </w:rPr>
        <w:t>, 14(6), p. 120.</w:t>
      </w:r>
    </w:p>
    <w:p w14:paraId="19953124"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w:t>
      </w:r>
      <w:proofErr w:type="spellStart"/>
      <w:r w:rsidRPr="004E20C7">
        <w:rPr>
          <w:rFonts w:ascii="Arial" w:hAnsi="Arial" w:cs="Arial"/>
          <w:kern w:val="0"/>
          <w:sz w:val="22"/>
          <w:szCs w:val="22"/>
          <w14:ligatures w14:val="none"/>
        </w:rPr>
        <w:t>Endalamaw</w:t>
      </w:r>
      <w:proofErr w:type="spellEnd"/>
      <w:r w:rsidRPr="004E20C7">
        <w:rPr>
          <w:rFonts w:ascii="Arial" w:hAnsi="Arial" w:cs="Arial"/>
          <w:kern w:val="0"/>
          <w:sz w:val="22"/>
          <w:szCs w:val="22"/>
          <w14:ligatures w14:val="none"/>
        </w:rPr>
        <w:t xml:space="preserve">, A. (2025) 'Universal health coverage: Exploring the what, how, and why using realist review', </w:t>
      </w:r>
      <w:r w:rsidRPr="004E20C7">
        <w:rPr>
          <w:rFonts w:ascii="Arial" w:hAnsi="Arial" w:cs="Arial"/>
          <w:i/>
          <w:iCs/>
          <w:kern w:val="0"/>
          <w:sz w:val="22"/>
          <w:szCs w:val="22"/>
          <w14:ligatures w14:val="none"/>
        </w:rPr>
        <w:t>PLOS Global Public Health</w:t>
      </w:r>
      <w:r w:rsidRPr="004E20C7">
        <w:rPr>
          <w:rFonts w:ascii="Arial" w:hAnsi="Arial" w:cs="Arial"/>
          <w:kern w:val="0"/>
          <w:sz w:val="22"/>
          <w:szCs w:val="22"/>
          <w14:ligatures w14:val="none"/>
        </w:rPr>
        <w:t>, 5(2), e0001234.</w:t>
      </w:r>
    </w:p>
    <w:p w14:paraId="0B8AE9FA"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w:t>
      </w:r>
      <w:proofErr w:type="spellStart"/>
      <w:r w:rsidRPr="004E20C7">
        <w:rPr>
          <w:rFonts w:ascii="Arial" w:hAnsi="Arial" w:cs="Arial"/>
          <w:kern w:val="0"/>
          <w:sz w:val="22"/>
          <w:szCs w:val="22"/>
          <w14:ligatures w14:val="none"/>
        </w:rPr>
        <w:t>Fiorillo</w:t>
      </w:r>
      <w:proofErr w:type="spellEnd"/>
      <w:r w:rsidRPr="004E20C7">
        <w:rPr>
          <w:rFonts w:ascii="Arial" w:hAnsi="Arial" w:cs="Arial"/>
          <w:kern w:val="0"/>
          <w:sz w:val="22"/>
          <w:szCs w:val="22"/>
          <w14:ligatures w14:val="none"/>
        </w:rPr>
        <w:t xml:space="preserve">, A. (2024) </w:t>
      </w:r>
      <w:r w:rsidRPr="004E20C7">
        <w:rPr>
          <w:rFonts w:ascii="Arial" w:hAnsi="Arial" w:cs="Arial"/>
          <w:i/>
          <w:iCs/>
          <w:kern w:val="0"/>
          <w:sz w:val="22"/>
          <w:szCs w:val="22"/>
          <w14:ligatures w14:val="none"/>
        </w:rPr>
        <w:t>Social determinants of mental health: Sustainable Development Goals series</w:t>
      </w:r>
      <w:r w:rsidRPr="004E20C7">
        <w:rPr>
          <w:rFonts w:ascii="Arial" w:hAnsi="Arial" w:cs="Arial"/>
          <w:kern w:val="0"/>
          <w:sz w:val="22"/>
          <w:szCs w:val="22"/>
          <w14:ligatures w14:val="none"/>
        </w:rPr>
        <w:t>. Cham: Springer Nature.</w:t>
      </w:r>
    </w:p>
    <w:p w14:paraId="6B3EE2A0"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 xml:space="preserve">​Hands, A. (2025) 'Health improvement and inequality in local authority green infrastructure strategies in England: a policy review', </w:t>
      </w:r>
      <w:r w:rsidRPr="004E20C7">
        <w:rPr>
          <w:rFonts w:ascii="Arial" w:hAnsi="Arial" w:cs="Arial"/>
          <w:i/>
          <w:iCs/>
          <w:kern w:val="0"/>
          <w:sz w:val="22"/>
          <w:szCs w:val="22"/>
          <w14:ligatures w14:val="none"/>
        </w:rPr>
        <w:t>Journal of Public Health</w:t>
      </w:r>
      <w:r w:rsidRPr="004E20C7">
        <w:rPr>
          <w:rFonts w:ascii="Arial" w:hAnsi="Arial" w:cs="Arial"/>
          <w:kern w:val="0"/>
          <w:sz w:val="22"/>
          <w:szCs w:val="22"/>
          <w14:ligatures w14:val="none"/>
        </w:rPr>
        <w:t>, 47(1), pp. 50-61.</w:t>
      </w:r>
    </w:p>
    <w:p w14:paraId="668906EA"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w:t>
      </w:r>
      <w:proofErr w:type="spellStart"/>
      <w:r w:rsidRPr="004E20C7">
        <w:rPr>
          <w:rFonts w:ascii="Arial" w:hAnsi="Arial" w:cs="Arial"/>
          <w:kern w:val="0"/>
          <w:sz w:val="22"/>
          <w:szCs w:val="22"/>
          <w14:ligatures w14:val="none"/>
        </w:rPr>
        <w:t>Kayitete</w:t>
      </w:r>
      <w:proofErr w:type="spellEnd"/>
      <w:r w:rsidRPr="004E20C7">
        <w:rPr>
          <w:rFonts w:ascii="Arial" w:hAnsi="Arial" w:cs="Arial"/>
          <w:kern w:val="0"/>
          <w:sz w:val="22"/>
          <w:szCs w:val="22"/>
          <w14:ligatures w14:val="none"/>
        </w:rPr>
        <w:t xml:space="preserve">, L. (2025) 'Applying Multi-Criteria Analysis in GIS to predict suitability for recreational green space interventions in Kigali City, Rwanda', </w:t>
      </w:r>
      <w:r w:rsidRPr="004E20C7">
        <w:rPr>
          <w:rFonts w:ascii="Arial" w:hAnsi="Arial" w:cs="Arial"/>
          <w:i/>
          <w:iCs/>
          <w:kern w:val="0"/>
          <w:sz w:val="22"/>
          <w:szCs w:val="22"/>
          <w14:ligatures w14:val="none"/>
        </w:rPr>
        <w:t>Spatial Information Research</w:t>
      </w:r>
      <w:r w:rsidRPr="004E20C7">
        <w:rPr>
          <w:rFonts w:ascii="Arial" w:hAnsi="Arial" w:cs="Arial"/>
          <w:kern w:val="0"/>
          <w:sz w:val="22"/>
          <w:szCs w:val="22"/>
          <w14:ligatures w14:val="none"/>
        </w:rPr>
        <w:t>, 33(2), pp. 100-115.</w:t>
      </w:r>
    </w:p>
    <w:p w14:paraId="31DB2357"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w:t>
      </w:r>
      <w:proofErr w:type="spellStart"/>
      <w:r w:rsidRPr="004E20C7">
        <w:rPr>
          <w:rFonts w:ascii="Arial" w:hAnsi="Arial" w:cs="Arial"/>
          <w:kern w:val="0"/>
          <w:sz w:val="22"/>
          <w:szCs w:val="22"/>
          <w14:ligatures w14:val="none"/>
        </w:rPr>
        <w:t>Kickbusch</w:t>
      </w:r>
      <w:proofErr w:type="spellEnd"/>
      <w:r w:rsidRPr="004E20C7">
        <w:rPr>
          <w:rFonts w:ascii="Arial" w:hAnsi="Arial" w:cs="Arial"/>
          <w:kern w:val="0"/>
          <w:sz w:val="22"/>
          <w:szCs w:val="22"/>
          <w14:ligatures w14:val="none"/>
        </w:rPr>
        <w:t xml:space="preserve">, I. and </w:t>
      </w:r>
      <w:proofErr w:type="spellStart"/>
      <w:r w:rsidRPr="004E20C7">
        <w:rPr>
          <w:rFonts w:ascii="Arial" w:hAnsi="Arial" w:cs="Arial"/>
          <w:kern w:val="0"/>
          <w:sz w:val="22"/>
          <w:szCs w:val="22"/>
          <w14:ligatures w14:val="none"/>
        </w:rPr>
        <w:t>Alakija</w:t>
      </w:r>
      <w:proofErr w:type="spellEnd"/>
      <w:r w:rsidRPr="004E20C7">
        <w:rPr>
          <w:rFonts w:ascii="Arial" w:hAnsi="Arial" w:cs="Arial"/>
          <w:kern w:val="0"/>
          <w:sz w:val="22"/>
          <w:szCs w:val="22"/>
          <w14:ligatures w14:val="none"/>
        </w:rPr>
        <w:t xml:space="preserve">, A. (2023) 'The Sustainable Development Goals should be reset to prioritize poverty, health and climate', </w:t>
      </w:r>
      <w:r w:rsidRPr="004E20C7">
        <w:rPr>
          <w:rFonts w:ascii="Arial" w:hAnsi="Arial" w:cs="Arial"/>
          <w:i/>
          <w:iCs/>
          <w:kern w:val="0"/>
          <w:sz w:val="22"/>
          <w:szCs w:val="22"/>
          <w14:ligatures w14:val="none"/>
        </w:rPr>
        <w:t>Nature Medicine</w:t>
      </w:r>
      <w:r w:rsidRPr="004E20C7">
        <w:rPr>
          <w:rFonts w:ascii="Arial" w:hAnsi="Arial" w:cs="Arial"/>
          <w:kern w:val="0"/>
          <w:sz w:val="22"/>
          <w:szCs w:val="22"/>
          <w14:ligatures w14:val="none"/>
        </w:rPr>
        <w:t>, 29(1), pp. 2399-2401.</w:t>
      </w:r>
    </w:p>
    <w:p w14:paraId="3EE77C66"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 xml:space="preserve">​Kshatriya, M. (2025) 'Implementation of health and health-related sustainable development goals: progress, challenges and opportunities: a systematic literature review update', </w:t>
      </w:r>
      <w:r w:rsidRPr="004E20C7">
        <w:rPr>
          <w:rFonts w:ascii="Arial" w:hAnsi="Arial" w:cs="Arial"/>
          <w:i/>
          <w:iCs/>
          <w:kern w:val="0"/>
          <w:sz w:val="22"/>
          <w:szCs w:val="22"/>
          <w14:ligatures w14:val="none"/>
        </w:rPr>
        <w:t>BMJ Global Health</w:t>
      </w:r>
      <w:r w:rsidRPr="004E20C7">
        <w:rPr>
          <w:rFonts w:ascii="Arial" w:hAnsi="Arial" w:cs="Arial"/>
          <w:kern w:val="0"/>
          <w:sz w:val="22"/>
          <w:szCs w:val="22"/>
          <w14:ligatures w14:val="none"/>
        </w:rPr>
        <w:t>, 11(2), e012345.</w:t>
      </w:r>
    </w:p>
    <w:p w14:paraId="519C2CF2"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 xml:space="preserve">​Lin, J. (2026) 'Persistent disparities in urban tree exposure across global demographics', </w:t>
      </w:r>
      <w:r w:rsidRPr="004E20C7">
        <w:rPr>
          <w:rFonts w:ascii="Arial" w:hAnsi="Arial" w:cs="Arial"/>
          <w:i/>
          <w:iCs/>
          <w:kern w:val="0"/>
          <w:sz w:val="22"/>
          <w:szCs w:val="22"/>
          <w14:ligatures w14:val="none"/>
        </w:rPr>
        <w:t>The Innovation</w:t>
      </w:r>
      <w:r w:rsidRPr="004E20C7">
        <w:rPr>
          <w:rFonts w:ascii="Arial" w:hAnsi="Arial" w:cs="Arial"/>
          <w:kern w:val="0"/>
          <w:sz w:val="22"/>
          <w:szCs w:val="22"/>
          <w14:ligatures w14:val="none"/>
        </w:rPr>
        <w:t>, 7(1), pp. 10-22.</w:t>
      </w:r>
    </w:p>
    <w:p w14:paraId="6F751C39"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 xml:space="preserve">​Pinto, D.M., </w:t>
      </w:r>
      <w:proofErr w:type="spellStart"/>
      <w:r w:rsidRPr="004E20C7">
        <w:rPr>
          <w:rFonts w:ascii="Arial" w:hAnsi="Arial" w:cs="Arial"/>
          <w:kern w:val="0"/>
          <w:sz w:val="22"/>
          <w:szCs w:val="22"/>
          <w14:ligatures w14:val="none"/>
        </w:rPr>
        <w:t>Savedoff</w:t>
      </w:r>
      <w:proofErr w:type="spellEnd"/>
      <w:r w:rsidRPr="004E20C7">
        <w:rPr>
          <w:rFonts w:ascii="Arial" w:hAnsi="Arial" w:cs="Arial"/>
          <w:kern w:val="0"/>
          <w:sz w:val="22"/>
          <w:szCs w:val="22"/>
          <w14:ligatures w14:val="none"/>
        </w:rPr>
        <w:t xml:space="preserve">, W.D. and </w:t>
      </w:r>
      <w:proofErr w:type="spellStart"/>
      <w:r w:rsidRPr="004E20C7">
        <w:rPr>
          <w:rFonts w:ascii="Arial" w:hAnsi="Arial" w:cs="Arial"/>
          <w:kern w:val="0"/>
          <w:sz w:val="22"/>
          <w:szCs w:val="22"/>
          <w14:ligatures w14:val="none"/>
        </w:rPr>
        <w:t>Bauhoff</w:t>
      </w:r>
      <w:proofErr w:type="spellEnd"/>
      <w:r w:rsidRPr="004E20C7">
        <w:rPr>
          <w:rFonts w:ascii="Arial" w:hAnsi="Arial" w:cs="Arial"/>
          <w:kern w:val="0"/>
          <w:sz w:val="22"/>
          <w:szCs w:val="22"/>
          <w14:ligatures w14:val="none"/>
        </w:rPr>
        <w:t xml:space="preserve">, S. (2024) </w:t>
      </w:r>
      <w:r w:rsidRPr="004E20C7">
        <w:rPr>
          <w:rFonts w:ascii="Arial" w:hAnsi="Arial" w:cs="Arial"/>
          <w:i/>
          <w:iCs/>
          <w:kern w:val="0"/>
          <w:sz w:val="22"/>
          <w:szCs w:val="22"/>
          <w14:ligatures w14:val="none"/>
        </w:rPr>
        <w:t>Social determinants of health: A health-</w:t>
      </w:r>
      <w:proofErr w:type="spellStart"/>
      <w:r w:rsidRPr="004E20C7">
        <w:rPr>
          <w:rFonts w:ascii="Arial" w:hAnsi="Arial" w:cs="Arial"/>
          <w:i/>
          <w:iCs/>
          <w:kern w:val="0"/>
          <w:sz w:val="22"/>
          <w:szCs w:val="22"/>
          <w14:ligatures w14:val="none"/>
        </w:rPr>
        <w:t>centered</w:t>
      </w:r>
      <w:proofErr w:type="spellEnd"/>
      <w:r w:rsidRPr="004E20C7">
        <w:rPr>
          <w:rFonts w:ascii="Arial" w:hAnsi="Arial" w:cs="Arial"/>
          <w:i/>
          <w:iCs/>
          <w:kern w:val="0"/>
          <w:sz w:val="22"/>
          <w:szCs w:val="22"/>
          <w14:ligatures w14:val="none"/>
        </w:rPr>
        <w:t xml:space="preserve"> approach to multi-</w:t>
      </w:r>
      <w:proofErr w:type="spellStart"/>
      <w:r w:rsidRPr="004E20C7">
        <w:rPr>
          <w:rFonts w:ascii="Arial" w:hAnsi="Arial" w:cs="Arial"/>
          <w:i/>
          <w:iCs/>
          <w:kern w:val="0"/>
          <w:sz w:val="22"/>
          <w:szCs w:val="22"/>
          <w14:ligatures w14:val="none"/>
        </w:rPr>
        <w:t>sectoral</w:t>
      </w:r>
      <w:proofErr w:type="spellEnd"/>
      <w:r w:rsidRPr="004E20C7">
        <w:rPr>
          <w:rFonts w:ascii="Arial" w:hAnsi="Arial" w:cs="Arial"/>
          <w:i/>
          <w:iCs/>
          <w:kern w:val="0"/>
          <w:sz w:val="22"/>
          <w:szCs w:val="22"/>
          <w14:ligatures w14:val="none"/>
        </w:rPr>
        <w:t xml:space="preserve"> action</w:t>
      </w:r>
      <w:r w:rsidRPr="004E20C7">
        <w:rPr>
          <w:rFonts w:ascii="Arial" w:hAnsi="Arial" w:cs="Arial"/>
          <w:kern w:val="0"/>
          <w:sz w:val="22"/>
          <w:szCs w:val="22"/>
          <w14:ligatures w14:val="none"/>
        </w:rPr>
        <w:t>. Washington, D.C.: Inter-American Development Bank.</w:t>
      </w:r>
    </w:p>
    <w:p w14:paraId="7AC8AE84"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 xml:space="preserve">​Sutton, K. (2026) 'Policy design and implementation of health impact assessment in English planning', </w:t>
      </w:r>
      <w:r w:rsidRPr="004E20C7">
        <w:rPr>
          <w:rFonts w:ascii="Arial" w:hAnsi="Arial" w:cs="Arial"/>
          <w:i/>
          <w:iCs/>
          <w:kern w:val="0"/>
          <w:sz w:val="22"/>
          <w:szCs w:val="22"/>
          <w14:ligatures w14:val="none"/>
        </w:rPr>
        <w:t>Town Planning Review</w:t>
      </w:r>
      <w:r w:rsidRPr="004E20C7">
        <w:rPr>
          <w:rFonts w:ascii="Arial" w:hAnsi="Arial" w:cs="Arial"/>
          <w:kern w:val="0"/>
          <w:sz w:val="22"/>
          <w:szCs w:val="22"/>
          <w14:ligatures w14:val="none"/>
        </w:rPr>
        <w:t>, 97(1), pp. 30-45.</w:t>
      </w:r>
    </w:p>
    <w:p w14:paraId="7FDBE8DF"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w:t>
      </w:r>
      <w:proofErr w:type="spellStart"/>
      <w:r w:rsidRPr="004E20C7">
        <w:rPr>
          <w:rFonts w:ascii="Arial" w:hAnsi="Arial" w:cs="Arial"/>
          <w:kern w:val="0"/>
          <w:sz w:val="22"/>
          <w:szCs w:val="22"/>
          <w14:ligatures w14:val="none"/>
        </w:rPr>
        <w:t>Udugbo</w:t>
      </w:r>
      <w:proofErr w:type="spellEnd"/>
      <w:r w:rsidRPr="004E20C7">
        <w:rPr>
          <w:rFonts w:ascii="Arial" w:hAnsi="Arial" w:cs="Arial"/>
          <w:kern w:val="0"/>
          <w:sz w:val="22"/>
          <w:szCs w:val="22"/>
          <w14:ligatures w14:val="none"/>
        </w:rPr>
        <w:t xml:space="preserve">, M.C. (2024) </w:t>
      </w:r>
      <w:r w:rsidRPr="004E20C7">
        <w:rPr>
          <w:rFonts w:ascii="Arial" w:hAnsi="Arial" w:cs="Arial"/>
          <w:i/>
          <w:iCs/>
          <w:kern w:val="0"/>
          <w:sz w:val="22"/>
          <w:szCs w:val="22"/>
          <w14:ligatures w14:val="none"/>
        </w:rPr>
        <w:t>A systematic review of health inequalities in English coastal towns</w:t>
      </w:r>
      <w:r w:rsidRPr="004E20C7">
        <w:rPr>
          <w:rFonts w:ascii="Arial" w:hAnsi="Arial" w:cs="Arial"/>
          <w:kern w:val="0"/>
          <w:sz w:val="22"/>
          <w:szCs w:val="22"/>
          <w14:ligatures w14:val="none"/>
        </w:rPr>
        <w:t>. London: Chartered Institute of Environmental Health.</w:t>
      </w:r>
    </w:p>
    <w:p w14:paraId="3281BB02"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 xml:space="preserve">​World Health Organization (2025) </w:t>
      </w:r>
      <w:r w:rsidRPr="004E20C7">
        <w:rPr>
          <w:rFonts w:ascii="Arial" w:hAnsi="Arial" w:cs="Arial"/>
          <w:i/>
          <w:iCs/>
          <w:kern w:val="0"/>
          <w:sz w:val="22"/>
          <w:szCs w:val="22"/>
          <w14:ligatures w14:val="none"/>
        </w:rPr>
        <w:t>Healthy cities: effective approach to a rapidly changing world</w:t>
      </w:r>
      <w:r w:rsidRPr="004E20C7">
        <w:rPr>
          <w:rFonts w:ascii="Arial" w:hAnsi="Arial" w:cs="Arial"/>
          <w:kern w:val="0"/>
          <w:sz w:val="22"/>
          <w:szCs w:val="22"/>
          <w14:ligatures w14:val="none"/>
        </w:rPr>
        <w:t>. Copenhagen: WHO Regional Office for Europe.</w:t>
      </w:r>
    </w:p>
    <w:p w14:paraId="35F00947"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 xml:space="preserve">​World Health Organization Regional Office for South-East Asia (2025) </w:t>
      </w:r>
      <w:r w:rsidRPr="004E20C7">
        <w:rPr>
          <w:rFonts w:ascii="Arial" w:hAnsi="Arial" w:cs="Arial"/>
          <w:i/>
          <w:iCs/>
          <w:kern w:val="0"/>
          <w:sz w:val="22"/>
          <w:szCs w:val="22"/>
          <w14:ligatures w14:val="none"/>
        </w:rPr>
        <w:t>Monitoring progress on universal health coverage and the health-related Sustainable Development Goals in the South-East Asia Region: 2025 update</w:t>
      </w:r>
      <w:r w:rsidRPr="004E20C7">
        <w:rPr>
          <w:rFonts w:ascii="Arial" w:hAnsi="Arial" w:cs="Arial"/>
          <w:kern w:val="0"/>
          <w:sz w:val="22"/>
          <w:szCs w:val="22"/>
          <w14:ligatures w14:val="none"/>
        </w:rPr>
        <w:t>. New Delhi: WHO Regional Office for South-East Asia.</w:t>
      </w:r>
    </w:p>
    <w:p w14:paraId="54A0C28E"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 xml:space="preserve">​Yates, R., Bertram, K. and </w:t>
      </w:r>
      <w:proofErr w:type="spellStart"/>
      <w:r w:rsidRPr="004E20C7">
        <w:rPr>
          <w:rFonts w:ascii="Arial" w:hAnsi="Arial" w:cs="Arial"/>
          <w:kern w:val="0"/>
          <w:sz w:val="22"/>
          <w:szCs w:val="22"/>
          <w14:ligatures w14:val="none"/>
        </w:rPr>
        <w:t>Lal</w:t>
      </w:r>
      <w:proofErr w:type="spellEnd"/>
      <w:r w:rsidRPr="004E20C7">
        <w:rPr>
          <w:rFonts w:ascii="Arial" w:hAnsi="Arial" w:cs="Arial"/>
          <w:kern w:val="0"/>
          <w:sz w:val="22"/>
          <w:szCs w:val="22"/>
          <w14:ligatures w14:val="none"/>
        </w:rPr>
        <w:t xml:space="preserve">, A. (2026) 'World in crisis should accelerate universal health reforms', </w:t>
      </w:r>
      <w:r w:rsidRPr="004E20C7">
        <w:rPr>
          <w:rFonts w:ascii="Arial" w:hAnsi="Arial" w:cs="Arial"/>
          <w:i/>
          <w:iCs/>
          <w:kern w:val="0"/>
          <w:sz w:val="22"/>
          <w:szCs w:val="22"/>
          <w14:ligatures w14:val="none"/>
        </w:rPr>
        <w:t>BMJ Public Health</w:t>
      </w:r>
      <w:r w:rsidRPr="004E20C7">
        <w:rPr>
          <w:rFonts w:ascii="Arial" w:hAnsi="Arial" w:cs="Arial"/>
          <w:kern w:val="0"/>
          <w:sz w:val="22"/>
          <w:szCs w:val="22"/>
          <w14:ligatures w14:val="none"/>
        </w:rPr>
        <w:t>, 4(2), e000567.</w:t>
      </w:r>
    </w:p>
    <w:p w14:paraId="3654B2A7" w14:textId="4A738A71"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 xml:space="preserve">​Ying, L. (2025) 'The impact of </w:t>
      </w:r>
      <w:r w:rsidR="00520B64" w:rsidRPr="004E20C7">
        <w:rPr>
          <w:rFonts w:ascii="Arial" w:hAnsi="Arial" w:cs="Arial"/>
          <w:kern w:val="0"/>
          <w:sz w:val="22"/>
          <w:szCs w:val="22"/>
          <w14:ligatures w14:val="none"/>
        </w:rPr>
        <w:t>neighbourhood</w:t>
      </w:r>
      <w:r w:rsidRPr="004E20C7">
        <w:rPr>
          <w:rFonts w:ascii="Arial" w:hAnsi="Arial" w:cs="Arial"/>
          <w:kern w:val="0"/>
          <w:sz w:val="22"/>
          <w:szCs w:val="22"/>
          <w14:ligatures w14:val="none"/>
        </w:rPr>
        <w:t xml:space="preserve"> environment on physical activity among older adults: chain mediating roles of self-efficacy and outcome expectations', </w:t>
      </w:r>
      <w:r w:rsidRPr="004E20C7">
        <w:rPr>
          <w:rFonts w:ascii="Arial" w:hAnsi="Arial" w:cs="Arial"/>
          <w:i/>
          <w:iCs/>
          <w:kern w:val="0"/>
          <w:sz w:val="22"/>
          <w:szCs w:val="22"/>
          <w14:ligatures w14:val="none"/>
        </w:rPr>
        <w:t>Frontiers in Public Health</w:t>
      </w:r>
      <w:r w:rsidRPr="004E20C7">
        <w:rPr>
          <w:rFonts w:ascii="Arial" w:hAnsi="Arial" w:cs="Arial"/>
          <w:kern w:val="0"/>
          <w:sz w:val="22"/>
          <w:szCs w:val="22"/>
          <w14:ligatures w14:val="none"/>
        </w:rPr>
        <w:t>, 13, p. 112233.</w:t>
      </w:r>
    </w:p>
    <w:p w14:paraId="6A568E2D" w14:textId="77777777"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w:t>
      </w:r>
      <w:proofErr w:type="spellStart"/>
      <w:r w:rsidRPr="004E20C7">
        <w:rPr>
          <w:rFonts w:ascii="Arial" w:hAnsi="Arial" w:cs="Arial"/>
          <w:kern w:val="0"/>
          <w:sz w:val="22"/>
          <w:szCs w:val="22"/>
          <w14:ligatures w14:val="none"/>
        </w:rPr>
        <w:t>Zewdie</w:t>
      </w:r>
      <w:proofErr w:type="spellEnd"/>
      <w:r w:rsidRPr="004E20C7">
        <w:rPr>
          <w:rFonts w:ascii="Arial" w:hAnsi="Arial" w:cs="Arial"/>
          <w:kern w:val="0"/>
          <w:sz w:val="22"/>
          <w:szCs w:val="22"/>
          <w14:ligatures w14:val="none"/>
        </w:rPr>
        <w:t xml:space="preserve">, A., </w:t>
      </w:r>
      <w:proofErr w:type="spellStart"/>
      <w:r w:rsidRPr="004E20C7">
        <w:rPr>
          <w:rFonts w:ascii="Arial" w:hAnsi="Arial" w:cs="Arial"/>
          <w:kern w:val="0"/>
          <w:sz w:val="22"/>
          <w:szCs w:val="22"/>
          <w14:ligatures w14:val="none"/>
        </w:rPr>
        <w:t>Mose</w:t>
      </w:r>
      <w:proofErr w:type="spellEnd"/>
      <w:r w:rsidRPr="004E20C7">
        <w:rPr>
          <w:rFonts w:ascii="Arial" w:hAnsi="Arial" w:cs="Arial"/>
          <w:kern w:val="0"/>
          <w:sz w:val="22"/>
          <w:szCs w:val="22"/>
          <w14:ligatures w14:val="none"/>
        </w:rPr>
        <w:t xml:space="preserve">, A., </w:t>
      </w:r>
      <w:proofErr w:type="spellStart"/>
      <w:r w:rsidRPr="004E20C7">
        <w:rPr>
          <w:rFonts w:ascii="Arial" w:hAnsi="Arial" w:cs="Arial"/>
          <w:kern w:val="0"/>
          <w:sz w:val="22"/>
          <w:szCs w:val="22"/>
          <w14:ligatures w14:val="none"/>
        </w:rPr>
        <w:t>Sahle</w:t>
      </w:r>
      <w:proofErr w:type="spellEnd"/>
      <w:r w:rsidRPr="004E20C7">
        <w:rPr>
          <w:rFonts w:ascii="Arial" w:hAnsi="Arial" w:cs="Arial"/>
          <w:kern w:val="0"/>
          <w:sz w:val="22"/>
          <w:szCs w:val="22"/>
          <w14:ligatures w14:val="none"/>
        </w:rPr>
        <w:t xml:space="preserve">, T., </w:t>
      </w:r>
      <w:proofErr w:type="spellStart"/>
      <w:r w:rsidRPr="004E20C7">
        <w:rPr>
          <w:rFonts w:ascii="Arial" w:hAnsi="Arial" w:cs="Arial"/>
          <w:kern w:val="0"/>
          <w:sz w:val="22"/>
          <w:szCs w:val="22"/>
          <w14:ligatures w14:val="none"/>
        </w:rPr>
        <w:t>Bedewi</w:t>
      </w:r>
      <w:proofErr w:type="spellEnd"/>
      <w:r w:rsidRPr="004E20C7">
        <w:rPr>
          <w:rFonts w:ascii="Arial" w:hAnsi="Arial" w:cs="Arial"/>
          <w:kern w:val="0"/>
          <w:sz w:val="22"/>
          <w:szCs w:val="22"/>
          <w14:ligatures w14:val="none"/>
        </w:rPr>
        <w:t xml:space="preserve">, J., </w:t>
      </w:r>
      <w:proofErr w:type="spellStart"/>
      <w:r w:rsidRPr="004E20C7">
        <w:rPr>
          <w:rFonts w:ascii="Arial" w:hAnsi="Arial" w:cs="Arial"/>
          <w:kern w:val="0"/>
          <w:sz w:val="22"/>
          <w:szCs w:val="22"/>
          <w14:ligatures w14:val="none"/>
        </w:rPr>
        <w:t>Gashu</w:t>
      </w:r>
      <w:proofErr w:type="spellEnd"/>
      <w:r w:rsidRPr="004E20C7">
        <w:rPr>
          <w:rFonts w:ascii="Arial" w:hAnsi="Arial" w:cs="Arial"/>
          <w:kern w:val="0"/>
          <w:sz w:val="22"/>
          <w:szCs w:val="22"/>
          <w14:ligatures w14:val="none"/>
        </w:rPr>
        <w:t xml:space="preserve">, M., </w:t>
      </w:r>
      <w:proofErr w:type="spellStart"/>
      <w:r w:rsidRPr="004E20C7">
        <w:rPr>
          <w:rFonts w:ascii="Arial" w:hAnsi="Arial" w:cs="Arial"/>
          <w:kern w:val="0"/>
          <w:sz w:val="22"/>
          <w:szCs w:val="22"/>
          <w14:ligatures w14:val="none"/>
        </w:rPr>
        <w:t>Kebede</w:t>
      </w:r>
      <w:proofErr w:type="spellEnd"/>
      <w:r w:rsidRPr="004E20C7">
        <w:rPr>
          <w:rFonts w:ascii="Arial" w:hAnsi="Arial" w:cs="Arial"/>
          <w:kern w:val="0"/>
          <w:sz w:val="22"/>
          <w:szCs w:val="22"/>
          <w14:ligatures w14:val="none"/>
        </w:rPr>
        <w:t xml:space="preserve">, N. and </w:t>
      </w:r>
      <w:proofErr w:type="spellStart"/>
      <w:r w:rsidRPr="004E20C7">
        <w:rPr>
          <w:rFonts w:ascii="Arial" w:hAnsi="Arial" w:cs="Arial"/>
          <w:kern w:val="0"/>
          <w:sz w:val="22"/>
          <w:szCs w:val="22"/>
          <w14:ligatures w14:val="none"/>
        </w:rPr>
        <w:t>Yimer</w:t>
      </w:r>
      <w:proofErr w:type="spellEnd"/>
      <w:r w:rsidRPr="004E20C7">
        <w:rPr>
          <w:rFonts w:ascii="Arial" w:hAnsi="Arial" w:cs="Arial"/>
          <w:kern w:val="0"/>
          <w:sz w:val="22"/>
          <w:szCs w:val="22"/>
          <w14:ligatures w14:val="none"/>
        </w:rPr>
        <w:t xml:space="preserve">, A. (2022) 'The health belief model’s ability to predict COVID-19 preventive </w:t>
      </w:r>
      <w:proofErr w:type="spellStart"/>
      <w:r w:rsidRPr="004E20C7">
        <w:rPr>
          <w:rFonts w:ascii="Arial" w:hAnsi="Arial" w:cs="Arial"/>
          <w:kern w:val="0"/>
          <w:sz w:val="22"/>
          <w:szCs w:val="22"/>
          <w14:ligatures w14:val="none"/>
        </w:rPr>
        <w:t>behavior</w:t>
      </w:r>
      <w:proofErr w:type="spellEnd"/>
      <w:r w:rsidRPr="004E20C7">
        <w:rPr>
          <w:rFonts w:ascii="Arial" w:hAnsi="Arial" w:cs="Arial"/>
          <w:kern w:val="0"/>
          <w:sz w:val="22"/>
          <w:szCs w:val="22"/>
          <w14:ligatures w14:val="none"/>
        </w:rPr>
        <w:t xml:space="preserve">: A systematic review', </w:t>
      </w:r>
      <w:r w:rsidRPr="004E20C7">
        <w:rPr>
          <w:rFonts w:ascii="Arial" w:hAnsi="Arial" w:cs="Arial"/>
          <w:i/>
          <w:iCs/>
          <w:kern w:val="0"/>
          <w:sz w:val="22"/>
          <w:szCs w:val="22"/>
          <w14:ligatures w14:val="none"/>
        </w:rPr>
        <w:t>SAGE Open Medicine</w:t>
      </w:r>
      <w:r w:rsidRPr="004E20C7">
        <w:rPr>
          <w:rFonts w:ascii="Arial" w:hAnsi="Arial" w:cs="Arial"/>
          <w:kern w:val="0"/>
          <w:sz w:val="22"/>
          <w:szCs w:val="22"/>
          <w14:ligatures w14:val="none"/>
        </w:rPr>
        <w:t>, 10, pp. 1-12.</w:t>
      </w:r>
    </w:p>
    <w:p w14:paraId="15994890" w14:textId="7F3CAC1F" w:rsidR="00C32D88"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w:t>
      </w:r>
      <w:proofErr w:type="spellStart"/>
      <w:r w:rsidRPr="004E20C7">
        <w:rPr>
          <w:rFonts w:ascii="Arial" w:hAnsi="Arial" w:cs="Arial"/>
          <w:kern w:val="0"/>
          <w:sz w:val="22"/>
          <w:szCs w:val="22"/>
          <w14:ligatures w14:val="none"/>
        </w:rPr>
        <w:t>Zhai</w:t>
      </w:r>
      <w:proofErr w:type="spellEnd"/>
      <w:r w:rsidRPr="004E20C7">
        <w:rPr>
          <w:rFonts w:ascii="Arial" w:hAnsi="Arial" w:cs="Arial"/>
          <w:kern w:val="0"/>
          <w:sz w:val="22"/>
          <w:szCs w:val="22"/>
          <w14:ligatures w14:val="none"/>
        </w:rPr>
        <w:t xml:space="preserve">, S., Hash, J., Ward, T.M., </w:t>
      </w:r>
      <w:proofErr w:type="spellStart"/>
      <w:r w:rsidRPr="004E20C7">
        <w:rPr>
          <w:rFonts w:ascii="Arial" w:hAnsi="Arial" w:cs="Arial"/>
          <w:kern w:val="0"/>
          <w:sz w:val="22"/>
          <w:szCs w:val="22"/>
          <w14:ligatures w14:val="none"/>
        </w:rPr>
        <w:t>Yuwen</w:t>
      </w:r>
      <w:proofErr w:type="spellEnd"/>
      <w:r w:rsidRPr="004E20C7">
        <w:rPr>
          <w:rFonts w:ascii="Arial" w:hAnsi="Arial" w:cs="Arial"/>
          <w:kern w:val="0"/>
          <w:sz w:val="22"/>
          <w:szCs w:val="22"/>
          <w14:ligatures w14:val="none"/>
        </w:rPr>
        <w:t xml:space="preserve">, W. and </w:t>
      </w:r>
      <w:proofErr w:type="spellStart"/>
      <w:r w:rsidRPr="004E20C7">
        <w:rPr>
          <w:rFonts w:ascii="Arial" w:hAnsi="Arial" w:cs="Arial"/>
          <w:kern w:val="0"/>
          <w:sz w:val="22"/>
          <w:szCs w:val="22"/>
          <w14:ligatures w14:val="none"/>
        </w:rPr>
        <w:t>Sonney</w:t>
      </w:r>
      <w:proofErr w:type="spellEnd"/>
      <w:r w:rsidRPr="004E20C7">
        <w:rPr>
          <w:rFonts w:ascii="Arial" w:hAnsi="Arial" w:cs="Arial"/>
          <w:kern w:val="0"/>
          <w:sz w:val="22"/>
          <w:szCs w:val="22"/>
          <w14:ligatures w14:val="none"/>
        </w:rPr>
        <w:t xml:space="preserve">, J. (2023) 'Analysis, evaluation, and reformulation of social cognitive theory: Toward parent-child shared management in sleep health', </w:t>
      </w:r>
      <w:r w:rsidRPr="004E20C7">
        <w:rPr>
          <w:rFonts w:ascii="Arial" w:hAnsi="Arial" w:cs="Arial"/>
          <w:i/>
          <w:iCs/>
          <w:kern w:val="0"/>
          <w:sz w:val="22"/>
          <w:szCs w:val="22"/>
          <w14:ligatures w14:val="none"/>
        </w:rPr>
        <w:t xml:space="preserve">Journal of </w:t>
      </w:r>
      <w:r w:rsidR="00520B64" w:rsidRPr="004E20C7">
        <w:rPr>
          <w:rFonts w:ascii="Arial" w:hAnsi="Arial" w:cs="Arial"/>
          <w:i/>
          <w:iCs/>
          <w:kern w:val="0"/>
          <w:sz w:val="22"/>
          <w:szCs w:val="22"/>
          <w14:ligatures w14:val="none"/>
        </w:rPr>
        <w:t>Paediatric</w:t>
      </w:r>
      <w:r w:rsidRPr="004E20C7">
        <w:rPr>
          <w:rFonts w:ascii="Arial" w:hAnsi="Arial" w:cs="Arial"/>
          <w:i/>
          <w:iCs/>
          <w:kern w:val="0"/>
          <w:sz w:val="22"/>
          <w:szCs w:val="22"/>
          <w14:ligatures w14:val="none"/>
        </w:rPr>
        <w:t xml:space="preserve"> Nursing</w:t>
      </w:r>
      <w:r w:rsidRPr="004E20C7">
        <w:rPr>
          <w:rFonts w:ascii="Arial" w:hAnsi="Arial" w:cs="Arial"/>
          <w:kern w:val="0"/>
          <w:sz w:val="22"/>
          <w:szCs w:val="22"/>
          <w14:ligatures w14:val="none"/>
        </w:rPr>
        <w:t>, 73, pp. 65-74.</w:t>
      </w:r>
    </w:p>
    <w:p w14:paraId="0CE398E7" w14:textId="32364850" w:rsidR="00E33ED0" w:rsidRPr="004E20C7" w:rsidRDefault="00C32D88" w:rsidP="008D2582">
      <w:pPr>
        <w:spacing w:before="100" w:beforeAutospacing="1" w:after="100" w:afterAutospacing="1" w:line="360" w:lineRule="auto"/>
        <w:rPr>
          <w:rFonts w:ascii="Arial" w:hAnsi="Arial" w:cs="Arial"/>
          <w:kern w:val="0"/>
          <w:sz w:val="22"/>
          <w:szCs w:val="22"/>
          <w14:ligatures w14:val="none"/>
        </w:rPr>
      </w:pPr>
      <w:r w:rsidRPr="004E20C7">
        <w:rPr>
          <w:rFonts w:ascii="Arial" w:hAnsi="Arial" w:cs="Arial"/>
          <w:kern w:val="0"/>
          <w:sz w:val="22"/>
          <w:szCs w:val="22"/>
          <w14:ligatures w14:val="none"/>
        </w:rPr>
        <w:t xml:space="preserve">​Zhang, H., Chen, L. and Zhang, F. (2022) 'Revisit the effects of health literacy on health </w:t>
      </w:r>
      <w:r w:rsidR="00520B64" w:rsidRPr="004E20C7">
        <w:rPr>
          <w:rFonts w:ascii="Arial" w:hAnsi="Arial" w:cs="Arial"/>
          <w:kern w:val="0"/>
          <w:sz w:val="22"/>
          <w:szCs w:val="22"/>
          <w14:ligatures w14:val="none"/>
        </w:rPr>
        <w:t>behaviours</w:t>
      </w:r>
      <w:r w:rsidRPr="004E20C7">
        <w:rPr>
          <w:rFonts w:ascii="Arial" w:hAnsi="Arial" w:cs="Arial"/>
          <w:kern w:val="0"/>
          <w:sz w:val="22"/>
          <w:szCs w:val="22"/>
          <w14:ligatures w14:val="none"/>
        </w:rPr>
        <w:t xml:space="preserve"> in the context of COVID-19: The mediation pathways based on the health belief model', </w:t>
      </w:r>
      <w:r w:rsidRPr="004E20C7">
        <w:rPr>
          <w:rFonts w:ascii="Arial" w:hAnsi="Arial" w:cs="Arial"/>
          <w:i/>
          <w:iCs/>
          <w:kern w:val="0"/>
          <w:sz w:val="22"/>
          <w:szCs w:val="22"/>
          <w14:ligatures w14:val="none"/>
        </w:rPr>
        <w:t>Frontiers in Public Health</w:t>
      </w:r>
      <w:r w:rsidRPr="004E20C7">
        <w:rPr>
          <w:rFonts w:ascii="Arial" w:hAnsi="Arial" w:cs="Arial"/>
          <w:kern w:val="0"/>
          <w:sz w:val="22"/>
          <w:szCs w:val="22"/>
          <w14:ligatures w14:val="none"/>
        </w:rPr>
        <w:t>, 10, e803243.</w:t>
      </w:r>
    </w:p>
    <w:p w14:paraId="6B0DFA58" w14:textId="78F20844" w:rsidR="007F7CB5" w:rsidRPr="004E20C7" w:rsidRDefault="007F7CB5" w:rsidP="008D2582">
      <w:pPr>
        <w:spacing w:line="360" w:lineRule="auto"/>
        <w:jc w:val="both"/>
        <w:rPr>
          <w:rFonts w:ascii="Arial" w:hAnsi="Arial" w:cs="Arial"/>
          <w:sz w:val="22"/>
          <w:szCs w:val="22"/>
        </w:rPr>
      </w:pPr>
    </w:p>
    <w:p w14:paraId="6C4A212F" w14:textId="77777777" w:rsidR="007F7CB5" w:rsidRPr="004E20C7" w:rsidRDefault="007F7CB5" w:rsidP="008D2582">
      <w:pPr>
        <w:spacing w:line="360" w:lineRule="auto"/>
        <w:jc w:val="both"/>
        <w:rPr>
          <w:rFonts w:ascii="Arial" w:hAnsi="Arial" w:cs="Arial"/>
          <w:sz w:val="22"/>
          <w:szCs w:val="22"/>
        </w:rPr>
      </w:pPr>
    </w:p>
    <w:sectPr w:rsidR="007F7CB5" w:rsidRPr="004E20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A75"/>
    <w:rsid w:val="00003F7E"/>
    <w:rsid w:val="00012308"/>
    <w:rsid w:val="00026FCA"/>
    <w:rsid w:val="0007062F"/>
    <w:rsid w:val="000C679E"/>
    <w:rsid w:val="00103081"/>
    <w:rsid w:val="00167A5A"/>
    <w:rsid w:val="001F2D56"/>
    <w:rsid w:val="001F6C32"/>
    <w:rsid w:val="0020719A"/>
    <w:rsid w:val="00270DF6"/>
    <w:rsid w:val="002B11D3"/>
    <w:rsid w:val="002F5111"/>
    <w:rsid w:val="002F584E"/>
    <w:rsid w:val="002F5982"/>
    <w:rsid w:val="00303DB8"/>
    <w:rsid w:val="00311549"/>
    <w:rsid w:val="00350BCE"/>
    <w:rsid w:val="00362BD0"/>
    <w:rsid w:val="0044799B"/>
    <w:rsid w:val="00461E4D"/>
    <w:rsid w:val="004D48D2"/>
    <w:rsid w:val="004E20C7"/>
    <w:rsid w:val="00520B64"/>
    <w:rsid w:val="00535626"/>
    <w:rsid w:val="00562FB2"/>
    <w:rsid w:val="005A78B0"/>
    <w:rsid w:val="005B2AA3"/>
    <w:rsid w:val="005D4D9F"/>
    <w:rsid w:val="006355BE"/>
    <w:rsid w:val="006F627B"/>
    <w:rsid w:val="00731163"/>
    <w:rsid w:val="00731C2C"/>
    <w:rsid w:val="007A683D"/>
    <w:rsid w:val="007C0BB4"/>
    <w:rsid w:val="007F4793"/>
    <w:rsid w:val="007F7CB5"/>
    <w:rsid w:val="00811832"/>
    <w:rsid w:val="00827A51"/>
    <w:rsid w:val="008D2582"/>
    <w:rsid w:val="008E2C56"/>
    <w:rsid w:val="008E5871"/>
    <w:rsid w:val="008F08F5"/>
    <w:rsid w:val="00911EE8"/>
    <w:rsid w:val="0094169A"/>
    <w:rsid w:val="00955A75"/>
    <w:rsid w:val="009A07D5"/>
    <w:rsid w:val="009E1892"/>
    <w:rsid w:val="00A33314"/>
    <w:rsid w:val="00A376EB"/>
    <w:rsid w:val="00A94414"/>
    <w:rsid w:val="00AD4F8A"/>
    <w:rsid w:val="00AD7569"/>
    <w:rsid w:val="00B1016A"/>
    <w:rsid w:val="00B5655B"/>
    <w:rsid w:val="00B568CB"/>
    <w:rsid w:val="00B96182"/>
    <w:rsid w:val="00BB4A79"/>
    <w:rsid w:val="00BB6651"/>
    <w:rsid w:val="00C22F42"/>
    <w:rsid w:val="00C32D88"/>
    <w:rsid w:val="00C554D3"/>
    <w:rsid w:val="00CD0921"/>
    <w:rsid w:val="00CD12CD"/>
    <w:rsid w:val="00DC788D"/>
    <w:rsid w:val="00E33ED0"/>
    <w:rsid w:val="00E40F40"/>
    <w:rsid w:val="00E51D70"/>
    <w:rsid w:val="00E73319"/>
    <w:rsid w:val="00E9740B"/>
    <w:rsid w:val="00F049E4"/>
    <w:rsid w:val="00F40B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B0457B"/>
  <w15:chartTrackingRefBased/>
  <w15:docId w15:val="{16C880B1-187F-8248-A29A-C581348C5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A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55A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5A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5A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5A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5A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5A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5A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5A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A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5A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5A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5A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5A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5A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A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A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A75"/>
    <w:rPr>
      <w:rFonts w:eastAsiaTheme="majorEastAsia" w:cstheme="majorBidi"/>
      <w:color w:val="272727" w:themeColor="text1" w:themeTint="D8"/>
    </w:rPr>
  </w:style>
  <w:style w:type="paragraph" w:styleId="Title">
    <w:name w:val="Title"/>
    <w:basedOn w:val="Normal"/>
    <w:next w:val="Normal"/>
    <w:link w:val="TitleChar"/>
    <w:uiPriority w:val="10"/>
    <w:qFormat/>
    <w:rsid w:val="00955A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5A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A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5A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A75"/>
    <w:pPr>
      <w:spacing w:before="160"/>
      <w:jc w:val="center"/>
    </w:pPr>
    <w:rPr>
      <w:i/>
      <w:iCs/>
      <w:color w:val="404040" w:themeColor="text1" w:themeTint="BF"/>
    </w:rPr>
  </w:style>
  <w:style w:type="character" w:customStyle="1" w:styleId="QuoteChar">
    <w:name w:val="Quote Char"/>
    <w:basedOn w:val="DefaultParagraphFont"/>
    <w:link w:val="Quote"/>
    <w:uiPriority w:val="29"/>
    <w:rsid w:val="00955A75"/>
    <w:rPr>
      <w:i/>
      <w:iCs/>
      <w:color w:val="404040" w:themeColor="text1" w:themeTint="BF"/>
    </w:rPr>
  </w:style>
  <w:style w:type="paragraph" w:styleId="ListParagraph">
    <w:name w:val="List Paragraph"/>
    <w:basedOn w:val="Normal"/>
    <w:uiPriority w:val="34"/>
    <w:qFormat/>
    <w:rsid w:val="00955A75"/>
    <w:pPr>
      <w:ind w:left="720"/>
      <w:contextualSpacing/>
    </w:pPr>
  </w:style>
  <w:style w:type="character" w:styleId="IntenseEmphasis">
    <w:name w:val="Intense Emphasis"/>
    <w:basedOn w:val="DefaultParagraphFont"/>
    <w:uiPriority w:val="21"/>
    <w:qFormat/>
    <w:rsid w:val="00955A75"/>
    <w:rPr>
      <w:i/>
      <w:iCs/>
      <w:color w:val="0F4761" w:themeColor="accent1" w:themeShade="BF"/>
    </w:rPr>
  </w:style>
  <w:style w:type="paragraph" w:styleId="IntenseQuote">
    <w:name w:val="Intense Quote"/>
    <w:basedOn w:val="Normal"/>
    <w:next w:val="Normal"/>
    <w:link w:val="IntenseQuoteChar"/>
    <w:uiPriority w:val="30"/>
    <w:qFormat/>
    <w:rsid w:val="00955A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5A75"/>
    <w:rPr>
      <w:i/>
      <w:iCs/>
      <w:color w:val="0F4761" w:themeColor="accent1" w:themeShade="BF"/>
    </w:rPr>
  </w:style>
  <w:style w:type="character" w:styleId="IntenseReference">
    <w:name w:val="Intense Reference"/>
    <w:basedOn w:val="DefaultParagraphFont"/>
    <w:uiPriority w:val="32"/>
    <w:qFormat/>
    <w:rsid w:val="00955A75"/>
    <w:rPr>
      <w:b/>
      <w:bCs/>
      <w:smallCaps/>
      <w:color w:val="0F4761" w:themeColor="accent1" w:themeShade="BF"/>
      <w:spacing w:val="5"/>
    </w:rPr>
  </w:style>
  <w:style w:type="character" w:styleId="Hyperlink">
    <w:name w:val="Hyperlink"/>
    <w:basedOn w:val="DefaultParagraphFont"/>
    <w:uiPriority w:val="99"/>
    <w:unhideWhenUsed/>
    <w:rsid w:val="007F7CB5"/>
    <w:rPr>
      <w:color w:val="467886" w:themeColor="hyperlink"/>
      <w:u w:val="single"/>
    </w:rPr>
  </w:style>
  <w:style w:type="character" w:styleId="UnresolvedMention">
    <w:name w:val="Unresolved Mention"/>
    <w:basedOn w:val="DefaultParagraphFont"/>
    <w:uiPriority w:val="99"/>
    <w:semiHidden/>
    <w:unhideWhenUsed/>
    <w:rsid w:val="007F7CB5"/>
    <w:rPr>
      <w:color w:val="605E5C"/>
      <w:shd w:val="clear" w:color="auto" w:fill="E1DFDD"/>
    </w:rPr>
  </w:style>
  <w:style w:type="paragraph" w:styleId="NormalWeb">
    <w:name w:val="Normal (Web)"/>
    <w:basedOn w:val="Normal"/>
    <w:uiPriority w:val="99"/>
    <w:semiHidden/>
    <w:unhideWhenUsed/>
    <w:rsid w:val="00C32D8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7" Type="http://schemas.openxmlformats.org/officeDocument/2006/relationships/theme" Target="theme/theme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ntTable" Target="fontTable.xml" /><Relationship Id="rId5" Type="http://schemas.openxmlformats.org/officeDocument/2006/relationships/hyperlink" Target="https://www.diva-portal.org/smash/get/diva2:1777429/FULLTEXT01.pdf" TargetMode="External" /><Relationship Id="rId4" Type="http://schemas.openxmlformats.org/officeDocument/2006/relationships/hyperlink" Target="https://www.ncbi.nlm.nih.gov/books/NBK60612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2377</Words>
  <Characters>13551</Characters>
  <Application>Microsoft Office Word</Application>
  <DocSecurity>0</DocSecurity>
  <Lines>112</Lines>
  <Paragraphs>31</Paragraphs>
  <ScaleCrop>false</ScaleCrop>
  <Company/>
  <LinksUpToDate>false</LinksUpToDate>
  <CharactersWithSpaces>15897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Ashfaq (2315557)</dc:creator>
  <cp:keywords/>
  <dc:description/>
  <cp:lastModifiedBy>Mohammed Ashfaq (2315557)</cp:lastModifiedBy>
  <cp:revision>2</cp:revision>
  <dcterms:created xsi:type="dcterms:W3CDTF">2026-06-17T04:35:00Z</dcterms:created>
  <dcterms:modified xsi:type="dcterms:W3CDTF">2026-06-17T04:35:00Z</dcterms:modified>
</cp:coreProperties>
</file>