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center"/>
        <w:rPr>
          <w:rFonts w:ascii="Cambria" w:cs="Cambria" w:eastAsia="Cambria" w:hAnsi="Cambria"/>
          <w:sz w:val="36"/>
          <w:szCs w:val="36"/>
          <w:u w:val="single"/>
        </w:rPr>
      </w:pPr>
      <w:r w:rsidDel="00000000" w:rsidR="00000000" w:rsidRPr="00000000">
        <w:rPr>
          <w:rFonts w:ascii="Cambria" w:cs="Cambria" w:eastAsia="Cambria" w:hAnsi="Cambria"/>
          <w:sz w:val="36"/>
          <w:szCs w:val="36"/>
          <w:u w:val="single"/>
          <w:rtl w:val="0"/>
        </w:rPr>
        <w:t xml:space="preserve">Mathematics and Design Technology (D&amp;T) Education in English Schools</w:t>
      </w:r>
    </w:p>
    <w:p w:rsidR="00000000" w:rsidDel="00000000" w:rsidP="00000000" w:rsidRDefault="00000000" w:rsidRPr="00000000" w14:paraId="00000002">
      <w:pPr>
        <w:spacing w:line="276" w:lineRule="auto"/>
        <w:jc w:val="center"/>
        <w:rPr>
          <w:rFonts w:ascii="Cambria" w:cs="Cambria" w:eastAsia="Cambria" w:hAnsi="Cambria"/>
          <w:sz w:val="36"/>
          <w:szCs w:val="36"/>
          <w:u w:val="single"/>
        </w:rPr>
      </w:pPr>
      <w:r w:rsidDel="00000000" w:rsidR="00000000" w:rsidRPr="00000000">
        <w:rPr>
          <w:rtl w:val="0"/>
        </w:rPr>
      </w:r>
    </w:p>
    <w:p w:rsidR="00000000" w:rsidDel="00000000" w:rsidP="00000000" w:rsidRDefault="00000000" w:rsidRPr="00000000" w14:paraId="00000003">
      <w:pPr>
        <w:spacing w:line="360" w:lineRule="auto"/>
        <w:jc w:val="both"/>
        <w:rPr>
          <w:rFonts w:ascii="Cambria" w:cs="Cambria" w:eastAsia="Cambria" w:hAnsi="Cambria"/>
          <w:sz w:val="32"/>
          <w:szCs w:val="32"/>
        </w:rPr>
      </w:pPr>
      <w:r w:rsidDel="00000000" w:rsidR="00000000" w:rsidRPr="00000000">
        <w:rPr>
          <w:rtl w:val="0"/>
        </w:rPr>
      </w:r>
    </w:p>
    <w:p w:rsidR="00000000" w:rsidDel="00000000" w:rsidP="00000000" w:rsidRDefault="00000000" w:rsidRPr="00000000" w14:paraId="00000004">
      <w:pPr>
        <w:spacing w:line="360" w:lineRule="auto"/>
        <w:jc w:val="both"/>
        <w:rPr>
          <w:rFonts w:ascii="Cambria" w:cs="Cambria" w:eastAsia="Cambria" w:hAnsi="Cambria"/>
          <w:sz w:val="32"/>
          <w:szCs w:val="32"/>
        </w:rPr>
      </w:pPr>
      <w:r w:rsidDel="00000000" w:rsidR="00000000" w:rsidRPr="00000000">
        <w:rPr>
          <w:rtl w:val="0"/>
        </w:rPr>
      </w:r>
    </w:p>
    <w:p w:rsidR="00000000" w:rsidDel="00000000" w:rsidP="00000000" w:rsidRDefault="00000000" w:rsidRPr="00000000" w14:paraId="00000005">
      <w:pPr>
        <w:spacing w:line="360" w:lineRule="auto"/>
        <w:jc w:val="both"/>
        <w:rPr>
          <w:rFonts w:ascii="Cambria" w:cs="Cambria" w:eastAsia="Cambria" w:hAnsi="Cambria"/>
          <w:sz w:val="36"/>
          <w:szCs w:val="36"/>
          <w:u w:val="single"/>
        </w:rPr>
      </w:pPr>
      <w:r w:rsidDel="00000000" w:rsidR="00000000" w:rsidRPr="00000000">
        <w:rPr>
          <w:rFonts w:ascii="Cambria" w:cs="Cambria" w:eastAsia="Cambria" w:hAnsi="Cambria"/>
          <w:sz w:val="32"/>
          <w:szCs w:val="32"/>
          <w:rtl w:val="0"/>
        </w:rPr>
        <w:t xml:space="preserve">Contents</w:t>
      </w:r>
      <w:r w:rsidDel="00000000" w:rsidR="00000000" w:rsidRPr="00000000">
        <w:rPr>
          <w:rFonts w:ascii="Cambria" w:cs="Cambria" w:eastAsia="Cambria" w:hAnsi="Cambria"/>
          <w:rtl w:val="0"/>
        </w:rPr>
        <w:t xml:space="preserve">………………………………………………………………………….</w:t>
      </w:r>
      <w:r w:rsidDel="00000000" w:rsidR="00000000" w:rsidRPr="00000000">
        <w:rPr>
          <w:rtl w:val="0"/>
        </w:rPr>
      </w:r>
    </w:p>
    <w:p w:rsidR="00000000" w:rsidDel="00000000" w:rsidP="00000000" w:rsidRDefault="00000000" w:rsidRPr="00000000" w14:paraId="00000006">
      <w:pPr>
        <w:spacing w:line="360" w:lineRule="auto"/>
        <w:rPr>
          <w:rFonts w:ascii="Cambria" w:cs="Cambria" w:eastAsia="Cambria" w:hAnsi="Cambria"/>
        </w:rPr>
      </w:pPr>
      <w:r w:rsidDel="00000000" w:rsidR="00000000" w:rsidRPr="00000000">
        <w:rPr>
          <w:rFonts w:ascii="Cambria" w:cs="Cambria" w:eastAsia="Cambria" w:hAnsi="Cambria"/>
          <w:rtl w:val="0"/>
        </w:rPr>
        <w:t xml:space="preserve">Chapter 1</w:t>
      </w:r>
    </w:p>
    <w:p w:rsidR="00000000" w:rsidDel="00000000" w:rsidP="00000000" w:rsidRDefault="00000000" w:rsidRPr="00000000" w14:paraId="00000007">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1.1 Introduction: mathematics in design and t</w:t>
      </w:r>
      <w:r w:rsidDel="00000000" w:rsidR="00000000" w:rsidRPr="00000000">
        <w:rPr>
          <w:rFonts w:ascii="Cambria" w:cs="Cambria" w:eastAsia="Cambria" w:hAnsi="Cambria"/>
          <w:rtl w:val="0"/>
        </w:rPr>
        <w:t xml:space="preserve">echnology</w:t>
      </w:r>
      <w:r w:rsidDel="00000000" w:rsidR="00000000" w:rsidRPr="00000000">
        <w:rPr>
          <w:rFonts w:ascii="Cambria" w:cs="Cambria" w:eastAsia="Cambria" w:hAnsi="Cambria"/>
          <w:rtl w:val="0"/>
        </w:rPr>
        <w:t xml:space="preserve">……………..</w:t>
      </w:r>
    </w:p>
    <w:p w:rsidR="00000000" w:rsidDel="00000000" w:rsidP="00000000" w:rsidRDefault="00000000" w:rsidRPr="00000000" w14:paraId="00000008">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1.2 Research questions…………………………………………</w:t>
      </w:r>
    </w:p>
    <w:p w:rsidR="00000000" w:rsidDel="00000000" w:rsidP="00000000" w:rsidRDefault="00000000" w:rsidRPr="00000000" w14:paraId="00000009">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1.3 School context………………………………………………</w:t>
      </w:r>
    </w:p>
    <w:p w:rsidR="00000000" w:rsidDel="00000000" w:rsidP="00000000" w:rsidRDefault="00000000" w:rsidRPr="00000000" w14:paraId="0000000A">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1.4 Why this topic</w:t>
      </w:r>
      <w:r w:rsidDel="00000000" w:rsidR="00000000" w:rsidRPr="00000000">
        <w:rPr>
          <w:rFonts w:ascii="Cambria" w:cs="Cambria" w:eastAsia="Cambria" w:hAnsi="Cambria"/>
          <w:rtl w:val="0"/>
        </w:rPr>
        <w:t xml:space="preserve"> </w:t>
      </w:r>
    </w:p>
    <w:p w:rsidR="00000000" w:rsidDel="00000000" w:rsidP="00000000" w:rsidRDefault="00000000" w:rsidRPr="00000000" w14:paraId="0000000B">
      <w:pPr>
        <w:spacing w:line="360" w:lineRule="auto"/>
        <w:rPr>
          <w:rFonts w:ascii="Cambria" w:cs="Cambria" w:eastAsia="Cambria" w:hAnsi="Cambria"/>
        </w:rPr>
      </w:pPr>
      <w:r w:rsidDel="00000000" w:rsidR="00000000" w:rsidRPr="00000000">
        <w:rPr>
          <w:rFonts w:ascii="Cambria" w:cs="Cambria" w:eastAsia="Cambria" w:hAnsi="Cambria"/>
          <w:rtl w:val="0"/>
        </w:rPr>
        <w:t xml:space="preserve">Chapter 2 : </w:t>
      </w:r>
      <w:r w:rsidDel="00000000" w:rsidR="00000000" w:rsidRPr="00000000">
        <w:rPr>
          <w:rFonts w:ascii="Cambria" w:cs="Cambria" w:eastAsia="Cambria" w:hAnsi="Cambria"/>
          <w:rtl w:val="0"/>
        </w:rPr>
        <w:t xml:space="preserve">Literature Review……………………………………………………</w:t>
      </w:r>
    </w:p>
    <w:p w:rsidR="00000000" w:rsidDel="00000000" w:rsidP="00000000" w:rsidRDefault="00000000" w:rsidRPr="00000000" w14:paraId="0000000C">
      <w:pPr>
        <w:spacing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2</w:t>
      </w:r>
      <w:r w:rsidDel="00000000" w:rsidR="00000000" w:rsidRPr="00000000">
        <w:rPr>
          <w:rFonts w:ascii="Cambria" w:cs="Cambria" w:eastAsia="Cambria" w:hAnsi="Cambria"/>
          <w:rtl w:val="0"/>
        </w:rPr>
        <w:t xml:space="preserve">.1 Transfer of knowledge …………………………………………… …</w:t>
      </w:r>
    </w:p>
    <w:p w:rsidR="00000000" w:rsidDel="00000000" w:rsidP="00000000" w:rsidRDefault="00000000" w:rsidRPr="00000000" w14:paraId="0000000D">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2.1.1 A controversial concept…………………………………….</w:t>
      </w:r>
    </w:p>
    <w:p w:rsidR="00000000" w:rsidDel="00000000" w:rsidP="00000000" w:rsidRDefault="00000000" w:rsidRPr="00000000" w14:paraId="0000000E">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2.1.2 Associationist Theory………………………………………</w:t>
      </w:r>
    </w:p>
    <w:p w:rsidR="00000000" w:rsidDel="00000000" w:rsidP="00000000" w:rsidRDefault="00000000" w:rsidRPr="00000000" w14:paraId="0000000F">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2.1.3 Constructivist Theory……………………………………….</w:t>
      </w:r>
    </w:p>
    <w:p w:rsidR="00000000" w:rsidDel="00000000" w:rsidP="00000000" w:rsidRDefault="00000000" w:rsidRPr="00000000" w14:paraId="00000010">
      <w:pPr>
        <w:spacing w:line="360" w:lineRule="auto"/>
        <w:ind w:left="1440" w:firstLine="0"/>
        <w:jc w:val="both"/>
        <w:rPr>
          <w:rFonts w:ascii="Cambria" w:cs="Cambria" w:eastAsia="Cambria" w:hAnsi="Cambria"/>
        </w:rPr>
      </w:pPr>
      <w:r w:rsidDel="00000000" w:rsidR="00000000" w:rsidRPr="00000000">
        <w:rPr>
          <w:rFonts w:ascii="Cambria" w:cs="Cambria" w:eastAsia="Cambria" w:hAnsi="Cambria"/>
          <w:color w:val="222222"/>
          <w:rtl w:val="0"/>
        </w:rPr>
        <w:t xml:space="preserve">2.1.4 Situated cognition Theory………………………………….</w:t>
      </w:r>
      <w:r w:rsidDel="00000000" w:rsidR="00000000" w:rsidRPr="00000000">
        <w:rPr>
          <w:rtl w:val="0"/>
        </w:rPr>
      </w:r>
    </w:p>
    <w:p w:rsidR="00000000" w:rsidDel="00000000" w:rsidP="00000000" w:rsidRDefault="00000000" w:rsidRPr="00000000" w14:paraId="00000011">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2.2 Mathematical knowledge Transfer……………………………………</w:t>
      </w:r>
    </w:p>
    <w:p w:rsidR="00000000" w:rsidDel="00000000" w:rsidP="00000000" w:rsidRDefault="00000000" w:rsidRPr="00000000" w14:paraId="00000012">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 2.2.1 Searching for  literature ……………………………………</w:t>
      </w:r>
    </w:p>
    <w:p w:rsidR="00000000" w:rsidDel="00000000" w:rsidP="00000000" w:rsidRDefault="00000000" w:rsidRPr="00000000" w14:paraId="00000013">
      <w:pPr>
        <w:spacing w:line="360" w:lineRule="auto"/>
        <w:ind w:left="1440" w:firstLine="0"/>
        <w:jc w:val="both"/>
        <w:rPr>
          <w:rFonts w:ascii="Cambria" w:cs="Cambria" w:eastAsia="Cambria" w:hAnsi="Cambria"/>
          <w:color w:val="ff0000"/>
        </w:rPr>
      </w:pPr>
      <w:r w:rsidDel="00000000" w:rsidR="00000000" w:rsidRPr="00000000">
        <w:rPr>
          <w:rFonts w:ascii="Cambria" w:cs="Cambria" w:eastAsia="Cambria" w:hAnsi="Cambria"/>
          <w:rtl w:val="0"/>
        </w:rPr>
        <w:t xml:space="preserve"> 2.2.2 Implications on D&amp;T………………………………………..</w:t>
      </w:r>
      <w:r w:rsidDel="00000000" w:rsidR="00000000" w:rsidRPr="00000000">
        <w:rPr>
          <w:rtl w:val="0"/>
        </w:rPr>
      </w:r>
    </w:p>
    <w:p w:rsidR="00000000" w:rsidDel="00000000" w:rsidP="00000000" w:rsidRDefault="00000000" w:rsidRPr="00000000" w14:paraId="00000014">
      <w:pPr>
        <w:spacing w:line="360" w:lineRule="auto"/>
        <w:ind w:left="720" w:firstLine="0"/>
        <w:jc w:val="both"/>
        <w:rPr>
          <w:rFonts w:ascii="Cambria" w:cs="Cambria" w:eastAsia="Cambria" w:hAnsi="Cambria"/>
          <w:color w:val="ff0000"/>
        </w:rPr>
      </w:pPr>
      <w:r w:rsidDel="00000000" w:rsidR="00000000" w:rsidRPr="00000000">
        <w:rPr>
          <w:rFonts w:ascii="Cambria" w:cs="Cambria" w:eastAsia="Cambria" w:hAnsi="Cambria"/>
          <w:rtl w:val="0"/>
        </w:rPr>
        <w:t xml:space="preserve">2.3 Collaborative strategy …………………………………………………</w:t>
      </w:r>
      <w:r w:rsidDel="00000000" w:rsidR="00000000" w:rsidRPr="00000000">
        <w:rPr>
          <w:rtl w:val="0"/>
        </w:rPr>
      </w:r>
    </w:p>
    <w:p w:rsidR="00000000" w:rsidDel="00000000" w:rsidP="00000000" w:rsidRDefault="00000000" w:rsidRPr="00000000" w14:paraId="00000015">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2.3.1 Setting the scene……………………………………….……</w:t>
      </w:r>
    </w:p>
    <w:p w:rsidR="00000000" w:rsidDel="00000000" w:rsidP="00000000" w:rsidRDefault="00000000" w:rsidRPr="00000000" w14:paraId="00000016">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2.3.2 Literature search…………………………………………….</w:t>
      </w:r>
    </w:p>
    <w:p w:rsidR="00000000" w:rsidDel="00000000" w:rsidP="00000000" w:rsidRDefault="00000000" w:rsidRPr="00000000" w14:paraId="00000017">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              2.4 Conclusion…………………………………………………………….</w:t>
      </w:r>
    </w:p>
    <w:p w:rsidR="00000000" w:rsidDel="00000000" w:rsidP="00000000" w:rsidRDefault="00000000" w:rsidRPr="00000000" w14:paraId="00000018">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Chapter 3 Research design and methodology</w:t>
      </w:r>
    </w:p>
    <w:p w:rsidR="00000000" w:rsidDel="00000000" w:rsidP="00000000" w:rsidRDefault="00000000" w:rsidRPr="00000000" w14:paraId="00000019">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3.1 Maths and D&amp;T: Epistemological contrast……………………….</w:t>
      </w:r>
    </w:p>
    <w:p w:rsidR="00000000" w:rsidDel="00000000" w:rsidP="00000000" w:rsidRDefault="00000000" w:rsidRPr="00000000" w14:paraId="0000001A">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3.2 Methodology…………………………………………………………………..</w:t>
      </w:r>
    </w:p>
    <w:p w:rsidR="00000000" w:rsidDel="00000000" w:rsidP="00000000" w:rsidRDefault="00000000" w:rsidRPr="00000000" w14:paraId="0000001B">
      <w:pPr>
        <w:spacing w:after="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3.3Reflection……………………………………………………………..………</w:t>
      </w:r>
    </w:p>
    <w:p w:rsidR="00000000" w:rsidDel="00000000" w:rsidP="00000000" w:rsidRDefault="00000000" w:rsidRPr="00000000" w14:paraId="0000001C">
      <w:pPr>
        <w:spacing w:after="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3.4 Sampling………………………………………………………………..……..</w:t>
      </w:r>
    </w:p>
    <w:p w:rsidR="00000000" w:rsidDel="00000000" w:rsidP="00000000" w:rsidRDefault="00000000" w:rsidRPr="00000000" w14:paraId="0000001D">
      <w:pPr>
        <w:spacing w:after="0"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3.4.1 Mathematics and D&amp;T teachers……………………………………</w:t>
      </w:r>
    </w:p>
    <w:p w:rsidR="00000000" w:rsidDel="00000000" w:rsidP="00000000" w:rsidRDefault="00000000" w:rsidRPr="00000000" w14:paraId="0000001E">
      <w:pPr>
        <w:spacing w:after="0"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3.4.2 Pupils………………………………………………………………</w:t>
      </w:r>
    </w:p>
    <w:p w:rsidR="00000000" w:rsidDel="00000000" w:rsidP="00000000" w:rsidRDefault="00000000" w:rsidRPr="00000000" w14:paraId="0000001F">
      <w:pPr>
        <w:spacing w:after="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3.6 Interviewing……………………………………………………………….... </w:t>
      </w:r>
    </w:p>
    <w:p w:rsidR="00000000" w:rsidDel="00000000" w:rsidP="00000000" w:rsidRDefault="00000000" w:rsidRPr="00000000" w14:paraId="00000020">
      <w:pPr>
        <w:spacing w:after="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3.6. Reflection……………………………………………………………..</w:t>
      </w:r>
    </w:p>
    <w:p w:rsidR="00000000" w:rsidDel="00000000" w:rsidP="00000000" w:rsidRDefault="00000000" w:rsidRPr="00000000" w14:paraId="00000021">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 3.7 Data analysis………………………………………………………….….. </w:t>
      </w:r>
    </w:p>
    <w:p w:rsidR="00000000" w:rsidDel="00000000" w:rsidP="00000000" w:rsidRDefault="00000000" w:rsidRPr="00000000" w14:paraId="00000022">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3.7.1 Transcription……………………………………………….……..</w:t>
      </w:r>
    </w:p>
    <w:p w:rsidR="00000000" w:rsidDel="00000000" w:rsidP="00000000" w:rsidRDefault="00000000" w:rsidRPr="00000000" w14:paraId="00000023">
      <w:pPr>
        <w:spacing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3.7.2 Coding…………………………………………………………. .</w:t>
      </w:r>
    </w:p>
    <w:p w:rsidR="00000000" w:rsidDel="00000000" w:rsidP="00000000" w:rsidRDefault="00000000" w:rsidRPr="00000000" w14:paraId="00000024">
      <w:pPr>
        <w:spacing w:after="16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              3.7.3 Identifying patterns………………………………………….</w:t>
      </w:r>
    </w:p>
    <w:p w:rsidR="00000000" w:rsidDel="00000000" w:rsidP="00000000" w:rsidRDefault="00000000" w:rsidRPr="00000000" w14:paraId="00000025">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3.8 Conclusion…………………………………………………………………………</w:t>
      </w:r>
    </w:p>
    <w:p w:rsidR="00000000" w:rsidDel="00000000" w:rsidP="00000000" w:rsidRDefault="00000000" w:rsidRPr="00000000" w14:paraId="00000026">
      <w:pPr>
        <w:spacing w:line="360" w:lineRule="auto"/>
        <w:rPr>
          <w:rFonts w:ascii="Cambria" w:cs="Cambria" w:eastAsia="Cambria" w:hAnsi="Cambria"/>
        </w:rPr>
      </w:pPr>
      <w:r w:rsidDel="00000000" w:rsidR="00000000" w:rsidRPr="00000000">
        <w:rPr>
          <w:rFonts w:ascii="Cambria" w:cs="Cambria" w:eastAsia="Cambria" w:hAnsi="Cambria"/>
          <w:rtl w:val="0"/>
        </w:rPr>
        <w:t xml:space="preserve">    Chapter 4   School’s Findings and data analysis…………………………………</w:t>
      </w:r>
    </w:p>
    <w:p w:rsidR="00000000" w:rsidDel="00000000" w:rsidP="00000000" w:rsidRDefault="00000000" w:rsidRPr="00000000" w14:paraId="00000027">
      <w:pPr>
        <w:spacing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4.1 data gathering from teachers…………………………………………………..</w:t>
      </w:r>
    </w:p>
    <w:p w:rsidR="00000000" w:rsidDel="00000000" w:rsidP="00000000" w:rsidRDefault="00000000" w:rsidRPr="00000000" w14:paraId="00000028">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4.1.1 language differences………………………………………………….</w:t>
      </w:r>
    </w:p>
    <w:p w:rsidR="00000000" w:rsidDel="00000000" w:rsidP="00000000" w:rsidRDefault="00000000" w:rsidRPr="00000000" w14:paraId="00000029">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4.1.2 Departments locations………………………………</w:t>
      </w:r>
    </w:p>
    <w:p w:rsidR="00000000" w:rsidDel="00000000" w:rsidP="00000000" w:rsidRDefault="00000000" w:rsidRPr="00000000" w14:paraId="0000002A">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4.1.3 Finger pointing and blaming culture………………………………</w:t>
      </w:r>
    </w:p>
    <w:p w:rsidR="00000000" w:rsidDel="00000000" w:rsidP="00000000" w:rsidRDefault="00000000" w:rsidRPr="00000000" w14:paraId="0000002B">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4.1.4 Timing………………………………</w:t>
      </w:r>
    </w:p>
    <w:p w:rsidR="00000000" w:rsidDel="00000000" w:rsidP="00000000" w:rsidRDefault="00000000" w:rsidRPr="00000000" w14:paraId="0000002C">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4.2 Data gathering from pupils………………………………………</w:t>
      </w:r>
    </w:p>
    <w:p w:rsidR="00000000" w:rsidDel="00000000" w:rsidP="00000000" w:rsidRDefault="00000000" w:rsidRPr="00000000" w14:paraId="0000002D">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4.2.1 Abilities…………………………………………………………..</w:t>
      </w:r>
    </w:p>
    <w:p w:rsidR="00000000" w:rsidDel="00000000" w:rsidP="00000000" w:rsidRDefault="00000000" w:rsidRPr="00000000" w14:paraId="0000002E">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4.2.2 Subject nature………………………………………………….</w:t>
      </w:r>
    </w:p>
    <w:p w:rsidR="00000000" w:rsidDel="00000000" w:rsidP="00000000" w:rsidRDefault="00000000" w:rsidRPr="00000000" w14:paraId="0000002F">
      <w:pPr>
        <w:spacing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4.3 Conclusion………………………………………………………………..</w:t>
      </w:r>
    </w:p>
    <w:p w:rsidR="00000000" w:rsidDel="00000000" w:rsidP="00000000" w:rsidRDefault="00000000" w:rsidRPr="00000000" w14:paraId="00000030">
      <w:pPr>
        <w:spacing w:line="360" w:lineRule="auto"/>
        <w:rPr>
          <w:rFonts w:ascii="Cambria" w:cs="Cambria" w:eastAsia="Cambria" w:hAnsi="Cambria"/>
        </w:rPr>
      </w:pPr>
      <w:r w:rsidDel="00000000" w:rsidR="00000000" w:rsidRPr="00000000">
        <w:rPr>
          <w:rFonts w:ascii="Cambria" w:cs="Cambria" w:eastAsia="Cambria" w:hAnsi="Cambria"/>
          <w:rtl w:val="0"/>
        </w:rPr>
        <w:t xml:space="preserve">   Chapter 5  Reflections and Implications……………………………………………</w:t>
      </w:r>
    </w:p>
    <w:p w:rsidR="00000000" w:rsidDel="00000000" w:rsidP="00000000" w:rsidRDefault="00000000" w:rsidRPr="00000000" w14:paraId="00000031">
      <w:pPr>
        <w:spacing w:line="360" w:lineRule="auto"/>
        <w:rPr>
          <w:rFonts w:ascii="Cambria" w:cs="Cambria" w:eastAsia="Cambria" w:hAnsi="Cambria"/>
        </w:rPr>
      </w:pPr>
      <w:r w:rsidDel="00000000" w:rsidR="00000000" w:rsidRPr="00000000">
        <w:rPr>
          <w:rFonts w:ascii="Cambria" w:cs="Cambria" w:eastAsia="Cambria" w:hAnsi="Cambria"/>
          <w:rtl w:val="0"/>
        </w:rPr>
        <w:t xml:space="preserve">             5.1 Methods and methodology………………………………………………..</w:t>
      </w:r>
    </w:p>
    <w:p w:rsidR="00000000" w:rsidDel="00000000" w:rsidP="00000000" w:rsidRDefault="00000000" w:rsidRPr="00000000" w14:paraId="00000032">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5.1.1 Data analysis…………………………………………………….</w:t>
      </w:r>
    </w:p>
    <w:p w:rsidR="00000000" w:rsidDel="00000000" w:rsidP="00000000" w:rsidRDefault="00000000" w:rsidRPr="00000000" w14:paraId="00000033">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5.1.2 Implications for policy…………………………………………</w:t>
      </w:r>
    </w:p>
    <w:p w:rsidR="00000000" w:rsidDel="00000000" w:rsidP="00000000" w:rsidRDefault="00000000" w:rsidRPr="00000000" w14:paraId="00000034">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5.1.3 Implications for school practice………………………………</w:t>
      </w:r>
    </w:p>
    <w:p w:rsidR="00000000" w:rsidDel="00000000" w:rsidP="00000000" w:rsidRDefault="00000000" w:rsidRPr="00000000" w14:paraId="00000035">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5.1.4 Implications for methodology…………………………………..</w:t>
      </w:r>
    </w:p>
    <w:p w:rsidR="00000000" w:rsidDel="00000000" w:rsidP="00000000" w:rsidRDefault="00000000" w:rsidRPr="00000000" w14:paraId="00000036">
      <w:pPr>
        <w:spacing w:line="360" w:lineRule="auto"/>
        <w:ind w:left="1440" w:firstLine="0"/>
        <w:rPr>
          <w:rFonts w:ascii="Cambria" w:cs="Cambria" w:eastAsia="Cambria" w:hAnsi="Cambria"/>
        </w:rPr>
      </w:pPr>
      <w:r w:rsidDel="00000000" w:rsidR="00000000" w:rsidRPr="00000000">
        <w:rPr>
          <w:rFonts w:ascii="Cambria" w:cs="Cambria" w:eastAsia="Cambria" w:hAnsi="Cambria"/>
          <w:rtl w:val="0"/>
        </w:rPr>
        <w:t xml:space="preserve">5.1.5 Implications for theory and future practice…………………………</w:t>
      </w:r>
    </w:p>
    <w:p w:rsidR="00000000" w:rsidDel="00000000" w:rsidP="00000000" w:rsidRDefault="00000000" w:rsidRPr="00000000" w14:paraId="00000037">
      <w:pPr>
        <w:spacing w:line="360" w:lineRule="auto"/>
        <w:rPr>
          <w:rFonts w:ascii="Cambria" w:cs="Cambria" w:eastAsia="Cambria" w:hAnsi="Cambria"/>
        </w:rPr>
      </w:pPr>
      <w:r w:rsidDel="00000000" w:rsidR="00000000" w:rsidRPr="00000000">
        <w:rPr>
          <w:rFonts w:ascii="Cambria" w:cs="Cambria" w:eastAsia="Cambria" w:hAnsi="Cambria"/>
          <w:rtl w:val="0"/>
        </w:rPr>
        <w:t xml:space="preserve">             5.2 Contributions to the field……………………………………………………….</w:t>
      </w:r>
    </w:p>
    <w:p w:rsidR="00000000" w:rsidDel="00000000" w:rsidP="00000000" w:rsidRDefault="00000000" w:rsidRPr="00000000" w14:paraId="00000038">
      <w:pPr>
        <w:spacing w:line="360" w:lineRule="auto"/>
        <w:rPr>
          <w:rFonts w:ascii="Cambria" w:cs="Cambria" w:eastAsia="Cambria" w:hAnsi="Cambria"/>
        </w:rPr>
      </w:pPr>
      <w:r w:rsidDel="00000000" w:rsidR="00000000" w:rsidRPr="00000000">
        <w:rPr>
          <w:rFonts w:ascii="Cambria" w:cs="Cambria" w:eastAsia="Cambria" w:hAnsi="Cambria"/>
          <w:rtl w:val="0"/>
        </w:rPr>
        <w:t xml:space="preserve">    Chapter 6 …………………………………………………………………………………</w:t>
      </w:r>
    </w:p>
    <w:p w:rsidR="00000000" w:rsidDel="00000000" w:rsidP="00000000" w:rsidRDefault="00000000" w:rsidRPr="00000000" w14:paraId="00000039">
      <w:pPr>
        <w:spacing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6.1 Further work…………………………………………………………………..</w:t>
      </w:r>
    </w:p>
    <w:p w:rsidR="00000000" w:rsidDel="00000000" w:rsidP="00000000" w:rsidRDefault="00000000" w:rsidRPr="00000000" w14:paraId="0000003A">
      <w:pPr>
        <w:spacing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6.2 Final Reflections………………………………………………………………..</w:t>
      </w:r>
    </w:p>
    <w:p w:rsidR="00000000" w:rsidDel="00000000" w:rsidP="00000000" w:rsidRDefault="00000000" w:rsidRPr="00000000" w14:paraId="0000003B">
      <w:pPr>
        <w:spacing w:line="360" w:lineRule="auto"/>
        <w:rPr>
          <w:rFonts w:ascii="Cambria" w:cs="Cambria" w:eastAsia="Cambria" w:hAnsi="Cambria"/>
        </w:rPr>
      </w:pPr>
      <w:r w:rsidDel="00000000" w:rsidR="00000000" w:rsidRPr="00000000">
        <w:rPr>
          <w:rFonts w:ascii="Cambria" w:cs="Cambria" w:eastAsia="Cambria" w:hAnsi="Cambria"/>
          <w:rtl w:val="0"/>
        </w:rPr>
        <w:t xml:space="preserve">   References……………………………………………………………………………….</w:t>
      </w:r>
    </w:p>
    <w:p w:rsidR="00000000" w:rsidDel="00000000" w:rsidP="00000000" w:rsidRDefault="00000000" w:rsidRPr="00000000" w14:paraId="0000003C">
      <w:pPr>
        <w:spacing w:line="360" w:lineRule="auto"/>
        <w:rPr>
          <w:rFonts w:ascii="Cambria" w:cs="Cambria" w:eastAsia="Cambria" w:hAnsi="Cambria"/>
        </w:rPr>
      </w:pPr>
      <w:r w:rsidDel="00000000" w:rsidR="00000000" w:rsidRPr="00000000">
        <w:rPr>
          <w:rFonts w:ascii="Cambria" w:cs="Cambria" w:eastAsia="Cambria" w:hAnsi="Cambria"/>
          <w:rtl w:val="0"/>
        </w:rPr>
        <w:t xml:space="preserve">   Appendices………………………………………………………………………………</w:t>
      </w:r>
    </w:p>
    <w:p w:rsidR="00000000" w:rsidDel="00000000" w:rsidP="00000000" w:rsidRDefault="00000000" w:rsidRPr="00000000" w14:paraId="0000003D">
      <w:pPr>
        <w:spacing w:line="276" w:lineRule="auto"/>
        <w:jc w:val="center"/>
        <w:rPr>
          <w:rFonts w:ascii="Cambria" w:cs="Cambria" w:eastAsia="Cambria" w:hAnsi="Cambria"/>
          <w:sz w:val="36"/>
          <w:szCs w:val="36"/>
          <w:u w:val="single"/>
        </w:rPr>
      </w:pPr>
      <w:r w:rsidDel="00000000" w:rsidR="00000000" w:rsidRPr="00000000">
        <w:rPr>
          <w:rtl w:val="0"/>
        </w:rPr>
      </w:r>
    </w:p>
    <w:p w:rsidR="00000000" w:rsidDel="00000000" w:rsidP="00000000" w:rsidRDefault="00000000" w:rsidRPr="00000000" w14:paraId="0000003E">
      <w:pPr>
        <w:spacing w:line="276" w:lineRule="auto"/>
        <w:rPr>
          <w:rFonts w:ascii="Cambria" w:cs="Cambria" w:eastAsia="Cambria" w:hAnsi="Cambria"/>
          <w:sz w:val="36"/>
          <w:szCs w:val="36"/>
          <w:u w:val="single"/>
        </w:rPr>
      </w:pPr>
      <w:r w:rsidDel="00000000" w:rsidR="00000000" w:rsidRPr="00000000">
        <w:rPr>
          <w:rtl w:val="0"/>
        </w:rPr>
      </w:r>
    </w:p>
    <w:p w:rsidR="00000000" w:rsidDel="00000000" w:rsidP="00000000" w:rsidRDefault="00000000" w:rsidRPr="00000000" w14:paraId="0000003F">
      <w:pPr>
        <w:spacing w:line="276" w:lineRule="auto"/>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Chapter 1</w:t>
      </w:r>
    </w:p>
    <w:p w:rsidR="00000000" w:rsidDel="00000000" w:rsidP="00000000" w:rsidRDefault="00000000" w:rsidRPr="00000000" w14:paraId="00000040">
      <w:pPr>
        <w:spacing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Introduction</w:t>
      </w:r>
    </w:p>
    <w:p w:rsidR="00000000" w:rsidDel="00000000" w:rsidP="00000000" w:rsidRDefault="00000000" w:rsidRPr="00000000" w14:paraId="00000041">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4"/>
          <w:szCs w:val="34"/>
          <w:rtl w:val="0"/>
        </w:rPr>
        <w:t xml:space="preserve">1.1 </w:t>
      </w:r>
      <w:r w:rsidDel="00000000" w:rsidR="00000000" w:rsidRPr="00000000">
        <w:rPr>
          <w:rFonts w:ascii="Cambria" w:cs="Cambria" w:eastAsia="Cambria" w:hAnsi="Cambria"/>
          <w:b w:val="1"/>
          <w:sz w:val="36"/>
          <w:szCs w:val="36"/>
          <w:rtl w:val="0"/>
        </w:rPr>
        <w:t xml:space="preserve">mathematics in design and technology subject</w:t>
      </w:r>
    </w:p>
    <w:p w:rsidR="00000000" w:rsidDel="00000000" w:rsidP="00000000" w:rsidRDefault="00000000" w:rsidRPr="00000000" w14:paraId="00000042">
      <w:pPr>
        <w:spacing w:line="360" w:lineRule="auto"/>
        <w:jc w:val="both"/>
        <w:rPr>
          <w:rFonts w:ascii="Cambria" w:cs="Cambria" w:eastAsia="Cambria" w:hAnsi="Cambria"/>
          <w:color w:val="000000"/>
        </w:rPr>
      </w:pPr>
      <w:r w:rsidDel="00000000" w:rsidR="00000000" w:rsidRPr="00000000">
        <w:rPr>
          <w:rFonts w:ascii="Cambria" w:cs="Cambria" w:eastAsia="Cambria" w:hAnsi="Cambria"/>
          <w:rtl w:val="0"/>
        </w:rPr>
        <w:t xml:space="preserve">In England, the Department of Education (DfE) sees D&amp;T as an exciting, demanding, and useful subject where students not only use their imaginative abilities to solve real-life issues in an unfamiliar context but also learn about maths, physics, and engineering. The DfE believes that  a country's economic growth  relies on how much it invests in the next generation of innovators and engineers.</w:t>
      </w:r>
      <w:r w:rsidDel="00000000" w:rsidR="00000000" w:rsidRPr="00000000">
        <w:rPr>
          <w:rtl w:val="0"/>
        </w:rPr>
      </w:r>
    </w:p>
    <w:p w:rsidR="00000000" w:rsidDel="00000000" w:rsidP="00000000" w:rsidRDefault="00000000" w:rsidRPr="00000000" w14:paraId="00000043">
      <w:pPr>
        <w:spacing w:before="200" w:line="360" w:lineRule="auto"/>
        <w:jc w:val="both"/>
        <w:rPr>
          <w:rFonts w:ascii="Cambria" w:cs="Cambria" w:eastAsia="Cambria" w:hAnsi="Cambria"/>
          <w:color w:val="000000"/>
        </w:rPr>
      </w:pPr>
      <w:r w:rsidDel="00000000" w:rsidR="00000000" w:rsidRPr="00000000">
        <w:rPr>
          <w:rFonts w:ascii="Cambria" w:cs="Cambria" w:eastAsia="Cambria" w:hAnsi="Cambria"/>
          <w:rtl w:val="0"/>
        </w:rPr>
        <w:t xml:space="preserve">Mathematics and D&amp;T are inseparably linked, and D&amp;T education in English institutions has recently emphasised this connection. In fact, the 2019 introduction of the new Key Stage 4 (Years 10 and 11) D&amp;T specification placed a greater emphasis on the development of quantitative skills than the previous specification. Indeed, it specifies that a minimum of 15% of learners' D&amp;T summative assessment at the GCSE (General Certificate of Secondary Education) level will be based on their ability to tackle contextual mathematical questions.</w:t>
      </w:r>
      <w:r w:rsidDel="00000000" w:rsidR="00000000" w:rsidRPr="00000000">
        <w:rPr>
          <w:rtl w:val="0"/>
        </w:rPr>
      </w:r>
    </w:p>
    <w:p w:rsidR="00000000" w:rsidDel="00000000" w:rsidP="00000000" w:rsidRDefault="00000000" w:rsidRPr="00000000" w14:paraId="00000044">
      <w:pPr>
        <w:spacing w:before="200" w:line="360" w:lineRule="auto"/>
        <w:jc w:val="both"/>
        <w:rPr>
          <w:rFonts w:ascii="Cambria" w:cs="Cambria" w:eastAsia="Cambria" w:hAnsi="Cambria"/>
          <w:color w:val="000000"/>
        </w:rPr>
      </w:pPr>
      <w:r w:rsidDel="00000000" w:rsidR="00000000" w:rsidRPr="00000000">
        <w:rPr>
          <w:rFonts w:ascii="Cambria" w:cs="Cambria" w:eastAsia="Cambria" w:hAnsi="Cambria"/>
          <w:rtl w:val="0"/>
        </w:rPr>
        <w:t xml:space="preserve">However, our investigation revealed that research investigations analysing the relationship between D&amp;T and mathematics are uncommon, and those that have attempted to do so have uncovered numerous gaps. Davidson, Evens, and McCormack (1998), for instance, cited a small case study conducted by the Economic and Social Research Council (ESRC) and the Design Council in the United Kingdom to investigate the use of mathematics and D&amp;T concepts in D&amp;T classes. In addition to identifying gaps between subjects, the final report of the study concluded that cooperation and collaboration between departments is an effective approach  for establishing clear relationships between subjects.</w:t>
      </w:r>
      <w:r w:rsidDel="00000000" w:rsidR="00000000" w:rsidRPr="00000000">
        <w:rPr>
          <w:rtl w:val="0"/>
        </w:rPr>
      </w:r>
    </w:p>
    <w:p w:rsidR="00000000" w:rsidDel="00000000" w:rsidP="00000000" w:rsidRDefault="00000000" w:rsidRPr="00000000" w14:paraId="00000045">
      <w:pPr>
        <w:spacing w:before="200"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046">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1.2 Research questions</w:t>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after="160"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Hughes et al. (2002), a review of the relevant literature uncovered a number of calls that focus the application of mathematical knowledge in order to generate solutions that are applicable to both the theory and </w:t>
      </w:r>
      <w:r w:rsidDel="00000000" w:rsidR="00000000" w:rsidRPr="00000000">
        <w:rPr>
          <w:rFonts w:ascii="Cambria" w:cs="Cambria" w:eastAsia="Cambria" w:hAnsi="Cambria"/>
          <w:rtl w:val="0"/>
        </w:rPr>
        <w:t xml:space="preserve">practice</w:t>
      </w:r>
      <w:r w:rsidDel="00000000" w:rsidR="00000000" w:rsidRPr="00000000">
        <w:rPr>
          <w:rFonts w:ascii="Cambria" w:cs="Cambria" w:eastAsia="Cambria" w:hAnsi="Cambria"/>
          <w:rtl w:val="0"/>
        </w:rPr>
        <w:t xml:space="preserve"> of a variety of different fields of study.  In addition, such demands stressed the significance of increasing collaboration between departments in order to make the most of the application of mathematics across all fields (Mackerell, 2002).</w:t>
      </w:r>
    </w:p>
    <w:p w:rsidR="00000000" w:rsidDel="00000000" w:rsidP="00000000" w:rsidRDefault="00000000" w:rsidRPr="00000000" w14:paraId="00000048">
      <w:pPr>
        <w:pBdr>
          <w:top w:space="0" w:sz="0" w:val="nil"/>
          <w:left w:space="0" w:sz="0" w:val="nil"/>
          <w:bottom w:space="0" w:sz="0" w:val="nil"/>
          <w:right w:space="0" w:sz="0" w:val="nil"/>
          <w:between w:space="0" w:sz="0" w:val="nil"/>
        </w:pBdr>
        <w:spacing w:after="160" w:line="360" w:lineRule="auto"/>
        <w:jc w:val="both"/>
        <w:rPr>
          <w:rFonts w:ascii="Cambria" w:cs="Cambria" w:eastAsia="Cambria" w:hAnsi="Cambria"/>
        </w:rPr>
      </w:pPr>
      <w:r w:rsidDel="00000000" w:rsidR="00000000" w:rsidRPr="00000000">
        <w:rPr>
          <w:rFonts w:ascii="Cambria" w:cs="Cambria" w:eastAsia="Cambria" w:hAnsi="Cambria"/>
          <w:rtl w:val="0"/>
        </w:rPr>
        <w:t xml:space="preserve">Using the following research questions, our  literature review will attempt to investigate these requests in relation to both mathematics and D&amp;T subjects.</w:t>
      </w:r>
    </w:p>
    <w:p w:rsidR="00000000" w:rsidDel="00000000" w:rsidP="00000000" w:rsidRDefault="00000000" w:rsidRPr="00000000" w14:paraId="00000049">
      <w:pPr>
        <w:numPr>
          <w:ilvl w:val="0"/>
          <w:numId w:val="2"/>
        </w:numPr>
        <w:pBdr>
          <w:top w:space="0" w:sz="0" w:val="nil"/>
          <w:left w:space="0" w:sz="0" w:val="nil"/>
          <w:bottom w:space="0" w:sz="0" w:val="nil"/>
          <w:right w:space="0" w:sz="0" w:val="nil"/>
          <w:between w:space="0" w:sz="0" w:val="nil"/>
        </w:pBdr>
        <w:spacing w:after="0" w:afterAutospacing="0" w:line="360" w:lineRule="auto"/>
        <w:ind w:left="720" w:hanging="360"/>
        <w:jc w:val="both"/>
        <w:rPr>
          <w:rFonts w:ascii="Cambria" w:cs="Cambria" w:eastAsia="Cambria" w:hAnsi="Cambria"/>
          <w:u w:val="none"/>
        </w:rPr>
      </w:pPr>
      <w:r w:rsidDel="00000000" w:rsidR="00000000" w:rsidRPr="00000000">
        <w:rPr>
          <w:rFonts w:ascii="Cambria" w:cs="Cambria" w:eastAsia="Cambria" w:hAnsi="Cambria"/>
          <w:rtl w:val="0"/>
        </w:rPr>
        <w:t xml:space="preserve">Can students easily transfer and apply mathematical skills learned in the mathematics department to  the D&amp;T curriculum?</w:t>
      </w:r>
    </w:p>
    <w:p w:rsidR="00000000" w:rsidDel="00000000" w:rsidP="00000000" w:rsidRDefault="00000000" w:rsidRPr="00000000" w14:paraId="0000004A">
      <w:pPr>
        <w:numPr>
          <w:ilvl w:val="0"/>
          <w:numId w:val="2"/>
        </w:numPr>
        <w:pBdr>
          <w:top w:space="0" w:sz="0" w:val="nil"/>
          <w:left w:space="0" w:sz="0" w:val="nil"/>
          <w:bottom w:space="0" w:sz="0" w:val="nil"/>
          <w:right w:space="0" w:sz="0" w:val="nil"/>
          <w:between w:space="0" w:sz="0" w:val="nil"/>
        </w:pBdr>
        <w:spacing w:after="160" w:line="360" w:lineRule="auto"/>
        <w:ind w:left="720" w:hanging="360"/>
        <w:jc w:val="both"/>
        <w:rPr>
          <w:rFonts w:ascii="Cambria" w:cs="Cambria" w:eastAsia="Cambria" w:hAnsi="Cambria"/>
          <w:u w:val="none"/>
        </w:rPr>
      </w:pPr>
      <w:r w:rsidDel="00000000" w:rsidR="00000000" w:rsidRPr="00000000">
        <w:rPr>
          <w:rFonts w:ascii="Cambria" w:cs="Cambria" w:eastAsia="Cambria" w:hAnsi="Cambria"/>
          <w:rtl w:val="0"/>
        </w:rPr>
        <w:t xml:space="preserve">Can mathematics and D&amp;T teachers collaborate effectively to enhance students' outcomes? </w:t>
      </w:r>
      <w:r w:rsidDel="00000000" w:rsidR="00000000" w:rsidRPr="00000000">
        <w:rPr>
          <w:rtl w:val="0"/>
        </w:rPr>
      </w:r>
    </w:p>
    <w:p w:rsidR="00000000" w:rsidDel="00000000" w:rsidP="00000000" w:rsidRDefault="00000000" w:rsidRPr="00000000" w14:paraId="0000004B">
      <w:pPr>
        <w:pBdr>
          <w:top w:space="0" w:sz="0" w:val="nil"/>
          <w:left w:space="0" w:sz="0" w:val="nil"/>
          <w:bottom w:space="0" w:sz="0" w:val="nil"/>
          <w:right w:space="0" w:sz="0" w:val="nil"/>
          <w:between w:space="0" w:sz="0" w:val="nil"/>
        </w:pBdr>
        <w:spacing w:after="0" w:before="200" w:line="360" w:lineRule="auto"/>
        <w:ind w:left="0" w:firstLine="0"/>
        <w:jc w:val="both"/>
        <w:rPr>
          <w:rFonts w:ascii="Cambria" w:cs="Cambria" w:eastAsia="Cambria" w:hAnsi="Cambria"/>
          <w:b w:val="1"/>
          <w:color w:val="000000"/>
          <w:sz w:val="36"/>
          <w:szCs w:val="36"/>
        </w:rPr>
      </w:pPr>
      <w:r w:rsidDel="00000000" w:rsidR="00000000" w:rsidRPr="00000000">
        <w:rPr>
          <w:rFonts w:ascii="Cambria" w:cs="Cambria" w:eastAsia="Cambria" w:hAnsi="Cambria"/>
          <w:b w:val="1"/>
          <w:sz w:val="36"/>
          <w:szCs w:val="36"/>
          <w:rtl w:val="0"/>
        </w:rPr>
        <w:t xml:space="preserve">1.3 </w:t>
      </w:r>
      <w:r w:rsidDel="00000000" w:rsidR="00000000" w:rsidRPr="00000000">
        <w:rPr>
          <w:rFonts w:ascii="Cambria" w:cs="Cambria" w:eastAsia="Cambria" w:hAnsi="Cambria"/>
          <w:b w:val="1"/>
          <w:color w:val="000000"/>
          <w:sz w:val="36"/>
          <w:szCs w:val="36"/>
          <w:rtl w:val="0"/>
        </w:rPr>
        <w:t xml:space="preserve">School context</w:t>
      </w:r>
    </w:p>
    <w:p w:rsidR="00000000" w:rsidDel="00000000" w:rsidP="00000000" w:rsidRDefault="00000000" w:rsidRPr="00000000" w14:paraId="0000004C">
      <w:pPr>
        <w:spacing w:line="360" w:lineRule="auto"/>
        <w:rPr>
          <w:rFonts w:ascii="Cambria" w:cs="Cambria" w:eastAsia="Cambria" w:hAnsi="Cambria"/>
        </w:rPr>
      </w:pPr>
      <w:r w:rsidDel="00000000" w:rsidR="00000000" w:rsidRPr="00000000">
        <w:rPr>
          <w:rFonts w:ascii="Cambria" w:cs="Cambria" w:eastAsia="Cambria" w:hAnsi="Cambria"/>
          <w:rtl w:val="0"/>
        </w:rPr>
        <w:t xml:space="preserve">King Fahad Academy is a relatively small independent school for ages 3 to 18, with no eligible pupils for free meals and a significant number of students from Arabic-speaking ethnic minority backgrounds. The mathematics and D&amp;T departments are geographically distant from each other.  The Mathematics department is located on the second floor of block A on the school's north side, while the D &amp; T department is on the ground floor of the school's south side.</w:t>
      </w:r>
    </w:p>
    <w:p w:rsidR="00000000" w:rsidDel="00000000" w:rsidP="00000000" w:rsidRDefault="00000000" w:rsidRPr="00000000" w14:paraId="0000004D">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The recent development of reorganising and restructuring the Saudi Arabian education system had a significant impact on our course of study. Since its inception in 1985, the academy has relied on financial support from the Kingdom of Saudi Arabia.  As a result of restructuring its foreign education system, the Kingdom of Saudi Arabia is adjusting its provision of education outside the Kingdom and is presently contemplating the closure of some institutions. The King Fahad Academy is one such institution that is being contemplated for closure beginning with the upcoming academic year.  </w:t>
      </w:r>
    </w:p>
    <w:p w:rsidR="00000000" w:rsidDel="00000000" w:rsidP="00000000" w:rsidRDefault="00000000" w:rsidRPr="00000000" w14:paraId="0000004E">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All parents have been instructed to promptly begin searching for alternative educational options for their children's upcoming school year. And this had significantly altered the course of our research. Students have already found new schools, and some of the volunteers who signed up for the  study have already departed the academy.</w:t>
      </w:r>
    </w:p>
    <w:p w:rsidR="00000000" w:rsidDel="00000000" w:rsidP="00000000" w:rsidRDefault="00000000" w:rsidRPr="00000000" w14:paraId="0000004F">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The Academy's administration is overseen by a director and a headteacher, as well as a deputy academic headteacher and two assistant pastoral headteachers. There are seven mathematics teachers with six classrooms, one of whom is a "floating" teacher, and 3 design and technology teachers (myself included) who must share one classroom and one workshop and cannot teach simultaneously. </w:t>
      </w:r>
    </w:p>
    <w:p w:rsidR="00000000" w:rsidDel="00000000" w:rsidP="00000000" w:rsidRDefault="00000000" w:rsidRPr="00000000" w14:paraId="00000050">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majority of the academy's 500 pupils are either sons or  daughters of diplomats employed by the Saudi Arabian Embassy or sons or daughters of employees of the Saudi Arabia Oil Group  known as 'Aramco'.</w:t>
      </w:r>
    </w:p>
    <w:p w:rsidR="00000000" w:rsidDel="00000000" w:rsidP="00000000" w:rsidRDefault="00000000" w:rsidRPr="00000000" w14:paraId="00000051">
      <w:pPr>
        <w:spacing w:line="360" w:lineRule="auto"/>
        <w:jc w:val="both"/>
        <w:rPr>
          <w:rFonts w:ascii="Cambria" w:cs="Cambria" w:eastAsia="Cambria" w:hAnsi="Cambria"/>
        </w:rPr>
      </w:pPr>
      <w:r w:rsidDel="00000000" w:rsidR="00000000" w:rsidRPr="00000000">
        <w:rPr>
          <w:rFonts w:ascii="Cambria" w:cs="Cambria" w:eastAsia="Cambria" w:hAnsi="Cambria"/>
          <w:rtl w:val="0"/>
        </w:rPr>
        <w:tab/>
        <w:tab/>
      </w:r>
    </w:p>
    <w:p w:rsidR="00000000" w:rsidDel="00000000" w:rsidP="00000000" w:rsidRDefault="00000000" w:rsidRPr="00000000" w14:paraId="00000052">
      <w:pPr>
        <w:spacing w:line="276" w:lineRule="auto"/>
        <w:rPr>
          <w:rFonts w:ascii="Cambria" w:cs="Cambria" w:eastAsia="Cambria" w:hAnsi="Cambria"/>
          <w:b w:val="1"/>
          <w:sz w:val="36"/>
          <w:szCs w:val="36"/>
        </w:rPr>
      </w:pPr>
      <w:bookmarkStart w:colFirst="0" w:colLast="0" w:name="_30j0zll" w:id="0"/>
      <w:bookmarkEnd w:id="0"/>
      <w:r w:rsidDel="00000000" w:rsidR="00000000" w:rsidRPr="00000000">
        <w:rPr>
          <w:rFonts w:ascii="Cambria" w:cs="Cambria" w:eastAsia="Cambria" w:hAnsi="Cambria"/>
          <w:b w:val="1"/>
          <w:sz w:val="36"/>
          <w:szCs w:val="36"/>
          <w:rtl w:val="0"/>
        </w:rPr>
        <w:t xml:space="preserve">1.4 Why this topic: The personal as well as professional dimensions </w:t>
      </w:r>
    </w:p>
    <w:p w:rsidR="00000000" w:rsidDel="00000000" w:rsidP="00000000" w:rsidRDefault="00000000" w:rsidRPr="00000000" w14:paraId="00000053">
      <w:pPr>
        <w:spacing w:before="200" w:line="360" w:lineRule="auto"/>
        <w:jc w:val="both"/>
        <w:rPr>
          <w:rFonts w:ascii="Cambria" w:cs="Cambria" w:eastAsia="Cambria" w:hAnsi="Cambria"/>
        </w:rPr>
      </w:pPr>
      <w:bookmarkStart w:colFirst="0" w:colLast="0" w:name="_9gunlarqkw3g" w:id="1"/>
      <w:bookmarkEnd w:id="1"/>
      <w:r w:rsidDel="00000000" w:rsidR="00000000" w:rsidRPr="00000000">
        <w:rPr>
          <w:rFonts w:ascii="Cambria" w:cs="Cambria" w:eastAsia="Cambria" w:hAnsi="Cambria"/>
          <w:rtl w:val="0"/>
        </w:rPr>
        <w:t xml:space="preserve">It is essential to explain why I am interested in attempting to comprehend the relationship between D&amp;T  and mathematics  subjects and what experiences have led me to conclude that this is a topic worthy of investigation. </w:t>
      </w:r>
    </w:p>
    <w:p w:rsidR="00000000" w:rsidDel="00000000" w:rsidP="00000000" w:rsidRDefault="00000000" w:rsidRPr="00000000" w14:paraId="00000054">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Prior experiences, or "pre-understandings" as Scott and Usher (2011) refer to them, must be acknowledged and considered when generating new knowledge. </w:t>
      </w:r>
    </w:p>
    <w:p w:rsidR="00000000" w:rsidDel="00000000" w:rsidP="00000000" w:rsidRDefault="00000000" w:rsidRPr="00000000" w14:paraId="00000055">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Scott and Usher (2010), during interpretation and comprehension, these [pre-understandings] are put at risk, examined, and modified by coming into contact with what one is endeavouring to comprehend. Rather than suspending them, Scott and Usher (2010) argue that we should use them as the foundation for acquiring new knowledge. </w:t>
      </w:r>
    </w:p>
    <w:p w:rsidR="00000000" w:rsidDel="00000000" w:rsidP="00000000" w:rsidRDefault="00000000" w:rsidRPr="00000000" w14:paraId="00000056">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As a qualified secondary school teacher in both D&amp;T and mathematics, I drew inspiration for this project from my previous teaching experience, which led me to believe that D&amp;T education should also focus on enhancing students' numeracy skills. In none of the four institutions in which I worked did the departments of D&amp;T and mathematics collaborate. I realised that students had difficulty using mathematics in D&amp;T, and I began to question if collaborating with the mathematics department would help students in effectively using mathematics in D&amp;T.</w:t>
      </w:r>
    </w:p>
    <w:p w:rsidR="00000000" w:rsidDel="00000000" w:rsidP="00000000" w:rsidRDefault="00000000" w:rsidRPr="00000000" w14:paraId="00000057">
      <w:pPr>
        <w:spacing w:line="36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8">
      <w:pPr>
        <w:spacing w:line="36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9">
      <w:pPr>
        <w:spacing w:line="36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A">
      <w:pPr>
        <w:spacing w:line="36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B">
      <w:pPr>
        <w:spacing w:line="36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C">
      <w:pPr>
        <w:spacing w:line="360" w:lineRule="auto"/>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Chapter 2 </w:t>
      </w:r>
    </w:p>
    <w:p w:rsidR="00000000" w:rsidDel="00000000" w:rsidP="00000000" w:rsidRDefault="00000000" w:rsidRPr="00000000" w14:paraId="0000005D">
      <w:pPr>
        <w:spacing w:line="360" w:lineRule="auto"/>
        <w:jc w:val="both"/>
        <w:rPr>
          <w:rFonts w:ascii="Cambria" w:cs="Cambria" w:eastAsia="Cambria" w:hAnsi="Cambria"/>
        </w:rPr>
      </w:pPr>
      <w:r w:rsidDel="00000000" w:rsidR="00000000" w:rsidRPr="00000000">
        <w:rPr>
          <w:rFonts w:ascii="Cambria" w:cs="Cambria" w:eastAsia="Cambria" w:hAnsi="Cambria"/>
          <w:sz w:val="36"/>
          <w:szCs w:val="36"/>
          <w:rtl w:val="0"/>
        </w:rPr>
        <w:t xml:space="preserve"> Literature Review</w:t>
      </w:r>
      <w:r w:rsidDel="00000000" w:rsidR="00000000" w:rsidRPr="00000000">
        <w:rPr>
          <w:rtl w:val="0"/>
        </w:rPr>
      </w:r>
    </w:p>
    <w:p w:rsidR="00000000" w:rsidDel="00000000" w:rsidP="00000000" w:rsidRDefault="00000000" w:rsidRPr="00000000" w14:paraId="0000005E">
      <w:pPr>
        <w:spacing w:before="0"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2</w:t>
      </w:r>
      <w:r w:rsidDel="00000000" w:rsidR="00000000" w:rsidRPr="00000000">
        <w:rPr>
          <w:rFonts w:ascii="Cambria" w:cs="Cambria" w:eastAsia="Cambria" w:hAnsi="Cambria"/>
          <w:b w:val="1"/>
          <w:sz w:val="36"/>
          <w:szCs w:val="36"/>
          <w:rtl w:val="0"/>
        </w:rPr>
        <w:t xml:space="preserve">.1  knowledge Transfer</w:t>
      </w:r>
    </w:p>
    <w:p w:rsidR="00000000" w:rsidDel="00000000" w:rsidP="00000000" w:rsidRDefault="00000000" w:rsidRPr="00000000" w14:paraId="0000005F">
      <w:pPr>
        <w:spacing w:before="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2.1.1 A contentious concept</w:t>
      </w:r>
    </w:p>
    <w:p w:rsidR="00000000" w:rsidDel="00000000" w:rsidP="00000000" w:rsidRDefault="00000000" w:rsidRPr="00000000" w14:paraId="00000060">
      <w:pPr>
        <w:spacing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Empirical evidence suggests that the concept of transfer has been the subject of significant  theoretical investigation over the past century (Barnett and Ceci, 2002). </w:t>
      </w:r>
    </w:p>
    <w:p w:rsidR="00000000" w:rsidDel="00000000" w:rsidP="00000000" w:rsidRDefault="00000000" w:rsidRPr="00000000" w14:paraId="00000061">
      <w:pPr>
        <w:spacing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As stated by Roy, Mestre, and Dufresne (2005), despite the fact that knowledge transfer has attracted the attention of authors for decades, facilitating it remains a significant educational challenge. Among academics and authors, the selection of a singular definition of the term 'Transfer' has generated disagreement. In fact, while some are in favour of a single definition of the term "Transfer," others refrain from using it altogether on the grounds that its significance and ramifications are ambiguous (Hammer et al., 2005). </w:t>
      </w:r>
    </w:p>
    <w:p w:rsidR="00000000" w:rsidDel="00000000" w:rsidP="00000000" w:rsidRDefault="00000000" w:rsidRPr="00000000" w14:paraId="00000062">
      <w:pPr>
        <w:spacing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In the following sections, I will investigate how associationism, constructivism, and situated cognition conceptualise knowledge transfer and application.</w:t>
      </w:r>
    </w:p>
    <w:p w:rsidR="00000000" w:rsidDel="00000000" w:rsidP="00000000" w:rsidRDefault="00000000" w:rsidRPr="00000000" w14:paraId="00000063">
      <w:pPr>
        <w:spacing w:after="200" w:before="0" w:line="276"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2.1.1 Associationism</w:t>
      </w:r>
    </w:p>
    <w:p w:rsidR="00000000" w:rsidDel="00000000" w:rsidP="00000000" w:rsidRDefault="00000000" w:rsidRPr="00000000" w14:paraId="00000064">
      <w:pPr>
        <w:spacing w:after="200"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This perspective defines learning as the process of drawing analogies, and connections between diverse learning situations. From an associationist viewpoint, the degree of similarity between new and previous learning experiences is crucial in ensuring effective knowledge transfer. This perspective is extremely unlikely to transfer to fundamentally dissimilar contexts. According to Marini and Genereux (2013), transfer occurs when prior knowledge inspires and integrates with fresh knowledge.  In addition, Marini and Genereux argue that in order to effectively transfer knowledge between different types of learning opportunities, learners must acquire the necessary information, procedures, and strategies for the activities at hand. And, according to Marini and Genereux, if a student exits an initial learning experience lacking the necessary resources, effective transfer of knowledge to an entirely different educational setting is exceptionally unlikely.</w:t>
      </w:r>
    </w:p>
    <w:p w:rsidR="00000000" w:rsidDel="00000000" w:rsidP="00000000" w:rsidRDefault="00000000" w:rsidRPr="00000000" w14:paraId="00000065">
      <w:pPr>
        <w:spacing w:line="360" w:lineRule="auto"/>
        <w:jc w:val="both"/>
        <w:rPr>
          <w:rFonts w:ascii="Cambria" w:cs="Cambria" w:eastAsia="Cambria" w:hAnsi="Cambria"/>
          <w:sz w:val="30"/>
          <w:szCs w:val="30"/>
        </w:rPr>
      </w:pPr>
      <w:r w:rsidDel="00000000" w:rsidR="00000000" w:rsidRPr="00000000">
        <w:rPr>
          <w:rtl w:val="0"/>
        </w:rPr>
      </w:r>
    </w:p>
    <w:p w:rsidR="00000000" w:rsidDel="00000000" w:rsidP="00000000" w:rsidRDefault="00000000" w:rsidRPr="00000000" w14:paraId="00000066">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2.1.2 Constructivism </w:t>
      </w:r>
    </w:p>
    <w:p w:rsidR="00000000" w:rsidDel="00000000" w:rsidP="00000000" w:rsidRDefault="00000000" w:rsidRPr="00000000" w14:paraId="00000067">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Constructivism perceives learning as an opportunity for students to construct progressively stronger educational foundations from prior learning experiences. These educational constructs, once acquired, can successfully address a wide range of learning situations, including those that appear completely opposite. From a constructivist perspective, transfer between various educational settings should be straightforward.</w:t>
      </w:r>
      <w:r w:rsidDel="00000000" w:rsidR="00000000" w:rsidRPr="00000000">
        <w:rPr>
          <w:rtl w:val="0"/>
        </w:rPr>
      </w:r>
    </w:p>
    <w:p w:rsidR="00000000" w:rsidDel="00000000" w:rsidP="00000000" w:rsidRDefault="00000000" w:rsidRPr="00000000" w14:paraId="00000068">
      <w:pPr>
        <w:spacing w:after="200" w:line="360" w:lineRule="auto"/>
        <w:jc w:val="both"/>
        <w:rPr>
          <w:rFonts w:ascii="Cambria" w:cs="Cambria" w:eastAsia="Cambria" w:hAnsi="Cambria"/>
          <w:color w:val="222222"/>
          <w:sz w:val="34"/>
          <w:szCs w:val="34"/>
        </w:rPr>
      </w:pPr>
      <w:r w:rsidDel="00000000" w:rsidR="00000000" w:rsidRPr="00000000">
        <w:rPr>
          <w:rFonts w:ascii="Cambria" w:cs="Cambria" w:eastAsia="Cambria" w:hAnsi="Cambria"/>
          <w:rtl w:val="0"/>
        </w:rPr>
        <w:t xml:space="preserve">In his  'knowledge building' theory, Bereiter(1999) contended that knowledge transfer is the sole responsibility of the student as it is a skill and not a technical procedure. Instead of expecting students to reproduce their prior knowledge, Bereiter (1999) argues that schools should prioritise teaching and learning that is successful, as well as the promotion of analytical thinking in order for students to develop the knowledge transfer ability</w:t>
      </w:r>
      <w:r w:rsidDel="00000000" w:rsidR="00000000" w:rsidRPr="00000000">
        <w:rPr>
          <w:rtl w:val="0"/>
        </w:rPr>
      </w:r>
    </w:p>
    <w:p w:rsidR="00000000" w:rsidDel="00000000" w:rsidP="00000000" w:rsidRDefault="00000000" w:rsidRPr="00000000" w14:paraId="00000069">
      <w:pPr>
        <w:spacing w:before="200" w:line="360" w:lineRule="auto"/>
        <w:jc w:val="both"/>
        <w:rPr>
          <w:rFonts w:ascii="Cambria" w:cs="Cambria" w:eastAsia="Cambria" w:hAnsi="Cambria"/>
          <w:color w:val="222222"/>
          <w:sz w:val="36"/>
          <w:szCs w:val="36"/>
        </w:rPr>
      </w:pPr>
      <w:r w:rsidDel="00000000" w:rsidR="00000000" w:rsidRPr="00000000">
        <w:rPr>
          <w:rFonts w:ascii="Cambria" w:cs="Cambria" w:eastAsia="Cambria" w:hAnsi="Cambria"/>
          <w:color w:val="222222"/>
          <w:sz w:val="36"/>
          <w:szCs w:val="36"/>
          <w:rtl w:val="0"/>
        </w:rPr>
        <w:t xml:space="preserve">2.1.3 Situated cognition </w:t>
      </w:r>
    </w:p>
    <w:p w:rsidR="00000000" w:rsidDel="00000000" w:rsidP="00000000" w:rsidRDefault="00000000" w:rsidRPr="00000000" w14:paraId="0000006A">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Situated cognition perspective places knowledge within its social context of acquisition. For this  theory, knowledge transfer between various learning opportunities is unclear because it disregards the nature of the knowledge to be acquired (Hughes et al., 2002). </w:t>
      </w:r>
    </w:p>
    <w:p w:rsidR="00000000" w:rsidDel="00000000" w:rsidP="00000000" w:rsidRDefault="00000000" w:rsidRPr="00000000" w14:paraId="0000006B">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 Greeno et al. (1996),  argue that learning is fundamentally contextual as  it depends on an individual's ability to quickly adjust to the characteristics of the learning environment. Greeno et al. also advocate using the term "knowing" rather than "knowledge" because they believe that knowledge is context-dependent and does not apply to all learning situations.</w:t>
      </w:r>
    </w:p>
    <w:p w:rsidR="00000000" w:rsidDel="00000000" w:rsidP="00000000" w:rsidRDefault="00000000" w:rsidRPr="00000000" w14:paraId="0000006C">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Discussing different claims  of knowledge transfer, Barnett and Ceci (2002) found that transfer is straightforward if the following conditions are met in any learning context: starting points, intermediate points, and endpoints.</w:t>
      </w:r>
    </w:p>
    <w:p w:rsidR="00000000" w:rsidDel="00000000" w:rsidP="00000000" w:rsidRDefault="00000000" w:rsidRPr="00000000" w14:paraId="0000006D">
      <w:pPr>
        <w:spacing w:before="200"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2.2 Transfer of mathematical knowledge</w:t>
      </w:r>
    </w:p>
    <w:p w:rsidR="00000000" w:rsidDel="00000000" w:rsidP="00000000" w:rsidRDefault="00000000" w:rsidRPr="00000000" w14:paraId="0000006E">
      <w:pPr>
        <w:spacing w:line="360" w:lineRule="auto"/>
        <w:jc w:val="both"/>
        <w:rPr>
          <w:rFonts w:ascii="Cambria" w:cs="Cambria" w:eastAsia="Cambria" w:hAnsi="Cambria"/>
        </w:rPr>
      </w:pPr>
      <w:r w:rsidDel="00000000" w:rsidR="00000000" w:rsidRPr="00000000">
        <w:rPr>
          <w:rFonts w:ascii="Cambria" w:cs="Cambria" w:eastAsia="Cambria" w:hAnsi="Cambria"/>
          <w:sz w:val="36"/>
          <w:szCs w:val="36"/>
          <w:rtl w:val="0"/>
        </w:rPr>
        <w:t xml:space="preserve">2.2.1  literature</w:t>
      </w:r>
      <w:r w:rsidDel="00000000" w:rsidR="00000000" w:rsidRPr="00000000">
        <w:rPr>
          <w:rFonts w:ascii="Cambria" w:cs="Cambria" w:eastAsia="Cambria" w:hAnsi="Cambria"/>
          <w:sz w:val="34"/>
          <w:szCs w:val="34"/>
          <w:rtl w:val="0"/>
        </w:rPr>
        <w:t xml:space="preserve"> research</w:t>
      </w:r>
      <w:r w:rsidDel="00000000" w:rsidR="00000000" w:rsidRPr="00000000">
        <w:rPr>
          <w:rtl w:val="0"/>
        </w:rPr>
      </w:r>
    </w:p>
    <w:p w:rsidR="00000000" w:rsidDel="00000000" w:rsidP="00000000" w:rsidRDefault="00000000" w:rsidRPr="00000000" w14:paraId="0000006F">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Transfer is a beneficial concept, but it is not devoid of disadvantages. According to Mackrell (2002), it is a common fact that students do not transfer and utilise their mathematical knowledge to other subjects. According to Greeno (1997), the concern should be described as "generality of knowing" rather than "transfer of knowledge." Furthermore, for Greeno, generalisation is preferred to transferability, given that any knowledge acquired during a single learning opportunity is highly dependent on the accessible resources  during that learning situation .</w:t>
      </w:r>
    </w:p>
    <w:p w:rsidR="00000000" w:rsidDel="00000000" w:rsidP="00000000" w:rsidRDefault="00000000" w:rsidRPr="00000000" w14:paraId="00000070">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Lerman (1998), on the other hand, considers mathematical knowledge transferability as a separate skill that can be acquired.  Lerman added that  the ability to transfer mathematical knowledge between disciplines is correlated with the ability to look at learning experiences through a mathematical lens. </w:t>
      </w:r>
    </w:p>
    <w:p w:rsidR="00000000" w:rsidDel="00000000" w:rsidP="00000000" w:rsidRDefault="00000000" w:rsidRPr="00000000" w14:paraId="00000071">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072">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In a small case study, Carreira et al. (2002) observed students engaged in a mathematics activity,  concluded that transfer must be taught because it does not occur spontaneously during learning, especially between technically and theoretically distinct activities and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w:t>
      </w:r>
      <w:r w:rsidDel="00000000" w:rsidR="00000000" w:rsidRPr="00000000">
        <w:rPr>
          <w:rtl w:val="0"/>
        </w:rPr>
      </w:r>
    </w:p>
    <w:p w:rsidR="00000000" w:rsidDel="00000000" w:rsidP="00000000" w:rsidRDefault="00000000" w:rsidRPr="00000000" w14:paraId="00000073">
      <w:pPr>
        <w:spacing w:line="276"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074">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Boaler (2002) conducted a three-year study in two UK secondary institutions to investigate pedagogical practises. The focus of the investigation was on teaching methods, student views, and mathematical understanding. One institution's study centred on textbook exercises that required students to complete sample exams. The second school's research centred on problem-solving and student interaction.</w:t>
      </w:r>
    </w:p>
    <w:p w:rsidR="00000000" w:rsidDel="00000000" w:rsidP="00000000" w:rsidRDefault="00000000" w:rsidRPr="00000000" w14:paraId="00000075">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Boaler assessed the performance of each student in a variety of mathematical test situations. She observed that while students performed well in situations comparable to those in their textbook, they had difficulty applying or discussing mathematics in problem-solving situations. Moreover, Boaler observed that students who took part in problem-solving contexts acquired more diverse knowledge than the other students.</w:t>
      </w:r>
    </w:p>
    <w:p w:rsidR="00000000" w:rsidDel="00000000" w:rsidP="00000000" w:rsidRDefault="00000000" w:rsidRPr="00000000" w14:paraId="00000076">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Boaler drew a connection between the students' performance on tests and their ability to transfer knowledge and their learning in these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 She claimed that students were able to transfer mathematics knowledge due to a combination of their previous experience, their positive, effective, and engaged interaction with the subject. Boaler concluded as a result that transfer of mathematical skills is likely under certain conditions.</w:t>
      </w:r>
    </w:p>
    <w:p w:rsidR="00000000" w:rsidDel="00000000" w:rsidP="00000000" w:rsidRDefault="00000000" w:rsidRPr="00000000" w14:paraId="00000077">
      <w:pPr>
        <w:spacing w:before="200"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078">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w:t>
      </w:r>
      <w:r w:rsidDel="00000000" w:rsidR="00000000" w:rsidRPr="00000000">
        <w:rPr>
          <w:rFonts w:ascii="Cambria" w:cs="Cambria" w:eastAsia="Cambria" w:hAnsi="Cambria"/>
          <w:color w:val="000000"/>
          <w:sz w:val="36"/>
          <w:szCs w:val="36"/>
          <w:rtl w:val="0"/>
        </w:rPr>
        <w:t xml:space="preserve">.2.2 </w:t>
      </w:r>
      <w:r w:rsidDel="00000000" w:rsidR="00000000" w:rsidRPr="00000000">
        <w:rPr>
          <w:rFonts w:ascii="Cambria" w:cs="Cambria" w:eastAsia="Cambria" w:hAnsi="Cambria"/>
          <w:sz w:val="36"/>
          <w:szCs w:val="36"/>
          <w:rtl w:val="0"/>
        </w:rPr>
        <w:t xml:space="preserve">Implications on D&amp;T subject</w:t>
      </w:r>
    </w:p>
    <w:p w:rsidR="00000000" w:rsidDel="00000000" w:rsidP="00000000" w:rsidRDefault="00000000" w:rsidRPr="00000000" w14:paraId="00000079">
      <w:pPr>
        <w:spacing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One reason for explicitly incorporating more mathematics into the English D&amp;T curriculum is to aid students enhance  their mathematical abilities in order to achieve better outcomes. In our opinion, this  is problematic for a variety of reasons.</w:t>
      </w:r>
    </w:p>
    <w:p w:rsidR="00000000" w:rsidDel="00000000" w:rsidP="00000000" w:rsidRDefault="00000000" w:rsidRPr="00000000" w14:paraId="0000007A">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From my experience, the majority of D&amp;T teachers share  the belief that students must have the mathematical skills necessary to effectively complete D&amp;T tasks and that it is not their responsibility to teach mathematics in D&amp;T.</w:t>
      </w:r>
    </w:p>
    <w:p w:rsidR="00000000" w:rsidDel="00000000" w:rsidP="00000000" w:rsidRDefault="00000000" w:rsidRPr="00000000" w14:paraId="0000007B">
      <w:pPr>
        <w:spacing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 And  while theories have provided thorough and varied justifications for knowledge transfer, they have omitted to consider and identify how mathematical knowledge is transferred from a conceptual (mathematics) to a practical (D&amp;T) context, leading some authors to argue that one of the key issues with school curriculum is its unrealistic nature (Hughes et al, 2002). In fact, Hughes et al. claim that for successful mathematics transfer to occur, knowledge must be transformed from "something we have to do" to "something that is beneficial to me." </w:t>
      </w:r>
    </w:p>
    <w:p w:rsidR="00000000" w:rsidDel="00000000" w:rsidP="00000000" w:rsidRDefault="00000000" w:rsidRPr="00000000" w14:paraId="0000007C">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In addition, theories that sought to explain the transfer process from multiple viewpoints made no mention of the pedagogical practises available to teachers and educators that facilitate the practical use of mathematics in D&amp;T contexts.</w:t>
      </w:r>
    </w:p>
    <w:p w:rsidR="00000000" w:rsidDel="00000000" w:rsidP="00000000" w:rsidRDefault="00000000" w:rsidRPr="00000000" w14:paraId="0000007D">
      <w:pPr>
        <w:spacing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In conclusion, the majority of researchers believe that transfer  is a challenging procedure. In fact, while some claim that the more alike two learning contexts are, the more straightforward it is to transfer knowledge between them (Barnett and Ceci, 2002), others maintain that transfer must be taught in order to help prepare learners for future learning (Schwartz et al., 2005), and still others assert that students need assistance in applying their knowledge in new settings (Larsen-Freeman, 2013).</w:t>
      </w:r>
    </w:p>
    <w:p w:rsidR="00000000" w:rsidDel="00000000" w:rsidP="00000000" w:rsidRDefault="00000000" w:rsidRPr="00000000" w14:paraId="0000007E">
      <w:pPr>
        <w:spacing w:after="280" w:before="280" w:line="360" w:lineRule="auto"/>
        <w:jc w:val="both"/>
        <w:rPr>
          <w:rFonts w:ascii="Cambria" w:cs="Cambria" w:eastAsia="Cambria" w:hAnsi="Cambria"/>
          <w:color w:val="000000"/>
        </w:rPr>
      </w:pPr>
      <w:r w:rsidDel="00000000" w:rsidR="00000000" w:rsidRPr="00000000">
        <w:rPr>
          <w:rFonts w:ascii="Cambria" w:cs="Cambria" w:eastAsia="Cambria" w:hAnsi="Cambria"/>
          <w:rtl w:val="0"/>
        </w:rPr>
        <w:t xml:space="preserve">In the next section, I will explore how Mathematics and D&amp;T Departments could work together to improve learners' use of mathematics in D&amp;T. It is worth emphasising at this point that I have no intention of illuminating the definitional distinction between the terms 'Mathematics' and 'Numeracy' because that is not our goal in this part; therefore, I will use them interchangeably.</w:t>
      </w:r>
      <w:r w:rsidDel="00000000" w:rsidR="00000000" w:rsidRPr="00000000">
        <w:rPr>
          <w:rtl w:val="0"/>
        </w:rPr>
      </w:r>
    </w:p>
    <w:p w:rsidR="00000000" w:rsidDel="00000000" w:rsidP="00000000" w:rsidRDefault="00000000" w:rsidRPr="00000000" w14:paraId="0000007F">
      <w:pPr>
        <w:spacing w:line="276"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80">
      <w:pPr>
        <w:spacing w:line="276"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81">
      <w:pPr>
        <w:spacing w:line="276"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2.3 Collaborative approach </w:t>
      </w:r>
    </w:p>
    <w:p w:rsidR="00000000" w:rsidDel="00000000" w:rsidP="00000000" w:rsidRDefault="00000000" w:rsidRPr="00000000" w14:paraId="00000082">
      <w:pPr>
        <w:spacing w:line="276"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2.3.1 Literature search</w:t>
      </w:r>
    </w:p>
    <w:p w:rsidR="00000000" w:rsidDel="00000000" w:rsidP="00000000" w:rsidRDefault="00000000" w:rsidRPr="00000000" w14:paraId="00000083">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Rowland and Turner (2011) claim that one of the most challenging responsibilities for teachers engaged in an interdepartmental collaborative approach is the improvement of subject understanding as well as identification of subject connections. Siskin (1994),  believes that school departments' isolation  is due to a number of factors, including linguistic disparities, competition for resources, and department  locations. </w:t>
      </w:r>
    </w:p>
    <w:p w:rsidR="00000000" w:rsidDel="00000000" w:rsidP="00000000" w:rsidRDefault="00000000" w:rsidRPr="00000000" w14:paraId="00000084">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Bernstein (2000) argues that it is necessary to maintain departmental boundaries because they can provide numerous advantages. Bernstein argues that the crucial space between departments is what enables academic specialisation. Unique departments can develop a strong team culture, according to Bernstein. Bernstein cautioned that eliminating the boundaries between departments and school subjects could cause subject team connections to become less effective. In addition, Bernstein is adamant that when departmental boundaries merge, there is a high likelihood of subjects losing their distinctive features and perhaps their identities.</w:t>
      </w:r>
    </w:p>
    <w:p w:rsidR="00000000" w:rsidDel="00000000" w:rsidP="00000000" w:rsidRDefault="00000000" w:rsidRPr="00000000" w14:paraId="00000085">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In contrast to Bernstein's claim, some researchers contend that departments must collaborate to reduce interdepartmental constraints and limitations.  Scott J.F. (2012) conducted a small-scale investigation into students' transfer of mathematical knowledge to a different context. His research showed that resolving this issue requires a significant improvement in communication among departments, as well as a substantial reduction in obstacles and mutual boundary crossing to enable them to work more closely together.</w:t>
      </w:r>
    </w:p>
    <w:p w:rsidR="00000000" w:rsidDel="00000000" w:rsidP="00000000" w:rsidRDefault="00000000" w:rsidRPr="00000000" w14:paraId="00000086">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Sage (2002), mathematics and D&amp;T subjects have strong links  that can facilitate the transfer and application of mathematical skills during D&amp;T activities. Sage considers that, despite the fact that a collaborative approach between the D&amp;T and Mathematics Departments can have numerous benefits, one of which is the development of learners' competence in D&amp;T subject, it also has substantial drawbacks.</w:t>
      </w:r>
      <w:r w:rsidDel="00000000" w:rsidR="00000000" w:rsidRPr="00000000">
        <w:rPr>
          <w:rtl w:val="0"/>
        </w:rPr>
      </w:r>
    </w:p>
    <w:p w:rsidR="00000000" w:rsidDel="00000000" w:rsidP="00000000" w:rsidRDefault="00000000" w:rsidRPr="00000000" w14:paraId="00000087">
      <w:pPr>
        <w:spacing w:before="200" w:line="360" w:lineRule="auto"/>
        <w:jc w:val="both"/>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Sage (2002) suggests that the timing, sequencing, and scheduling of activities within the D&amp;T and Mathematics Departments may be obstacles to collaboration. Furthermore,  proximity between departments can have an enormous impact on interdepartmental collaboration. In fact, Venville et al. (2002) highlight the significance of departmental proximity in fostering collaboration. Venville et al. believe that collaboration decreases as the number of geographically distant departments increases.</w:t>
      </w:r>
    </w:p>
    <w:p w:rsidR="00000000" w:rsidDel="00000000" w:rsidP="00000000" w:rsidRDefault="00000000" w:rsidRPr="00000000" w14:paraId="00000088">
      <w:pPr>
        <w:spacing w:before="0" w:line="360" w:lineRule="auto"/>
        <w:jc w:val="both"/>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089">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2.4 Conclusion</w:t>
      </w:r>
    </w:p>
    <w:p w:rsidR="00000000" w:rsidDel="00000000" w:rsidP="00000000" w:rsidRDefault="00000000" w:rsidRPr="00000000" w14:paraId="0000008A">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In order to gain a greater understanding of the relationship between school D&amp;T and mathematics, I have attempted a literature review  and identified two primary objectives. The primary objective is to enhance the transfer of mathematical knowledge and abilities to D&amp;T </w:t>
      </w:r>
      <w:r w:rsidDel="00000000" w:rsidR="00000000" w:rsidRPr="00000000">
        <w:rPr>
          <w:rFonts w:ascii="Cambria" w:cs="Cambria" w:eastAsia="Cambria" w:hAnsi="Cambria"/>
          <w:rtl w:val="0"/>
        </w:rPr>
        <w:t xml:space="preserve">subject</w:t>
      </w:r>
      <w:r w:rsidDel="00000000" w:rsidR="00000000" w:rsidRPr="00000000">
        <w:rPr>
          <w:rFonts w:ascii="Cambria" w:cs="Cambria" w:eastAsia="Cambria" w:hAnsi="Cambria"/>
          <w:rtl w:val="0"/>
        </w:rPr>
        <w:t xml:space="preserve">. The second objective is to cultivate interdepartmental collaboration in order to enhance students' performance in the D&amp;T subject. </w:t>
      </w:r>
    </w:p>
    <w:p w:rsidR="00000000" w:rsidDel="00000000" w:rsidP="00000000" w:rsidRDefault="00000000" w:rsidRPr="00000000" w14:paraId="0000008B">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However, as I explored the transfer and collaboration opportunities, I uncovered an array of significant concerns. First, knowledge transfer between Mathematics and D&amp;T Departments is not a straightforward procedure, and the term 'Transfer' carries a variety of meanings and interpretations, resulting in a lack of a unified definition throughout the literature, which makes the process of knowledge implementation in different settings more challenging. In addition, mathematics education is predominately conceptual while D&amp;T education is predominately practical.</w:t>
      </w:r>
    </w:p>
    <w:p w:rsidR="00000000" w:rsidDel="00000000" w:rsidP="00000000" w:rsidRDefault="00000000" w:rsidRPr="00000000" w14:paraId="0000008C">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In addition, there are significant pedagogical differences between mathematics and D&amp;T subjects that must be considered for knowledge transfer to take place. Indeed,  two subjects  are culturally distinct, causing more obstacles  between them, </w:t>
      </w:r>
      <w:r w:rsidDel="00000000" w:rsidR="00000000" w:rsidRPr="00000000">
        <w:rPr>
          <w:rFonts w:ascii="Cambria" w:cs="Cambria" w:eastAsia="Cambria" w:hAnsi="Cambria"/>
          <w:rtl w:val="0"/>
        </w:rPr>
        <w:t xml:space="preserve">is an</w:t>
      </w:r>
      <w:r w:rsidDel="00000000" w:rsidR="00000000" w:rsidRPr="00000000">
        <w:rPr>
          <w:rFonts w:ascii="Cambria" w:cs="Cambria" w:eastAsia="Cambria" w:hAnsi="Cambria"/>
          <w:rtl w:val="0"/>
        </w:rPr>
        <w:t xml:space="preserve"> additional significant barrier to interdepartmental collaboration.  Moreover, the collaboration between the Mathematics and D&amp;T Departments is fraught with obstacles, such as time constraints, timetabling , and activity sequencing, as well as social barriers.</w:t>
      </w:r>
    </w:p>
    <w:p w:rsidR="00000000" w:rsidDel="00000000" w:rsidP="00000000" w:rsidRDefault="00000000" w:rsidRPr="00000000" w14:paraId="0000008D">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In addition, mathematics is a core  subject in schools whereas D&amp;T is optional, and any collaboration will almost undoubtedly be dependent on an unequal relationship. In addition, we are convinced that collaboration in schools is not simply a matter of forming a group of two or more teachers and providing them with time to communicate directly. When making curriculum decisions and devising teaching strategies, we believe that teachers must be invested in the process while keeping a constant focus on the needs of students.</w:t>
      </w:r>
    </w:p>
    <w:p w:rsidR="00000000" w:rsidDel="00000000" w:rsidP="00000000" w:rsidRDefault="00000000" w:rsidRPr="00000000" w14:paraId="0000008E">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While we believe that D&amp;T will always be more dependent on mathematics than mathematics will be on D&amp;T,  fostering a sense of community and mutual respect among teachers and pupils will  certainly assist them in sharing equal responsibilities for their mutual benefit.</w:t>
      </w:r>
    </w:p>
    <w:p w:rsidR="00000000" w:rsidDel="00000000" w:rsidP="00000000" w:rsidRDefault="00000000" w:rsidRPr="00000000" w14:paraId="0000008F">
      <w:pPr>
        <w:spacing w:line="276"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090">
      <w:pPr>
        <w:pBdr>
          <w:top w:space="0" w:sz="0" w:val="nil"/>
          <w:left w:space="0" w:sz="0" w:val="nil"/>
          <w:bottom w:space="0" w:sz="0" w:val="nil"/>
          <w:right w:space="0" w:sz="0" w:val="nil"/>
          <w:between w:space="0" w:sz="0" w:val="nil"/>
        </w:pBdr>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1">
      <w:pPr>
        <w:pBdr>
          <w:top w:space="0" w:sz="0" w:val="nil"/>
          <w:left w:space="0" w:sz="0" w:val="nil"/>
          <w:bottom w:space="0" w:sz="0" w:val="nil"/>
          <w:right w:space="0" w:sz="0" w:val="nil"/>
          <w:between w:space="0" w:sz="0" w:val="nil"/>
        </w:pBdr>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2">
      <w:pPr>
        <w:pBdr>
          <w:top w:space="0" w:sz="0" w:val="nil"/>
          <w:left w:space="0" w:sz="0" w:val="nil"/>
          <w:bottom w:space="0" w:sz="0" w:val="nil"/>
          <w:right w:space="0" w:sz="0" w:val="nil"/>
          <w:between w:space="0" w:sz="0" w:val="nil"/>
        </w:pBdr>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Chapter3 </w:t>
      </w:r>
    </w:p>
    <w:p w:rsidR="00000000" w:rsidDel="00000000" w:rsidP="00000000" w:rsidRDefault="00000000" w:rsidRPr="00000000" w14:paraId="00000093">
      <w:pPr>
        <w:pBdr>
          <w:top w:space="0" w:sz="0" w:val="nil"/>
          <w:left w:space="0" w:sz="0" w:val="nil"/>
          <w:bottom w:space="0" w:sz="0" w:val="nil"/>
          <w:right w:space="0" w:sz="0" w:val="nil"/>
          <w:between w:space="0" w:sz="0" w:val="nil"/>
        </w:pBdr>
        <w:spacing w:after="200" w:lineRule="auto"/>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Research design and methodology</w:t>
      </w:r>
    </w:p>
    <w:p w:rsidR="00000000" w:rsidDel="00000000" w:rsidP="00000000" w:rsidRDefault="00000000" w:rsidRPr="00000000" w14:paraId="00000094">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Creswell (2009) defines research designs as "a plan, a methodological framework in which procedures for conducting a research investigation encompass all specific techniques for data gathering and analysis." According to Creswell (2009), there are three sorts of research designs: quantitative, qualitative, and mixed methodologies, and the philosophical and world view assumptions that the researcher adopts for his or her inquiry form the basis for the researcher's choice of any given research design.</w:t>
      </w:r>
    </w:p>
    <w:p w:rsidR="00000000" w:rsidDel="00000000" w:rsidP="00000000" w:rsidRDefault="00000000" w:rsidRPr="00000000" w14:paraId="00000095">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These philosophical assumptions, according to Rubin and Rubin (2012), are crucial to any research study since they influence its conduct while also prescribing a specific function for the researcher, not to mention the accompanying research quality requirements that they carry.</w:t>
      </w:r>
    </w:p>
    <w:p w:rsidR="00000000" w:rsidDel="00000000" w:rsidP="00000000" w:rsidRDefault="00000000" w:rsidRPr="00000000" w14:paraId="00000096">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Furthermore, researchers always attempt to align objectives and methods, and the choice of any particular research design is driven by the research question and aim, rather than the researcher's inclination (Bazeley, 2007).</w:t>
      </w:r>
    </w:p>
    <w:p w:rsidR="00000000" w:rsidDel="00000000" w:rsidP="00000000" w:rsidRDefault="00000000" w:rsidRPr="00000000" w14:paraId="00000097">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O'Leary, a quantitative approach to research is one that is heavily reliant on quantified data (numerical data as well as notions we code with numbers). Usually associated with a set of assumptions associated with realism, empiricism, and positivism. (O'Leary, p.142, 2021). According to O'Leary, the quantitative approach to research is chosen based on several factors, including scientific method, testing hypotheses, logic of deduction, and objectivity (ibid.). </w:t>
      </w:r>
    </w:p>
    <w:p w:rsidR="00000000" w:rsidDel="00000000" w:rsidP="00000000" w:rsidRDefault="00000000" w:rsidRPr="00000000" w14:paraId="00000098">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Bazeley (2007), a qualitative research approach is used when a more in-depth understanding of a phenomenon or experience is desired, when additional information is needed to determine the accurate nature of the problem under inquiry, or when the only available data is not numerical form data. It is crucial to note at this stage that our research objective is to gain a better understanding of the relationship between mathematics and D&amp;T in order to capture the meanings, interpretations, and viewpoints of those to be interviewed.  As a result, we shall conduct our investigation in a qualitative manner.</w:t>
      </w:r>
    </w:p>
    <w:p w:rsidR="00000000" w:rsidDel="00000000" w:rsidP="00000000" w:rsidRDefault="00000000" w:rsidRPr="00000000" w14:paraId="00000099">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In the sections that follow, I will go over our research inquiry process.  Through personal reflections, I will also explain and critically analyse the methodologies and procedures that will be utilised to collect and analyse data.</w:t>
      </w:r>
    </w:p>
    <w:p w:rsidR="00000000" w:rsidDel="00000000" w:rsidP="00000000" w:rsidRDefault="00000000" w:rsidRPr="00000000" w14:paraId="0000009A">
      <w:pPr>
        <w:spacing w:line="360" w:lineRule="auto"/>
        <w:jc w:val="both"/>
        <w:rPr>
          <w:rFonts w:ascii="Cambria" w:cs="Cambria" w:eastAsia="Cambria" w:hAnsi="Cambria"/>
          <w:b w:val="1"/>
          <w:sz w:val="36"/>
          <w:szCs w:val="36"/>
          <w:u w:val="single"/>
        </w:rPr>
      </w:pPr>
      <w:r w:rsidDel="00000000" w:rsidR="00000000" w:rsidRPr="00000000">
        <w:rPr>
          <w:rFonts w:ascii="Cambria" w:cs="Cambria" w:eastAsia="Cambria" w:hAnsi="Cambria"/>
          <w:b w:val="1"/>
          <w:sz w:val="36"/>
          <w:szCs w:val="36"/>
          <w:rtl w:val="0"/>
        </w:rPr>
        <w:t xml:space="preserve">3.1 Maths and D&amp;T: epistemological contrast </w:t>
      </w:r>
      <w:r w:rsidDel="00000000" w:rsidR="00000000" w:rsidRPr="00000000">
        <w:rPr>
          <w:rtl w:val="0"/>
        </w:rPr>
      </w:r>
    </w:p>
    <w:p w:rsidR="00000000" w:rsidDel="00000000" w:rsidP="00000000" w:rsidRDefault="00000000" w:rsidRPr="00000000" w14:paraId="0000009B">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Barlex and Steeg (2017),  claim that mathematics and D&amp;T  have distinct epistemologies for generating knowledge. Barlex and Steeg argue that although mathematics and D&amp;T share numerous parallels, there is a significant distinction in how data is generated in the two disciplines.</w:t>
      </w:r>
      <w:r w:rsidDel="00000000" w:rsidR="00000000" w:rsidRPr="00000000">
        <w:rPr>
          <w:rtl w:val="0"/>
        </w:rPr>
      </w:r>
    </w:p>
    <w:p w:rsidR="00000000" w:rsidDel="00000000" w:rsidP="00000000" w:rsidRDefault="00000000" w:rsidRPr="00000000" w14:paraId="0000009C">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 According to Kitcher (1984),  mathematics relies upon reasoning and logic, not experience, to validate or refute knowledge. Kitcher used Immanuel Kant's explicit description of mathematical knowledge as 'a priori knowledge' to support his argument: </w:t>
      </w:r>
    </w:p>
    <w:p w:rsidR="00000000" w:rsidDel="00000000" w:rsidP="00000000" w:rsidRDefault="00000000" w:rsidRPr="00000000" w14:paraId="0000009D">
      <w:pPr>
        <w:spacing w:line="360" w:lineRule="auto"/>
        <w:ind w:left="72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09E">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I shall understand by a priori knowledge, not knowledge independent of this or that experience, but knowledge that is absolutely independent of all experience.</w:t>
      </w:r>
    </w:p>
    <w:p w:rsidR="00000000" w:rsidDel="00000000" w:rsidP="00000000" w:rsidRDefault="00000000" w:rsidRPr="00000000" w14:paraId="0000009F">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(Kitcher, 1984, p.21)</w:t>
      </w:r>
    </w:p>
    <w:p w:rsidR="00000000" w:rsidDel="00000000" w:rsidP="00000000" w:rsidRDefault="00000000" w:rsidRPr="00000000" w14:paraId="000000A0">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Kitcher, experience is the sensory interaction with the outside world. In contrast, D&amp;T is rooted in the external, tangible world, and its knowledge output is centred on learning through experience. There are almost certainly similarities between the production of mathematical and D&amp;T  knowledge. Both subjects utilise pertinent reasoning processes to establish the credibility of their respective knowledge output, but unlike mathematics, D&amp;T must also consider the outside  world.</w:t>
      </w:r>
    </w:p>
    <w:p w:rsidR="00000000" w:rsidDel="00000000" w:rsidP="00000000" w:rsidRDefault="00000000" w:rsidRPr="00000000" w14:paraId="000000A1">
      <w:pPr>
        <w:spacing w:line="24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0A2">
      <w:pPr>
        <w:spacing w:before="200"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3.2 Methodology</w:t>
      </w:r>
    </w:p>
    <w:p w:rsidR="00000000" w:rsidDel="00000000" w:rsidP="00000000" w:rsidRDefault="00000000" w:rsidRPr="00000000" w14:paraId="000000A3">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D&amp;T incorporates a vast array of activities, including  marking and measuring, manufacturing, and evaluating, all of which require the use of a quantitative strategy grounded in the philosophical positivist paradigm when conducting study.</w:t>
      </w:r>
    </w:p>
    <w:p w:rsidR="00000000" w:rsidDel="00000000" w:rsidP="00000000" w:rsidRDefault="00000000" w:rsidRPr="00000000" w14:paraId="000000A4">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study of human behaviour, specifically that of teachers and pupils  involved in D&amp;T and mathematics education, demands a distinct philosophical perspective.</w:t>
      </w:r>
    </w:p>
    <w:p w:rsidR="00000000" w:rsidDel="00000000" w:rsidP="00000000" w:rsidRDefault="00000000" w:rsidRPr="00000000" w14:paraId="000000A5">
      <w:pPr>
        <w:pBdr>
          <w:top w:space="0" w:sz="0" w:val="nil"/>
          <w:left w:space="0" w:sz="0" w:val="nil"/>
          <w:bottom w:space="0" w:sz="0" w:val="nil"/>
          <w:right w:space="0" w:sz="0" w:val="nil"/>
          <w:between w:space="0" w:sz="0" w:val="nil"/>
        </w:pBdr>
        <w:spacing w:after="200"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As a technology teacher with a background in experimental sciences, I received education within a positivist epistemology whose reliability I have never questioned; nevertheless, investigating human behaviour requires a different approach.</w:t>
      </w:r>
    </w:p>
    <w:p w:rsidR="00000000" w:rsidDel="00000000" w:rsidP="00000000" w:rsidRDefault="00000000" w:rsidRPr="00000000" w14:paraId="000000A6">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Since the purpose of my study is to gain a deeper understanding of the relationship between two fields of study through the eyes of stakeholders, a positivist approach to knowledge generation is, in our view, inappropriate; therefore, a qualitative investigation seems suitable.</w:t>
      </w:r>
    </w:p>
    <w:p w:rsidR="00000000" w:rsidDel="00000000" w:rsidP="00000000" w:rsidRDefault="00000000" w:rsidRPr="00000000" w14:paraId="000000A7">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Denzin and Lincoln (2000) assert that qualitative researchers seek to comprehend a social experience and how it is understood and given meaning by those concerned. As a result, I will adopt a qualitative approach for my research based on constructivist ontology and interpretivist epistemology, as explained by Rubin and Rubin:   </w:t>
      </w:r>
      <w:r w:rsidDel="00000000" w:rsidR="00000000" w:rsidRPr="00000000">
        <w:rPr>
          <w:rtl w:val="0"/>
        </w:rPr>
      </w:r>
    </w:p>
    <w:p w:rsidR="00000000" w:rsidDel="00000000" w:rsidP="00000000" w:rsidRDefault="00000000" w:rsidRPr="00000000" w14:paraId="000000A8">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‘All meaning is sifted through people’s prior experience and biases […] people build or construct their understanding of the external world-that is, they interpret it’. (Rubin &amp; Rubin, 2012, p.16). </w:t>
      </w:r>
    </w:p>
    <w:p w:rsidR="00000000" w:rsidDel="00000000" w:rsidP="00000000" w:rsidRDefault="00000000" w:rsidRPr="00000000" w14:paraId="000000A9">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3.3 Reflection</w:t>
      </w:r>
    </w:p>
    <w:p w:rsidR="00000000" w:rsidDel="00000000" w:rsidP="00000000" w:rsidRDefault="00000000" w:rsidRPr="00000000" w14:paraId="000000AA">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Qualitative research presents its own difficulties. Indeed, Scott and Usher (2010) argued that interpretation can never be absolutely accurate because there is no single correct interpretation. This was eloquently demonstrated by Braun and Clarke (2013), who portrayed a family returning from vacation with each member describing his or her own unique perception and experience, with one member finding the vacation pleasant and the other finding it boring.</w:t>
      </w:r>
      <w:r w:rsidDel="00000000" w:rsidR="00000000" w:rsidRPr="00000000">
        <w:rPr>
          <w:rtl w:val="0"/>
        </w:rPr>
      </w:r>
    </w:p>
    <w:p w:rsidR="00000000" w:rsidDel="00000000" w:rsidP="00000000" w:rsidRDefault="00000000" w:rsidRPr="00000000" w14:paraId="000000AB">
      <w:pPr>
        <w:spacing w:after="200"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As a result, there is no single correct interpretation, but even more crucially, there is no procedure for verifying a particular interpretation as correct or establishing which perspective is accurate among multiple competing meanings (ibid.). Consequently, pursuing interpretation and meanings can never be neutral, and addressing research questions using the qualitative approach is deemed subjective. According to Braun and Clarke (2013), subjectivity has great significance in the qualitative approach, just as it is in the quantitative paradigm. </w:t>
      </w:r>
    </w:p>
    <w:p w:rsidR="00000000" w:rsidDel="00000000" w:rsidP="00000000" w:rsidRDefault="00000000" w:rsidRPr="00000000" w14:paraId="000000AC">
      <w:pPr>
        <w:spacing w:after="200"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Hence , a single qualitative study will almost certainly generate the same number of results as the number of researchers undertaking it. Consequently, we believe that for a researcher to be subjectively efficient, he or she must be reflexive and critical of both the knowledge generated and his or her own particular role in generating that knowledge.</w:t>
      </w:r>
    </w:p>
    <w:p w:rsidR="00000000" w:rsidDel="00000000" w:rsidP="00000000" w:rsidRDefault="00000000" w:rsidRPr="00000000" w14:paraId="000000AD">
      <w:pPr>
        <w:spacing w:after="200"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In the following paragraphs, I will describe the data collection and analysis strategies.</w:t>
      </w:r>
    </w:p>
    <w:p w:rsidR="00000000" w:rsidDel="00000000" w:rsidP="00000000" w:rsidRDefault="00000000" w:rsidRPr="00000000" w14:paraId="000000AE">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3.4 Sampling</w:t>
      </w:r>
    </w:p>
    <w:p w:rsidR="00000000" w:rsidDel="00000000" w:rsidP="00000000" w:rsidRDefault="00000000" w:rsidRPr="00000000" w14:paraId="000000AF">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This study will employ two discernible stages of qualitative inquiry to collect the perspectives of participants regarding the interrelationship between Design and Technology (D&amp;T) and Mathematics in the context of schools.  The study will involve the selection of a sample of both students and teachers for data collection purposes.   The research methodology will involve the utilisation of semi-structured interviews as a means of data collection.</w:t>
      </w:r>
      <w:r w:rsidDel="00000000" w:rsidR="00000000" w:rsidRPr="00000000">
        <w:rPr>
          <w:rtl w:val="0"/>
        </w:rPr>
      </w:r>
    </w:p>
    <w:p w:rsidR="00000000" w:rsidDel="00000000" w:rsidP="00000000" w:rsidRDefault="00000000" w:rsidRPr="00000000" w14:paraId="000000B0">
      <w:pPr>
        <w:spacing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3.4.1  Teachers</w:t>
      </w:r>
    </w:p>
    <w:p w:rsidR="00000000" w:rsidDel="00000000" w:rsidP="00000000" w:rsidRDefault="00000000" w:rsidRPr="00000000" w14:paraId="000000B1">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Initially, I intended to interview all seven mathematics teachers, all D&amp;T teachers.  I was only able to interview five of the seven mathematics teachers because the others were unavailable due to personal reasons.  However, D&amp;T teachers were available and interviewing them was straightforward. This is known as purposive sampling, which is clearly selective. (Cohen, Manion, &amp; Morrison, 2011).</w:t>
      </w:r>
    </w:p>
    <w:p w:rsidR="00000000" w:rsidDel="00000000" w:rsidP="00000000" w:rsidRDefault="00000000" w:rsidRPr="00000000" w14:paraId="000000B2">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Braun and Clarke explain purposive sampling thus:</w:t>
      </w:r>
    </w:p>
    <w:p w:rsidR="00000000" w:rsidDel="00000000" w:rsidP="00000000" w:rsidRDefault="00000000" w:rsidRPr="00000000" w14:paraId="000000B3">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With the aim of generating insight and in-depth understanding of the topic of interest, purposive sampling involves selecting data cases (participant, tests) on the basis that they will be able to provide information–rich data to analyse […] samples that have experienced a particular phenomenon. (Braun&amp; Clarke, 2013, p.56)</w:t>
      </w:r>
    </w:p>
    <w:p w:rsidR="00000000" w:rsidDel="00000000" w:rsidP="00000000" w:rsidRDefault="00000000" w:rsidRPr="00000000" w14:paraId="000000B4">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The study aims to collect comprehensive data on the experiences, motivations, and perspectives of individuals possessing knowledge or experience pertaining to the subject of interest. This will be achieved through the utilisation of qualitative interviewing techniques, which will involve a series of questions focused on exploring the relationship between the Design and Technology (D&amp;T) and mathematics curriculum in England. Additionally, the interviews will delve into the interdisciplinary nature of collaboration between D&amp;T and mathematics departments, examining its advantages, disadvantages, and impediments.</w:t>
      </w:r>
    </w:p>
    <w:p w:rsidR="00000000" w:rsidDel="00000000" w:rsidP="00000000" w:rsidRDefault="00000000" w:rsidRPr="00000000" w14:paraId="000000B5">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In order to ensure the preservation of anonymity, a two- or three-letter pseudonym has been assigned to each volunteer participant within this particular category. The initial letter denotes the academic field of origin (e.g., mathematics, technology), the subsequent letter serves as a unique identifier, and the third letter "L" designates the individual as a subject leader. The interviews were scheduled on different days and dates in accordance with the preferences of each participant who volunteered to take part in the study.</w:t>
      </w:r>
    </w:p>
    <w:p w:rsidR="00000000" w:rsidDel="00000000" w:rsidP="00000000" w:rsidRDefault="00000000" w:rsidRPr="00000000" w14:paraId="000000B6">
      <w:pPr>
        <w:spacing w:after="200" w:line="360" w:lineRule="auto"/>
        <w:jc w:val="both"/>
        <w:rPr>
          <w:rFonts w:ascii="Cambria" w:cs="Cambria" w:eastAsia="Cambria" w:hAnsi="Cambria"/>
        </w:rPr>
      </w:pPr>
      <w:r w:rsidDel="00000000" w:rsidR="00000000" w:rsidRPr="00000000">
        <w:rPr>
          <w:rtl w:val="0"/>
        </w:rPr>
      </w:r>
    </w:p>
    <w:tbl>
      <w:tblPr>
        <w:tblStyle w:val="Table1"/>
        <w:tblW w:w="879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25"/>
        <w:gridCol w:w="555"/>
        <w:gridCol w:w="1695"/>
        <w:gridCol w:w="105"/>
        <w:gridCol w:w="2145"/>
        <w:gridCol w:w="555"/>
        <w:gridCol w:w="1350"/>
        <w:gridCol w:w="1260"/>
        <w:tblGridChange w:id="0">
          <w:tblGrid>
            <w:gridCol w:w="1125"/>
            <w:gridCol w:w="555"/>
            <w:gridCol w:w="1695"/>
            <w:gridCol w:w="105"/>
            <w:gridCol w:w="2145"/>
            <w:gridCol w:w="555"/>
            <w:gridCol w:w="1350"/>
            <w:gridCol w:w="1260"/>
          </w:tblGrid>
        </w:tblGridChange>
      </w:tblGrid>
      <w:tr>
        <w:trPr>
          <w:cantSplit w:val="0"/>
          <w:trHeight w:val="892.1445312499999"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B7">
            <w:pPr>
              <w:spacing w:after="200" w:line="276" w:lineRule="auto"/>
              <w:jc w:val="center"/>
              <w:rPr>
                <w:rFonts w:ascii="Cambria" w:cs="Cambria" w:eastAsia="Cambria" w:hAnsi="Cambria"/>
              </w:rPr>
            </w:pPr>
            <w:r w:rsidDel="00000000" w:rsidR="00000000" w:rsidRPr="00000000">
              <w:rPr>
                <w:rFonts w:ascii="Cambria" w:cs="Cambria" w:eastAsia="Cambria" w:hAnsi="Cambria"/>
                <w:rtl w:val="0"/>
              </w:rPr>
              <w:t xml:space="preserve">Disciplinary background</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B9">
            <w:pPr>
              <w:spacing w:after="200" w:line="360" w:lineRule="auto"/>
              <w:jc w:val="center"/>
              <w:rPr>
                <w:rFonts w:ascii="Cambria" w:cs="Cambria" w:eastAsia="Cambria" w:hAnsi="Cambria"/>
              </w:rPr>
            </w:pPr>
            <w:r w:rsidDel="00000000" w:rsidR="00000000" w:rsidRPr="00000000">
              <w:rPr>
                <w:rFonts w:ascii="Cambria" w:cs="Cambria" w:eastAsia="Cambria" w:hAnsi="Cambria"/>
                <w:rtl w:val="0"/>
              </w:rPr>
              <w:t xml:space="preserve">Pseudonym</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BB">
            <w:pPr>
              <w:spacing w:after="0" w:line="276" w:lineRule="auto"/>
              <w:jc w:val="center"/>
              <w:rPr>
                <w:rFonts w:ascii="Cambria" w:cs="Cambria" w:eastAsia="Cambria" w:hAnsi="Cambria"/>
              </w:rPr>
            </w:pPr>
            <w:r w:rsidDel="00000000" w:rsidR="00000000" w:rsidRPr="00000000">
              <w:rPr>
                <w:rFonts w:ascii="Cambria" w:cs="Cambria" w:eastAsia="Cambria" w:hAnsi="Cambria"/>
                <w:rtl w:val="0"/>
              </w:rPr>
              <w:t xml:space="preserve">Date consent form signed and returned</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BD">
            <w:pPr>
              <w:spacing w:after="200" w:line="360" w:lineRule="auto"/>
              <w:jc w:val="center"/>
              <w:rPr>
                <w:rFonts w:ascii="Cambria" w:cs="Cambria" w:eastAsia="Cambria" w:hAnsi="Cambria"/>
              </w:rPr>
            </w:pPr>
            <w:r w:rsidDel="00000000" w:rsidR="00000000" w:rsidRPr="00000000">
              <w:rPr>
                <w:rFonts w:ascii="Cambria" w:cs="Cambria" w:eastAsia="Cambria" w:hAnsi="Cambria"/>
                <w:rtl w:val="0"/>
              </w:rPr>
              <w:t xml:space="preserve">Date of interview</w:t>
            </w:r>
          </w:p>
        </w:tc>
      </w:tr>
      <w:tr>
        <w:trPr>
          <w:cantSplit w:val="0"/>
          <w:trHeight w:val="440" w:hRule="atLeast"/>
          <w:tblHeader w:val="0"/>
        </w:trPr>
        <w:tc>
          <w:tcPr>
            <w:gridSpan w:val="2"/>
            <w:vMerge w:val="restart"/>
            <w:shd w:fill="auto" w:val="clear"/>
            <w:tcMar>
              <w:top w:w="100.0" w:type="dxa"/>
              <w:left w:w="100.0" w:type="dxa"/>
              <w:bottom w:w="100.0" w:type="dxa"/>
              <w:right w:w="100.0" w:type="dxa"/>
            </w:tcMar>
            <w:vAlign w:val="top"/>
          </w:tcPr>
          <w:p w:rsidR="00000000" w:rsidDel="00000000" w:rsidP="00000000" w:rsidRDefault="00000000" w:rsidRPr="00000000" w14:paraId="000000BF">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Mathematics</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1">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MBL</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3">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5">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06/04/2023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9">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MA</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B">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08/03/2023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D">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22/03/2023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1">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MS</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3">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5">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04/04/2023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9">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MK</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B">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D">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22/03/2023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1">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MI</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3">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13/03/2023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5">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21/03/2023</w:t>
            </w:r>
          </w:p>
        </w:tc>
      </w:tr>
      <w:tr>
        <w:trPr>
          <w:cantSplit w:val="0"/>
          <w:trHeight w:val="440" w:hRule="atLeast"/>
          <w:tblHeader w:val="0"/>
        </w:trPr>
        <w:tc>
          <w:tcPr>
            <w:gridSpan w:val="2"/>
            <w:vMerge w:val="restart"/>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Technology</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9">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TDL</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B">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D">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13/03/2023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1">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TF</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3">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5">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13/03/2023</w:t>
            </w:r>
          </w:p>
        </w:tc>
      </w:tr>
    </w:tbl>
    <w:p w:rsidR="00000000" w:rsidDel="00000000" w:rsidP="00000000" w:rsidRDefault="00000000" w:rsidRPr="00000000" w14:paraId="000000F7">
      <w:pPr>
        <w:spacing w:after="200"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0F8">
      <w:pPr>
        <w:spacing w:before="200" w:line="360" w:lineRule="auto"/>
        <w:jc w:val="both"/>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F9">
      <w:pPr>
        <w:spacing w:before="200" w:line="360" w:lineRule="auto"/>
        <w:jc w:val="both"/>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FA">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3.4.2 Pupils</w:t>
      </w:r>
    </w:p>
    <w:p w:rsidR="00000000" w:rsidDel="00000000" w:rsidP="00000000" w:rsidRDefault="00000000" w:rsidRPr="00000000" w14:paraId="000000FB">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decision has been made to conduct interviews with students across all year levels, commencing from year 7 and concluding with year 13. The justification for the sampling strategy is based on multiple reasons. Initially, I aim to gain a more comprehensive comprehension of students' encounters concerning the challenges related to the transfer of mathematical expertise to Design and Technology endeavours.</w:t>
      </w:r>
    </w:p>
    <w:p w:rsidR="00000000" w:rsidDel="00000000" w:rsidP="00000000" w:rsidRDefault="00000000" w:rsidRPr="00000000" w14:paraId="000000FC">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Furthermore, the rationale for utilising cross-year group sampling is justified due to the inherent challenge of transferring and applying mathematical concepts to design and technology tasks, which is not limited to a particular year group, but rather affects all year groups.</w:t>
      </w:r>
    </w:p>
    <w:p w:rsidR="00000000" w:rsidDel="00000000" w:rsidP="00000000" w:rsidRDefault="00000000" w:rsidRPr="00000000" w14:paraId="000000FD">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Thirdly, it is believed that sampling from all year groups would result in a dataset that is abundant in information, and saturation may be attained.</w:t>
      </w:r>
    </w:p>
    <w:p w:rsidR="00000000" w:rsidDel="00000000" w:rsidP="00000000" w:rsidRDefault="00000000" w:rsidRPr="00000000" w14:paraId="000000FE">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present category comprised an initial cohort of thirty-six (36) students who willingly participated in the research study. However, two of the participants, identified as 'FA' and 'AB', both of whom were year 10 students, subsequently withdrew their participation. Additionally, twelve (12) participants left the school due to reasons that have been elaborated upon in chapter 1.</w:t>
      </w:r>
    </w:p>
    <w:p w:rsidR="00000000" w:rsidDel="00000000" w:rsidP="00000000" w:rsidRDefault="00000000" w:rsidRPr="00000000" w14:paraId="000000FF">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In order to ensure anonymity within this category, a two-letter pseudonym has been assigned to each volunteer participant. The initial letter denotes the individual's first name, whereas the subsequent letter denotes their last name. The interviews were scheduled on different days and occasions, taking into account the preferences of each participant.</w:t>
      </w:r>
    </w:p>
    <w:p w:rsidR="00000000" w:rsidDel="00000000" w:rsidP="00000000" w:rsidRDefault="00000000" w:rsidRPr="00000000" w14:paraId="00000100">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01">
      <w:pPr>
        <w:spacing w:line="360" w:lineRule="auto"/>
        <w:jc w:val="both"/>
        <w:rPr>
          <w:rFonts w:ascii="Cambria" w:cs="Cambria" w:eastAsia="Cambria" w:hAnsi="Cambria"/>
        </w:rPr>
      </w:pPr>
      <w:r w:rsidDel="00000000" w:rsidR="00000000" w:rsidRPr="00000000">
        <w:rPr>
          <w:rtl w:val="0"/>
        </w:rPr>
      </w:r>
    </w:p>
    <w:tbl>
      <w:tblPr>
        <w:tblStyle w:val="Table2"/>
        <w:tblW w:w="9025.511811023624"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608.529425151336"/>
        <w:gridCol w:w="2608.529425151336"/>
        <w:gridCol w:w="1904.2264803604753"/>
        <w:gridCol w:w="1904.2264803604753"/>
        <w:tblGridChange w:id="0">
          <w:tblGrid>
            <w:gridCol w:w="2608.529425151336"/>
            <w:gridCol w:w="2608.529425151336"/>
            <w:gridCol w:w="1904.2264803604753"/>
            <w:gridCol w:w="1904.2264803604753"/>
          </w:tblGrid>
        </w:tblGridChange>
      </w:tblGrid>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2">
            <w:pPr>
              <w:widowControl w:val="0"/>
              <w:jc w:val="center"/>
              <w:rPr>
                <w:rFonts w:ascii="Cambria" w:cs="Cambria" w:eastAsia="Cambria" w:hAnsi="Cambria"/>
                <w:b w:val="1"/>
              </w:rPr>
            </w:pPr>
            <w:r w:rsidDel="00000000" w:rsidR="00000000" w:rsidRPr="00000000">
              <w:rPr>
                <w:rFonts w:ascii="Cambria" w:cs="Cambria" w:eastAsia="Cambria" w:hAnsi="Cambria"/>
                <w:b w:val="1"/>
                <w:rtl w:val="0"/>
              </w:rPr>
              <w:t xml:space="preserve">Year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widowControl w:val="0"/>
              <w:jc w:val="center"/>
              <w:rPr>
                <w:rFonts w:ascii="Cambria" w:cs="Cambria" w:eastAsia="Cambria" w:hAnsi="Cambria"/>
                <w:b w:val="1"/>
              </w:rPr>
            </w:pPr>
            <w:r w:rsidDel="00000000" w:rsidR="00000000" w:rsidRPr="00000000">
              <w:rPr>
                <w:rFonts w:ascii="Cambria" w:cs="Cambria" w:eastAsia="Cambria" w:hAnsi="Cambria"/>
                <w:b w:val="1"/>
                <w:rtl w:val="0"/>
              </w:rPr>
              <w:t xml:space="preserve">Pseudonym</w:t>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widowControl w:val="0"/>
              <w:jc w:val="center"/>
              <w:rPr>
                <w:rFonts w:ascii="Cambria" w:cs="Cambria" w:eastAsia="Cambria" w:hAnsi="Cambria"/>
                <w:b w:val="1"/>
              </w:rPr>
            </w:pPr>
            <w:r w:rsidDel="00000000" w:rsidR="00000000" w:rsidRPr="00000000">
              <w:rPr>
                <w:rFonts w:ascii="Cambria" w:cs="Cambria" w:eastAsia="Cambria" w:hAnsi="Cambria"/>
                <w:b w:val="1"/>
                <w:rtl w:val="0"/>
              </w:rPr>
              <w:t xml:space="preserve">Date assent form signed and returned</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widowControl w:val="0"/>
              <w:jc w:val="center"/>
              <w:rPr>
                <w:rFonts w:ascii="Cambria" w:cs="Cambria" w:eastAsia="Cambria" w:hAnsi="Cambria"/>
                <w:b w:val="1"/>
              </w:rPr>
            </w:pPr>
            <w:r w:rsidDel="00000000" w:rsidR="00000000" w:rsidRPr="00000000">
              <w:rPr>
                <w:rFonts w:ascii="Cambria" w:cs="Cambria" w:eastAsia="Cambria" w:hAnsi="Cambria"/>
                <w:b w:val="1"/>
                <w:rtl w:val="0"/>
              </w:rPr>
              <w:t xml:space="preserve">Date of interview</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6">
            <w:pPr>
              <w:widowControl w:val="0"/>
              <w:jc w:val="center"/>
              <w:rPr>
                <w:rFonts w:ascii="Cambria" w:cs="Cambria" w:eastAsia="Cambria" w:hAnsi="Cambria"/>
              </w:rPr>
            </w:pPr>
            <w:r w:rsidDel="00000000" w:rsidR="00000000" w:rsidRPr="00000000">
              <w:rPr>
                <w:rFonts w:ascii="Cambria" w:cs="Cambria" w:eastAsia="Cambria" w:hAnsi="Cambria"/>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widowControl w:val="0"/>
              <w:jc w:val="center"/>
              <w:rPr>
                <w:rFonts w:ascii="Cambria" w:cs="Cambria" w:eastAsia="Cambria" w:hAnsi="Cambria"/>
              </w:rPr>
            </w:pPr>
            <w:r w:rsidDel="00000000" w:rsidR="00000000" w:rsidRPr="00000000">
              <w:rPr>
                <w:rFonts w:ascii="Cambria" w:cs="Cambria" w:eastAsia="Cambria" w:hAnsi="Cambria"/>
                <w:rtl w:val="0"/>
              </w:rPr>
              <w:t xml:space="preserv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widowControl w:val="0"/>
              <w:rPr>
                <w:rFonts w:ascii="Cambria" w:cs="Cambria" w:eastAsia="Cambria" w:hAnsi="Cambria"/>
              </w:rPr>
            </w:pPr>
            <w:r w:rsidDel="00000000" w:rsidR="00000000" w:rsidRPr="00000000">
              <w:rPr>
                <w:rFonts w:ascii="Cambria" w:cs="Cambria" w:eastAsia="Cambria" w:hAnsi="Cambria"/>
                <w:rtl w:val="0"/>
              </w:rPr>
              <w:t xml:space="preserve">10/03/2023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widowControl w:val="0"/>
              <w:rPr>
                <w:rFonts w:ascii="Cambria" w:cs="Cambria" w:eastAsia="Cambria" w:hAnsi="Cambria"/>
              </w:rPr>
            </w:pPr>
            <w:r w:rsidDel="00000000" w:rsidR="00000000" w:rsidRPr="00000000">
              <w:rPr>
                <w:rFonts w:ascii="Cambria" w:cs="Cambria" w:eastAsia="Cambria" w:hAnsi="Cambria"/>
                <w:rtl w:val="0"/>
              </w:rPr>
              <w:t xml:space="preserve">17/03/2023</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A">
            <w:pPr>
              <w:widowControl w:val="0"/>
              <w:jc w:val="center"/>
              <w:rPr>
                <w:rFonts w:ascii="Cambria" w:cs="Cambria" w:eastAsia="Cambria" w:hAnsi="Cambria"/>
              </w:rPr>
            </w:pPr>
            <w:r w:rsidDel="00000000" w:rsidR="00000000" w:rsidRPr="00000000">
              <w:rPr>
                <w:rFonts w:ascii="Cambria" w:cs="Cambria" w:eastAsia="Cambria" w:hAnsi="Cambria"/>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widowControl w:val="0"/>
              <w:jc w:val="center"/>
              <w:rPr>
                <w:rFonts w:ascii="Cambria" w:cs="Cambria" w:eastAsia="Cambria" w:hAnsi="Cambria"/>
              </w:rPr>
            </w:pPr>
            <w:r w:rsidDel="00000000" w:rsidR="00000000" w:rsidRPr="00000000">
              <w:rPr>
                <w:rFonts w:ascii="Cambria" w:cs="Cambria" w:eastAsia="Cambria" w:hAnsi="Cambria"/>
                <w:rtl w:val="0"/>
              </w:rPr>
              <w:t xml:space="preserve">ZH</w:t>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widowControl w:val="0"/>
              <w:rPr>
                <w:rFonts w:ascii="Cambria" w:cs="Cambria" w:eastAsia="Cambria" w:hAnsi="Cambria"/>
              </w:rPr>
            </w:pPr>
            <w:r w:rsidDel="00000000" w:rsidR="00000000" w:rsidRPr="00000000">
              <w:rPr>
                <w:rFonts w:ascii="Cambria" w:cs="Cambria" w:eastAsia="Cambria" w:hAnsi="Cambria"/>
                <w:rtl w:val="0"/>
              </w:rPr>
              <w:t xml:space="preserve">20/03/2023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widowControl w:val="0"/>
              <w:rPr>
                <w:rFonts w:ascii="Cambria" w:cs="Cambria" w:eastAsia="Cambria" w:hAnsi="Cambria"/>
              </w:rPr>
            </w:pPr>
            <w:r w:rsidDel="00000000" w:rsidR="00000000" w:rsidRPr="00000000">
              <w:rPr>
                <w:rFonts w:ascii="Cambria" w:cs="Cambria" w:eastAsia="Cambria" w:hAnsi="Cambria"/>
                <w:rtl w:val="0"/>
              </w:rPr>
              <w:t xml:space="preserve">05/04/2023</w:t>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0E">
            <w:pPr>
              <w:widowControl w:val="0"/>
              <w:jc w:val="center"/>
              <w:rPr>
                <w:rFonts w:ascii="Cambria" w:cs="Cambria" w:eastAsia="Cambria" w:hAnsi="Cambria"/>
              </w:rPr>
            </w:pPr>
            <w:r w:rsidDel="00000000" w:rsidR="00000000" w:rsidRPr="00000000">
              <w:rPr>
                <w:rFonts w:ascii="Cambria" w:cs="Cambria" w:eastAsia="Cambria" w:hAnsi="Cambria"/>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10F">
            <w:pPr>
              <w:widowControl w:val="0"/>
              <w:jc w:val="center"/>
              <w:rPr>
                <w:rFonts w:ascii="Cambria" w:cs="Cambria" w:eastAsia="Cambria" w:hAnsi="Cambria"/>
              </w:rPr>
            </w:pPr>
            <w:r w:rsidDel="00000000" w:rsidR="00000000" w:rsidRPr="00000000">
              <w:rPr>
                <w:rFonts w:ascii="Cambria" w:cs="Cambria" w:eastAsia="Cambria" w:hAnsi="Cambria"/>
                <w:rtl w:val="0"/>
              </w:rPr>
              <w:t xml:space="preserve">DA</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widowControl w:val="0"/>
              <w:rPr>
                <w:rFonts w:ascii="Cambria" w:cs="Cambria" w:eastAsia="Cambria" w:hAnsi="Cambria"/>
              </w:rPr>
            </w:pPr>
            <w:r w:rsidDel="00000000" w:rsidR="00000000" w:rsidRPr="00000000">
              <w:rPr>
                <w:rFonts w:ascii="Cambria" w:cs="Cambria" w:eastAsia="Cambria" w:hAnsi="Cambria"/>
                <w:rtl w:val="0"/>
              </w:rPr>
              <w:t xml:space="preserve">12/03/2023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widowControl w:val="0"/>
              <w:rPr>
                <w:rFonts w:ascii="Cambria" w:cs="Cambria" w:eastAsia="Cambria" w:hAnsi="Cambria"/>
              </w:rPr>
            </w:pPr>
            <w:r w:rsidDel="00000000" w:rsidR="00000000" w:rsidRPr="00000000">
              <w:rPr>
                <w:rFonts w:ascii="Cambria" w:cs="Cambria" w:eastAsia="Cambria" w:hAnsi="Cambria"/>
                <w:rtl w:val="0"/>
              </w:rPr>
              <w:t xml:space="preserve">06/04/2023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2">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widowControl w:val="0"/>
              <w:jc w:val="center"/>
              <w:rPr>
                <w:rFonts w:ascii="Cambria" w:cs="Cambria" w:eastAsia="Cambria" w:hAnsi="Cambria"/>
              </w:rPr>
            </w:pPr>
            <w:r w:rsidDel="00000000" w:rsidR="00000000" w:rsidRPr="00000000">
              <w:rPr>
                <w:rFonts w:ascii="Cambria" w:cs="Cambria" w:eastAsia="Cambria" w:hAnsi="Cambria"/>
                <w:rtl w:val="0"/>
              </w:rPr>
              <w:t xml:space="preserve">MP</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widowControl w:val="0"/>
              <w:rPr>
                <w:rFonts w:ascii="Cambria" w:cs="Cambria" w:eastAsia="Cambria" w:hAnsi="Cambria"/>
              </w:rPr>
            </w:pPr>
            <w:r w:rsidDel="00000000" w:rsidR="00000000" w:rsidRPr="00000000">
              <w:rPr>
                <w:rFonts w:ascii="Cambria" w:cs="Cambria" w:eastAsia="Cambria" w:hAnsi="Cambria"/>
                <w:rtl w:val="0"/>
              </w:rPr>
              <w:t xml:space="preserve">14/03/2023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widowControl w:val="0"/>
              <w:rPr>
                <w:rFonts w:ascii="Cambria" w:cs="Cambria" w:eastAsia="Cambria" w:hAnsi="Cambria"/>
              </w:rPr>
            </w:pPr>
            <w:r w:rsidDel="00000000" w:rsidR="00000000" w:rsidRPr="00000000">
              <w:rPr>
                <w:rFonts w:ascii="Cambria" w:cs="Cambria" w:eastAsia="Cambria" w:hAnsi="Cambria"/>
                <w:rtl w:val="0"/>
              </w:rPr>
              <w:t xml:space="preserve">03/04/2023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6">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widowControl w:val="0"/>
              <w:jc w:val="center"/>
              <w:rPr>
                <w:rFonts w:ascii="Cambria" w:cs="Cambria" w:eastAsia="Cambria" w:hAnsi="Cambria"/>
              </w:rPr>
            </w:pPr>
            <w:r w:rsidDel="00000000" w:rsidR="00000000" w:rsidRPr="00000000">
              <w:rPr>
                <w:rFonts w:ascii="Cambria" w:cs="Cambria" w:eastAsia="Cambria" w:hAnsi="Cambria"/>
                <w:rtl w:val="0"/>
              </w:rPr>
              <w:t xml:space="preserve">AW</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widowControl w:val="0"/>
              <w:rPr>
                <w:rFonts w:ascii="Cambria" w:cs="Cambria" w:eastAsia="Cambria" w:hAnsi="Cambria"/>
              </w:rPr>
            </w:pPr>
            <w:r w:rsidDel="00000000" w:rsidR="00000000" w:rsidRPr="00000000">
              <w:rPr>
                <w:rFonts w:ascii="Cambria" w:cs="Cambria" w:eastAsia="Cambria" w:hAnsi="Cambria"/>
                <w:rtl w:val="0"/>
              </w:rPr>
              <w:t xml:space="preserve">07/03/2023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widowControl w:val="0"/>
              <w:rPr>
                <w:rFonts w:ascii="Cambria" w:cs="Cambria" w:eastAsia="Cambria" w:hAnsi="Cambria"/>
              </w:rPr>
            </w:pPr>
            <w:r w:rsidDel="00000000" w:rsidR="00000000" w:rsidRPr="00000000">
              <w:rPr>
                <w:rFonts w:ascii="Cambria" w:cs="Cambria" w:eastAsia="Cambria" w:hAnsi="Cambria"/>
                <w:rtl w:val="0"/>
              </w:rPr>
              <w:t xml:space="preserve">04/04/2023</w:t>
            </w:r>
          </w:p>
        </w:tc>
      </w:tr>
      <w:tr>
        <w:trPr>
          <w:cantSplit w:val="0"/>
          <w:trHeight w:val="5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A">
            <w:pPr>
              <w:widowControl w:val="0"/>
              <w:jc w:val="center"/>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widowControl w:val="0"/>
              <w:jc w:val="center"/>
              <w:rPr>
                <w:rFonts w:ascii="Cambria" w:cs="Cambria" w:eastAsia="Cambria" w:hAnsi="Cambria"/>
              </w:rPr>
            </w:pPr>
            <w:r w:rsidDel="00000000" w:rsidR="00000000" w:rsidRPr="00000000">
              <w:rPr>
                <w:rFonts w:ascii="Cambria" w:cs="Cambria" w:eastAsia="Cambria" w:hAnsi="Cambria"/>
                <w:rtl w:val="0"/>
              </w:rPr>
              <w:t xml:space="preserve">LA</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widowControl w:val="0"/>
              <w:rPr>
                <w:rFonts w:ascii="Cambria" w:cs="Cambria" w:eastAsia="Cambria" w:hAnsi="Cambria"/>
              </w:rPr>
            </w:pPr>
            <w:r w:rsidDel="00000000" w:rsidR="00000000" w:rsidRPr="00000000">
              <w:rPr>
                <w:rFonts w:ascii="Cambria" w:cs="Cambria" w:eastAsia="Cambria" w:hAnsi="Cambria"/>
                <w:rtl w:val="0"/>
              </w:rPr>
              <w:t xml:space="preserve">08/03/2023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widowControl w:val="0"/>
              <w:rPr>
                <w:rFonts w:ascii="Cambria" w:cs="Cambria" w:eastAsia="Cambria" w:hAnsi="Cambria"/>
              </w:rPr>
            </w:pPr>
            <w:r w:rsidDel="00000000" w:rsidR="00000000" w:rsidRPr="00000000">
              <w:rPr>
                <w:rFonts w:ascii="Cambria" w:cs="Cambria" w:eastAsia="Cambria" w:hAnsi="Cambria"/>
                <w:rtl w:val="0"/>
              </w:rPr>
              <w:t xml:space="preserve">04/04/2023</w:t>
            </w:r>
          </w:p>
        </w:tc>
      </w:tr>
      <w:tr>
        <w:trPr>
          <w:cantSplit w:val="0"/>
          <w:trHeight w:val="5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widowControl w:val="0"/>
              <w:jc w:val="center"/>
              <w:rPr>
                <w:rFonts w:ascii="Cambria" w:cs="Cambria" w:eastAsia="Cambria" w:hAnsi="Cambria"/>
              </w:rPr>
            </w:pPr>
            <w:r w:rsidDel="00000000" w:rsidR="00000000" w:rsidRPr="00000000">
              <w:rPr>
                <w:rFonts w:ascii="Cambria" w:cs="Cambria" w:eastAsia="Cambria" w:hAnsi="Cambria"/>
                <w:rtl w:val="0"/>
              </w:rPr>
              <w:t xml:space="preserve">HA</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widowControl w:val="0"/>
              <w:rPr>
                <w:rFonts w:ascii="Cambria" w:cs="Cambria" w:eastAsia="Cambria" w:hAnsi="Cambria"/>
              </w:rPr>
            </w:pPr>
            <w:r w:rsidDel="00000000" w:rsidR="00000000" w:rsidRPr="00000000">
              <w:rPr>
                <w:rFonts w:ascii="Cambria" w:cs="Cambria" w:eastAsia="Cambria" w:hAnsi="Cambria"/>
                <w:rtl w:val="0"/>
              </w:rPr>
              <w:t xml:space="preserve">14/03/2023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widowControl w:val="0"/>
              <w:rPr>
                <w:rFonts w:ascii="Cambria" w:cs="Cambria" w:eastAsia="Cambria" w:hAnsi="Cambria"/>
              </w:rPr>
            </w:pPr>
            <w:r w:rsidDel="00000000" w:rsidR="00000000" w:rsidRPr="00000000">
              <w:rPr>
                <w:rFonts w:ascii="Cambria" w:cs="Cambria" w:eastAsia="Cambria" w:hAnsi="Cambria"/>
                <w:rtl w:val="0"/>
              </w:rPr>
              <w:t xml:space="preserve">07/04/2023</w:t>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22">
            <w:pPr>
              <w:widowControl w:val="0"/>
              <w:jc w:val="center"/>
              <w:rPr>
                <w:rFonts w:ascii="Cambria" w:cs="Cambria" w:eastAsia="Cambria" w:hAnsi="Cambria"/>
              </w:rPr>
            </w:pPr>
            <w:r w:rsidDel="00000000" w:rsidR="00000000" w:rsidRPr="00000000">
              <w:rPr>
                <w:rFonts w:ascii="Cambria" w:cs="Cambria" w:eastAsia="Cambria" w:hAnsi="Cambria"/>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widowControl w:val="0"/>
              <w:jc w:val="center"/>
              <w:rPr>
                <w:rFonts w:ascii="Cambria" w:cs="Cambria" w:eastAsia="Cambria" w:hAnsi="Cambria"/>
              </w:rPr>
            </w:pPr>
            <w:r w:rsidDel="00000000" w:rsidR="00000000" w:rsidRPr="00000000">
              <w:rPr>
                <w:rFonts w:ascii="Cambria" w:cs="Cambria" w:eastAsia="Cambria" w:hAnsi="Cambria"/>
                <w:rtl w:val="0"/>
              </w:rPr>
              <w:t xml:space="preserve">AA</w:t>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widowControl w:val="0"/>
              <w:rPr>
                <w:rFonts w:ascii="Cambria" w:cs="Cambria" w:eastAsia="Cambria" w:hAnsi="Cambria"/>
              </w:rPr>
            </w:pPr>
            <w:r w:rsidDel="00000000" w:rsidR="00000000" w:rsidRPr="00000000">
              <w:rPr>
                <w:rFonts w:ascii="Cambria" w:cs="Cambria" w:eastAsia="Cambria" w:hAnsi="Cambria"/>
                <w:rtl w:val="0"/>
              </w:rPr>
              <w:t xml:space="preserve">19/03/2023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widowControl w:val="0"/>
              <w:rPr>
                <w:rFonts w:ascii="Cambria" w:cs="Cambria" w:eastAsia="Cambria" w:hAnsi="Cambria"/>
              </w:rPr>
            </w:pPr>
            <w:r w:rsidDel="00000000" w:rsidR="00000000" w:rsidRPr="00000000">
              <w:rPr>
                <w:rFonts w:ascii="Cambria" w:cs="Cambria" w:eastAsia="Cambria" w:hAnsi="Cambria"/>
                <w:rtl w:val="0"/>
              </w:rPr>
              <w:t xml:space="preserve">06/04/2023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6">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widowControl w:val="0"/>
              <w:jc w:val="center"/>
              <w:rPr>
                <w:rFonts w:ascii="Cambria" w:cs="Cambria" w:eastAsia="Cambria" w:hAnsi="Cambria"/>
              </w:rPr>
            </w:pPr>
            <w:r w:rsidDel="00000000" w:rsidR="00000000" w:rsidRPr="00000000">
              <w:rPr>
                <w:rFonts w:ascii="Cambria" w:cs="Cambria" w:eastAsia="Cambria" w:hAnsi="Cambria"/>
                <w:rtl w:val="0"/>
              </w:rPr>
              <w:t xml:space="preserve">AC</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widowControl w:val="0"/>
              <w:rPr>
                <w:rFonts w:ascii="Cambria" w:cs="Cambria" w:eastAsia="Cambria" w:hAnsi="Cambria"/>
              </w:rPr>
            </w:pPr>
            <w:r w:rsidDel="00000000" w:rsidR="00000000" w:rsidRPr="00000000">
              <w:rPr>
                <w:rFonts w:ascii="Cambria" w:cs="Cambria" w:eastAsia="Cambria" w:hAnsi="Cambria"/>
                <w:rtl w:val="0"/>
              </w:rPr>
              <w:t xml:space="preserve">21/03/2023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widowControl w:val="0"/>
              <w:rPr>
                <w:rFonts w:ascii="Cambria" w:cs="Cambria" w:eastAsia="Cambria" w:hAnsi="Cambria"/>
              </w:rPr>
            </w:pPr>
            <w:r w:rsidDel="00000000" w:rsidR="00000000" w:rsidRPr="00000000">
              <w:rPr>
                <w:rFonts w:ascii="Cambria" w:cs="Cambria" w:eastAsia="Cambria" w:hAnsi="Cambria"/>
                <w:rtl w:val="0"/>
              </w:rPr>
              <w:t xml:space="preserve">28/03/2023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A">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B">
            <w:pPr>
              <w:widowControl w:val="0"/>
              <w:jc w:val="center"/>
              <w:rPr>
                <w:rFonts w:ascii="Cambria" w:cs="Cambria" w:eastAsia="Cambria" w:hAnsi="Cambria"/>
              </w:rPr>
            </w:pPr>
            <w:r w:rsidDel="00000000" w:rsidR="00000000" w:rsidRPr="00000000">
              <w:rPr>
                <w:rFonts w:ascii="Cambria" w:cs="Cambria" w:eastAsia="Cambria" w:hAnsi="Cambria"/>
                <w:rtl w:val="0"/>
              </w:rPr>
              <w:t xml:space="preserve">MA</w:t>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widowControl w:val="0"/>
              <w:rPr>
                <w:rFonts w:ascii="Cambria" w:cs="Cambria" w:eastAsia="Cambria" w:hAnsi="Cambria"/>
              </w:rPr>
            </w:pPr>
            <w:r w:rsidDel="00000000" w:rsidR="00000000" w:rsidRPr="00000000">
              <w:rPr>
                <w:rFonts w:ascii="Cambria" w:cs="Cambria" w:eastAsia="Cambria" w:hAnsi="Cambria"/>
                <w:rtl w:val="0"/>
              </w:rPr>
              <w:t xml:space="preserve">13/03/2023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D">
            <w:pPr>
              <w:widowControl w:val="0"/>
              <w:rPr>
                <w:rFonts w:ascii="Cambria" w:cs="Cambria" w:eastAsia="Cambria" w:hAnsi="Cambria"/>
              </w:rPr>
            </w:pPr>
            <w:r w:rsidDel="00000000" w:rsidR="00000000" w:rsidRPr="00000000">
              <w:rPr>
                <w:rFonts w:ascii="Cambria" w:cs="Cambria" w:eastAsia="Cambria" w:hAnsi="Cambria"/>
                <w:rtl w:val="0"/>
              </w:rPr>
              <w:t xml:space="preserve">27/03/2023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E">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F">
            <w:pPr>
              <w:widowControl w:val="0"/>
              <w:jc w:val="center"/>
              <w:rPr>
                <w:rFonts w:ascii="Cambria" w:cs="Cambria" w:eastAsia="Cambria" w:hAnsi="Cambria"/>
              </w:rPr>
            </w:pPr>
            <w:r w:rsidDel="00000000" w:rsidR="00000000" w:rsidRPr="00000000">
              <w:rPr>
                <w:rFonts w:ascii="Cambria" w:cs="Cambria" w:eastAsia="Cambria" w:hAnsi="Cambria"/>
                <w:rtl w:val="0"/>
              </w:rPr>
              <w:t xml:space="preserve">RA</w:t>
            </w:r>
          </w:p>
        </w:tc>
        <w:tc>
          <w:tcPr>
            <w:shd w:fill="auto" w:val="clear"/>
            <w:tcMar>
              <w:top w:w="100.0" w:type="dxa"/>
              <w:left w:w="100.0" w:type="dxa"/>
              <w:bottom w:w="100.0" w:type="dxa"/>
              <w:right w:w="100.0" w:type="dxa"/>
            </w:tcMar>
            <w:vAlign w:val="top"/>
          </w:tcPr>
          <w:p w:rsidR="00000000" w:rsidDel="00000000" w:rsidP="00000000" w:rsidRDefault="00000000" w:rsidRPr="00000000" w14:paraId="00000130">
            <w:pPr>
              <w:widowControl w:val="0"/>
              <w:rPr>
                <w:rFonts w:ascii="Cambria" w:cs="Cambria" w:eastAsia="Cambria" w:hAnsi="Cambria"/>
              </w:rPr>
            </w:pPr>
            <w:r w:rsidDel="00000000" w:rsidR="00000000" w:rsidRPr="00000000">
              <w:rPr>
                <w:rFonts w:ascii="Cambria" w:cs="Cambria" w:eastAsia="Cambria" w:hAnsi="Cambria"/>
                <w:rtl w:val="0"/>
              </w:rPr>
              <w:t xml:space="preserve">10/03/2023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widowControl w:val="0"/>
              <w:rPr>
                <w:rFonts w:ascii="Cambria" w:cs="Cambria" w:eastAsia="Cambria" w:hAnsi="Cambria"/>
              </w:rPr>
            </w:pPr>
            <w:r w:rsidDel="00000000" w:rsidR="00000000" w:rsidRPr="00000000">
              <w:rPr>
                <w:rFonts w:ascii="Cambria" w:cs="Cambria" w:eastAsia="Cambria" w:hAnsi="Cambria"/>
                <w:rtl w:val="0"/>
              </w:rPr>
              <w:t xml:space="preserve">24/03/2023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2">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widowControl w:val="0"/>
              <w:jc w:val="center"/>
              <w:rPr>
                <w:rFonts w:ascii="Cambria" w:cs="Cambria" w:eastAsia="Cambria" w:hAnsi="Cambria"/>
              </w:rPr>
            </w:pPr>
            <w:r w:rsidDel="00000000" w:rsidR="00000000" w:rsidRPr="00000000">
              <w:rPr>
                <w:rFonts w:ascii="Cambria" w:cs="Cambria" w:eastAsia="Cambria" w:hAnsi="Cambria"/>
                <w:rtl w:val="0"/>
              </w:rPr>
              <w:t xml:space="preserve">ZK</w:t>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widowControl w:val="0"/>
              <w:rPr>
                <w:rFonts w:ascii="Cambria" w:cs="Cambria" w:eastAsia="Cambria" w:hAnsi="Cambria"/>
              </w:rPr>
            </w:pPr>
            <w:r w:rsidDel="00000000" w:rsidR="00000000" w:rsidRPr="00000000">
              <w:rPr>
                <w:rFonts w:ascii="Cambria" w:cs="Cambria" w:eastAsia="Cambria" w:hAnsi="Cambria"/>
                <w:rtl w:val="0"/>
              </w:rPr>
              <w:t xml:space="preserve">21/03/2023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widowControl w:val="0"/>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6">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widowControl w:val="0"/>
              <w:jc w:val="center"/>
              <w:rPr>
                <w:rFonts w:ascii="Cambria" w:cs="Cambria" w:eastAsia="Cambria" w:hAnsi="Cambria"/>
              </w:rPr>
            </w:pPr>
            <w:r w:rsidDel="00000000" w:rsidR="00000000" w:rsidRPr="00000000">
              <w:rPr>
                <w:rFonts w:ascii="Cambria" w:cs="Cambria" w:eastAsia="Cambria" w:hAnsi="Cambria"/>
                <w:rtl w:val="0"/>
              </w:rPr>
              <w:t xml:space="preserve">DA</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widowControl w:val="0"/>
              <w:rPr>
                <w:rFonts w:ascii="Cambria" w:cs="Cambria" w:eastAsia="Cambria" w:hAnsi="Cambria"/>
              </w:rPr>
            </w:pPr>
            <w:r w:rsidDel="00000000" w:rsidR="00000000" w:rsidRPr="00000000">
              <w:rPr>
                <w:rFonts w:ascii="Cambria" w:cs="Cambria" w:eastAsia="Cambria" w:hAnsi="Cambria"/>
                <w:rtl w:val="0"/>
              </w:rPr>
              <w:t xml:space="preserve">09/03/2023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widowControl w:val="0"/>
              <w:rPr>
                <w:rFonts w:ascii="Cambria" w:cs="Cambria" w:eastAsia="Cambria" w:hAnsi="Cambria"/>
              </w:rPr>
            </w:pPr>
            <w:r w:rsidDel="00000000" w:rsidR="00000000" w:rsidRPr="00000000">
              <w:rPr>
                <w:rFonts w:ascii="Cambria" w:cs="Cambria" w:eastAsia="Cambria" w:hAnsi="Cambria"/>
                <w:rtl w:val="0"/>
              </w:rPr>
              <w:t xml:space="preserve">23/03/2023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A">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widowControl w:val="0"/>
              <w:jc w:val="center"/>
              <w:rPr>
                <w:rFonts w:ascii="Cambria" w:cs="Cambria" w:eastAsia="Cambria" w:hAnsi="Cambria"/>
              </w:rPr>
            </w:pPr>
            <w:r w:rsidDel="00000000" w:rsidR="00000000" w:rsidRPr="00000000">
              <w:rPr>
                <w:rFonts w:ascii="Cambria" w:cs="Cambria" w:eastAsia="Cambria" w:hAnsi="Cambria"/>
                <w:rtl w:val="0"/>
              </w:rPr>
              <w:t xml:space="preserve">ZA</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widowControl w:val="0"/>
              <w:rPr>
                <w:rFonts w:ascii="Cambria" w:cs="Cambria" w:eastAsia="Cambria" w:hAnsi="Cambria"/>
              </w:rPr>
            </w:pPr>
            <w:r w:rsidDel="00000000" w:rsidR="00000000" w:rsidRPr="00000000">
              <w:rPr>
                <w:rFonts w:ascii="Cambria" w:cs="Cambria" w:eastAsia="Cambria" w:hAnsi="Cambria"/>
                <w:rtl w:val="0"/>
              </w:rPr>
              <w:t xml:space="preserve">16/03/2023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widowControl w:val="0"/>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E">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F">
            <w:pPr>
              <w:widowControl w:val="0"/>
              <w:jc w:val="center"/>
              <w:rPr>
                <w:rFonts w:ascii="Cambria" w:cs="Cambria" w:eastAsia="Cambria" w:hAnsi="Cambria"/>
              </w:rPr>
            </w:pPr>
            <w:r w:rsidDel="00000000" w:rsidR="00000000" w:rsidRPr="00000000">
              <w:rPr>
                <w:rFonts w:ascii="Cambria" w:cs="Cambria" w:eastAsia="Cambria" w:hAnsi="Cambria"/>
                <w:rtl w:val="0"/>
              </w:rPr>
              <w:t xml:space="preserve">FA</w:t>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widowControl w:val="0"/>
              <w:rPr>
                <w:rFonts w:ascii="Cambria" w:cs="Cambria" w:eastAsia="Cambria" w:hAnsi="Cambria"/>
              </w:rPr>
            </w:pPr>
            <w:r w:rsidDel="00000000" w:rsidR="00000000" w:rsidRPr="00000000">
              <w:rPr>
                <w:rFonts w:ascii="Cambria" w:cs="Cambria" w:eastAsia="Cambria" w:hAnsi="Cambria"/>
                <w:rtl w:val="0"/>
              </w:rPr>
              <w:t xml:space="preserve">12/03/2023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widowControl w:val="0"/>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42">
            <w:pPr>
              <w:widowControl w:val="0"/>
              <w:jc w:val="center"/>
              <w:rPr>
                <w:rFonts w:ascii="Cambria" w:cs="Cambria" w:eastAsia="Cambria" w:hAnsi="Cambria"/>
              </w:rPr>
            </w:pPr>
            <w:r w:rsidDel="00000000" w:rsidR="00000000" w:rsidRPr="00000000">
              <w:rPr>
                <w:rFonts w:ascii="Cambria" w:cs="Cambria" w:eastAsia="Cambria" w:hAnsi="Cambria"/>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43">
            <w:pPr>
              <w:widowControl w:val="0"/>
              <w:jc w:val="center"/>
              <w:rPr>
                <w:rFonts w:ascii="Cambria" w:cs="Cambria" w:eastAsia="Cambria" w:hAnsi="Cambria"/>
              </w:rPr>
            </w:pPr>
            <w:r w:rsidDel="00000000" w:rsidR="00000000" w:rsidRPr="00000000">
              <w:rPr>
                <w:rFonts w:ascii="Cambria" w:cs="Cambria" w:eastAsia="Cambria" w:hAnsi="Cambria"/>
                <w:rtl w:val="0"/>
              </w:rPr>
              <w:t xml:space="preserve">MR</w:t>
            </w:r>
          </w:p>
        </w:tc>
        <w:tc>
          <w:tcPr>
            <w:shd w:fill="auto" w:val="clear"/>
            <w:tcMar>
              <w:top w:w="100.0" w:type="dxa"/>
              <w:left w:w="100.0" w:type="dxa"/>
              <w:bottom w:w="100.0" w:type="dxa"/>
              <w:right w:w="100.0" w:type="dxa"/>
            </w:tcMar>
            <w:vAlign w:val="top"/>
          </w:tcPr>
          <w:p w:rsidR="00000000" w:rsidDel="00000000" w:rsidP="00000000" w:rsidRDefault="00000000" w:rsidRPr="00000000" w14:paraId="00000144">
            <w:pPr>
              <w:widowControl w:val="0"/>
              <w:rPr>
                <w:rFonts w:ascii="Cambria" w:cs="Cambria" w:eastAsia="Cambria" w:hAnsi="Cambria"/>
              </w:rPr>
            </w:pPr>
            <w:r w:rsidDel="00000000" w:rsidR="00000000" w:rsidRPr="00000000">
              <w:rPr>
                <w:rFonts w:ascii="Cambria" w:cs="Cambria" w:eastAsia="Cambria" w:hAnsi="Cambria"/>
                <w:rtl w:val="0"/>
              </w:rPr>
              <w:t xml:space="preserve">07/03/2023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5">
            <w:pPr>
              <w:widowControl w:val="0"/>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6">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widowControl w:val="0"/>
              <w:jc w:val="center"/>
              <w:rPr>
                <w:rFonts w:ascii="Cambria" w:cs="Cambria" w:eastAsia="Cambria" w:hAnsi="Cambria"/>
              </w:rPr>
            </w:pPr>
            <w:r w:rsidDel="00000000" w:rsidR="00000000" w:rsidRPr="00000000">
              <w:rPr>
                <w:rFonts w:ascii="Cambria" w:cs="Cambria" w:eastAsia="Cambria" w:hAnsi="Cambria"/>
                <w:rtl w:val="0"/>
              </w:rPr>
              <w:t xml:space="preserve">BA</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widowControl w:val="0"/>
              <w:rPr>
                <w:rFonts w:ascii="Cambria" w:cs="Cambria" w:eastAsia="Cambria" w:hAnsi="Cambria"/>
              </w:rPr>
            </w:pPr>
            <w:r w:rsidDel="00000000" w:rsidR="00000000" w:rsidRPr="00000000">
              <w:rPr>
                <w:rFonts w:ascii="Cambria" w:cs="Cambria" w:eastAsia="Cambria" w:hAnsi="Cambria"/>
                <w:rtl w:val="0"/>
              </w:rPr>
              <w:t xml:space="preserve">08/03/2023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widowControl w:val="0"/>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A">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B">
            <w:pPr>
              <w:widowControl w:val="0"/>
              <w:jc w:val="center"/>
              <w:rPr>
                <w:rFonts w:ascii="Cambria" w:cs="Cambria" w:eastAsia="Cambria" w:hAnsi="Cambria"/>
              </w:rPr>
            </w:pPr>
            <w:r w:rsidDel="00000000" w:rsidR="00000000" w:rsidRPr="00000000">
              <w:rPr>
                <w:rFonts w:ascii="Cambria" w:cs="Cambria" w:eastAsia="Cambria" w:hAnsi="Cambria"/>
                <w:rtl w:val="0"/>
              </w:rPr>
              <w:t xml:space="preserve">NA</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widowControl w:val="0"/>
              <w:rPr>
                <w:rFonts w:ascii="Cambria" w:cs="Cambria" w:eastAsia="Cambria" w:hAnsi="Cambria"/>
              </w:rPr>
            </w:pPr>
            <w:r w:rsidDel="00000000" w:rsidR="00000000" w:rsidRPr="00000000">
              <w:rPr>
                <w:rFonts w:ascii="Cambria" w:cs="Cambria" w:eastAsia="Cambria" w:hAnsi="Cambria"/>
                <w:rtl w:val="0"/>
              </w:rPr>
              <w:t xml:space="preserve">15/03/2023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widowControl w:val="0"/>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E">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widowControl w:val="0"/>
              <w:jc w:val="center"/>
              <w:rPr>
                <w:rFonts w:ascii="Cambria" w:cs="Cambria" w:eastAsia="Cambria" w:hAnsi="Cambria"/>
              </w:rPr>
            </w:pPr>
            <w:r w:rsidDel="00000000" w:rsidR="00000000" w:rsidRPr="00000000">
              <w:rPr>
                <w:rFonts w:ascii="Cambria" w:cs="Cambria" w:eastAsia="Cambria" w:hAnsi="Cambria"/>
                <w:rtl w:val="0"/>
              </w:rPr>
              <w:t xml:space="preserve">AS</w:t>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widowControl w:val="0"/>
              <w:rPr>
                <w:rFonts w:ascii="Cambria" w:cs="Cambria" w:eastAsia="Cambria" w:hAnsi="Cambria"/>
              </w:rPr>
            </w:pPr>
            <w:r w:rsidDel="00000000" w:rsidR="00000000" w:rsidRPr="00000000">
              <w:rPr>
                <w:rFonts w:ascii="Cambria" w:cs="Cambria" w:eastAsia="Cambria" w:hAnsi="Cambria"/>
                <w:rtl w:val="0"/>
              </w:rPr>
              <w:t xml:space="preserve">12/03/2023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widowControl w:val="0"/>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2">
            <w:pPr>
              <w:widowControl w:val="0"/>
              <w:jc w:val="center"/>
              <w:rPr>
                <w:rFonts w:ascii="Cambria" w:cs="Cambria" w:eastAsia="Cambria" w:hAnsi="Cambria"/>
              </w:rPr>
            </w:pPr>
            <w:r w:rsidDel="00000000" w:rsidR="00000000" w:rsidRPr="00000000">
              <w:rPr>
                <w:rFonts w:ascii="Cambria" w:cs="Cambria" w:eastAsia="Cambria" w:hAnsi="Cambria"/>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53">
            <w:pPr>
              <w:widowControl w:val="0"/>
              <w:jc w:val="center"/>
              <w:rPr>
                <w:rFonts w:ascii="Cambria" w:cs="Cambria" w:eastAsia="Cambria" w:hAnsi="Cambria"/>
              </w:rPr>
            </w:pPr>
            <w:r w:rsidDel="00000000" w:rsidR="00000000" w:rsidRPr="00000000">
              <w:rPr>
                <w:rFonts w:ascii="Cambria" w:cs="Cambria" w:eastAsia="Cambria" w:hAnsi="Cambria"/>
                <w:rtl w:val="0"/>
              </w:rPr>
              <w:t xml:space="preserve">NONE</w:t>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widowControl w:val="0"/>
              <w:rPr>
                <w:rFonts w:ascii="Cambria" w:cs="Cambria" w:eastAsia="Cambria" w:hAnsi="Cambria"/>
              </w:rPr>
            </w:pPr>
            <w:r w:rsidDel="00000000" w:rsidR="00000000" w:rsidRPr="00000000">
              <w:rPr>
                <w:rtl w:val="0"/>
              </w:rPr>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56">
            <w:pPr>
              <w:widowControl w:val="0"/>
              <w:jc w:val="center"/>
              <w:rPr>
                <w:rFonts w:ascii="Cambria" w:cs="Cambria" w:eastAsia="Cambria" w:hAnsi="Cambria"/>
              </w:rPr>
            </w:pPr>
            <w:r w:rsidDel="00000000" w:rsidR="00000000" w:rsidRPr="00000000">
              <w:rPr>
                <w:rFonts w:ascii="Cambria" w:cs="Cambria" w:eastAsia="Cambria" w:hAnsi="Cambria"/>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widowControl w:val="0"/>
              <w:jc w:val="center"/>
              <w:rPr>
                <w:rFonts w:ascii="Cambria" w:cs="Cambria" w:eastAsia="Cambria" w:hAnsi="Cambria"/>
              </w:rPr>
            </w:pPr>
            <w:r w:rsidDel="00000000" w:rsidR="00000000" w:rsidRPr="00000000">
              <w:rPr>
                <w:rFonts w:ascii="Cambria" w:cs="Cambria" w:eastAsia="Cambria" w:hAnsi="Cambria"/>
                <w:rtl w:val="0"/>
              </w:rPr>
              <w:t xml:space="preserve">SA</w:t>
            </w:r>
          </w:p>
        </w:tc>
        <w:tc>
          <w:tcPr>
            <w:shd w:fill="auto" w:val="clear"/>
            <w:tcMar>
              <w:top w:w="100.0" w:type="dxa"/>
              <w:left w:w="100.0" w:type="dxa"/>
              <w:bottom w:w="100.0" w:type="dxa"/>
              <w:right w:w="100.0" w:type="dxa"/>
            </w:tcMar>
            <w:vAlign w:val="top"/>
          </w:tcPr>
          <w:p w:rsidR="00000000" w:rsidDel="00000000" w:rsidP="00000000" w:rsidRDefault="00000000" w:rsidRPr="00000000" w14:paraId="00000158">
            <w:pPr>
              <w:widowControl w:val="0"/>
              <w:rPr>
                <w:rFonts w:ascii="Cambria" w:cs="Cambria" w:eastAsia="Cambria" w:hAnsi="Cambria"/>
              </w:rPr>
            </w:pPr>
            <w:r w:rsidDel="00000000" w:rsidR="00000000" w:rsidRPr="00000000">
              <w:rPr>
                <w:rFonts w:ascii="Cambria" w:cs="Cambria" w:eastAsia="Cambria" w:hAnsi="Cambria"/>
                <w:rtl w:val="0"/>
              </w:rPr>
              <w:t xml:space="preserve">10/03/2023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59">
            <w:pPr>
              <w:widowControl w:val="0"/>
              <w:rPr>
                <w:rFonts w:ascii="Cambria" w:cs="Cambria" w:eastAsia="Cambria" w:hAnsi="Cambria"/>
              </w:rPr>
            </w:pPr>
            <w:r w:rsidDel="00000000" w:rsidR="00000000" w:rsidRPr="00000000">
              <w:rPr>
                <w:rFonts w:ascii="Cambria" w:cs="Cambria" w:eastAsia="Cambria" w:hAnsi="Cambria"/>
                <w:rtl w:val="0"/>
              </w:rPr>
              <w:t xml:space="preserve">31/03/2023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5A">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widowControl w:val="0"/>
              <w:jc w:val="center"/>
              <w:rPr>
                <w:rFonts w:ascii="Cambria" w:cs="Cambria" w:eastAsia="Cambria" w:hAnsi="Cambria"/>
              </w:rPr>
            </w:pPr>
            <w:r w:rsidDel="00000000" w:rsidR="00000000" w:rsidRPr="00000000">
              <w:rPr>
                <w:rFonts w:ascii="Cambria" w:cs="Cambria" w:eastAsia="Cambria" w:hAnsi="Cambria"/>
                <w:rtl w:val="0"/>
              </w:rPr>
              <w:t xml:space="preserv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C">
            <w:pPr>
              <w:widowControl w:val="0"/>
              <w:rPr>
                <w:rFonts w:ascii="Cambria" w:cs="Cambria" w:eastAsia="Cambria" w:hAnsi="Cambria"/>
              </w:rPr>
            </w:pPr>
            <w:r w:rsidDel="00000000" w:rsidR="00000000" w:rsidRPr="00000000">
              <w:rPr>
                <w:rFonts w:ascii="Cambria" w:cs="Cambria" w:eastAsia="Cambria" w:hAnsi="Cambria"/>
                <w:rtl w:val="0"/>
              </w:rPr>
              <w:t xml:space="preserve">09/03/2023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5D">
            <w:pPr>
              <w:widowControl w:val="0"/>
              <w:rPr>
                <w:rFonts w:ascii="Cambria" w:cs="Cambria" w:eastAsia="Cambria" w:hAnsi="Cambria"/>
              </w:rPr>
            </w:pPr>
            <w:r w:rsidDel="00000000" w:rsidR="00000000" w:rsidRPr="00000000">
              <w:rPr>
                <w:rFonts w:ascii="Cambria" w:cs="Cambria" w:eastAsia="Cambria" w:hAnsi="Cambria"/>
                <w:rtl w:val="0"/>
              </w:rPr>
              <w:t xml:space="preserve">31/03/2023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5E">
            <w:pPr>
              <w:widowControl w:val="0"/>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widowControl w:val="0"/>
              <w:jc w:val="center"/>
              <w:rPr>
                <w:rFonts w:ascii="Cambria" w:cs="Cambria" w:eastAsia="Cambria" w:hAnsi="Cambria"/>
              </w:rPr>
            </w:pPr>
            <w:r w:rsidDel="00000000" w:rsidR="00000000" w:rsidRPr="00000000">
              <w:rPr>
                <w:rFonts w:ascii="Cambria" w:cs="Cambria" w:eastAsia="Cambria" w:hAnsi="Cambria"/>
                <w:rtl w:val="0"/>
              </w:rPr>
              <w:t xml:space="preserve">KI</w:t>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widowControl w:val="0"/>
              <w:rPr>
                <w:rFonts w:ascii="Cambria" w:cs="Cambria" w:eastAsia="Cambria" w:hAnsi="Cambria"/>
              </w:rPr>
            </w:pPr>
            <w:r w:rsidDel="00000000" w:rsidR="00000000" w:rsidRPr="00000000">
              <w:rPr>
                <w:rFonts w:ascii="Cambria" w:cs="Cambria" w:eastAsia="Cambria" w:hAnsi="Cambria"/>
                <w:rtl w:val="0"/>
              </w:rPr>
              <w:t xml:space="preserve">09/03/2023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widowControl w:val="0"/>
              <w:rPr>
                <w:rFonts w:ascii="Cambria" w:cs="Cambria" w:eastAsia="Cambria" w:hAnsi="Cambria"/>
              </w:rPr>
            </w:pPr>
            <w:r w:rsidDel="00000000" w:rsidR="00000000" w:rsidRPr="00000000">
              <w:rPr>
                <w:rFonts w:ascii="Cambria" w:cs="Cambria" w:eastAsia="Cambria" w:hAnsi="Cambria"/>
                <w:rtl w:val="0"/>
              </w:rPr>
              <w:t xml:space="preserve">31/03/2023</w:t>
            </w:r>
          </w:p>
        </w:tc>
      </w:tr>
    </w:tbl>
    <w:p w:rsidR="00000000" w:rsidDel="00000000" w:rsidP="00000000" w:rsidRDefault="00000000" w:rsidRPr="00000000" w14:paraId="00000162">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63">
      <w:pPr>
        <w:spacing w:line="480" w:lineRule="auto"/>
        <w:jc w:val="both"/>
        <w:rPr>
          <w:rFonts w:ascii="Cambria" w:cs="Cambria" w:eastAsia="Cambria" w:hAnsi="Cambria"/>
          <w:u w:val="single"/>
        </w:rPr>
      </w:pPr>
      <w:r w:rsidDel="00000000" w:rsidR="00000000" w:rsidRPr="00000000">
        <w:rPr>
          <w:rtl w:val="0"/>
        </w:rPr>
      </w:r>
    </w:p>
    <w:p w:rsidR="00000000" w:rsidDel="00000000" w:rsidP="00000000" w:rsidRDefault="00000000" w:rsidRPr="00000000" w14:paraId="00000164">
      <w:pPr>
        <w:spacing w:line="360" w:lineRule="auto"/>
        <w:jc w:val="both"/>
        <w:rPr>
          <w:rFonts w:ascii="Cambria" w:cs="Cambria" w:eastAsia="Cambria" w:hAnsi="Cambria"/>
          <w:b w:val="1"/>
          <w:sz w:val="30"/>
          <w:szCs w:val="30"/>
        </w:rPr>
      </w:pPr>
      <w:r w:rsidDel="00000000" w:rsidR="00000000" w:rsidRPr="00000000">
        <w:rPr>
          <w:rtl w:val="0"/>
        </w:rPr>
      </w:r>
    </w:p>
    <w:p w:rsidR="00000000" w:rsidDel="00000000" w:rsidP="00000000" w:rsidRDefault="00000000" w:rsidRPr="00000000" w14:paraId="00000165">
      <w:pPr>
        <w:spacing w:line="360" w:lineRule="auto"/>
        <w:jc w:val="both"/>
        <w:rPr>
          <w:rFonts w:ascii="Cambria" w:cs="Cambria" w:eastAsia="Cambria" w:hAnsi="Cambria"/>
          <w:b w:val="1"/>
          <w:sz w:val="30"/>
          <w:szCs w:val="30"/>
        </w:rPr>
      </w:pPr>
      <w:r w:rsidDel="00000000" w:rsidR="00000000" w:rsidRPr="00000000">
        <w:rPr>
          <w:rtl w:val="0"/>
        </w:rPr>
      </w:r>
    </w:p>
    <w:p w:rsidR="00000000" w:rsidDel="00000000" w:rsidP="00000000" w:rsidRDefault="00000000" w:rsidRPr="00000000" w14:paraId="00000166">
      <w:pPr>
        <w:spacing w:line="360" w:lineRule="auto"/>
        <w:jc w:val="both"/>
        <w:rPr>
          <w:rFonts w:ascii="Cambria" w:cs="Cambria" w:eastAsia="Cambria" w:hAnsi="Cambria"/>
          <w:b w:val="1"/>
          <w:sz w:val="30"/>
          <w:szCs w:val="30"/>
        </w:rPr>
      </w:pPr>
      <w:r w:rsidDel="00000000" w:rsidR="00000000" w:rsidRPr="00000000">
        <w:rPr>
          <w:rtl w:val="0"/>
        </w:rPr>
      </w:r>
    </w:p>
    <w:p w:rsidR="00000000" w:rsidDel="00000000" w:rsidP="00000000" w:rsidRDefault="00000000" w:rsidRPr="00000000" w14:paraId="00000167">
      <w:pPr>
        <w:spacing w:line="360" w:lineRule="auto"/>
        <w:jc w:val="both"/>
        <w:rPr>
          <w:rFonts w:ascii="Cambria" w:cs="Cambria" w:eastAsia="Cambria" w:hAnsi="Cambria"/>
          <w:b w:val="1"/>
          <w:sz w:val="30"/>
          <w:szCs w:val="30"/>
        </w:rPr>
      </w:pPr>
      <w:r w:rsidDel="00000000" w:rsidR="00000000" w:rsidRPr="00000000">
        <w:rPr>
          <w:rtl w:val="0"/>
        </w:rPr>
      </w:r>
    </w:p>
    <w:p w:rsidR="00000000" w:rsidDel="00000000" w:rsidP="00000000" w:rsidRDefault="00000000" w:rsidRPr="00000000" w14:paraId="00000168">
      <w:pPr>
        <w:spacing w:line="360" w:lineRule="auto"/>
        <w:jc w:val="both"/>
        <w:rPr>
          <w:rFonts w:ascii="Cambria" w:cs="Cambria" w:eastAsia="Cambria" w:hAnsi="Cambria"/>
          <w:b w:val="1"/>
          <w:sz w:val="30"/>
          <w:szCs w:val="30"/>
        </w:rPr>
      </w:pPr>
      <w:r w:rsidDel="00000000" w:rsidR="00000000" w:rsidRPr="00000000">
        <w:rPr>
          <w:rtl w:val="0"/>
        </w:rPr>
      </w:r>
    </w:p>
    <w:p w:rsidR="00000000" w:rsidDel="00000000" w:rsidP="00000000" w:rsidRDefault="00000000" w:rsidRPr="00000000" w14:paraId="00000169">
      <w:pPr>
        <w:spacing w:line="360" w:lineRule="auto"/>
        <w:jc w:val="both"/>
        <w:rPr>
          <w:rFonts w:ascii="Cambria" w:cs="Cambria" w:eastAsia="Cambria" w:hAnsi="Cambria"/>
          <w:b w:val="1"/>
          <w:sz w:val="30"/>
          <w:szCs w:val="30"/>
        </w:rPr>
      </w:pPr>
      <w:r w:rsidDel="00000000" w:rsidR="00000000" w:rsidRPr="00000000">
        <w:rPr>
          <w:rtl w:val="0"/>
        </w:rPr>
      </w:r>
    </w:p>
    <w:p w:rsidR="00000000" w:rsidDel="00000000" w:rsidP="00000000" w:rsidRDefault="00000000" w:rsidRPr="00000000" w14:paraId="0000016A">
      <w:pPr>
        <w:spacing w:line="360" w:lineRule="auto"/>
        <w:jc w:val="both"/>
        <w:rPr>
          <w:rFonts w:ascii="Cambria" w:cs="Cambria" w:eastAsia="Cambria" w:hAnsi="Cambria"/>
          <w:b w:val="1"/>
          <w:sz w:val="30"/>
          <w:szCs w:val="30"/>
        </w:rPr>
      </w:pPr>
      <w:r w:rsidDel="00000000" w:rsidR="00000000" w:rsidRPr="00000000">
        <w:rPr>
          <w:rtl w:val="0"/>
        </w:rPr>
      </w:r>
    </w:p>
    <w:p w:rsidR="00000000" w:rsidDel="00000000" w:rsidP="00000000" w:rsidRDefault="00000000" w:rsidRPr="00000000" w14:paraId="0000016B">
      <w:pPr>
        <w:spacing w:line="360" w:lineRule="auto"/>
        <w:jc w:val="both"/>
        <w:rPr>
          <w:rFonts w:ascii="Cambria" w:cs="Cambria" w:eastAsia="Cambria" w:hAnsi="Cambria"/>
          <w:b w:val="1"/>
          <w:sz w:val="30"/>
          <w:szCs w:val="30"/>
        </w:rPr>
      </w:pPr>
      <w:r w:rsidDel="00000000" w:rsidR="00000000" w:rsidRPr="00000000">
        <w:rPr>
          <w:rFonts w:ascii="Cambria" w:cs="Cambria" w:eastAsia="Cambria" w:hAnsi="Cambria"/>
          <w:b w:val="1"/>
          <w:sz w:val="30"/>
          <w:szCs w:val="30"/>
          <w:rtl w:val="0"/>
        </w:rPr>
        <w:t xml:space="preserve">3. 5 Interviewing</w:t>
      </w:r>
    </w:p>
    <w:p w:rsidR="00000000" w:rsidDel="00000000" w:rsidP="00000000" w:rsidRDefault="00000000" w:rsidRPr="00000000" w14:paraId="0000016C">
      <w:pPr>
        <w:spacing w:after="120" w:line="360" w:lineRule="auto"/>
        <w:rPr>
          <w:rFonts w:ascii="Cambria" w:cs="Cambria" w:eastAsia="Cambria" w:hAnsi="Cambria"/>
        </w:rPr>
      </w:pPr>
      <w:r w:rsidDel="00000000" w:rsidR="00000000" w:rsidRPr="00000000">
        <w:rPr>
          <w:rFonts w:ascii="Cambria" w:cs="Cambria" w:eastAsia="Cambria" w:hAnsi="Cambria"/>
          <w:rtl w:val="0"/>
        </w:rPr>
        <w:t xml:space="preserve">Semi-structured interviews are a commonly used method in qualitative research. </w:t>
      </w:r>
      <w:r w:rsidDel="00000000" w:rsidR="00000000" w:rsidRPr="00000000">
        <w:rPr>
          <w:rFonts w:ascii="Cambria" w:cs="Cambria" w:eastAsia="Cambria" w:hAnsi="Cambria"/>
          <w:rtl w:val="0"/>
        </w:rPr>
        <w:t xml:space="preserve">Kvale and Brikmann explain semi-structured interview thus:</w:t>
      </w:r>
    </w:p>
    <w:p w:rsidR="00000000" w:rsidDel="00000000" w:rsidP="00000000" w:rsidRDefault="00000000" w:rsidRPr="00000000" w14:paraId="0000016D">
      <w:pPr>
        <w:spacing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As an interview with the purpose of obtaining description of the lifeworld of the interviewee in order to interpret the meaning of the described phenomena.  (Kvale &amp; Brikmann, 2008, p.3)</w:t>
      </w:r>
    </w:p>
    <w:p w:rsidR="00000000" w:rsidDel="00000000" w:rsidP="00000000" w:rsidRDefault="00000000" w:rsidRPr="00000000" w14:paraId="0000016E">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Kvale and Brikmann (2008) argue that semi-structured interviews enhance the potential for generating knowledge through conversations by providing greater flexibility to explore significant aspects as perceived by the interviewees. Furthermore, the interviewer assumes the dual responsibility of generating knowledge and exerting greater influence in steering the discourse towards subject matters deemed pertinent to the research investigation (ibid.).</w:t>
      </w:r>
    </w:p>
    <w:p w:rsidR="00000000" w:rsidDel="00000000" w:rsidP="00000000" w:rsidRDefault="00000000" w:rsidRPr="00000000" w14:paraId="0000016F">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Given that our research aims to gather interviewees' accounts and encounters of real-life scenarios, rather than introspective musings, it is my conviction that semi-structured interviews constitute an appropriate approach for data collection in our study, as expounded by Rubin and Rubin.</w:t>
      </w:r>
    </w:p>
    <w:p w:rsidR="00000000" w:rsidDel="00000000" w:rsidP="00000000" w:rsidRDefault="00000000" w:rsidRPr="00000000" w14:paraId="00000170">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During a semi-structured interview, the researcher focuses on a predetermined topic of interest, formulates a restricted set of questions beforehand, and intends to pose additional inquiries to further explore the topic as explained by Rubin and Rubin: </w:t>
      </w:r>
    </w:p>
    <w:p w:rsidR="00000000" w:rsidDel="00000000" w:rsidP="00000000" w:rsidRDefault="00000000" w:rsidRPr="00000000" w14:paraId="00000171">
      <w:pPr>
        <w:spacing w:before="200" w:line="36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in the semi-structured interview, the researcher has a specific topic to learn about, prepares a limited number of questions in advance, and plans to ask follow up questions.(Rubin and Rubin, 2012, p.31, emphasis added) </w:t>
      </w:r>
    </w:p>
    <w:p w:rsidR="00000000" w:rsidDel="00000000" w:rsidP="00000000" w:rsidRDefault="00000000" w:rsidRPr="00000000" w14:paraId="00000172">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Kvale and </w:t>
      </w:r>
      <w:r w:rsidDel="00000000" w:rsidR="00000000" w:rsidRPr="00000000">
        <w:rPr>
          <w:rFonts w:ascii="Cambria" w:cs="Cambria" w:eastAsia="Cambria" w:hAnsi="Cambria"/>
          <w:rtl w:val="0"/>
        </w:rPr>
        <w:t xml:space="preserve">Brinkmann's</w:t>
      </w:r>
      <w:r w:rsidDel="00000000" w:rsidR="00000000" w:rsidRPr="00000000">
        <w:rPr>
          <w:rFonts w:ascii="Cambria" w:cs="Cambria" w:eastAsia="Cambria" w:hAnsi="Cambria"/>
          <w:rtl w:val="0"/>
        </w:rPr>
        <w:t xml:space="preserve"> (2009) definition, a research interview is a social interaction that involves a dialogue between two individuals who share a common interest. In order to enhance the progression of the discourse, the allowance and the investigative element conveyed to the respondents prior to the commencement of the dialogue, will afford them the opportunity to explicate and exemplify their unique depiction and viewpoint of the circumstance (Cohen, Manion, &amp; Morrison, 2011). </w:t>
      </w:r>
    </w:p>
    <w:p w:rsidR="00000000" w:rsidDel="00000000" w:rsidP="00000000" w:rsidRDefault="00000000" w:rsidRPr="00000000" w14:paraId="00000173">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In accordance with established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 the interview process will commence with inquiries aimed at fostering a sense of ease and well-being among participants. However, it is important to note that the specific questions posed will be tailored to the individual participant, recognising that a particular line of questioning may be suitable for one participant but unsuitable for another (ibid1.).</w:t>
      </w:r>
    </w:p>
    <w:p w:rsidR="00000000" w:rsidDel="00000000" w:rsidP="00000000" w:rsidRDefault="00000000" w:rsidRPr="00000000" w14:paraId="00000174">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Rubin and Rubin (2012) have argued that in-depth descriptions of participants' perspectives cannot be elicited effectively through the use of similar questions during interviews.  The relevance of utilising open-ended interviews in this study lies in its potential to elicit unforeseen significant topics that require further exploration during the interview process. </w:t>
      </w:r>
    </w:p>
    <w:p w:rsidR="00000000" w:rsidDel="00000000" w:rsidP="00000000" w:rsidRDefault="00000000" w:rsidRPr="00000000" w14:paraId="00000175">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The use of leading questions will be minimised to the greatest extent possible, and the responses will be evaluated subsequent to each interview to assess whether the questions generated the intended information.</w:t>
      </w:r>
    </w:p>
    <w:p w:rsidR="00000000" w:rsidDel="00000000" w:rsidP="00000000" w:rsidRDefault="00000000" w:rsidRPr="00000000" w14:paraId="00000176">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An additional crucial factor to take into account is the quality of the interviews. Acknowledging the variability of interviews across participants ( Ibid2), it is imperative to undertake a rigorous assessment and evaluation of each interview, which poses a significant challenge. </w:t>
      </w:r>
    </w:p>
    <w:p w:rsidR="00000000" w:rsidDel="00000000" w:rsidP="00000000" w:rsidRDefault="00000000" w:rsidRPr="00000000" w14:paraId="00000177">
      <w:pPr>
        <w:spacing w:line="360" w:lineRule="auto"/>
        <w:rPr>
          <w:rFonts w:ascii="Cambria" w:cs="Cambria" w:eastAsia="Cambria" w:hAnsi="Cambria"/>
        </w:rPr>
      </w:pPr>
      <w:r w:rsidDel="00000000" w:rsidR="00000000" w:rsidRPr="00000000">
        <w:rPr>
          <w:rFonts w:ascii="Cambria" w:cs="Cambria" w:eastAsia="Cambria" w:hAnsi="Cambria"/>
          <w:rtl w:val="0"/>
        </w:rPr>
        <w:t xml:space="preserve">Kvale and Brinkmann proposed a series of criteria that can be utilised to assess the calibre of interviews. These criteria encompass the subsequent aspects:</w:t>
      </w:r>
    </w:p>
    <w:p w:rsidR="00000000" w:rsidDel="00000000" w:rsidP="00000000" w:rsidRDefault="00000000" w:rsidRPr="00000000" w14:paraId="00000178">
      <w:pPr>
        <w:numPr>
          <w:ilvl w:val="0"/>
          <w:numId w:val="3"/>
        </w:numPr>
        <w:spacing w:line="36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 The level of unprompted, detailed, pertinent, and contextualised responses from the interviewee </w:t>
      </w:r>
    </w:p>
    <w:p w:rsidR="00000000" w:rsidDel="00000000" w:rsidP="00000000" w:rsidRDefault="00000000" w:rsidRPr="00000000" w14:paraId="00000179">
      <w:pPr>
        <w:numPr>
          <w:ilvl w:val="0"/>
          <w:numId w:val="3"/>
        </w:numPr>
        <w:spacing w:line="36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The level of lucidity in the interviewer's questions and the length of the interviewee's responses </w:t>
      </w:r>
    </w:p>
    <w:p w:rsidR="00000000" w:rsidDel="00000000" w:rsidP="00000000" w:rsidRDefault="00000000" w:rsidRPr="00000000" w14:paraId="0000017A">
      <w:pPr>
        <w:numPr>
          <w:ilvl w:val="0"/>
          <w:numId w:val="3"/>
        </w:numPr>
        <w:spacing w:line="36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The extent to which the interviewer pursues further information and elucidates the significance of the pertinent aspects of the responses. (Kvale &amp; Brinkmann, 2009, p. 164).</w:t>
      </w:r>
    </w:p>
    <w:p w:rsidR="00000000" w:rsidDel="00000000" w:rsidP="00000000" w:rsidRDefault="00000000" w:rsidRPr="00000000" w14:paraId="0000017B">
      <w:pPr>
        <w:spacing w:before="200" w:line="360" w:lineRule="auto"/>
        <w:rPr>
          <w:rFonts w:ascii="Cambria" w:cs="Cambria" w:eastAsia="Cambria" w:hAnsi="Cambria"/>
          <w:b w:val="1"/>
          <w:sz w:val="30"/>
          <w:szCs w:val="30"/>
        </w:rPr>
      </w:pPr>
      <w:r w:rsidDel="00000000" w:rsidR="00000000" w:rsidRPr="00000000">
        <w:rPr>
          <w:rFonts w:ascii="Cambria" w:cs="Cambria" w:eastAsia="Cambria" w:hAnsi="Cambria"/>
          <w:b w:val="1"/>
          <w:sz w:val="30"/>
          <w:szCs w:val="30"/>
          <w:rtl w:val="0"/>
        </w:rPr>
        <w:t xml:space="preserve">3.6 Reflection</w:t>
      </w:r>
    </w:p>
    <w:p w:rsidR="00000000" w:rsidDel="00000000" w:rsidP="00000000" w:rsidRDefault="00000000" w:rsidRPr="00000000" w14:paraId="0000017C">
      <w:pPr>
        <w:spacing w:before="0" w:line="360" w:lineRule="auto"/>
        <w:rPr>
          <w:rFonts w:ascii="Cambria" w:cs="Cambria" w:eastAsia="Cambria" w:hAnsi="Cambria"/>
        </w:rPr>
      </w:pPr>
      <w:r w:rsidDel="00000000" w:rsidR="00000000" w:rsidRPr="00000000">
        <w:rPr>
          <w:rFonts w:ascii="Cambria" w:cs="Cambria" w:eastAsia="Cambria" w:hAnsi="Cambria"/>
          <w:rtl w:val="0"/>
        </w:rPr>
        <w:t xml:space="preserve">There exist a number of plausible concerns that may manifest throughout the duration of this investigative study. A challenge that may arise is the potential for interviewees to refuse participation based on their disinterest in the subject of Design and Technology. Consequently, the sample is likely to exhibit a bias towards individuals who hold positive views towards technology and mathematicians who possess a heightened inclination towards D&amp;T.</w:t>
      </w:r>
    </w:p>
    <w:p w:rsidR="00000000" w:rsidDel="00000000" w:rsidP="00000000" w:rsidRDefault="00000000" w:rsidRPr="00000000" w14:paraId="0000017D">
      <w:pPr>
        <w:spacing w:before="200" w:line="360" w:lineRule="auto"/>
        <w:rPr>
          <w:rFonts w:ascii="Cambria" w:cs="Cambria" w:eastAsia="Cambria" w:hAnsi="Cambria"/>
        </w:rPr>
      </w:pPr>
      <w:r w:rsidDel="00000000" w:rsidR="00000000" w:rsidRPr="00000000">
        <w:rPr>
          <w:rFonts w:ascii="Cambria" w:cs="Cambria" w:eastAsia="Cambria" w:hAnsi="Cambria"/>
          <w:rtl w:val="0"/>
        </w:rPr>
        <w:t xml:space="preserve">An additional crucial aspect to contemplate pertains to the methodology employed for data gathering. Although semi-structured interviews have the potential to enhance the conversational ability of human dialogue for the purpose of knowledge generation, they are not exempt from certain constraints. Undoubtedly, in semi-structured interviews, the veracity of participants' responses cannot be ensured, thus necessitating reliance on the interviewees' assertions. Furthermore, the extent of flexibility or autonomy granted in semi-structured interviews could impact the reliability of the answers provided by each participant. </w:t>
      </w:r>
    </w:p>
    <w:p w:rsidR="00000000" w:rsidDel="00000000" w:rsidP="00000000" w:rsidRDefault="00000000" w:rsidRPr="00000000" w14:paraId="0000017E">
      <w:pPr>
        <w:spacing w:before="200"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17F">
      <w:pPr>
        <w:spacing w:before="200" w:line="276"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3.7 Data analysis</w:t>
      </w:r>
    </w:p>
    <w:p w:rsidR="00000000" w:rsidDel="00000000" w:rsidP="00000000" w:rsidRDefault="00000000" w:rsidRPr="00000000" w14:paraId="00000180">
      <w:pPr>
        <w:spacing w:line="360" w:lineRule="auto"/>
        <w:ind w:left="720" w:firstLine="0"/>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3.7.1 Transcription</w:t>
      </w:r>
    </w:p>
    <w:p w:rsidR="00000000" w:rsidDel="00000000" w:rsidP="00000000" w:rsidRDefault="00000000" w:rsidRPr="00000000" w14:paraId="00000181">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Braun and Clarke (2013), there exist several transcription techniques that align with diverse analytical methodologies. The most widespread technique is audio transcription, which is also referred to as orthographic or verbatim transcription. According to Braun and Clark, Orthographic transcription pertains to the transcription of spoken words that are present in recorded data. It aims to capture the exact words that are spoken, as opposed to other forms of audio transcription that utilise phonetic or paralinguistic elements to capture the manner in which the material is spoken. </w:t>
      </w:r>
    </w:p>
    <w:p w:rsidR="00000000" w:rsidDel="00000000" w:rsidP="00000000" w:rsidRDefault="00000000" w:rsidRPr="00000000" w14:paraId="00000182">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Kvale and Brinkmann (2009) claim that a precise and unbiased transcription of spoken language into written form is unattainable.</w:t>
      </w:r>
      <w:r w:rsidDel="00000000" w:rsidR="00000000" w:rsidRPr="00000000">
        <w:rPr>
          <w:rtl w:val="0"/>
        </w:rPr>
      </w:r>
    </w:p>
    <w:p w:rsidR="00000000" w:rsidDel="00000000" w:rsidP="00000000" w:rsidRDefault="00000000" w:rsidRPr="00000000" w14:paraId="00000183">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Rubin and Rubin (2012), precision involves exercising utmost care in acquiring, documenting, and communicating auditory information. Rubin and Rubin explain:  </w:t>
      </w:r>
    </w:p>
    <w:p w:rsidR="00000000" w:rsidDel="00000000" w:rsidP="00000000" w:rsidRDefault="00000000" w:rsidRPr="00000000" w14:paraId="00000184">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Transcription can be painstakingly detailed work, but in order to quote your interviewees, you need a record of exactly what they say. Even if you record your interviews, it is a good idea to take notes because they can help clarify muddled passages when you transcribe. In your transcript, put in question marks or blanks when you cannot figure out some words. (Rubin &amp; Rubin, 2012, p.64)</w:t>
      </w:r>
    </w:p>
    <w:p w:rsidR="00000000" w:rsidDel="00000000" w:rsidP="00000000" w:rsidRDefault="00000000" w:rsidRPr="00000000" w14:paraId="00000185">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The proposed qualitative research study will employ face-to-face semi-structured interviews as the primary data collection method. The interviews will be recorded using a 'HOMDER' brand dictaphone with the explicit consent of the interviewees. During the process of data collection, the interviews will be transcribed and subjected to analysis through the application of orthographic transcription, as expounded by Braun and Clark (2013).</w:t>
      </w:r>
    </w:p>
    <w:p w:rsidR="00000000" w:rsidDel="00000000" w:rsidP="00000000" w:rsidRDefault="00000000" w:rsidRPr="00000000" w14:paraId="00000186">
      <w:pPr>
        <w:spacing w:before="200" w:line="360" w:lineRule="auto"/>
        <w:ind w:left="720" w:firstLine="0"/>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3.7.2 Coding</w:t>
      </w:r>
    </w:p>
    <w:p w:rsidR="00000000" w:rsidDel="00000000" w:rsidP="00000000" w:rsidRDefault="00000000" w:rsidRPr="00000000" w14:paraId="00000187">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Saldaña (2009) posits that a code is commonly a single term or expression that symbolically designates a significant and pertinent evaluation, attribute, or feature to a portion of linguistic or visual information.  According to Saldaña, coding is a technique employed to scrutinise qualitative data, albeit not the sole technique. Saldaña also warns against individuals who openly criticise this method, as well as those who exhibit an unyielding attachment to codes that are referred to as 'coding fetishism'. Moreover, Saldaña advocates for the researcher's exclusive obligation to determine the suitability of coding for their particular research. </w:t>
      </w:r>
      <w:r w:rsidDel="00000000" w:rsidR="00000000" w:rsidRPr="00000000">
        <w:rPr>
          <w:rFonts w:ascii="Cambria" w:cs="Cambria" w:eastAsia="Cambria" w:hAnsi="Cambria"/>
          <w:rtl w:val="0"/>
        </w:rPr>
        <w:t xml:space="preserve">(Saldaña, 2009, p. 5)</w:t>
      </w:r>
    </w:p>
    <w:p w:rsidR="00000000" w:rsidDel="00000000" w:rsidP="00000000" w:rsidRDefault="00000000" w:rsidRPr="00000000" w14:paraId="00000188">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Braun and Clarke explain a code as: </w:t>
      </w:r>
    </w:p>
    <w:p w:rsidR="00000000" w:rsidDel="00000000" w:rsidP="00000000" w:rsidRDefault="00000000" w:rsidRPr="00000000" w14:paraId="00000189">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A word or brief phrase that captures the essence of why you think a particular bit of data may be useful. (Braun &amp; Clarke, 2013, p. 207). </w:t>
      </w:r>
    </w:p>
    <w:p w:rsidR="00000000" w:rsidDel="00000000" w:rsidP="00000000" w:rsidRDefault="00000000" w:rsidRPr="00000000" w14:paraId="0000018A">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After careful consideration, it has been determined that the utilisation of coding is suitable for our qualitative research as it will provide responses to the research inquiries. In order to enhance our comprehension of the research phenomenon as it is exhibited within the dataset, we will conduct an independent analysis of the two datasets utilising the method of thematic analysis as outlined by Braun and Clarke: </w:t>
      </w:r>
    </w:p>
    <w:p w:rsidR="00000000" w:rsidDel="00000000" w:rsidP="00000000" w:rsidRDefault="00000000" w:rsidRPr="00000000" w14:paraId="0000018B">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A form of analysis which has the </w:t>
      </w:r>
      <w:r w:rsidDel="00000000" w:rsidR="00000000" w:rsidRPr="00000000">
        <w:rPr>
          <w:rFonts w:ascii="Cambria" w:cs="Cambria" w:eastAsia="Cambria" w:hAnsi="Cambria"/>
          <w:i w:val="1"/>
          <w:rtl w:val="0"/>
        </w:rPr>
        <w:t xml:space="preserve">Theme</w:t>
      </w:r>
      <w:r w:rsidDel="00000000" w:rsidR="00000000" w:rsidRPr="00000000">
        <w:rPr>
          <w:rFonts w:ascii="Cambria" w:cs="Cambria" w:eastAsia="Cambria" w:hAnsi="Cambria"/>
          <w:rtl w:val="0"/>
        </w:rPr>
        <w:t xml:space="preserve"> as its unit of analysis, and which looks across data from many different sources to identify themes. (Braun &amp; Clark, 2013, p.337, emphasis added)</w:t>
      </w:r>
    </w:p>
    <w:p w:rsidR="00000000" w:rsidDel="00000000" w:rsidP="00000000" w:rsidRDefault="00000000" w:rsidRPr="00000000" w14:paraId="0000018C">
      <w:pPr>
        <w:spacing w:before="200" w:line="36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The coding process for data analysis will entail primarily cross-referencing the transcript with the audio recording. notes  will be documented regarding possible items or developing fields of concern.</w:t>
      </w:r>
    </w:p>
    <w:p w:rsidR="00000000" w:rsidDel="00000000" w:rsidP="00000000" w:rsidRDefault="00000000" w:rsidRPr="00000000" w14:paraId="0000018D">
      <w:pPr>
        <w:spacing w:line="36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 According to Creswell (2009), it is recommended to transfer data sets intended for analysis onto a software platform, such as MAXqda, Atlas.ti, QSR NVivo, or HyperRESEARCH. </w:t>
      </w:r>
    </w:p>
    <w:p w:rsidR="00000000" w:rsidDel="00000000" w:rsidP="00000000" w:rsidRDefault="00000000" w:rsidRPr="00000000" w14:paraId="0000018E">
      <w:pPr>
        <w:spacing w:line="360" w:lineRule="auto"/>
        <w:ind w:left="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8F">
      <w:pPr>
        <w:spacing w:line="36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The findings of our investigation indicate that QSR NVivo is the predominant qualitative research software in England, owing to its integration of the widely-used Nud.ist software with NVivo's highly regarded concept mapping functionality.</w:t>
      </w:r>
    </w:p>
    <w:p w:rsidR="00000000" w:rsidDel="00000000" w:rsidP="00000000" w:rsidRDefault="00000000" w:rsidRPr="00000000" w14:paraId="00000190">
      <w:pPr>
        <w:spacing w:line="360" w:lineRule="auto"/>
        <w:ind w:left="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91">
      <w:pPr>
        <w:spacing w:line="360" w:lineRule="auto"/>
        <w:ind w:left="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92">
      <w:pPr>
        <w:pBdr>
          <w:top w:space="0" w:sz="0" w:val="nil"/>
          <w:left w:space="0" w:sz="0" w:val="nil"/>
          <w:bottom w:space="0" w:sz="0" w:val="nil"/>
          <w:right w:space="0" w:sz="0" w:val="nil"/>
          <w:between w:space="0" w:sz="0" w:val="nil"/>
        </w:pBdr>
        <w:spacing w:after="0" w:before="200" w:line="360" w:lineRule="auto"/>
        <w:ind w:left="0" w:firstLine="0"/>
        <w:jc w:val="both"/>
        <w:rPr>
          <w:rFonts w:ascii="Cambria" w:cs="Cambria" w:eastAsia="Cambria" w:hAnsi="Cambria"/>
          <w:color w:val="000000"/>
          <w:sz w:val="34"/>
          <w:szCs w:val="34"/>
        </w:rPr>
      </w:pPr>
      <w:r w:rsidDel="00000000" w:rsidR="00000000" w:rsidRPr="00000000">
        <w:rPr>
          <w:rFonts w:ascii="Cambria" w:cs="Cambria" w:eastAsia="Cambria" w:hAnsi="Cambria"/>
          <w:color w:val="000000"/>
          <w:sz w:val="34"/>
          <w:szCs w:val="34"/>
          <w:rtl w:val="0"/>
        </w:rPr>
        <w:t xml:space="preserve">3.</w:t>
      </w:r>
      <w:r w:rsidDel="00000000" w:rsidR="00000000" w:rsidRPr="00000000">
        <w:rPr>
          <w:rFonts w:ascii="Cambria" w:cs="Cambria" w:eastAsia="Cambria" w:hAnsi="Cambria"/>
          <w:sz w:val="34"/>
          <w:szCs w:val="34"/>
          <w:rtl w:val="0"/>
        </w:rPr>
        <w:t xml:space="preserve">7</w:t>
      </w:r>
      <w:r w:rsidDel="00000000" w:rsidR="00000000" w:rsidRPr="00000000">
        <w:rPr>
          <w:rFonts w:ascii="Cambria" w:cs="Cambria" w:eastAsia="Cambria" w:hAnsi="Cambria"/>
          <w:color w:val="000000"/>
          <w:sz w:val="34"/>
          <w:szCs w:val="34"/>
          <w:rtl w:val="0"/>
        </w:rPr>
        <w:t xml:space="preserve">.3 </w:t>
      </w:r>
      <w:r w:rsidDel="00000000" w:rsidR="00000000" w:rsidRPr="00000000">
        <w:rPr>
          <w:rFonts w:ascii="Cambria" w:cs="Cambria" w:eastAsia="Cambria" w:hAnsi="Cambria"/>
          <w:sz w:val="34"/>
          <w:szCs w:val="34"/>
          <w:rtl w:val="0"/>
        </w:rPr>
        <w:t xml:space="preserve">P</w:t>
      </w:r>
      <w:r w:rsidDel="00000000" w:rsidR="00000000" w:rsidRPr="00000000">
        <w:rPr>
          <w:rFonts w:ascii="Cambria" w:cs="Cambria" w:eastAsia="Cambria" w:hAnsi="Cambria"/>
          <w:color w:val="000000"/>
          <w:sz w:val="34"/>
          <w:szCs w:val="34"/>
          <w:rtl w:val="0"/>
        </w:rPr>
        <w:t xml:space="preserve">atterns identification</w:t>
      </w:r>
    </w:p>
    <w:p w:rsidR="00000000" w:rsidDel="00000000" w:rsidP="00000000" w:rsidRDefault="00000000" w:rsidRPr="00000000" w14:paraId="00000193">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During the coding procedure, interviews will be deconstructed into smaller fragments. By means of the pattern identification procedure, the information will be reconstructed to narrate a consistent account. According to Braun and Clarke(2013), two fundamental concepts are proposed for the identification of trends and themes in qualitative research which are: </w:t>
      </w:r>
      <w:r w:rsidDel="00000000" w:rsidR="00000000" w:rsidRPr="00000000">
        <w:rPr>
          <w:rtl w:val="0"/>
        </w:rPr>
      </w:r>
    </w:p>
    <w:p w:rsidR="00000000" w:rsidDel="00000000" w:rsidP="00000000" w:rsidRDefault="00000000" w:rsidRPr="00000000" w14:paraId="00000194">
      <w:pPr>
        <w:numPr>
          <w:ilvl w:val="0"/>
          <w:numId w:val="4"/>
        </w:numPr>
        <w:pBdr>
          <w:top w:space="0" w:sz="0" w:val="nil"/>
          <w:left w:space="0" w:sz="0" w:val="nil"/>
          <w:bottom w:space="0" w:sz="0" w:val="nil"/>
          <w:right w:space="0" w:sz="0" w:val="nil"/>
          <w:between w:space="0" w:sz="0" w:val="nil"/>
        </w:pBdr>
        <w:spacing w:line="360" w:lineRule="auto"/>
        <w:ind w:left="1440" w:hanging="360"/>
        <w:jc w:val="both"/>
        <w:rPr>
          <w:rFonts w:ascii="Cambria" w:cs="Cambria" w:eastAsia="Cambria" w:hAnsi="Cambria"/>
          <w:color w:val="000000"/>
        </w:rPr>
      </w:pPr>
      <w:r w:rsidDel="00000000" w:rsidR="00000000" w:rsidRPr="00000000">
        <w:rPr>
          <w:rFonts w:ascii="Cambria" w:cs="Cambria" w:eastAsia="Cambria" w:hAnsi="Cambria"/>
          <w:rtl w:val="0"/>
        </w:rPr>
        <w:t xml:space="preserve">Pattern-based analysis which is  based on the assumption that concepts that are repeated throughout a given dataset hold a certain level of social significance.</w:t>
      </w:r>
      <w:r w:rsidDel="00000000" w:rsidR="00000000" w:rsidRPr="00000000">
        <w:rPr>
          <w:rtl w:val="0"/>
        </w:rPr>
      </w:r>
    </w:p>
    <w:p w:rsidR="00000000" w:rsidDel="00000000" w:rsidP="00000000" w:rsidRDefault="00000000" w:rsidRPr="00000000" w14:paraId="00000195">
      <w:pPr>
        <w:numPr>
          <w:ilvl w:val="0"/>
          <w:numId w:val="4"/>
        </w:numPr>
        <w:pBdr>
          <w:top w:space="0" w:sz="0" w:val="nil"/>
          <w:left w:space="0" w:sz="0" w:val="nil"/>
          <w:bottom w:space="0" w:sz="0" w:val="nil"/>
          <w:right w:space="0" w:sz="0" w:val="nil"/>
          <w:between w:space="0" w:sz="0" w:val="nil"/>
        </w:pBdr>
        <w:spacing w:after="200" w:line="360" w:lineRule="auto"/>
        <w:ind w:left="1440" w:hanging="360"/>
        <w:jc w:val="both"/>
        <w:rPr>
          <w:rFonts w:ascii="Cambria" w:cs="Cambria" w:eastAsia="Cambria" w:hAnsi="Cambria"/>
          <w:color w:val="000000"/>
        </w:rPr>
      </w:pPr>
      <w:r w:rsidDel="00000000" w:rsidR="00000000" w:rsidRPr="00000000">
        <w:rPr>
          <w:rFonts w:ascii="Cambria" w:cs="Cambria" w:eastAsia="Cambria" w:hAnsi="Cambria"/>
          <w:rtl w:val="0"/>
        </w:rPr>
        <w:t xml:space="preserve">A theme is a significant aspect of the data that pertains to the research question and denotes a degree of structured reaction or significance within the dataset.</w:t>
      </w:r>
      <w:r w:rsidDel="00000000" w:rsidR="00000000" w:rsidRPr="00000000">
        <w:rPr>
          <w:rFonts w:ascii="Cambria" w:cs="Cambria" w:eastAsia="Cambria" w:hAnsi="Cambria"/>
          <w:color w:val="000000"/>
          <w:rtl w:val="0"/>
        </w:rPr>
        <w:t xml:space="preserve">. (Braun &amp; Clarke, 2013, p. 223)</w:t>
      </w:r>
    </w:p>
    <w:p w:rsidR="00000000" w:rsidDel="00000000" w:rsidP="00000000" w:rsidRDefault="00000000" w:rsidRPr="00000000" w14:paraId="00000196">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utilisation of codes and coded data will be employed in the generation of themes.  The utilisation of a mind-mapping technique will be employed with the purpose of identifying themes and conducting an analysis that is most suitable for addressing the research question, rather than striving for an ideal solution.(Braun &amp; Clarke, 2013).</w:t>
      </w:r>
    </w:p>
    <w:p w:rsidR="00000000" w:rsidDel="00000000" w:rsidP="00000000" w:rsidRDefault="00000000" w:rsidRPr="00000000" w14:paraId="00000197">
      <w:pPr>
        <w:spacing w:before="200"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3.7.4 Conclusion</w:t>
      </w:r>
    </w:p>
    <w:p w:rsidR="00000000" w:rsidDel="00000000" w:rsidP="00000000" w:rsidRDefault="00000000" w:rsidRPr="00000000" w14:paraId="00000198">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present chapter delineates the methodological framework that will guide the conduct of our research. I presented a justification for the epistemological and philosophical positions taken in addressing our research inquiries. In addition,   clarified the methodologies and strategies for gathering and scrutinising data that will be utilised in conducting the qualitative interviews. Furthermore, I have conducted a  critical evaluation  of several methods for gathering data. Verifying the accuracy as well as the reliability of the gathered data is a fundamental aim of qualitative research. These factors encompass the reliability and precision of the data, among other considerations. The data collection approach utilised in this study involves semi-structured interviews. During these interviews, the interviewer, who in this case is me, accepts the interviewee's interpretation and meaning at face value. It is important to note that there is no standard procedure to ensure the credibility and accuracy of the information obtained by the interviewer.</w:t>
      </w:r>
      <w:r w:rsidDel="00000000" w:rsidR="00000000" w:rsidRPr="00000000">
        <w:rPr>
          <w:rtl w:val="0"/>
        </w:rPr>
      </w:r>
    </w:p>
    <w:p w:rsidR="00000000" w:rsidDel="00000000" w:rsidP="00000000" w:rsidRDefault="00000000" w:rsidRPr="00000000" w14:paraId="00000199">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9A">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9B">
      <w:pPr>
        <w:pBdr>
          <w:top w:space="0" w:sz="0" w:val="nil"/>
          <w:left w:space="0" w:sz="0" w:val="nil"/>
          <w:bottom w:space="0" w:sz="0" w:val="nil"/>
          <w:right w:space="0" w:sz="0" w:val="nil"/>
          <w:between w:space="0" w:sz="0" w:val="nil"/>
        </w:pBdr>
        <w:rPr>
          <w:rFonts w:ascii="Cambria" w:cs="Cambria" w:eastAsia="Cambria" w:hAnsi="Cambria"/>
          <w:color w:val="000000"/>
        </w:rPr>
      </w:pPr>
      <w:r w:rsidDel="00000000" w:rsidR="00000000" w:rsidRPr="00000000">
        <w:rPr>
          <w:rFonts w:ascii="Cambria" w:cs="Cambria" w:eastAsia="Cambria" w:hAnsi="Cambria"/>
          <w:b w:val="1"/>
          <w:color w:val="000000"/>
          <w:sz w:val="36"/>
          <w:szCs w:val="36"/>
          <w:rtl w:val="0"/>
        </w:rPr>
        <w:t xml:space="preserve">CHAPTER 4 </w:t>
      </w:r>
      <w:r w:rsidDel="00000000" w:rsidR="00000000" w:rsidRPr="00000000">
        <w:rPr>
          <w:rFonts w:ascii="Cambria" w:cs="Cambria" w:eastAsia="Cambria" w:hAnsi="Cambria"/>
          <w:color w:val="000000"/>
          <w:sz w:val="36"/>
          <w:szCs w:val="36"/>
          <w:rtl w:val="0"/>
        </w:rPr>
        <w:t xml:space="preserve"> </w:t>
      </w:r>
      <w:r w:rsidDel="00000000" w:rsidR="00000000" w:rsidRPr="00000000">
        <w:rPr>
          <w:rFonts w:ascii="Cambria" w:cs="Cambria" w:eastAsia="Cambria" w:hAnsi="Cambria"/>
          <w:color w:val="000000"/>
          <w:rtl w:val="0"/>
        </w:rPr>
        <w:t xml:space="preserve">  </w:t>
      </w:r>
    </w:p>
    <w:p w:rsidR="00000000" w:rsidDel="00000000" w:rsidP="00000000" w:rsidRDefault="00000000" w:rsidRPr="00000000" w14:paraId="0000019C">
      <w:pPr>
        <w:pBdr>
          <w:top w:space="0" w:sz="0" w:val="nil"/>
          <w:left w:space="0" w:sz="0" w:val="nil"/>
          <w:bottom w:space="0" w:sz="0" w:val="nil"/>
          <w:right w:space="0" w:sz="0" w:val="nil"/>
          <w:between w:space="0" w:sz="0" w:val="nil"/>
        </w:pBdr>
        <w:spacing w:after="200" w:lineRule="auto"/>
        <w:rPr>
          <w:rFonts w:ascii="Cambria" w:cs="Cambria" w:eastAsia="Cambria" w:hAnsi="Cambria"/>
          <w:color w:val="000000"/>
          <w:sz w:val="34"/>
          <w:szCs w:val="34"/>
        </w:rPr>
      </w:pPr>
      <w:r w:rsidDel="00000000" w:rsidR="00000000" w:rsidRPr="00000000">
        <w:rPr>
          <w:rFonts w:ascii="Cambria" w:cs="Cambria" w:eastAsia="Cambria" w:hAnsi="Cambria"/>
          <w:color w:val="000000"/>
          <w:sz w:val="34"/>
          <w:szCs w:val="34"/>
          <w:rtl w:val="0"/>
        </w:rPr>
        <w:t xml:space="preserve">FINDINGS AND DATA ANALYSIS</w:t>
      </w:r>
    </w:p>
    <w:p w:rsidR="00000000" w:rsidDel="00000000" w:rsidP="00000000" w:rsidRDefault="00000000" w:rsidRPr="00000000" w14:paraId="0000019D">
      <w:pPr>
        <w:pBdr>
          <w:top w:space="0" w:sz="0" w:val="nil"/>
          <w:left w:space="0" w:sz="0" w:val="nil"/>
          <w:bottom w:space="0" w:sz="0" w:val="nil"/>
          <w:right w:space="0" w:sz="0" w:val="nil"/>
          <w:between w:space="0" w:sz="0" w:val="nil"/>
        </w:pBdr>
        <w:spacing w:line="360" w:lineRule="auto"/>
        <w:rPr>
          <w:rFonts w:ascii="Cambria" w:cs="Cambria" w:eastAsia="Cambria" w:hAnsi="Cambria"/>
        </w:rPr>
      </w:pPr>
      <w:r w:rsidDel="00000000" w:rsidR="00000000" w:rsidRPr="00000000">
        <w:rPr>
          <w:rFonts w:ascii="Cambria" w:cs="Cambria" w:eastAsia="Cambria" w:hAnsi="Cambria"/>
          <w:rtl w:val="0"/>
        </w:rPr>
        <w:t xml:space="preserve">In this chapter, I will analyse the data collected through the thematic analysis described  within the methodology framework in chapter 3.</w:t>
      </w:r>
      <w:r w:rsidDel="00000000" w:rsidR="00000000" w:rsidRPr="00000000">
        <w:rPr>
          <w:rtl w:val="0"/>
        </w:rPr>
      </w:r>
    </w:p>
    <w:p w:rsidR="00000000" w:rsidDel="00000000" w:rsidP="00000000" w:rsidRDefault="00000000" w:rsidRPr="00000000" w14:paraId="0000019E">
      <w:pPr>
        <w:pBdr>
          <w:top w:space="0" w:sz="0" w:val="nil"/>
          <w:left w:space="0" w:sz="0" w:val="nil"/>
          <w:bottom w:space="0" w:sz="0" w:val="nil"/>
          <w:right w:space="0" w:sz="0" w:val="nil"/>
          <w:between w:space="0" w:sz="0" w:val="nil"/>
        </w:pBdr>
        <w:spacing w:line="360" w:lineRule="auto"/>
        <w:rPr>
          <w:rFonts w:ascii="Cambria" w:cs="Cambria" w:eastAsia="Cambria" w:hAnsi="Cambria"/>
          <w:b w:val="1"/>
          <w:sz w:val="34"/>
          <w:szCs w:val="34"/>
        </w:rPr>
      </w:pPr>
      <w:r w:rsidDel="00000000" w:rsidR="00000000" w:rsidRPr="00000000">
        <w:rPr>
          <w:rFonts w:ascii="Cambria" w:cs="Cambria" w:eastAsia="Cambria" w:hAnsi="Cambria"/>
          <w:sz w:val="34"/>
          <w:szCs w:val="34"/>
          <w:rtl w:val="0"/>
        </w:rPr>
        <w:t xml:space="preserve"> </w:t>
      </w:r>
      <w:r w:rsidDel="00000000" w:rsidR="00000000" w:rsidRPr="00000000">
        <w:rPr>
          <w:rFonts w:ascii="Cambria" w:cs="Cambria" w:eastAsia="Cambria" w:hAnsi="Cambria"/>
          <w:b w:val="1"/>
          <w:sz w:val="34"/>
          <w:szCs w:val="34"/>
          <w:rtl w:val="0"/>
        </w:rPr>
        <w:t xml:space="preserve">4.1 Data gathering from teachers</w:t>
      </w:r>
    </w:p>
    <w:p w:rsidR="00000000" w:rsidDel="00000000" w:rsidP="00000000" w:rsidRDefault="00000000" w:rsidRPr="00000000" w14:paraId="0000019F">
      <w:pPr>
        <w:pBdr>
          <w:top w:space="0" w:sz="0" w:val="nil"/>
          <w:left w:space="0" w:sz="0" w:val="nil"/>
          <w:bottom w:space="0" w:sz="0" w:val="nil"/>
          <w:right w:space="0" w:sz="0" w:val="nil"/>
          <w:between w:space="0" w:sz="0" w:val="nil"/>
        </w:pBdr>
        <w:spacing w:line="360" w:lineRule="auto"/>
        <w:rPr>
          <w:rFonts w:ascii="Cambria" w:cs="Cambria" w:eastAsia="Cambria" w:hAnsi="Cambria"/>
        </w:rPr>
      </w:pPr>
      <w:r w:rsidDel="00000000" w:rsidR="00000000" w:rsidRPr="00000000">
        <w:rPr>
          <w:rFonts w:ascii="Cambria" w:cs="Cambria" w:eastAsia="Cambria" w:hAnsi="Cambria"/>
          <w:rtl w:val="0"/>
        </w:rPr>
        <w:t xml:space="preserve">The findings obtained from semi-structured interviews conducted with teachers unveiled four distinct themes. These themes will be systematically discussed and analysed from various theoretical perspectives.</w:t>
      </w:r>
    </w:p>
    <w:p w:rsidR="00000000" w:rsidDel="00000000" w:rsidP="00000000" w:rsidRDefault="00000000" w:rsidRPr="00000000" w14:paraId="000001A0">
      <w:pPr>
        <w:numPr>
          <w:ilvl w:val="0"/>
          <w:numId w:val="1"/>
        </w:numPr>
        <w:spacing w:line="36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Language differences </w:t>
      </w:r>
    </w:p>
    <w:p w:rsidR="00000000" w:rsidDel="00000000" w:rsidP="00000000" w:rsidRDefault="00000000" w:rsidRPr="00000000" w14:paraId="000001A1">
      <w:pPr>
        <w:numPr>
          <w:ilvl w:val="0"/>
          <w:numId w:val="1"/>
        </w:numPr>
        <w:spacing w:line="36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Departments locations</w:t>
      </w:r>
    </w:p>
    <w:p w:rsidR="00000000" w:rsidDel="00000000" w:rsidP="00000000" w:rsidRDefault="00000000" w:rsidRPr="00000000" w14:paraId="000001A2">
      <w:pPr>
        <w:numPr>
          <w:ilvl w:val="0"/>
          <w:numId w:val="1"/>
        </w:numPr>
        <w:spacing w:line="36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Finger-pointing and blame culture</w:t>
      </w:r>
    </w:p>
    <w:p w:rsidR="00000000" w:rsidDel="00000000" w:rsidP="00000000" w:rsidRDefault="00000000" w:rsidRPr="00000000" w14:paraId="000001A3">
      <w:pPr>
        <w:numPr>
          <w:ilvl w:val="0"/>
          <w:numId w:val="1"/>
        </w:numPr>
        <w:spacing w:line="36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Timing</w:t>
      </w:r>
      <w:r w:rsidDel="00000000" w:rsidR="00000000" w:rsidRPr="00000000">
        <w:rPr>
          <w:rtl w:val="0"/>
        </w:rPr>
      </w:r>
    </w:p>
    <w:p w:rsidR="00000000" w:rsidDel="00000000" w:rsidP="00000000" w:rsidRDefault="00000000" w:rsidRPr="00000000" w14:paraId="000001A4">
      <w:pPr>
        <w:pBdr>
          <w:top w:space="0" w:sz="0" w:val="nil"/>
          <w:left w:space="0" w:sz="0" w:val="nil"/>
          <w:bottom w:space="0" w:sz="0" w:val="nil"/>
          <w:right w:space="0" w:sz="0" w:val="nil"/>
          <w:between w:space="0" w:sz="0" w:val="nil"/>
        </w:pBdr>
        <w:spacing w:line="360" w:lineRule="auto"/>
        <w:ind w:left="720" w:firstLine="0"/>
        <w:rPr>
          <w:rFonts w:ascii="Cambria" w:cs="Cambria" w:eastAsia="Cambria" w:hAnsi="Cambria"/>
        </w:rPr>
      </w:pPr>
      <w:r w:rsidDel="00000000" w:rsidR="00000000" w:rsidRPr="00000000">
        <w:rPr>
          <w:rtl w:val="0"/>
        </w:rPr>
      </w:r>
    </w:p>
    <w:p w:rsidR="00000000" w:rsidDel="00000000" w:rsidP="00000000" w:rsidRDefault="00000000" w:rsidRPr="00000000" w14:paraId="000001A5">
      <w:pPr>
        <w:pBdr>
          <w:top w:space="0" w:sz="0" w:val="nil"/>
          <w:left w:space="0" w:sz="0" w:val="nil"/>
          <w:bottom w:space="0" w:sz="0" w:val="nil"/>
          <w:right w:space="0" w:sz="0" w:val="nil"/>
          <w:between w:space="0" w:sz="0" w:val="nil"/>
        </w:pBdr>
        <w:spacing w:line="360" w:lineRule="auto"/>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4.1.1  language differences </w:t>
      </w:r>
    </w:p>
    <w:p w:rsidR="00000000" w:rsidDel="00000000" w:rsidP="00000000" w:rsidRDefault="00000000" w:rsidRPr="00000000" w14:paraId="000001A6">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Bernstein (2000), the establishment of clear boundaries between academic departments is crucial. He argues that language should be tailored to specific subjects, as this promotes a sense of distinctiveness in subject specialisation and cultivates a robust departmental culture. For Bernstein,  ‘A can only be A if it can separate itself from B’(2000, p. 6).</w:t>
      </w:r>
    </w:p>
    <w:p w:rsidR="00000000" w:rsidDel="00000000" w:rsidP="00000000" w:rsidRDefault="00000000" w:rsidRPr="00000000" w14:paraId="000001A7">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Therefore, it is a justifiable expectation that language will be approached distinctively in the fields of mathematics and design and technology, given that they are two discrete areas of academic inquiry.  Williams et al.,(2016) argue that multidisciplinary collaboration can present difficulties as it requires managing differences in the comprehension of knowledge, language, and practise. In academic discourse, it is commonly acknowledged that there exist differences between mathematics and other disciplines that employ mathematical concepts, in terms of the interpretation of information, the application of language, and the execution of mathematical procedures. </w:t>
      </w:r>
    </w:p>
    <w:p w:rsidR="00000000" w:rsidDel="00000000" w:rsidP="00000000" w:rsidRDefault="00000000" w:rsidRPr="00000000" w14:paraId="000001A8">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 considerable proportion of the teachers who were interviewed and engaged in conversations about linguistic discrepancies acknowledged their awareness of these variations as challenges that may constrain their collaboration with D&amp;T counterparts.</w:t>
      </w:r>
    </w:p>
    <w:p w:rsidR="00000000" w:rsidDel="00000000" w:rsidP="00000000" w:rsidRDefault="00000000" w:rsidRPr="00000000" w14:paraId="000001A9">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AA">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MBL, mathematics possesses a distinct language, and in the absence of linguistic differentiation between the two domains, mathematics and D&amp;T might be regarded as a single field: If [language] is the same in D&amp;T and Maths , then it's only one subject, so why have and D&amp;T lessons?[MBL]</w:t>
      </w:r>
    </w:p>
    <w:p w:rsidR="00000000" w:rsidDel="00000000" w:rsidP="00000000" w:rsidRDefault="00000000" w:rsidRPr="00000000" w14:paraId="000001AB">
      <w:pPr>
        <w:pBdr>
          <w:top w:space="0" w:sz="0" w:val="nil"/>
          <w:left w:space="0" w:sz="0" w:val="nil"/>
          <w:bottom w:space="0" w:sz="0" w:val="nil"/>
          <w:right w:space="0" w:sz="0" w:val="nil"/>
          <w:between w:space="0" w:sz="0" w:val="nil"/>
        </w:pBdr>
        <w:spacing w:after="200"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These linguistic differences make it difficult for pupils to use mathematics in D&amp;T, as described by TDL: I believe that pupils' inability to use  mathematical skills [in D&amp;T] is exacerbated by the use of mathematical language. Sometimes they simply don't comprehend the word you're using, but when you demonstrate, they respond, "Oh, I see now." [TDL]. For TDL, gaining a greater understanding of the mathematics curriculum could help  explain why students sometimes struggle to follow supposedly straightforward D&amp;T instructions. </w:t>
      </w:r>
    </w:p>
    <w:p w:rsidR="00000000" w:rsidDel="00000000" w:rsidP="00000000" w:rsidRDefault="00000000" w:rsidRPr="00000000" w14:paraId="000001AC">
      <w:pPr>
        <w:pBdr>
          <w:top w:space="0" w:sz="0" w:val="nil"/>
          <w:left w:space="0" w:sz="0" w:val="nil"/>
          <w:bottom w:space="0" w:sz="0" w:val="nil"/>
          <w:right w:space="0" w:sz="0" w:val="nil"/>
          <w:between w:space="0" w:sz="0" w:val="nil"/>
        </w:pBd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Similar to the point made by TDL, TF emphasises that students may be able to complete the task in D&amp;T, but the language used, and especially the differences in language used between D&amp;T subject and mathematics,  represent a massive obstacle  to student comprehension. Both TF and TDL indicated that their pupils were capable of performing the task in both fields, but needed assistance to overcome the obstacles. </w:t>
      </w:r>
    </w:p>
    <w:p w:rsidR="00000000" w:rsidDel="00000000" w:rsidP="00000000" w:rsidRDefault="00000000" w:rsidRPr="00000000" w14:paraId="000001AD">
      <w:pPr>
        <w:spacing w:line="360" w:lineRule="auto"/>
        <w:ind w:left="0" w:firstLine="0"/>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4.1.2 Departments locations</w:t>
      </w:r>
    </w:p>
    <w:p w:rsidR="00000000" w:rsidDel="00000000" w:rsidP="00000000" w:rsidRDefault="00000000" w:rsidRPr="00000000" w14:paraId="000001AE">
      <w:pPr>
        <w:spacing w:line="36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Bernstein(2000) also argued in favour of departmental physical space  as it supports his theory of necessary departmental boundaries in  keeping  and maintaining subject  specialisation and enhancing   a strong departmental culture. </w:t>
      </w:r>
    </w:p>
    <w:p w:rsidR="00000000" w:rsidDel="00000000" w:rsidP="00000000" w:rsidRDefault="00000000" w:rsidRPr="00000000" w14:paraId="000001AF">
      <w:pPr>
        <w:spacing w:before="0" w:line="36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MI emphasised that the workshop facilities that characterise the territory of the D&amp;T department are unique.  They [D&amp;T teachers] spend the majority of their time in their territory and do not even mingle in the staff room, which is positive in that they are very close and supportive of one another, but also makes collaboration unlikely because they do not get to know and communicate with other colleagues.[MI]</w:t>
      </w:r>
    </w:p>
    <w:p w:rsidR="00000000" w:rsidDel="00000000" w:rsidP="00000000" w:rsidRDefault="00000000" w:rsidRPr="00000000" w14:paraId="000001B0">
      <w:pPr>
        <w:spacing w:before="0" w:line="360" w:lineRule="auto"/>
        <w:jc w:val="both"/>
        <w:rPr>
          <w:rFonts w:ascii="Cambria" w:cs="Cambria" w:eastAsia="Cambria" w:hAnsi="Cambria"/>
        </w:rPr>
      </w:pPr>
      <w:r w:rsidDel="00000000" w:rsidR="00000000" w:rsidRPr="00000000">
        <w:rPr>
          <w:rFonts w:ascii="Cambria" w:cs="Cambria" w:eastAsia="Cambria" w:hAnsi="Cambria"/>
          <w:rtl w:val="0"/>
        </w:rPr>
        <w:t xml:space="preserve">One of the crucial aspects of interdepartmental collaboration, as highlighted by several participants, pertained to the familiarity of teachers with their counterparts in the other department. It was observed by MS that teachers belonging to distinct departments  frequently encounter each other only during external professional development programmes or graduation ceremonies. According to MS, the presence of physical proximity fosters casual conversations and cultivates positive relationships with teachers, thereby facilitating collaborations. This is particularly true as teachers across various departments become acquainted with one another. </w:t>
      </w:r>
    </w:p>
    <w:p w:rsidR="00000000" w:rsidDel="00000000" w:rsidP="00000000" w:rsidRDefault="00000000" w:rsidRPr="00000000" w14:paraId="000001B1">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Nevertheless, it remains uncertain whether the physical proximity of departments will inevitably result in collaborative efforts. At the onset of the current academic year, I enrolled in a course alongside peers hailing from diverse educational institutions. During my networking efforts, I had the opportunity to sit next to an individual who was a mathematics teacher. Upon inquiring about the potential collaboration between his department and the D&amp;T department at his institution, in relation to my area of interest, the respondent provided a negative response. He revealed that there exist two departments in such close proximity that they utilise a common classroom for educational purposes. Using a manual gesture, he asserted that, in all probability, he, being a mathematician specialising in pure mathematics, would be the primary individual to be held accountable.  The individual in question does not differentiate between procedural subjects, such as Design and Technology, and conceptual subjects, such as Mathematics, in his regular teaching day.</w:t>
      </w:r>
    </w:p>
    <w:p w:rsidR="00000000" w:rsidDel="00000000" w:rsidP="00000000" w:rsidRDefault="00000000" w:rsidRPr="00000000" w14:paraId="000001B2">
      <w:pPr>
        <w:spacing w:before="200" w:line="360" w:lineRule="auto"/>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4.1.3 Finger-pointing and blame culture</w:t>
      </w:r>
    </w:p>
    <w:p w:rsidR="00000000" w:rsidDel="00000000" w:rsidP="00000000" w:rsidRDefault="00000000" w:rsidRPr="00000000" w14:paraId="000001B3">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interaction between staff members in mathematics and D&amp;T  departments can be contentious and distinguished by resentment and criticism.  Mathematics Teachers are dissatisfied with the way mathematics is used  during D&amp;T classes ; specifically, the way mathematics is utilised does not contribute to the overall mathematical development of students. To the dismay of D&amp;T teachers, the mathematics curriculum does not complement or support the D&amp;T curriculum.</w:t>
      </w:r>
    </w:p>
    <w:p w:rsidR="00000000" w:rsidDel="00000000" w:rsidP="00000000" w:rsidRDefault="00000000" w:rsidRPr="00000000" w14:paraId="000001B4">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This description of a D&amp;T lesson  observed by MBL in his capacity as head  of mathematics department illustrates  a mathematics teacher's frustration with the use of mathematics in  D&amp;T . MBL appreciated the teacher's emphasis on practical work and subject comprehension in D&amp;T, but he was dissatisfied  that mathematical reasoning was not emphasised in what was evidently a mathematics lesson for MBL.</w:t>
      </w:r>
    </w:p>
    <w:p w:rsidR="00000000" w:rsidDel="00000000" w:rsidP="00000000" w:rsidRDefault="00000000" w:rsidRPr="00000000" w14:paraId="000001B5">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While MBL could perceive the D&amp;T teacher's emphasis, there was evidently lingering irritation that the D&amp;T teacher was not reinforcing the mathematics learning that would take place. MBL hypothesised that time constraints and pressure to complete practical work  were responsible for this missed opportunity. </w:t>
      </w:r>
    </w:p>
    <w:p w:rsidR="00000000" w:rsidDel="00000000" w:rsidP="00000000" w:rsidRDefault="00000000" w:rsidRPr="00000000" w14:paraId="000001B6">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D&amp;T teachers also expressed frustration. TDL understood, for instance, that the mathematics curriculum did not include or emphasise mathematics that would be essential to D&amp;T subject. As a result, TDL felt dissatisfied by the mathematics curriculum's content and the limited support it seemed to provide for the D&amp;T curriculum.  For instance, on the new [D&amp;T] curriculum, students are provided with the mathematical strands that they must master to pass the D&amp;T exam; however, they have not been given guidance on how to approach those mathematical strands from a D&amp;T perspective, despite the fact that D&amp;T is a practical subject while mathematics is a conceptual one, nor have they been informed that D&amp;T teachers will go over those strands conceptually before guiding students on how to apply them to practical work.[TDL]</w:t>
      </w:r>
    </w:p>
    <w:p w:rsidR="00000000" w:rsidDel="00000000" w:rsidP="00000000" w:rsidRDefault="00000000" w:rsidRPr="00000000" w14:paraId="000001B7">
      <w:pP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I'm simply irritated by the GCSE mathematics curriculum, as it does not appear to adequately prepare students. You'll encounter students with a good grade  in mathematics who, when I teach them at the A-level D&amp;T , cannot swiftly perform simple  mathematical tasks such as conversion of units. [TF]</w:t>
      </w:r>
    </w:p>
    <w:p w:rsidR="00000000" w:rsidDel="00000000" w:rsidP="00000000" w:rsidRDefault="00000000" w:rsidRPr="00000000" w14:paraId="000001B8">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Some mathematics  teachers  appear to anticipate receiving blame from D&amp;T teachers. Following modifications to the D&amp;T subject curriculum, MS anticipates additional criticism of mathematics  teachers.</w:t>
      </w:r>
    </w:p>
    <w:p w:rsidR="00000000" w:rsidDel="00000000" w:rsidP="00000000" w:rsidRDefault="00000000" w:rsidRPr="00000000" w14:paraId="000001B9">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It is anticipated that a significant amount of blame-shifting will occur among Design and Technology (D&amp;T) teachers who claim their inability to effectively teach the new curriculum owing to the supposed lack of the mathematics department's performance. </w:t>
      </w:r>
    </w:p>
    <w:p w:rsidR="00000000" w:rsidDel="00000000" w:rsidP="00000000" w:rsidRDefault="00000000" w:rsidRPr="00000000" w14:paraId="000001BA">
      <w:pP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MS here anticipates blame arising from a disparity in the two departments' approaches to teaching mathematics.</w:t>
      </w:r>
    </w:p>
    <w:p w:rsidR="00000000" w:rsidDel="00000000" w:rsidP="00000000" w:rsidRDefault="00000000" w:rsidRPr="00000000" w14:paraId="000001BB">
      <w:pPr>
        <w:spacing w:before="200" w:line="36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1BC">
      <w:pPr>
        <w:spacing w:before="200" w:line="360" w:lineRule="auto"/>
        <w:rPr>
          <w:rFonts w:ascii="Cambria" w:cs="Cambria" w:eastAsia="Cambria" w:hAnsi="Cambria"/>
          <w:sz w:val="30"/>
          <w:szCs w:val="30"/>
        </w:rPr>
      </w:pPr>
      <w:r w:rsidDel="00000000" w:rsidR="00000000" w:rsidRPr="00000000">
        <w:rPr>
          <w:rFonts w:ascii="Cambria" w:cs="Cambria" w:eastAsia="Cambria" w:hAnsi="Cambria"/>
          <w:sz w:val="36"/>
          <w:szCs w:val="36"/>
          <w:rtl w:val="0"/>
        </w:rPr>
        <w:t xml:space="preserve">4.1.4 Timing</w:t>
        <w:tab/>
      </w:r>
      <w:r w:rsidDel="00000000" w:rsidR="00000000" w:rsidRPr="00000000">
        <w:rPr>
          <w:rFonts w:ascii="Cambria" w:cs="Cambria" w:eastAsia="Cambria" w:hAnsi="Cambria"/>
          <w:sz w:val="30"/>
          <w:szCs w:val="30"/>
          <w:rtl w:val="0"/>
        </w:rPr>
        <w:t xml:space="preserve"> </w:t>
        <w:tab/>
        <w:t xml:space="preserve"> </w:t>
        <w:tab/>
        <w:t xml:space="preserve"> </w:t>
        <w:tab/>
      </w:r>
    </w:p>
    <w:p w:rsidR="00000000" w:rsidDel="00000000" w:rsidP="00000000" w:rsidRDefault="00000000" w:rsidRPr="00000000" w14:paraId="000001BD">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Understanding what each subject teaches and when was also a concern and a key reason why collaboration did not occur. MA was well aware that not all students will have been taught the mathematical abilities necessary for D&amp;T. Understanding which skills they possess is hampered by the fact that students are grouped differently for mathematics and D&amp;T and that some mathematics groups cover material much more slowly than others. In contrast, TDL places significant emphasis on the need to understand the extent of students' prior knowledge and skills in order to facilitate effective planning of mathematics lessons for those areas that have not been addressed in Design and Technology (D&amp;T) </w:t>
      </w:r>
      <w:r w:rsidDel="00000000" w:rsidR="00000000" w:rsidRPr="00000000">
        <w:rPr>
          <w:rFonts w:ascii="Cambria" w:cs="Cambria" w:eastAsia="Cambria" w:hAnsi="Cambria"/>
          <w:rtl w:val="0"/>
        </w:rPr>
        <w:t xml:space="preserve">subject</w:t>
      </w:r>
      <w:r w:rsidDel="00000000" w:rsidR="00000000" w:rsidRPr="00000000">
        <w:rPr>
          <w:rFonts w:ascii="Cambria" w:cs="Cambria" w:eastAsia="Cambria" w:hAnsi="Cambria"/>
          <w:rtl w:val="0"/>
        </w:rPr>
        <w:t xml:space="preserve">. All D&amp;T participants  expressed the necessity for teachers to have a comprehensive understanding of their colleagues' curricula. Specifically, D&amp;T teachers should possess knowledge regarding the development and implementation of mathematics curricula. </w:t>
      </w:r>
    </w:p>
    <w:p w:rsidR="00000000" w:rsidDel="00000000" w:rsidP="00000000" w:rsidRDefault="00000000" w:rsidRPr="00000000" w14:paraId="000001BE">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BF">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TF emphasised that, although timing is crucial and could be an enormous impediment to collaboration, a senior  management decision could eliminate this obstacle. Let's be honest, teachers have little desire to collaborate across departments unless they feel obliged to do so. [TF]</w:t>
      </w:r>
      <w:r w:rsidDel="00000000" w:rsidR="00000000" w:rsidRPr="00000000">
        <w:rPr>
          <w:rFonts w:ascii="Cambria" w:cs="Cambria" w:eastAsia="Cambria" w:hAnsi="Cambria"/>
          <w:sz w:val="30"/>
          <w:szCs w:val="30"/>
          <w:rtl w:val="0"/>
        </w:rPr>
        <w:tab/>
        <w:t xml:space="preserve">. </w:t>
      </w:r>
      <w:r w:rsidDel="00000000" w:rsidR="00000000" w:rsidRPr="00000000">
        <w:rPr>
          <w:rFonts w:ascii="Cambria" w:cs="Cambria" w:eastAsia="Cambria" w:hAnsi="Cambria"/>
          <w:rtl w:val="0"/>
        </w:rPr>
        <w:t xml:space="preserve">Supporting this view, Straw, MacLeod, and Hart (2012) have asserted that the success of interdisciplinary activities is contingent upon the commitment of senior leadership</w:t>
      </w:r>
      <w:r w:rsidDel="00000000" w:rsidR="00000000" w:rsidRPr="00000000">
        <w:rPr>
          <w:rFonts w:ascii="Cambria" w:cs="Cambria" w:eastAsia="Cambria" w:hAnsi="Cambria"/>
          <w:sz w:val="30"/>
          <w:szCs w:val="30"/>
          <w:rtl w:val="0"/>
        </w:rPr>
        <w:t xml:space="preserve">. </w:t>
      </w:r>
      <w:r w:rsidDel="00000000" w:rsidR="00000000" w:rsidRPr="00000000">
        <w:rPr>
          <w:rtl w:val="0"/>
        </w:rPr>
      </w:r>
    </w:p>
    <w:p w:rsidR="00000000" w:rsidDel="00000000" w:rsidP="00000000" w:rsidRDefault="00000000" w:rsidRPr="00000000" w14:paraId="000001C0">
      <w:pPr>
        <w:pBdr>
          <w:top w:space="0" w:sz="0" w:val="nil"/>
          <w:left w:space="0" w:sz="0" w:val="nil"/>
          <w:bottom w:space="0" w:sz="0" w:val="nil"/>
          <w:right w:space="0" w:sz="0" w:val="nil"/>
          <w:between w:space="0" w:sz="0" w:val="nil"/>
        </w:pBdr>
        <w:spacing w:line="48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C1">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4.2 Data Gathering from students</w:t>
      </w:r>
    </w:p>
    <w:p w:rsidR="00000000" w:rsidDel="00000000" w:rsidP="00000000" w:rsidRDefault="00000000" w:rsidRPr="00000000" w14:paraId="000001C2">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rPr>
      </w:pPr>
      <w:r w:rsidDel="00000000" w:rsidR="00000000" w:rsidRPr="00000000">
        <w:rPr>
          <w:rFonts w:ascii="Cambria" w:cs="Cambria" w:eastAsia="Cambria" w:hAnsi="Cambria"/>
          <w:sz w:val="36"/>
          <w:szCs w:val="36"/>
          <w:rtl w:val="0"/>
        </w:rPr>
        <w:t xml:space="preserve">4.2.1 Abilities</w:t>
      </w:r>
      <w:r w:rsidDel="00000000" w:rsidR="00000000" w:rsidRPr="00000000">
        <w:rPr>
          <w:rtl w:val="0"/>
        </w:rPr>
      </w:r>
    </w:p>
    <w:p w:rsidR="00000000" w:rsidDel="00000000" w:rsidP="00000000" w:rsidRDefault="00000000" w:rsidRPr="00000000" w14:paraId="000001C3">
      <w:pPr>
        <w:pBdr>
          <w:top w:space="0" w:sz="0" w:val="nil"/>
          <w:left w:space="0" w:sz="0" w:val="nil"/>
          <w:bottom w:space="0" w:sz="0" w:val="nil"/>
          <w:right w:space="0" w:sz="0" w:val="nil"/>
          <w:between w:space="0" w:sz="0" w:val="nil"/>
        </w:pBdr>
        <w:spacing w:line="360" w:lineRule="auto"/>
        <w:ind w:left="0" w:firstLine="0"/>
        <w:rPr>
          <w:rFonts w:ascii="Cambria" w:cs="Cambria" w:eastAsia="Cambria" w:hAnsi="Cambria"/>
        </w:rPr>
      </w:pPr>
      <w:r w:rsidDel="00000000" w:rsidR="00000000" w:rsidRPr="00000000">
        <w:rPr>
          <w:rtl w:val="0"/>
        </w:rPr>
      </w:r>
    </w:p>
    <w:p w:rsidR="00000000" w:rsidDel="00000000" w:rsidP="00000000" w:rsidRDefault="00000000" w:rsidRPr="00000000" w14:paraId="000001C4">
      <w:pPr>
        <w:pBdr>
          <w:top w:space="0" w:sz="0" w:val="nil"/>
          <w:left w:space="0" w:sz="0" w:val="nil"/>
          <w:bottom w:space="0" w:sz="0" w:val="nil"/>
          <w:right w:space="0" w:sz="0" w:val="nil"/>
          <w:between w:space="0" w:sz="0" w:val="nil"/>
        </w:pBdr>
        <w:spacing w:line="360" w:lineRule="auto"/>
        <w:ind w:left="0" w:firstLine="0"/>
        <w:rPr>
          <w:rFonts w:ascii="Cambria" w:cs="Cambria" w:eastAsia="Cambria" w:hAnsi="Cambria"/>
          <w:highlight w:val="white"/>
        </w:rPr>
      </w:pPr>
      <w:r w:rsidDel="00000000" w:rsidR="00000000" w:rsidRPr="00000000">
        <w:rPr>
          <w:rFonts w:ascii="Cambria" w:cs="Cambria" w:eastAsia="Cambria" w:hAnsi="Cambria"/>
          <w:rtl w:val="0"/>
        </w:rPr>
        <w:t xml:space="preserve"> The data collected from the student population yielded two prominent themes, namely, the aptitude for establishing connections and the nature of the subject matter. The consensus among students was that the transfer of mathematical skills to design and technology is contingent upon aptitude and the establishment of connections, with only a minority placing emphasis on the differentiation between the natures of the two subjects. </w:t>
      </w:r>
      <w:r w:rsidDel="00000000" w:rsidR="00000000" w:rsidRPr="00000000">
        <w:rPr>
          <w:rFonts w:ascii="Cambria" w:cs="Cambria" w:eastAsia="Cambria" w:hAnsi="Cambria"/>
          <w:highlight w:val="white"/>
          <w:rtl w:val="0"/>
        </w:rPr>
        <w:t xml:space="preserve">Students' abilities</w:t>
      </w:r>
      <w:r w:rsidDel="00000000" w:rsidR="00000000" w:rsidRPr="00000000">
        <w:rPr>
          <w:rFonts w:ascii="Cambria" w:cs="Cambria" w:eastAsia="Cambria" w:hAnsi="Cambria"/>
          <w:highlight w:val="white"/>
          <w:rtl w:val="0"/>
        </w:rPr>
        <w:t xml:space="preserve"> are essential for transferring mathematical knowledge to other subjects.   It's easy, students must have the ability to understand and apply mathematical concepts to D&amp;T, and they[students] just need to make connections between what they have learned in maths and apply it to d&amp;t.[AA]</w:t>
      </w:r>
    </w:p>
    <w:p w:rsidR="00000000" w:rsidDel="00000000" w:rsidP="00000000" w:rsidRDefault="00000000" w:rsidRPr="00000000" w14:paraId="000001C5">
      <w:pPr>
        <w:pBdr>
          <w:top w:space="0" w:sz="0" w:val="nil"/>
          <w:left w:space="0" w:sz="0" w:val="nil"/>
          <w:bottom w:space="0" w:sz="0" w:val="nil"/>
          <w:right w:space="0" w:sz="0" w:val="nil"/>
          <w:between w:space="0" w:sz="0" w:val="nil"/>
        </w:pBdr>
        <w:spacing w:line="360"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MA on the other hand emphasised that in addition to ability and making connections, they [students] must have a strong foundation in mathematics, as well as the ability to think critically and solve problems because d&amp;t tasks are about problem solving and not just an equation to solve.</w:t>
      </w:r>
    </w:p>
    <w:p w:rsidR="00000000" w:rsidDel="00000000" w:rsidP="00000000" w:rsidRDefault="00000000" w:rsidRPr="00000000" w14:paraId="000001C6">
      <w:pPr>
        <w:spacing w:before="200" w:line="360" w:lineRule="auto"/>
        <w:ind w:left="0" w:firstLine="0"/>
        <w:rPr>
          <w:rFonts w:ascii="Cambria" w:cs="Cambria" w:eastAsia="Cambria" w:hAnsi="Cambria"/>
          <w:sz w:val="36"/>
          <w:szCs w:val="36"/>
          <w:highlight w:val="white"/>
        </w:rPr>
      </w:pPr>
      <w:r w:rsidDel="00000000" w:rsidR="00000000" w:rsidRPr="00000000">
        <w:rPr>
          <w:rFonts w:ascii="Cambria" w:cs="Cambria" w:eastAsia="Cambria" w:hAnsi="Cambria"/>
          <w:sz w:val="36"/>
          <w:szCs w:val="36"/>
          <w:rtl w:val="0"/>
        </w:rPr>
        <w:t xml:space="preserve">4.2.2 Subject nature</w:t>
      </w:r>
      <w:r w:rsidDel="00000000" w:rsidR="00000000" w:rsidRPr="00000000">
        <w:rPr>
          <w:rtl w:val="0"/>
        </w:rPr>
      </w:r>
    </w:p>
    <w:p w:rsidR="00000000" w:rsidDel="00000000" w:rsidP="00000000" w:rsidRDefault="00000000" w:rsidRPr="00000000" w14:paraId="000001C7">
      <w:pPr>
        <w:pBdr>
          <w:top w:space="0" w:sz="0" w:val="nil"/>
          <w:left w:space="0" w:sz="0" w:val="nil"/>
          <w:bottom w:space="0" w:sz="0" w:val="nil"/>
          <w:right w:space="0" w:sz="0" w:val="nil"/>
          <w:between w:space="0" w:sz="0" w:val="nil"/>
        </w:pBdr>
        <w:spacing w:line="360"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ZH and RS  both claimed that transferring mathematics  skills to d&amp;t is very hard. Although they are good at maths and achieved grade 5 and 6 respectively in their  GCSE maths exam,  they still found it challenging to apply maths to their  A level d&amp;t course because “ they[maths teachers] don’t show you how to use it in practical </w:t>
      </w:r>
      <w:r w:rsidDel="00000000" w:rsidR="00000000" w:rsidRPr="00000000">
        <w:rPr>
          <w:rFonts w:ascii="Cambria" w:cs="Cambria" w:eastAsia="Cambria" w:hAnsi="Cambria"/>
          <w:highlight w:val="white"/>
          <w:rtl w:val="0"/>
        </w:rPr>
        <w:t xml:space="preserve">subject</w:t>
      </w:r>
      <w:r w:rsidDel="00000000" w:rsidR="00000000" w:rsidRPr="00000000">
        <w:rPr>
          <w:rFonts w:ascii="Cambria" w:cs="Cambria" w:eastAsia="Cambria" w:hAnsi="Cambria"/>
          <w:highlight w:val="white"/>
          <w:rtl w:val="0"/>
        </w:rPr>
        <w:t xml:space="preserve"> like d&amp;t.”[ZH]</w:t>
      </w:r>
    </w:p>
    <w:p w:rsidR="00000000" w:rsidDel="00000000" w:rsidP="00000000" w:rsidRDefault="00000000" w:rsidRPr="00000000" w14:paraId="000001C8">
      <w:pPr>
        <w:pBdr>
          <w:top w:space="0" w:sz="0" w:val="nil"/>
          <w:left w:space="0" w:sz="0" w:val="nil"/>
          <w:bottom w:space="0" w:sz="0" w:val="nil"/>
          <w:right w:space="0" w:sz="0" w:val="nil"/>
          <w:between w:space="0" w:sz="0" w:val="nil"/>
        </w:pBd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4.2.3 Conclusion</w:t>
      </w:r>
    </w:p>
    <w:p w:rsidR="00000000" w:rsidDel="00000000" w:rsidP="00000000" w:rsidRDefault="00000000" w:rsidRPr="00000000" w14:paraId="000001C9">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In this chapter, I have examined the results and data analysis in connection with the research questions outlined in Chapter 1. The findings of my research indicate that achieving collaboration between mathematics and design and technology (D&amp;T) teachers is a complex process. Integrating theoretical frameworks into the process of data analysis has the potential to yield a more intricate depiction of the phenomenon under investigation, which may warrant additional inquiry beyond the pragmatic aspects. The subsequent chapter will entail a reflection on the study in its entirety, followed by a discussion on the implications of the findings for policymakers, school </w:t>
      </w:r>
      <w:r w:rsidDel="00000000" w:rsidR="00000000" w:rsidRPr="00000000">
        <w:rPr>
          <w:rFonts w:ascii="Cambria" w:cs="Cambria" w:eastAsia="Cambria" w:hAnsi="Cambria"/>
          <w:rtl w:val="0"/>
        </w:rPr>
        <w:t xml:space="preserve">practise</w:t>
      </w:r>
      <w:r w:rsidDel="00000000" w:rsidR="00000000" w:rsidRPr="00000000">
        <w:rPr>
          <w:rFonts w:ascii="Cambria" w:cs="Cambria" w:eastAsia="Cambria" w:hAnsi="Cambria"/>
          <w:rtl w:val="0"/>
        </w:rPr>
        <w:t xml:space="preserve">, and research in the field of Design and Technology education.</w:t>
      </w:r>
    </w:p>
    <w:p w:rsidR="00000000" w:rsidDel="00000000" w:rsidP="00000000" w:rsidRDefault="00000000" w:rsidRPr="00000000" w14:paraId="000001CA">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CB">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CC">
      <w:pPr>
        <w:pBdr>
          <w:top w:space="0" w:sz="0" w:val="nil"/>
          <w:left w:space="0" w:sz="0" w:val="nil"/>
          <w:bottom w:space="0" w:sz="0" w:val="nil"/>
          <w:right w:space="0" w:sz="0" w:val="nil"/>
          <w:between w:space="0" w:sz="0" w:val="nil"/>
        </w:pBd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 </w:t>
      </w:r>
    </w:p>
    <w:p w:rsidR="00000000" w:rsidDel="00000000" w:rsidP="00000000" w:rsidRDefault="00000000" w:rsidRPr="00000000" w14:paraId="000001CD">
      <w:pPr>
        <w:pBdr>
          <w:top w:space="0" w:sz="0" w:val="nil"/>
          <w:left w:space="0" w:sz="0" w:val="nil"/>
          <w:bottom w:space="0" w:sz="0" w:val="nil"/>
          <w:right w:space="0" w:sz="0" w:val="nil"/>
          <w:between w:space="0" w:sz="0" w:val="nil"/>
        </w:pBdr>
        <w:spacing w:line="36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CE">
      <w:pPr>
        <w:pBdr>
          <w:top w:space="0" w:sz="0" w:val="nil"/>
          <w:left w:space="0" w:sz="0" w:val="nil"/>
          <w:bottom w:space="0" w:sz="0" w:val="nil"/>
          <w:right w:space="0" w:sz="0" w:val="nil"/>
          <w:between w:space="0" w:sz="0" w:val="nil"/>
        </w:pBdr>
        <w:spacing w:line="36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CF">
      <w:pPr>
        <w:pBdr>
          <w:top w:space="0" w:sz="0" w:val="nil"/>
          <w:left w:space="0" w:sz="0" w:val="nil"/>
          <w:bottom w:space="0" w:sz="0" w:val="nil"/>
          <w:right w:space="0" w:sz="0" w:val="nil"/>
          <w:between w:space="0" w:sz="0" w:val="nil"/>
        </w:pBdr>
        <w:spacing w:line="36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D0">
      <w:pPr>
        <w:pBdr>
          <w:top w:space="0" w:sz="0" w:val="nil"/>
          <w:left w:space="0" w:sz="0" w:val="nil"/>
          <w:bottom w:space="0" w:sz="0" w:val="nil"/>
          <w:right w:space="0" w:sz="0" w:val="nil"/>
          <w:between w:space="0" w:sz="0" w:val="nil"/>
        </w:pBd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Chapter 5</w:t>
      </w:r>
    </w:p>
    <w:p w:rsidR="00000000" w:rsidDel="00000000" w:rsidP="00000000" w:rsidRDefault="00000000" w:rsidRPr="00000000" w14:paraId="000001D1">
      <w:pPr>
        <w:pBdr>
          <w:top w:space="0" w:sz="0" w:val="nil"/>
          <w:left w:space="0" w:sz="0" w:val="nil"/>
          <w:bottom w:space="0" w:sz="0" w:val="nil"/>
          <w:right w:space="0" w:sz="0" w:val="nil"/>
          <w:between w:space="0" w:sz="0" w:val="nil"/>
        </w:pBdr>
        <w:spacing w:line="360" w:lineRule="auto"/>
        <w:jc w:val="both"/>
        <w:rPr>
          <w:rFonts w:ascii="Cambria" w:cs="Cambria" w:eastAsia="Cambria" w:hAnsi="Cambria"/>
          <w:sz w:val="46"/>
          <w:szCs w:val="46"/>
        </w:rPr>
      </w:pPr>
      <w:r w:rsidDel="00000000" w:rsidR="00000000" w:rsidRPr="00000000">
        <w:rPr>
          <w:rFonts w:ascii="Cambria" w:cs="Cambria" w:eastAsia="Cambria" w:hAnsi="Cambria"/>
          <w:sz w:val="36"/>
          <w:szCs w:val="36"/>
          <w:rtl w:val="0"/>
        </w:rPr>
        <w:t xml:space="preserve">Reflections and Implications</w:t>
      </w:r>
      <w:r w:rsidDel="00000000" w:rsidR="00000000" w:rsidRPr="00000000">
        <w:rPr>
          <w:rtl w:val="0"/>
        </w:rPr>
      </w:r>
    </w:p>
    <w:p w:rsidR="00000000" w:rsidDel="00000000" w:rsidP="00000000" w:rsidRDefault="00000000" w:rsidRPr="00000000" w14:paraId="000001D2">
      <w:pPr>
        <w:pBdr>
          <w:top w:space="0" w:sz="0" w:val="nil"/>
          <w:left w:space="0" w:sz="0" w:val="nil"/>
          <w:bottom w:space="0" w:sz="0" w:val="nil"/>
          <w:right w:space="0" w:sz="0" w:val="nil"/>
          <w:between w:space="0" w:sz="0" w:val="nil"/>
        </w:pBdr>
        <w:spacing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5.1 Reflections on  methods and methodology</w:t>
      </w:r>
    </w:p>
    <w:p w:rsidR="00000000" w:rsidDel="00000000" w:rsidP="00000000" w:rsidRDefault="00000000" w:rsidRPr="00000000" w14:paraId="000001D3">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objective of the study was to investigate the correlation between mathematics education  and design and technology (D&amp;T) subjects in school settings, utilising a multifaceted approach to obtain a comprehensive understanding of the challenges and impediments that hinder collaborative efforts. The initial data collection process involved conducting interviews with teachers and  students. Acquiring access to participants is facilitated by leveraging a pre-existing relationship. The present study involves a sample of participants who are personally acquainted with  the researcher, in this case me, and it is highly probable that some of them consented to participate in the interviews due to this pre-existing connection. The reputation I had built during my tenure in the D &amp; T department facilitated opportunities for other participants. The department was highly visible and accessible to students during break and lunch periods, offering practical activities as part of its extracurricular programme. </w:t>
      </w:r>
    </w:p>
    <w:p w:rsidR="00000000" w:rsidDel="00000000" w:rsidP="00000000" w:rsidRDefault="00000000" w:rsidRPr="00000000" w14:paraId="000001D4">
      <w:pPr>
        <w:pBdr>
          <w:top w:space="0" w:sz="0" w:val="nil"/>
          <w:left w:space="0" w:sz="0" w:val="nil"/>
          <w:bottom w:space="0" w:sz="0" w:val="nil"/>
          <w:right w:space="0" w:sz="0" w:val="nil"/>
          <w:between w:space="0" w:sz="0" w:val="nil"/>
        </w:pBdr>
        <w:spacing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5.1.1 Data analysis</w:t>
      </w:r>
    </w:p>
    <w:p w:rsidR="00000000" w:rsidDel="00000000" w:rsidP="00000000" w:rsidRDefault="00000000" w:rsidRPr="00000000" w14:paraId="000001D5">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preliminary examination of the data enabled me to recognise several practical impediments and opportunities for collaboration. However, it was the application of theoretical concepts to the data that facilitated a more comprehensive and subtle understanding of the interplay between Design and Technology (D&amp;T) and Mathematics in schools. In accordance with Bernstein's (2000) proposal, an inquiry into the instigator of the collaboration and their power dynamics, specifically whether they hold a position of dominance or subordination within the institution, revealed that senior managers, and notably the headteacher, were accountable for both fostering and diminishing the extent of collaboration. Contrary to my initial assumption, the individuals in charge were not predominantly the heads of Design and Technology and Mathematics departments.</w:t>
      </w:r>
      <w:r w:rsidDel="00000000" w:rsidR="00000000" w:rsidRPr="00000000">
        <w:rPr>
          <w:rtl w:val="0"/>
        </w:rPr>
      </w:r>
    </w:p>
    <w:p w:rsidR="00000000" w:rsidDel="00000000" w:rsidP="00000000" w:rsidRDefault="00000000" w:rsidRPr="00000000" w14:paraId="000001D6">
      <w:pPr>
        <w:pBdr>
          <w:top w:space="0" w:sz="0" w:val="nil"/>
          <w:left w:space="0" w:sz="0" w:val="nil"/>
          <w:bottom w:space="0" w:sz="0" w:val="nil"/>
          <w:right w:space="0" w:sz="0" w:val="nil"/>
          <w:between w:space="0" w:sz="0" w:val="nil"/>
        </w:pBd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According to Bernstein (2000), the weakening of boundaries between subjects and departments raises the question of who stands to gain from this phenomenon. The act of posing this inquiry facilitated my recognition of the asymmetrical interdependence and, as a result, the asymmetrical advantages of cooperation between the departments of d&amp;T  and mathematics. The literature does not address the asymmetrical nature of the correlation between D&amp;T  and mathematics education in schools, which is a crucial factor to consider when contemplating the potential for and way of collaboration that can be mutually advantageous.</w:t>
      </w:r>
    </w:p>
    <w:p w:rsidR="00000000" w:rsidDel="00000000" w:rsidP="00000000" w:rsidRDefault="00000000" w:rsidRPr="00000000" w14:paraId="000001D7">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D8">
      <w:pPr>
        <w:pBdr>
          <w:top w:space="0" w:sz="0" w:val="nil"/>
          <w:left w:space="0" w:sz="0" w:val="nil"/>
          <w:bottom w:space="0" w:sz="0" w:val="nil"/>
          <w:right w:space="0" w:sz="0" w:val="nil"/>
          <w:between w:space="0" w:sz="0" w:val="nil"/>
        </w:pBdr>
        <w:spacing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5.2.1 Implications for policy</w:t>
      </w:r>
    </w:p>
    <w:p w:rsidR="00000000" w:rsidDel="00000000" w:rsidP="00000000" w:rsidRDefault="00000000" w:rsidRPr="00000000" w14:paraId="000001D9">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I have indicated that the National Curricula for mathematics and Design and Technology (D&amp;T) have been constructed independently of each other.  our  study has demonstrated that teachers within academic institutions possess knowledge of and experience dissatisfaction with the gap that exists between the two curricular frameworks. In instances where the D&amp;T curriculum is formulated independently from the mathematics curriculum, and specifically in cases where the D&amp;T curriculum incorporates substantial mathematical material, there exists a potential hazard of the mathematical content being excessively challenging. The policy development implication does not entail altering mathematics to cater to the requirements of D&amp;T, despite the belief held by certain D&amp;T teachers. It is imperative for Design and Technology (D&amp;T) teachers to acknowledge that mathematics exhibits connections to numerous subjects of the academic curriculum, beyond the scope of D&amp;T. My contention is that for forthcoming curriculum development, it is advisable for the developers of the mathematics curriculum to serve as consultants to the developers of the D&amp;Tb curriculum, in order to guarantee that the mathematical requirements are fitting. Incorporating consultation time into government contracts for curriculum development is imperative, as it is evident that this process requires a significant amount of time. In cases where the mathematical concepts necessary for Design and Technology are not included in the standard mathematics curriculum, it is recommended that this discrepancy be acknowledged within the Design and Technology curriculum. Adequate time should be allocated for learning and mastery of these mathematical concepts.</w:t>
      </w:r>
      <w:r w:rsidDel="00000000" w:rsidR="00000000" w:rsidRPr="00000000">
        <w:rPr>
          <w:rtl w:val="0"/>
        </w:rPr>
      </w:r>
    </w:p>
    <w:p w:rsidR="00000000" w:rsidDel="00000000" w:rsidP="00000000" w:rsidRDefault="00000000" w:rsidRPr="00000000" w14:paraId="000001DA">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present study has demonstrated that differences exist in the utilisation of language between mathematics and design and technology (D&amp;T) and has deliberated upon some of the underlying rationales for these discrepancies. Disparities exist between the application of mathematics and  its utilisation in the context of Design and Technology (D&amp;T). Emphasising the distinctions and parallels between mathematics and design and technology (D&amp;T) is crucial in facilitating teacher's capacity to effectively communicate these dissimilarities to their pupils. It may not be a reasonable expectation to anticipate a modification in the language usage of either subject, as I have demonstrated that several of the dissimilarities are justified by valid rationales, such as disparities in epistemology. However, it is advisable to achieve linguistic consistency whenever feasible, and in cases where this is not feasible, discrepancies should be elucidated. </w:t>
      </w:r>
    </w:p>
    <w:p w:rsidR="00000000" w:rsidDel="00000000" w:rsidP="00000000" w:rsidRDefault="00000000" w:rsidRPr="00000000" w14:paraId="000001DB">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It is crucial to acknowledge that the integration of mathematics into the Design and Technology (D&amp;T) curriculum necessitates its teaching within the D&amp;T field, rather than presuming a straightforward transfer model. Collaborating with mathematicians to address the mathematical components of the D&amp;T curriculum or ensuring linguistic distinctions between the two curricula are well-defined, will not necessarily enhance the transfer of knowledge. It is imperative to allocate sufficient time within the Design and Technology (D&amp;T) curriculum to cover the mathematical components of D&amp;T subject . The appropriate level of mathematics integration in Design and Technology (D&amp;T) remains a contentious issue, with no clear consensus. However, the present curriculum appears to exhibit an excessive inclination towards quantitative D&amp;T.</w:t>
      </w:r>
    </w:p>
    <w:p w:rsidR="00000000" w:rsidDel="00000000" w:rsidP="00000000" w:rsidRDefault="00000000" w:rsidRPr="00000000" w14:paraId="000001DC">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DD">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DE">
      <w:pPr>
        <w:pBdr>
          <w:top w:space="0" w:sz="0" w:val="nil"/>
          <w:left w:space="0" w:sz="0" w:val="nil"/>
          <w:bottom w:space="0" w:sz="0" w:val="nil"/>
          <w:right w:space="0" w:sz="0" w:val="nil"/>
          <w:between w:space="0" w:sz="0" w:val="nil"/>
        </w:pBdr>
        <w:spacing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5.2.2 Implications for schools’ practice</w:t>
      </w:r>
    </w:p>
    <w:p w:rsidR="00000000" w:rsidDel="00000000" w:rsidP="00000000" w:rsidRDefault="00000000" w:rsidRPr="00000000" w14:paraId="000001DF">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departments of Design and Technology and Mathematics frequently function with a significant degree of autonomy from each other. The autonomy of the National Curriculum, assessments, and Ofsted inspections largely reinforces this circumstance. Moreover, there is a frequent competition among departments for resources such as financial funding, physical infrastructure, and outstanding pupils. According to Ball (1987), competition of this nature can result in a frequently uncomfortable or even antagonistic dynamic between departmental leaders. From our perspective, there exist two main techniques by which these concerns may be resolved. One approach involves the participation of senior leadership teams, wherein collaboration is either encouraged or mandated by the headteachers or leadership teams. One potential strategy for promoting collaboration among teachers is the establishment of dedicated faculties for Design and Technology as well as Mathematics. Although faculties may facilitate collaboration, their presence alone does not ensure it, particularly in the absence of sustained support. Moreover, it is crucial to contemplate the potential drawbacks that may arise from the creation of larger teams. In numerous state secondary schools, it is common for each department to comprise more than 12 teachers, resulting in a minimum of 24 teachers within the faculty. The presence of a sizable cohort may potentially result in the reduction of a sense of care and encouragement that is commonly observed within a given school. According to Bernstein's (2000) argument, the coexistence of a robust department culture and strong inter-school relationships is unattainable. The optimal course of action regarding the breakdown of departmental relationships in favour of cross-departmental ones is not readily apparent as it pertains to the well-being of teachers as well as students.</w:t>
      </w:r>
      <w:r w:rsidDel="00000000" w:rsidR="00000000" w:rsidRPr="00000000">
        <w:rPr>
          <w:rtl w:val="0"/>
        </w:rPr>
      </w:r>
    </w:p>
    <w:p w:rsidR="00000000" w:rsidDel="00000000" w:rsidP="00000000" w:rsidRDefault="00000000" w:rsidRPr="00000000" w14:paraId="000001E0">
      <w:pPr>
        <w:pBdr>
          <w:top w:space="0" w:sz="0" w:val="nil"/>
          <w:left w:space="0" w:sz="0" w:val="nil"/>
          <w:bottom w:space="0" w:sz="0" w:val="nil"/>
          <w:right w:space="0" w:sz="0" w:val="nil"/>
          <w:between w:space="0" w:sz="0" w:val="nil"/>
        </w:pBdr>
        <w:spacing w:before="200" w:line="360" w:lineRule="auto"/>
        <w:jc w:val="both"/>
        <w:rPr>
          <w:rFonts w:ascii="Cambria" w:cs="Cambria" w:eastAsia="Cambria" w:hAnsi="Cambria"/>
        </w:rPr>
      </w:pPr>
      <w:r w:rsidDel="00000000" w:rsidR="00000000" w:rsidRPr="00000000">
        <w:rPr>
          <w:rFonts w:ascii="Cambria" w:cs="Cambria" w:eastAsia="Cambria" w:hAnsi="Cambria"/>
          <w:rtl w:val="0"/>
        </w:rPr>
        <w:t xml:space="preserve">Moreover, an in-depth understanding of the mathematics curriculum alone does not guarantee that students can proficiently apply mathematical concepts within the context of Design and Technology. It is improbable that interdepartmental discussions between mathematics and design and technology (D&amp;T) teachers will lead to modifications in the teaching methodologies of the mathematics department to provide assistance to their D&amp;T counterparts. Conversing with students can facilitate D&amp;T teachers in comprehending the challenges that students encounter while utilising mathematical concepts. This, in turn, can aid in devising effective strategies to address those challenges. The notion of considering students' pre-existing knowledge is not new in the field of Design and Technology (D&amp;T), as evidenced by the extensive body of research on misconceptions. However, it is equally crucial to acknowledge students' mathematical comprehension and abilities within the context of D&amp;T.</w:t>
      </w:r>
    </w:p>
    <w:p w:rsidR="00000000" w:rsidDel="00000000" w:rsidP="00000000" w:rsidRDefault="00000000" w:rsidRPr="00000000" w14:paraId="000001E1">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E2">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 Mathematic Blame culture  has been identified, wherein Design and Technology (D&amp;T) teachers exhibit a proclivity to attribute students' challenges in utilising mathematics in D&amp;T to their mathematics counterparts. The attribution of responsibility to mathematics in design and technology (D&amp;T) education is a result of the interdependence between the two subjects. D&amp;T teachers may have impractical assumptions regarding students' ability to apply mathematical concepts that they may not have yet learned to D&amp;T, which can lead to the assignment of blame to mathematics. This transfer of knowledge may require supplementary assistance. The act of attributing responsibility to mathematics for shortcomings in the teaching of mathematical concepts within Design and Technology (D&amp;T) may suggest a reluctance on the part of D&amp;T teachers to assume accountability for this aspect of their teaching. Our  study indicates that students may be held accountable for their mathematical shortcomings, despite the fact that the specific mathematical concepts that Design and Technology (D&amp;T) teachers had expected them to have mastered have not been explicitly taught. The mere act of collaboration is improbable to enhance the transfer of knowledge and skills, or to enhance students' utilisation of mathematical concepts in the context of Design and Technology subject . Nevertheless, it may assist Design and Technology teachers in developing more pragmatic anticipations regarding the application of mathematical concepts by their pupils.</w:t>
      </w:r>
    </w:p>
    <w:p w:rsidR="00000000" w:rsidDel="00000000" w:rsidP="00000000" w:rsidRDefault="00000000" w:rsidRPr="00000000" w14:paraId="000001E3">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left"/>
        <w:rPr>
          <w:rFonts w:ascii="Cambria" w:cs="Cambria" w:eastAsia="Cambria" w:hAnsi="Cambria"/>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1"/>
          <w:sz w:val="32"/>
          <w:szCs w:val="32"/>
          <w:rtl w:val="0"/>
        </w:rPr>
        <w:t xml:space="preserve">5</w:t>
      </w:r>
      <w:r w:rsidDel="00000000" w:rsidR="00000000" w:rsidRPr="00000000">
        <w:rPr>
          <w:rFonts w:ascii="Cambria" w:cs="Cambria" w:eastAsia="Cambria" w:hAnsi="Cambria"/>
          <w:b w:val="1"/>
          <w:i w:val="0"/>
          <w:smallCaps w:val="0"/>
          <w:strike w:val="0"/>
          <w:color w:val="000000"/>
          <w:sz w:val="32"/>
          <w:szCs w:val="32"/>
          <w:u w:val="none"/>
          <w:shd w:fill="auto" w:val="clear"/>
          <w:vertAlign w:val="baseline"/>
          <w:rtl w:val="0"/>
        </w:rPr>
        <w:t xml:space="preserve">.3 Further work </w:t>
      </w:r>
      <w:r w:rsidDel="00000000" w:rsidR="00000000" w:rsidRPr="00000000">
        <w:rPr>
          <w:rtl w:val="0"/>
        </w:rPr>
      </w:r>
    </w:p>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rPr>
      </w:pPr>
      <w:r w:rsidDel="00000000" w:rsidR="00000000" w:rsidRPr="00000000">
        <w:rPr>
          <w:rFonts w:ascii="Cambria" w:cs="Cambria" w:eastAsia="Cambria" w:hAnsi="Cambria"/>
          <w:rtl w:val="0"/>
        </w:rPr>
        <w:t xml:space="preserve">Given the current lack of research on the correlation between Design and Technology (D&amp;T) education in schools and the teaching of mathematics, it is evident that further investigation is necessary to identify areas for improvement. </w:t>
      </w:r>
    </w:p>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rPr>
      </w:pPr>
      <w:r w:rsidDel="00000000" w:rsidR="00000000" w:rsidRPr="00000000">
        <w:rPr>
          <w:rFonts w:ascii="Cambria" w:cs="Cambria" w:eastAsia="Cambria" w:hAnsi="Cambria"/>
          <w:rtl w:val="0"/>
        </w:rPr>
        <w:t xml:space="preserve">It is imperative to establish a research agenda that delves into the interplay between mathematical and D&amp;T education, and investigates the ways in which students apply mathematical concepts to solve D&amp;T issues. The proposed agenda has the potential to dispel the misconception surrounding  the transfer of responsibilities, thereby mitigating any unwarranted criticism directed towards mathematics. It may be beneficial to address the inquiry regarding the potential impact of incorporating mathematics within the Design and Technology curriculum on the overall mathematical proficiency of students. </w:t>
      </w:r>
    </w:p>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Cambria" w:cs="Cambria" w:eastAsia="Cambria" w:hAnsi="Cambria"/>
        </w:rPr>
      </w:pPr>
      <w:r w:rsidDel="00000000" w:rsidR="00000000" w:rsidRPr="00000000">
        <w:rPr>
          <w:rFonts w:ascii="Cambria" w:cs="Cambria" w:eastAsia="Cambria" w:hAnsi="Cambria"/>
          <w:rtl w:val="0"/>
        </w:rPr>
        <w:t xml:space="preserve">Further investigation is required to examine the use of mathematics in Design and Technology lessons in contrast to its application in Mathematics lessons.One possible method to address these inquiries is by conducting classroom observations and analysing educational materials such as textbooks and teaching resources. </w:t>
      </w:r>
    </w:p>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i w:val="0"/>
          <w:smallCaps w:val="0"/>
          <w:strike w:val="0"/>
          <w:color w:val="000000"/>
          <w:sz w:val="36"/>
          <w:szCs w:val="36"/>
          <w:u w:val="none"/>
          <w:shd w:fill="auto" w:val="clear"/>
          <w:vertAlign w:val="baseline"/>
        </w:rPr>
      </w:pPr>
      <w:r w:rsidDel="00000000" w:rsidR="00000000" w:rsidRPr="00000000">
        <w:rPr>
          <w:rFonts w:ascii="Cambria" w:cs="Cambria" w:eastAsia="Cambria" w:hAnsi="Cambria"/>
          <w:b w:val="1"/>
          <w:sz w:val="36"/>
          <w:szCs w:val="36"/>
          <w:rtl w:val="0"/>
        </w:rPr>
        <w:t xml:space="preserve">5</w:t>
      </w:r>
      <w:r w:rsidDel="00000000" w:rsidR="00000000" w:rsidRPr="00000000">
        <w:rPr>
          <w:rFonts w:ascii="Cambria" w:cs="Cambria" w:eastAsia="Cambria" w:hAnsi="Cambria"/>
          <w:b w:val="1"/>
          <w:i w:val="0"/>
          <w:smallCaps w:val="0"/>
          <w:strike w:val="0"/>
          <w:color w:val="000000"/>
          <w:sz w:val="36"/>
          <w:szCs w:val="36"/>
          <w:u w:val="none"/>
          <w:shd w:fill="auto" w:val="clear"/>
          <w:vertAlign w:val="baseline"/>
          <w:rtl w:val="0"/>
        </w:rPr>
        <w:t xml:space="preserve">.4 Final thoughts </w:t>
      </w:r>
      <w:r w:rsidDel="00000000" w:rsidR="00000000" w:rsidRPr="00000000">
        <w:rPr>
          <w:rtl w:val="0"/>
        </w:rPr>
      </w:r>
    </w:p>
    <w:p w:rsidR="00000000" w:rsidDel="00000000" w:rsidP="00000000" w:rsidRDefault="00000000" w:rsidRPr="00000000" w14:paraId="000001ED">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This assignment delves into the various rationales behind the advocacy for increased collaboration between the fields of mathematics and design and technology (D&amp;T), and delineates two primary goals. One approach is to enhance the transferability of knowledge and skills across different academic fields. Upon scrutinising the probability of transfer, two primary issues have been identified. Initially, it can be observed that due to the asymmetrical nature of the dependency and consequent advantages in the relationship between mathematics and design and technology (D&amp;T), the latter discipline is expected to receive a greater benefit. Furthermore, notable disparities exist in the utilisation of mathematics between the field of mathematics and the subject of design and technology. In addition, the act of collaborating is hindered by the diversity of teaching methods used across various mathematics classes. Efforts to standardise these approaches may limit the autonomy and discretion of teachers as experts to customise their instruction in a manner that they consider suitable. </w:t>
      </w:r>
    </w:p>
    <w:p w:rsidR="00000000" w:rsidDel="00000000" w:rsidP="00000000" w:rsidRDefault="00000000" w:rsidRPr="00000000" w14:paraId="000001EE">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 second argument in favour of collaboration is based on the premise that there exists a significant degree of content overlap, thereby rendering collaboration a valuable tool in terms of optimising time management and facilitating comprehensive coverage of the curriculum. This line of reasoning pertains to the concept of transfer, positing that knowledge acquired in a particular field can be effectively applied in another. Consequently, the challenges associated with transfer are also relevant to this argument. Additionally, the analyses conducted indicate a disparity in discourse that resulted in competent teachers encountering difficulties in identifying significant areas of convergence within their respective curriculums. </w:t>
      </w:r>
    </w:p>
    <w:p w:rsidR="00000000" w:rsidDel="00000000" w:rsidP="00000000" w:rsidRDefault="00000000" w:rsidRPr="00000000" w14:paraId="000001EF">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Fonts w:ascii="Cambria" w:cs="Cambria" w:eastAsia="Cambria" w:hAnsi="Cambria"/>
          <w:rtl w:val="0"/>
        </w:rPr>
        <w:t xml:space="preserve">There exist notable demarcations between the disciplines of mathematics and design and technology. Although it is possible to cross boundaries, it can be difficult and may not yield the anticipated advantages. According to Bernstein (2000), in cases where there is a high degree of classification and insulation between departments, it becomes challenging for faculty members to engage in pedagogical discourse with one another due to their varying areas of specialisation. The research findings indicate that teachers within departments encountered difficulties in collaborating and identifying significant points of intersection in their curricula. I   contend that it would be simplistic to propose that collaboration alone can effectively address the issues at hand, specifically pertaining to the utilisation of mathematics by students in the context of Design and Technology. This perspective is limited and fails to acknowledge the constraints imposed by governmental regulations, the variations in the application of mathematics across various disciplines, and the inherent difficulties associated with transgressing disciplinary boundaries. The present study highlights the significance of fostering enhanced collegiality and offering comprehensive information regarding the specific mathematical concepts and their corresponding timelines, both in mathematics and design and technology (D&amp;T) fields, particularly in the context of curriculum policy formulation at the school level. The subject of Design and Technology (D&amp;T) is inherently more reliant on mathematics than the reverse, resulting in an asymmetry of dependency. However, by fostering greater collegiality and understanding, it may be possible to mitigate the tendency to attribute difficulties in D&amp;T to deficiencies in mathematics. This could lead to a more mutually advantageous situation for both educators and students.</w:t>
      </w:r>
    </w:p>
    <w:p w:rsidR="00000000" w:rsidDel="00000000" w:rsidP="00000000" w:rsidRDefault="00000000" w:rsidRPr="00000000" w14:paraId="000001F0">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F1">
      <w:pPr>
        <w:pBdr>
          <w:top w:space="0" w:sz="0" w:val="nil"/>
          <w:left w:space="0" w:sz="0" w:val="nil"/>
          <w:bottom w:space="0" w:sz="0" w:val="nil"/>
          <w:right w:space="0" w:sz="0" w:val="nil"/>
          <w:between w:space="0" w:sz="0" w:val="nil"/>
        </w:pBdr>
        <w:spacing w:line="480" w:lineRule="auto"/>
        <w:rPr>
          <w:rFonts w:ascii="Cambria" w:cs="Cambria" w:eastAsia="Cambria" w:hAnsi="Cambria"/>
          <w:color w:val="000000"/>
        </w:rPr>
      </w:pPr>
      <w:r w:rsidDel="00000000" w:rsidR="00000000" w:rsidRPr="00000000">
        <w:rPr>
          <w:rtl w:val="0"/>
        </w:rPr>
      </w:r>
    </w:p>
    <w:p w:rsidR="00000000" w:rsidDel="00000000" w:rsidP="00000000" w:rsidRDefault="00000000" w:rsidRPr="00000000" w14:paraId="000001F2">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3">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4">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5">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6">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7">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8">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9">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A">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B">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C">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D">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E">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1FF">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00">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01">
      <w:pPr>
        <w:pBdr>
          <w:top w:space="0" w:sz="0" w:val="nil"/>
          <w:left w:space="0" w:sz="0" w:val="nil"/>
          <w:bottom w:space="0" w:sz="0" w:val="nil"/>
          <w:right w:space="0" w:sz="0" w:val="nil"/>
          <w:between w:space="0" w:sz="0" w:val="nil"/>
        </w:pBdr>
        <w:spacing w:line="480" w:lineRule="auto"/>
        <w:rPr>
          <w:rFonts w:ascii="Cambria" w:cs="Cambria" w:eastAsia="Cambria" w:hAnsi="Cambria"/>
          <w:color w:val="000000"/>
        </w:rPr>
      </w:pPr>
      <w:r w:rsidDel="00000000" w:rsidR="00000000" w:rsidRPr="00000000">
        <w:rPr>
          <w:rFonts w:ascii="Cambria" w:cs="Cambria" w:eastAsia="Cambria" w:hAnsi="Cambria"/>
          <w:color w:val="000000"/>
          <w:rtl w:val="0"/>
        </w:rPr>
        <w:t xml:space="preserve">REFERENCES</w:t>
      </w:r>
    </w:p>
    <w:p w:rsidR="00000000" w:rsidDel="00000000" w:rsidP="00000000" w:rsidRDefault="00000000" w:rsidRPr="00000000" w14:paraId="00000202">
      <w:pPr>
        <w:spacing w:line="276" w:lineRule="auto"/>
        <w:jc w:val="both"/>
        <w:rPr>
          <w:rFonts w:ascii="Cambria" w:cs="Cambria" w:eastAsia="Cambria" w:hAnsi="Cambria"/>
          <w:color w:val="ff0000"/>
          <w:u w:val="single"/>
        </w:rPr>
      </w:pPr>
      <w:r w:rsidDel="00000000" w:rsidR="00000000" w:rsidRPr="00000000">
        <w:rPr>
          <w:rFonts w:ascii="Cambria" w:cs="Cambria" w:eastAsia="Cambria" w:hAnsi="Cambria"/>
          <w:u w:val="single"/>
          <w:rtl w:val="0"/>
        </w:rPr>
        <w:t xml:space="preserve">References:</w:t>
      </w:r>
      <w:r w:rsidDel="00000000" w:rsidR="00000000" w:rsidRPr="00000000">
        <w:rPr>
          <w:rFonts w:ascii="Cambria" w:cs="Cambria" w:eastAsia="Cambria" w:hAnsi="Cambria"/>
          <w:color w:val="ff0000"/>
          <w:u w:val="single"/>
          <w:rtl w:val="0"/>
        </w:rPr>
        <w:t xml:space="preserve">(chapter 2 literature review)</w:t>
      </w:r>
    </w:p>
    <w:p w:rsidR="00000000" w:rsidDel="00000000" w:rsidP="00000000" w:rsidRDefault="00000000" w:rsidRPr="00000000" w14:paraId="00000203">
      <w:pPr>
        <w:rPr/>
      </w:pPr>
      <w:r w:rsidDel="00000000" w:rsidR="00000000" w:rsidRPr="00000000">
        <w:rPr>
          <w:rtl w:val="0"/>
        </w:rPr>
      </w:r>
    </w:p>
    <w:p w:rsidR="00000000" w:rsidDel="00000000" w:rsidP="00000000" w:rsidRDefault="00000000" w:rsidRPr="00000000" w14:paraId="00000204">
      <w:pPr>
        <w:rPr>
          <w:rFonts w:ascii="Cambria" w:cs="Cambria" w:eastAsia="Cambria" w:hAnsi="Cambria"/>
        </w:rPr>
      </w:pPr>
      <w:r w:rsidDel="00000000" w:rsidR="00000000" w:rsidRPr="00000000">
        <w:rPr>
          <w:rFonts w:ascii="Cambria" w:cs="Cambria" w:eastAsia="Cambria" w:hAnsi="Cambria"/>
          <w:rtl w:val="0"/>
        </w:rPr>
        <w:t xml:space="preserve">Barnett, S., &amp; Ceci, S. J. (2002). </w:t>
      </w:r>
      <w:r w:rsidDel="00000000" w:rsidR="00000000" w:rsidRPr="00000000">
        <w:rPr>
          <w:rFonts w:ascii="Cambria" w:cs="Cambria" w:eastAsia="Cambria" w:hAnsi="Cambria"/>
          <w:i w:val="1"/>
          <w:rtl w:val="0"/>
        </w:rPr>
        <w:t xml:space="preserve">When and where do we apply what we learn? A taxonomy for far transfer.</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rtl w:val="0"/>
        </w:rPr>
        <w:t xml:space="preserve">Psychological Bulletin, 128</w:t>
      </w:r>
      <w:r w:rsidDel="00000000" w:rsidR="00000000" w:rsidRPr="00000000">
        <w:rPr>
          <w:rFonts w:ascii="Cambria" w:cs="Cambria" w:eastAsia="Cambria" w:hAnsi="Cambria"/>
          <w:rtl w:val="0"/>
        </w:rPr>
        <w:t xml:space="preserve">(4), 612-637. </w:t>
      </w:r>
    </w:p>
    <w:p w:rsidR="00000000" w:rsidDel="00000000" w:rsidP="00000000" w:rsidRDefault="00000000" w:rsidRPr="00000000" w14:paraId="00000205">
      <w:pPr>
        <w:rPr>
          <w:rFonts w:ascii="Cambria" w:cs="Cambria" w:eastAsia="Cambria" w:hAnsi="Cambria"/>
        </w:rPr>
      </w:pPr>
      <w:r w:rsidDel="00000000" w:rsidR="00000000" w:rsidRPr="00000000">
        <w:rPr>
          <w:rtl w:val="0"/>
        </w:rPr>
      </w:r>
    </w:p>
    <w:p w:rsidR="00000000" w:rsidDel="00000000" w:rsidP="00000000" w:rsidRDefault="00000000" w:rsidRPr="00000000" w14:paraId="00000206">
      <w:pPr>
        <w:rPr>
          <w:rFonts w:ascii="Cambria" w:cs="Cambria" w:eastAsia="Cambria" w:hAnsi="Cambria"/>
        </w:rPr>
      </w:pPr>
      <w:r w:rsidDel="00000000" w:rsidR="00000000" w:rsidRPr="00000000">
        <w:rPr>
          <w:rFonts w:ascii="Cambria" w:cs="Cambria" w:eastAsia="Cambria" w:hAnsi="Cambria"/>
          <w:rtl w:val="0"/>
        </w:rPr>
        <w:t xml:space="preserve">Bernstein, B. (2000). </w:t>
      </w:r>
      <w:r w:rsidDel="00000000" w:rsidR="00000000" w:rsidRPr="00000000">
        <w:rPr>
          <w:rFonts w:ascii="Cambria" w:cs="Cambria" w:eastAsia="Cambria" w:hAnsi="Cambria"/>
          <w:i w:val="1"/>
          <w:rtl w:val="0"/>
        </w:rPr>
        <w:t xml:space="preserve">Pedagogy, symbolic control and identity </w:t>
      </w:r>
      <w:r w:rsidDel="00000000" w:rsidR="00000000" w:rsidRPr="00000000">
        <w:rPr>
          <w:rFonts w:ascii="Cambria" w:cs="Cambria" w:eastAsia="Cambria" w:hAnsi="Cambria"/>
          <w:rtl w:val="0"/>
        </w:rPr>
        <w:t xml:space="preserve">(2nd ed.). Lanham, Maryland: Rowman &amp; Littlefield. </w:t>
      </w:r>
    </w:p>
    <w:p w:rsidR="00000000" w:rsidDel="00000000" w:rsidP="00000000" w:rsidRDefault="00000000" w:rsidRPr="00000000" w14:paraId="00000207">
      <w:pPr>
        <w:rPr>
          <w:rFonts w:ascii="Cambria" w:cs="Cambria" w:eastAsia="Cambria" w:hAnsi="Cambria"/>
        </w:rPr>
      </w:pPr>
      <w:r w:rsidDel="00000000" w:rsidR="00000000" w:rsidRPr="00000000">
        <w:rPr>
          <w:rtl w:val="0"/>
        </w:rPr>
      </w:r>
    </w:p>
    <w:p w:rsidR="00000000" w:rsidDel="00000000" w:rsidP="00000000" w:rsidRDefault="00000000" w:rsidRPr="00000000" w14:paraId="00000208">
      <w:pPr>
        <w:rPr>
          <w:rFonts w:ascii="Cambria" w:cs="Cambria" w:eastAsia="Cambria" w:hAnsi="Cambria"/>
        </w:rPr>
      </w:pPr>
      <w:r w:rsidDel="00000000" w:rsidR="00000000" w:rsidRPr="00000000">
        <w:rPr>
          <w:rFonts w:ascii="Cambria" w:cs="Cambria" w:eastAsia="Cambria" w:hAnsi="Cambria"/>
          <w:color w:val="222222"/>
          <w:highlight w:val="white"/>
          <w:rtl w:val="0"/>
        </w:rPr>
        <w:t xml:space="preserve">Boaler, J., 2002. </w:t>
      </w:r>
      <w:r w:rsidDel="00000000" w:rsidR="00000000" w:rsidRPr="00000000">
        <w:rPr>
          <w:rFonts w:ascii="Cambria" w:cs="Cambria" w:eastAsia="Cambria" w:hAnsi="Cambria"/>
          <w:i w:val="1"/>
          <w:color w:val="222222"/>
          <w:highlight w:val="white"/>
          <w:rtl w:val="0"/>
        </w:rPr>
        <w:t xml:space="preserve">The development of disciplinary relationships: Knowledge, practice and identity in mathematics classrooms</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For the learning of mathematics</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22</w:t>
      </w:r>
      <w:r w:rsidDel="00000000" w:rsidR="00000000" w:rsidRPr="00000000">
        <w:rPr>
          <w:rFonts w:ascii="Cambria" w:cs="Cambria" w:eastAsia="Cambria" w:hAnsi="Cambria"/>
          <w:color w:val="222222"/>
          <w:highlight w:val="white"/>
          <w:rtl w:val="0"/>
        </w:rPr>
        <w:t xml:space="preserve">(1), pp.42-47.</w:t>
      </w:r>
      <w:r w:rsidDel="00000000" w:rsidR="00000000" w:rsidRPr="00000000">
        <w:rPr>
          <w:rtl w:val="0"/>
        </w:rPr>
      </w:r>
    </w:p>
    <w:p w:rsidR="00000000" w:rsidDel="00000000" w:rsidP="00000000" w:rsidRDefault="00000000" w:rsidRPr="00000000" w14:paraId="00000209">
      <w:pPr>
        <w:rPr>
          <w:rFonts w:ascii="Cambria" w:cs="Cambria" w:eastAsia="Cambria" w:hAnsi="Cambria"/>
        </w:rPr>
      </w:pPr>
      <w:r w:rsidDel="00000000" w:rsidR="00000000" w:rsidRPr="00000000">
        <w:rPr>
          <w:rtl w:val="0"/>
        </w:rPr>
      </w:r>
    </w:p>
    <w:p w:rsidR="00000000" w:rsidDel="00000000" w:rsidP="00000000" w:rsidRDefault="00000000" w:rsidRPr="00000000" w14:paraId="0000020A">
      <w:pPr>
        <w:rPr>
          <w:rFonts w:ascii="Cambria" w:cs="Cambria" w:eastAsia="Cambria" w:hAnsi="Cambria"/>
        </w:rPr>
      </w:pPr>
      <w:r w:rsidDel="00000000" w:rsidR="00000000" w:rsidRPr="00000000">
        <w:rPr>
          <w:rFonts w:ascii="Cambria" w:cs="Cambria" w:eastAsia="Cambria" w:hAnsi="Cambria"/>
          <w:color w:val="222222"/>
          <w:highlight w:val="white"/>
          <w:rtl w:val="0"/>
        </w:rPr>
        <w:t xml:space="preserve">Boaler, J. ed., 2000. </w:t>
      </w:r>
      <w:r w:rsidDel="00000000" w:rsidR="00000000" w:rsidRPr="00000000">
        <w:rPr>
          <w:rFonts w:ascii="Cambria" w:cs="Cambria" w:eastAsia="Cambria" w:hAnsi="Cambria"/>
          <w:i w:val="1"/>
          <w:color w:val="222222"/>
          <w:highlight w:val="white"/>
          <w:rtl w:val="0"/>
        </w:rPr>
        <w:t xml:space="preserve">Multiple perspectives on mathematics teaching and learning</w:t>
      </w:r>
      <w:r w:rsidDel="00000000" w:rsidR="00000000" w:rsidRPr="00000000">
        <w:rPr>
          <w:rFonts w:ascii="Cambria" w:cs="Cambria" w:eastAsia="Cambria" w:hAnsi="Cambria"/>
          <w:color w:val="222222"/>
          <w:highlight w:val="white"/>
          <w:rtl w:val="0"/>
        </w:rPr>
        <w:t xml:space="preserve">. Ablex Publishing.</w:t>
      </w:r>
      <w:r w:rsidDel="00000000" w:rsidR="00000000" w:rsidRPr="00000000">
        <w:rPr>
          <w:rtl w:val="0"/>
        </w:rPr>
      </w:r>
    </w:p>
    <w:p w:rsidR="00000000" w:rsidDel="00000000" w:rsidP="00000000" w:rsidRDefault="00000000" w:rsidRPr="00000000" w14:paraId="0000020B">
      <w:pPr>
        <w:rPr>
          <w:rFonts w:ascii="Cambria" w:cs="Cambria" w:eastAsia="Cambria" w:hAnsi="Cambria"/>
        </w:rPr>
      </w:pPr>
      <w:r w:rsidDel="00000000" w:rsidR="00000000" w:rsidRPr="00000000">
        <w:rPr>
          <w:rtl w:val="0"/>
        </w:rPr>
      </w:r>
    </w:p>
    <w:p w:rsidR="00000000" w:rsidDel="00000000" w:rsidP="00000000" w:rsidRDefault="00000000" w:rsidRPr="00000000" w14:paraId="0000020C">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Booher, D.E. and Innes, J.E., 2002. </w:t>
      </w:r>
      <w:r w:rsidDel="00000000" w:rsidR="00000000" w:rsidRPr="00000000">
        <w:rPr>
          <w:rFonts w:ascii="Cambria" w:cs="Cambria" w:eastAsia="Cambria" w:hAnsi="Cambria"/>
          <w:i w:val="1"/>
          <w:color w:val="222222"/>
          <w:highlight w:val="white"/>
          <w:rtl w:val="0"/>
        </w:rPr>
        <w:t xml:space="preserve">Network power in collaborative planning</w:t>
      </w:r>
      <w:r w:rsidDel="00000000" w:rsidR="00000000" w:rsidRPr="00000000">
        <w:rPr>
          <w:rFonts w:ascii="Cambria" w:cs="Cambria" w:eastAsia="Cambria" w:hAnsi="Cambria"/>
          <w:color w:val="222222"/>
          <w:highlight w:val="white"/>
          <w:rtl w:val="0"/>
        </w:rPr>
        <w:t xml:space="preserve">. Journal of planning education and research, </w:t>
      </w:r>
      <w:r w:rsidDel="00000000" w:rsidR="00000000" w:rsidRPr="00000000">
        <w:rPr>
          <w:rFonts w:ascii="Cambria" w:cs="Cambria" w:eastAsia="Cambria" w:hAnsi="Cambria"/>
          <w:i w:val="1"/>
          <w:color w:val="222222"/>
          <w:highlight w:val="white"/>
          <w:rtl w:val="0"/>
        </w:rPr>
        <w:t xml:space="preserve">21</w:t>
      </w:r>
      <w:r w:rsidDel="00000000" w:rsidR="00000000" w:rsidRPr="00000000">
        <w:rPr>
          <w:rFonts w:ascii="Cambria" w:cs="Cambria" w:eastAsia="Cambria" w:hAnsi="Cambria"/>
          <w:color w:val="222222"/>
          <w:highlight w:val="white"/>
          <w:rtl w:val="0"/>
        </w:rPr>
        <w:t xml:space="preserve">(3), pp.221-236.</w:t>
      </w:r>
    </w:p>
    <w:p w:rsidR="00000000" w:rsidDel="00000000" w:rsidP="00000000" w:rsidRDefault="00000000" w:rsidRPr="00000000" w14:paraId="0000020D">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0E">
      <w:pPr>
        <w:rPr>
          <w:rFonts w:ascii="Cambria" w:cs="Cambria" w:eastAsia="Cambria" w:hAnsi="Cambria"/>
        </w:rPr>
      </w:pPr>
      <w:r w:rsidDel="00000000" w:rsidR="00000000" w:rsidRPr="00000000">
        <w:rPr>
          <w:rFonts w:ascii="Cambria" w:cs="Cambria" w:eastAsia="Cambria" w:hAnsi="Cambria"/>
          <w:color w:val="222222"/>
          <w:highlight w:val="white"/>
          <w:rtl w:val="0"/>
        </w:rPr>
        <w:t xml:space="preserve">Britton, S., New, P., Roberts, A. and Sharma, M., 2007. </w:t>
      </w:r>
      <w:r w:rsidDel="00000000" w:rsidR="00000000" w:rsidRPr="00000000">
        <w:rPr>
          <w:rFonts w:ascii="Cambria" w:cs="Cambria" w:eastAsia="Cambria" w:hAnsi="Cambria"/>
          <w:i w:val="1"/>
          <w:color w:val="222222"/>
          <w:highlight w:val="white"/>
          <w:rtl w:val="0"/>
        </w:rPr>
        <w:t xml:space="preserve">Investigating students’ ability to transfer mathematics</w:t>
      </w:r>
      <w:r w:rsidDel="00000000" w:rsidR="00000000" w:rsidRPr="00000000">
        <w:rPr>
          <w:rFonts w:ascii="Cambria" w:cs="Cambria" w:eastAsia="Cambria" w:hAnsi="Cambria"/>
          <w:color w:val="222222"/>
          <w:highlight w:val="white"/>
          <w:rtl w:val="0"/>
        </w:rPr>
        <w:t xml:space="preserve">. Sydney University Press.</w:t>
      </w:r>
      <w:r w:rsidDel="00000000" w:rsidR="00000000" w:rsidRPr="00000000">
        <w:rPr>
          <w:rtl w:val="0"/>
        </w:rPr>
      </w:r>
    </w:p>
    <w:p w:rsidR="00000000" w:rsidDel="00000000" w:rsidP="00000000" w:rsidRDefault="00000000" w:rsidRPr="00000000" w14:paraId="0000020F">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10">
      <w:pPr>
        <w:rPr>
          <w:rFonts w:ascii="Cambria" w:cs="Cambria" w:eastAsia="Cambria" w:hAnsi="Cambria"/>
        </w:rPr>
      </w:pPr>
      <w:r w:rsidDel="00000000" w:rsidR="00000000" w:rsidRPr="00000000">
        <w:rPr>
          <w:rFonts w:ascii="Cambria" w:cs="Cambria" w:eastAsia="Cambria" w:hAnsi="Cambria"/>
          <w:highlight w:val="white"/>
          <w:rtl w:val="0"/>
        </w:rPr>
        <w:t xml:space="preserve">Burghes, D., Price, N. and TwyFord, J., 1996. </w:t>
      </w:r>
      <w:r w:rsidDel="00000000" w:rsidR="00000000" w:rsidRPr="00000000">
        <w:rPr>
          <w:rFonts w:ascii="Cambria" w:cs="Cambria" w:eastAsia="Cambria" w:hAnsi="Cambria"/>
          <w:i w:val="1"/>
          <w:highlight w:val="white"/>
          <w:rtl w:val="0"/>
        </w:rPr>
        <w:t xml:space="preserve">The interface between mathematics and design and technology in secondary schools. The Curriculum Journal</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i w:val="1"/>
          <w:highlight w:val="white"/>
          <w:rtl w:val="0"/>
        </w:rPr>
        <w:t xml:space="preserve">7</w:t>
      </w:r>
      <w:r w:rsidDel="00000000" w:rsidR="00000000" w:rsidRPr="00000000">
        <w:rPr>
          <w:rFonts w:ascii="Cambria" w:cs="Cambria" w:eastAsia="Cambria" w:hAnsi="Cambria"/>
          <w:highlight w:val="white"/>
          <w:rtl w:val="0"/>
        </w:rPr>
        <w:t xml:space="preserve">(1), pp.35-50.</w:t>
      </w:r>
      <w:r w:rsidDel="00000000" w:rsidR="00000000" w:rsidRPr="00000000">
        <w:rPr>
          <w:rtl w:val="0"/>
        </w:rPr>
      </w:r>
    </w:p>
    <w:p w:rsidR="00000000" w:rsidDel="00000000" w:rsidP="00000000" w:rsidRDefault="00000000" w:rsidRPr="00000000" w14:paraId="00000211">
      <w:pPr>
        <w:rPr>
          <w:rFonts w:ascii="Cambria" w:cs="Cambria" w:eastAsia="Cambria" w:hAnsi="Cambria"/>
        </w:rPr>
      </w:pPr>
      <w:r w:rsidDel="00000000" w:rsidR="00000000" w:rsidRPr="00000000">
        <w:rPr>
          <w:rtl w:val="0"/>
        </w:rPr>
      </w:r>
    </w:p>
    <w:p w:rsidR="00000000" w:rsidDel="00000000" w:rsidP="00000000" w:rsidRDefault="00000000" w:rsidRPr="00000000" w14:paraId="00000212">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Carreira, S., Evans, J., Lerman, S. and Morgan, C. (2002) ‘Mathematical thinking: studying the notion of ‘transfer’, in Cockburn, A. and Nardi, E. (eds.), Proceedings of 26th International Group for the Psychology of Mathematics Education, Norwich, UK, University of East Anglia, 2, pp. 185–192.</w:t>
      </w:r>
    </w:p>
    <w:p w:rsidR="00000000" w:rsidDel="00000000" w:rsidP="00000000" w:rsidRDefault="00000000" w:rsidRPr="00000000" w14:paraId="00000213">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14">
      <w:pPr>
        <w:rPr>
          <w:rFonts w:ascii="Cambria" w:cs="Cambria" w:eastAsia="Cambria" w:hAnsi="Cambria"/>
        </w:rPr>
      </w:pPr>
      <w:r w:rsidDel="00000000" w:rsidR="00000000" w:rsidRPr="00000000">
        <w:rPr>
          <w:rFonts w:ascii="Cambria" w:cs="Cambria" w:eastAsia="Cambria" w:hAnsi="Cambria"/>
          <w:highlight w:val="white"/>
          <w:rtl w:val="0"/>
        </w:rPr>
        <w:t xml:space="preserve">Davidson, M., Evens, H. and McCormick, R., 1998. Bridging the gap: the use of concepts from D&amp;T subjectand mathematics in design and technology at KS 3.</w:t>
      </w:r>
      <w:r w:rsidDel="00000000" w:rsidR="00000000" w:rsidRPr="00000000">
        <w:rPr>
          <w:rtl w:val="0"/>
        </w:rPr>
      </w:r>
    </w:p>
    <w:p w:rsidR="00000000" w:rsidDel="00000000" w:rsidP="00000000" w:rsidRDefault="00000000" w:rsidRPr="00000000" w14:paraId="00000215">
      <w:pPr>
        <w:rPr>
          <w:rFonts w:ascii="Cambria" w:cs="Cambria" w:eastAsia="Cambria" w:hAnsi="Cambria"/>
        </w:rPr>
      </w:pPr>
      <w:r w:rsidDel="00000000" w:rsidR="00000000" w:rsidRPr="00000000">
        <w:rPr>
          <w:rtl w:val="0"/>
        </w:rPr>
      </w:r>
    </w:p>
    <w:p w:rsidR="00000000" w:rsidDel="00000000" w:rsidP="00000000" w:rsidRDefault="00000000" w:rsidRPr="00000000" w14:paraId="00000216">
      <w:pPr>
        <w:rPr>
          <w:rFonts w:ascii="Cambria" w:cs="Cambria" w:eastAsia="Cambria" w:hAnsi="Cambria"/>
          <w:i w:val="1"/>
        </w:rPr>
      </w:pPr>
      <w:r w:rsidDel="00000000" w:rsidR="00000000" w:rsidRPr="00000000">
        <w:rPr>
          <w:rFonts w:ascii="Cambria" w:cs="Cambria" w:eastAsia="Cambria" w:hAnsi="Cambria"/>
          <w:rtl w:val="0"/>
        </w:rPr>
        <w:t xml:space="preserve">Department for Education. (2014). </w:t>
      </w:r>
      <w:r w:rsidDel="00000000" w:rsidR="00000000" w:rsidRPr="00000000">
        <w:rPr>
          <w:rFonts w:ascii="Cambria" w:cs="Cambria" w:eastAsia="Cambria" w:hAnsi="Cambria"/>
          <w:i w:val="1"/>
          <w:rtl w:val="0"/>
        </w:rPr>
        <w:t xml:space="preserve">The National Curriculum in England. </w:t>
      </w:r>
      <w:r w:rsidDel="00000000" w:rsidR="00000000" w:rsidRPr="00000000">
        <w:rPr>
          <w:rFonts w:ascii="Cambria" w:cs="Cambria" w:eastAsia="Cambria" w:hAnsi="Cambria"/>
          <w:rtl w:val="0"/>
        </w:rPr>
        <w:t xml:space="preserve">Retrieved from</w:t>
      </w:r>
      <w:r w:rsidDel="00000000" w:rsidR="00000000" w:rsidRPr="00000000">
        <w:rPr>
          <w:rtl w:val="0"/>
        </w:rPr>
      </w:r>
    </w:p>
    <w:p w:rsidR="00000000" w:rsidDel="00000000" w:rsidP="00000000" w:rsidRDefault="00000000" w:rsidRPr="00000000" w14:paraId="00000217">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18">
      <w:pPr>
        <w:rPr>
          <w:rFonts w:ascii="Cambria" w:cs="Cambria" w:eastAsia="Cambria" w:hAnsi="Cambria"/>
          <w:color w:val="0000ff"/>
          <w:highlight w:val="white"/>
        </w:rPr>
      </w:pPr>
      <w:r w:rsidDel="00000000" w:rsidR="00000000" w:rsidRPr="00000000">
        <w:fldChar w:fldCharType="begin"/>
        <w:instrText xml:space="preserve"> HYPERLINK "https://assets.publishing.service.gov.uk" </w:instrText>
        <w:fldChar w:fldCharType="separate"/>
      </w:r>
      <w:r w:rsidDel="00000000" w:rsidR="00000000" w:rsidRPr="00000000">
        <w:rPr>
          <w:rFonts w:ascii="Cambria" w:cs="Cambria" w:eastAsia="Cambria" w:hAnsi="Cambria"/>
          <w:color w:val="0000ff"/>
          <w:highlight w:val="white"/>
          <w:rtl w:val="0"/>
        </w:rPr>
        <w:t xml:space="preserve">https://assets.publishing.service.gov.uk</w:t>
      </w:r>
    </w:p>
    <w:p w:rsidR="00000000" w:rsidDel="00000000" w:rsidP="00000000" w:rsidRDefault="00000000" w:rsidRPr="00000000" w14:paraId="00000219">
      <w:pPr>
        <w:rPr>
          <w:rFonts w:ascii="Cambria" w:cs="Cambria" w:eastAsia="Cambria" w:hAnsi="Cambria"/>
          <w:color w:val="0000ff"/>
          <w:highlight w:val="white"/>
        </w:rPr>
      </w:pPr>
      <w:r w:rsidDel="00000000" w:rsidR="00000000" w:rsidRPr="00000000">
        <w:fldChar w:fldCharType="end"/>
      </w:r>
      <w:r w:rsidDel="00000000" w:rsidR="00000000" w:rsidRPr="00000000">
        <w:rPr>
          <w:rFonts w:ascii="Cambria" w:cs="Cambria" w:eastAsia="Cambria" w:hAnsi="Cambria"/>
          <w:highlight w:val="white"/>
          <w:rtl w:val="0"/>
        </w:rPr>
        <w:br w:type="textWrapping"/>
        <w:br w:type="textWrapping"/>
      </w:r>
      <w:r w:rsidDel="00000000" w:rsidR="00000000" w:rsidRPr="00000000">
        <w:fldChar w:fldCharType="begin"/>
        <w:instrText xml:space="preserve"> HYPERLINK "about:blank" </w:instrText>
        <w:fldChar w:fldCharType="separate"/>
      </w:r>
      <w:r w:rsidDel="00000000" w:rsidR="00000000" w:rsidRPr="00000000">
        <w:rPr>
          <w:rtl w:val="0"/>
        </w:rPr>
      </w:r>
    </w:p>
    <w:p w:rsidR="00000000" w:rsidDel="00000000" w:rsidP="00000000" w:rsidRDefault="00000000" w:rsidRPr="00000000" w14:paraId="0000021A">
      <w:pPr>
        <w:rPr>
          <w:rFonts w:ascii="Cambria" w:cs="Cambria" w:eastAsia="Cambria" w:hAnsi="Cambria"/>
        </w:rPr>
      </w:pPr>
      <w:r w:rsidDel="00000000" w:rsidR="00000000" w:rsidRPr="00000000">
        <w:fldChar w:fldCharType="end"/>
      </w:r>
      <w:r w:rsidDel="00000000" w:rsidR="00000000" w:rsidRPr="00000000">
        <w:rPr>
          <w:rFonts w:ascii="Cambria" w:cs="Cambria" w:eastAsia="Cambria" w:hAnsi="Cambria"/>
          <w:color w:val="222222"/>
          <w:highlight w:val="white"/>
          <w:rtl w:val="0"/>
        </w:rPr>
        <w:t xml:space="preserve"> Detterman, D.K. and Sternberg, R.J., 1996. </w:t>
      </w:r>
      <w:r w:rsidDel="00000000" w:rsidR="00000000" w:rsidRPr="00000000">
        <w:rPr>
          <w:rFonts w:ascii="Cambria" w:cs="Cambria" w:eastAsia="Cambria" w:hAnsi="Cambria"/>
          <w:i w:val="1"/>
          <w:color w:val="222222"/>
          <w:highlight w:val="white"/>
          <w:rtl w:val="0"/>
        </w:rPr>
        <w:t xml:space="preserve">Transfer on trial: Intelligence, cognition, and instruction</w:t>
      </w:r>
      <w:r w:rsidDel="00000000" w:rsidR="00000000" w:rsidRPr="00000000">
        <w:rPr>
          <w:rFonts w:ascii="Cambria" w:cs="Cambria" w:eastAsia="Cambria" w:hAnsi="Cambria"/>
          <w:color w:val="222222"/>
          <w:highlight w:val="white"/>
          <w:rtl w:val="0"/>
        </w:rPr>
        <w:t xml:space="preserve">. Ablex Publishing.</w:t>
      </w:r>
      <w:r w:rsidDel="00000000" w:rsidR="00000000" w:rsidRPr="00000000">
        <w:rPr>
          <w:rtl w:val="0"/>
        </w:rPr>
      </w:r>
    </w:p>
    <w:p w:rsidR="00000000" w:rsidDel="00000000" w:rsidP="00000000" w:rsidRDefault="00000000" w:rsidRPr="00000000" w14:paraId="0000021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1C">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Greeno, J.G., 1997. On claims that answer the wrong questions. </w:t>
      </w:r>
      <w:r w:rsidDel="00000000" w:rsidR="00000000" w:rsidRPr="00000000">
        <w:rPr>
          <w:rFonts w:ascii="Cambria" w:cs="Cambria" w:eastAsia="Cambria" w:hAnsi="Cambria"/>
          <w:i w:val="1"/>
          <w:color w:val="222222"/>
          <w:highlight w:val="white"/>
          <w:rtl w:val="0"/>
        </w:rPr>
        <w:t xml:space="preserve">Educational researcher</w:t>
      </w:r>
      <w:r w:rsidDel="00000000" w:rsidR="00000000" w:rsidRPr="00000000">
        <w:rPr>
          <w:rFonts w:ascii="Cambria" w:cs="Cambria" w:eastAsia="Cambria" w:hAnsi="Cambria"/>
          <w:color w:val="222222"/>
          <w:highlight w:val="white"/>
          <w:rtl w:val="0"/>
        </w:rPr>
        <w:t xml:space="preserve">, </w:t>
      </w:r>
    </w:p>
    <w:p w:rsidR="00000000" w:rsidDel="00000000" w:rsidP="00000000" w:rsidRDefault="00000000" w:rsidRPr="00000000" w14:paraId="0000021D">
      <w:pPr>
        <w:rPr>
          <w:rFonts w:ascii="Cambria" w:cs="Cambria" w:eastAsia="Cambria" w:hAnsi="Cambria"/>
          <w:color w:val="222222"/>
          <w:highlight w:val="white"/>
        </w:rPr>
      </w:pPr>
      <w:r w:rsidDel="00000000" w:rsidR="00000000" w:rsidRPr="00000000">
        <w:rPr>
          <w:rFonts w:ascii="Cambria" w:cs="Cambria" w:eastAsia="Cambria" w:hAnsi="Cambria"/>
          <w:i w:val="1"/>
          <w:color w:val="222222"/>
          <w:highlight w:val="white"/>
          <w:rtl w:val="0"/>
        </w:rPr>
        <w:t xml:space="preserve">26</w:t>
      </w:r>
      <w:r w:rsidDel="00000000" w:rsidR="00000000" w:rsidRPr="00000000">
        <w:rPr>
          <w:rFonts w:ascii="Cambria" w:cs="Cambria" w:eastAsia="Cambria" w:hAnsi="Cambria"/>
          <w:color w:val="222222"/>
          <w:highlight w:val="white"/>
          <w:rtl w:val="0"/>
        </w:rPr>
        <w:t xml:space="preserve">(1), pp.5-17.</w:t>
      </w:r>
    </w:p>
    <w:p w:rsidR="00000000" w:rsidDel="00000000" w:rsidP="00000000" w:rsidRDefault="00000000" w:rsidRPr="00000000" w14:paraId="0000021E">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1F">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Greeno, J.G., Smith, D.R., Moore, J.L. (1996). ‘Transfer of Situated Learning’, in Detterman, D.K., Stenberg, R.J. (eds) </w:t>
      </w:r>
      <w:r w:rsidDel="00000000" w:rsidR="00000000" w:rsidRPr="00000000">
        <w:rPr>
          <w:rFonts w:ascii="Cambria" w:cs="Cambria" w:eastAsia="Cambria" w:hAnsi="Cambria"/>
          <w:i w:val="1"/>
          <w:color w:val="222222"/>
          <w:highlight w:val="white"/>
          <w:rtl w:val="0"/>
        </w:rPr>
        <w:t xml:space="preserve">Transfer on Trial: Intelligence, Cognition, and Instruction.</w:t>
      </w:r>
      <w:r w:rsidDel="00000000" w:rsidR="00000000" w:rsidRPr="00000000">
        <w:rPr>
          <w:rFonts w:ascii="Cambria" w:cs="Cambria" w:eastAsia="Cambria" w:hAnsi="Cambria"/>
          <w:color w:val="222222"/>
          <w:highlight w:val="white"/>
          <w:rtl w:val="0"/>
        </w:rPr>
        <w:t xml:space="preserve"> Ablex Publishing: pp99-104 </w:t>
      </w:r>
    </w:p>
    <w:p w:rsidR="00000000" w:rsidDel="00000000" w:rsidP="00000000" w:rsidRDefault="00000000" w:rsidRPr="00000000" w14:paraId="00000220">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21">
      <w:pPr>
        <w:rPr>
          <w:rFonts w:ascii="Cambria" w:cs="Cambria" w:eastAsia="Cambria" w:hAnsi="Cambria"/>
          <w:highlight w:val="white"/>
        </w:rPr>
      </w:pPr>
      <w:r w:rsidDel="00000000" w:rsidR="00000000" w:rsidRPr="00000000">
        <w:rPr>
          <w:rFonts w:ascii="Cambria" w:cs="Cambria" w:eastAsia="Cambria" w:hAnsi="Cambria"/>
          <w:color w:val="222222"/>
          <w:highlight w:val="white"/>
          <w:rtl w:val="0"/>
        </w:rPr>
        <w:t xml:space="preserve">Hammer, D., Elby, A., Scherr, R.E. and Redish, E.F., 2005. Resources, framing, and transfer. </w:t>
      </w:r>
      <w:r w:rsidDel="00000000" w:rsidR="00000000" w:rsidRPr="00000000">
        <w:rPr>
          <w:rFonts w:ascii="Cambria" w:cs="Cambria" w:eastAsia="Cambria" w:hAnsi="Cambria"/>
          <w:i w:val="1"/>
          <w:color w:val="222222"/>
          <w:highlight w:val="white"/>
          <w:rtl w:val="0"/>
        </w:rPr>
        <w:t xml:space="preserve">Transfer of learning from a modern multidisciplinary perspective</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89</w:t>
      </w:r>
      <w:r w:rsidDel="00000000" w:rsidR="00000000" w:rsidRPr="00000000">
        <w:rPr>
          <w:rFonts w:ascii="Cambria" w:cs="Cambria" w:eastAsia="Cambria" w:hAnsi="Cambria"/>
          <w:color w:val="222222"/>
          <w:highlight w:val="white"/>
          <w:rtl w:val="0"/>
        </w:rPr>
        <w:t xml:space="preserve">.</w:t>
      </w:r>
      <w:r w:rsidDel="00000000" w:rsidR="00000000" w:rsidRPr="00000000">
        <w:rPr>
          <w:rtl w:val="0"/>
        </w:rPr>
      </w:r>
    </w:p>
    <w:p w:rsidR="00000000" w:rsidDel="00000000" w:rsidP="00000000" w:rsidRDefault="00000000" w:rsidRPr="00000000" w14:paraId="00000222">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23">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Haskell, R.E., 2000. </w:t>
      </w:r>
      <w:r w:rsidDel="00000000" w:rsidR="00000000" w:rsidRPr="00000000">
        <w:rPr>
          <w:rFonts w:ascii="Cambria" w:cs="Cambria" w:eastAsia="Cambria" w:hAnsi="Cambria"/>
          <w:i w:val="1"/>
          <w:color w:val="222222"/>
          <w:highlight w:val="white"/>
          <w:rtl w:val="0"/>
        </w:rPr>
        <w:t xml:space="preserve">Transfer of learning: Cognition and instruction</w:t>
      </w:r>
      <w:r w:rsidDel="00000000" w:rsidR="00000000" w:rsidRPr="00000000">
        <w:rPr>
          <w:rFonts w:ascii="Cambria" w:cs="Cambria" w:eastAsia="Cambria" w:hAnsi="Cambria"/>
          <w:color w:val="222222"/>
          <w:highlight w:val="white"/>
          <w:rtl w:val="0"/>
        </w:rPr>
        <w:t xml:space="preserve">. Elsevier.</w:t>
      </w:r>
    </w:p>
    <w:p w:rsidR="00000000" w:rsidDel="00000000" w:rsidP="00000000" w:rsidRDefault="00000000" w:rsidRPr="00000000" w14:paraId="00000224">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25">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Hughes, M., Desforges, C., Mitchell, C., Carre, C. (2002). ‘Applying School Learning’, in Pollard, A.(ed.) </w:t>
      </w:r>
      <w:r w:rsidDel="00000000" w:rsidR="00000000" w:rsidRPr="00000000">
        <w:rPr>
          <w:rFonts w:ascii="Cambria" w:cs="Cambria" w:eastAsia="Cambria" w:hAnsi="Cambria"/>
          <w:i w:val="1"/>
          <w:color w:val="222222"/>
          <w:highlight w:val="white"/>
          <w:rtl w:val="0"/>
        </w:rPr>
        <w:t xml:space="preserve">Readings for Reflective Teaching. </w:t>
      </w:r>
      <w:r w:rsidDel="00000000" w:rsidR="00000000" w:rsidRPr="00000000">
        <w:rPr>
          <w:rFonts w:ascii="Cambria" w:cs="Cambria" w:eastAsia="Cambria" w:hAnsi="Cambria"/>
          <w:color w:val="222222"/>
          <w:highlight w:val="white"/>
          <w:rtl w:val="0"/>
        </w:rPr>
        <w:t xml:space="preserve">Continuum: pp127-129.</w:t>
      </w:r>
    </w:p>
    <w:p w:rsidR="00000000" w:rsidDel="00000000" w:rsidP="00000000" w:rsidRDefault="00000000" w:rsidRPr="00000000" w14:paraId="00000226">
      <w:pPr>
        <w:rPr>
          <w:rFonts w:ascii="Cambria" w:cs="Cambria" w:eastAsia="Cambria" w:hAnsi="Cambria"/>
        </w:rPr>
      </w:pPr>
      <w:r w:rsidDel="00000000" w:rsidR="00000000" w:rsidRPr="00000000">
        <w:rPr>
          <w:rtl w:val="0"/>
        </w:rPr>
      </w:r>
    </w:p>
    <w:p w:rsidR="00000000" w:rsidDel="00000000" w:rsidP="00000000" w:rsidRDefault="00000000" w:rsidRPr="00000000" w14:paraId="00000227">
      <w:pPr>
        <w:rPr>
          <w:rFonts w:ascii="Cambria" w:cs="Cambria" w:eastAsia="Cambria" w:hAnsi="Cambria"/>
        </w:rPr>
      </w:pPr>
      <w:r w:rsidDel="00000000" w:rsidR="00000000" w:rsidRPr="00000000">
        <w:rPr>
          <w:rFonts w:ascii="Cambria" w:cs="Cambria" w:eastAsia="Cambria" w:hAnsi="Cambria"/>
          <w:rtl w:val="0"/>
        </w:rPr>
        <w:t xml:space="preserve">Larsen-Freeman, D. (2013). Transfer of learning transformed. </w:t>
      </w:r>
      <w:r w:rsidDel="00000000" w:rsidR="00000000" w:rsidRPr="00000000">
        <w:rPr>
          <w:rFonts w:ascii="Cambria" w:cs="Cambria" w:eastAsia="Cambria" w:hAnsi="Cambria"/>
          <w:i w:val="1"/>
          <w:rtl w:val="0"/>
        </w:rPr>
        <w:t xml:space="preserve">Language learning, 63</w:t>
      </w:r>
      <w:r w:rsidDel="00000000" w:rsidR="00000000" w:rsidRPr="00000000">
        <w:rPr>
          <w:rFonts w:ascii="Cambria" w:cs="Cambria" w:eastAsia="Cambria" w:hAnsi="Cambria"/>
          <w:rtl w:val="0"/>
        </w:rPr>
        <w:t xml:space="preserve">(Supp 1), 107-129. </w:t>
      </w:r>
    </w:p>
    <w:p w:rsidR="00000000" w:rsidDel="00000000" w:rsidP="00000000" w:rsidRDefault="00000000" w:rsidRPr="00000000" w14:paraId="00000228">
      <w:pPr>
        <w:rPr>
          <w:rFonts w:ascii="Cambria" w:cs="Cambria" w:eastAsia="Cambria" w:hAnsi="Cambria"/>
        </w:rPr>
      </w:pPr>
      <w:r w:rsidDel="00000000" w:rsidR="00000000" w:rsidRPr="00000000">
        <w:rPr>
          <w:rtl w:val="0"/>
        </w:rPr>
      </w:r>
    </w:p>
    <w:p w:rsidR="00000000" w:rsidDel="00000000" w:rsidP="00000000" w:rsidRDefault="00000000" w:rsidRPr="00000000" w14:paraId="00000229">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Leberman, S. and McDonald, L., 2016. </w:t>
      </w:r>
      <w:r w:rsidDel="00000000" w:rsidR="00000000" w:rsidRPr="00000000">
        <w:rPr>
          <w:rFonts w:ascii="Cambria" w:cs="Cambria" w:eastAsia="Cambria" w:hAnsi="Cambria"/>
          <w:i w:val="1"/>
          <w:color w:val="222222"/>
          <w:highlight w:val="white"/>
          <w:rtl w:val="0"/>
        </w:rPr>
        <w:t xml:space="preserve">The transfer of learning: Participants' perspectives of adult education and training</w:t>
      </w:r>
      <w:r w:rsidDel="00000000" w:rsidR="00000000" w:rsidRPr="00000000">
        <w:rPr>
          <w:rFonts w:ascii="Cambria" w:cs="Cambria" w:eastAsia="Cambria" w:hAnsi="Cambria"/>
          <w:color w:val="222222"/>
          <w:highlight w:val="white"/>
          <w:rtl w:val="0"/>
        </w:rPr>
        <w:t xml:space="preserve">. CRC Press.</w:t>
      </w:r>
    </w:p>
    <w:p w:rsidR="00000000" w:rsidDel="00000000" w:rsidP="00000000" w:rsidRDefault="00000000" w:rsidRPr="00000000" w14:paraId="0000022A">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2B">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Lerman, S., 1998. Culturally situated knowledge and the problem of transfer in the learning of mathematics. In </w:t>
      </w:r>
      <w:r w:rsidDel="00000000" w:rsidR="00000000" w:rsidRPr="00000000">
        <w:rPr>
          <w:rFonts w:ascii="Cambria" w:cs="Cambria" w:eastAsia="Cambria" w:hAnsi="Cambria"/>
          <w:i w:val="1"/>
          <w:color w:val="222222"/>
          <w:highlight w:val="white"/>
          <w:rtl w:val="0"/>
        </w:rPr>
        <w:t xml:space="preserve">Learning Mathematics</w:t>
      </w:r>
      <w:r w:rsidDel="00000000" w:rsidR="00000000" w:rsidRPr="00000000">
        <w:rPr>
          <w:rFonts w:ascii="Cambria" w:cs="Cambria" w:eastAsia="Cambria" w:hAnsi="Cambria"/>
          <w:color w:val="222222"/>
          <w:highlight w:val="white"/>
          <w:rtl w:val="0"/>
        </w:rPr>
        <w:t xml:space="preserve"> (pp. 107-121). Routledge.</w:t>
      </w:r>
    </w:p>
    <w:p w:rsidR="00000000" w:rsidDel="00000000" w:rsidP="00000000" w:rsidRDefault="00000000" w:rsidRPr="00000000" w14:paraId="0000022C">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2D">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Litowitz, L.S., 2009. Addressing mathematics literacy through technology, innovation, design, and engineering: as a subject area, we are often not given the credit that we rightfully deserve for helping to deliver basic skills in the classroom. </w:t>
      </w:r>
      <w:r w:rsidDel="00000000" w:rsidR="00000000" w:rsidRPr="00000000">
        <w:rPr>
          <w:rFonts w:ascii="Cambria" w:cs="Cambria" w:eastAsia="Cambria" w:hAnsi="Cambria"/>
          <w:i w:val="1"/>
          <w:highlight w:val="white"/>
          <w:rtl w:val="0"/>
        </w:rPr>
        <w:t xml:space="preserve">The Technology Teacher</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i w:val="1"/>
          <w:highlight w:val="white"/>
          <w:rtl w:val="0"/>
        </w:rPr>
        <w:t xml:space="preserve">69</w:t>
      </w:r>
      <w:r w:rsidDel="00000000" w:rsidR="00000000" w:rsidRPr="00000000">
        <w:rPr>
          <w:rFonts w:ascii="Cambria" w:cs="Cambria" w:eastAsia="Cambria" w:hAnsi="Cambria"/>
          <w:highlight w:val="white"/>
          <w:rtl w:val="0"/>
        </w:rPr>
        <w:t xml:space="preserve">(1), pp.19-23.</w:t>
      </w:r>
    </w:p>
    <w:p w:rsidR="00000000" w:rsidDel="00000000" w:rsidP="00000000" w:rsidRDefault="00000000" w:rsidRPr="00000000" w14:paraId="0000022E">
      <w:pPr>
        <w:rPr>
          <w:rFonts w:ascii="Cambria" w:cs="Cambria" w:eastAsia="Cambria" w:hAnsi="Cambria"/>
        </w:rPr>
      </w:pPr>
      <w:r w:rsidDel="00000000" w:rsidR="00000000" w:rsidRPr="00000000">
        <w:rPr>
          <w:rtl w:val="0"/>
        </w:rPr>
      </w:r>
    </w:p>
    <w:p w:rsidR="00000000" w:rsidDel="00000000" w:rsidP="00000000" w:rsidRDefault="00000000" w:rsidRPr="00000000" w14:paraId="0000022F">
      <w:pPr>
        <w:rPr>
          <w:rFonts w:ascii="Cambria" w:cs="Cambria" w:eastAsia="Cambria" w:hAnsi="Cambria"/>
        </w:rPr>
      </w:pPr>
      <w:r w:rsidDel="00000000" w:rsidR="00000000" w:rsidRPr="00000000">
        <w:rPr>
          <w:rFonts w:ascii="Cambria" w:cs="Cambria" w:eastAsia="Cambria" w:hAnsi="Cambria"/>
          <w:rtl w:val="0"/>
        </w:rPr>
        <w:t xml:space="preserve">Mackrell, K. (2002). ‘Teaching Numeracy Across the Curriculum’, in Ellis, V.(ed) </w:t>
      </w:r>
      <w:r w:rsidDel="00000000" w:rsidR="00000000" w:rsidRPr="00000000">
        <w:rPr>
          <w:rFonts w:ascii="Cambria" w:cs="Cambria" w:eastAsia="Cambria" w:hAnsi="Cambria"/>
          <w:i w:val="1"/>
          <w:rtl w:val="0"/>
        </w:rPr>
        <w:t xml:space="preserve">Learning and Teaching in Secondary Schools.</w:t>
      </w:r>
      <w:r w:rsidDel="00000000" w:rsidR="00000000" w:rsidRPr="00000000">
        <w:rPr>
          <w:rFonts w:ascii="Cambria" w:cs="Cambria" w:eastAsia="Cambria" w:hAnsi="Cambria"/>
          <w:rtl w:val="0"/>
        </w:rPr>
        <w:t xml:space="preserve"> Learning Matters Ltd: pp 83-94.</w:t>
      </w:r>
    </w:p>
    <w:p w:rsidR="00000000" w:rsidDel="00000000" w:rsidP="00000000" w:rsidRDefault="00000000" w:rsidRPr="00000000" w14:paraId="00000230">
      <w:pPr>
        <w:rPr>
          <w:rFonts w:ascii="Cambria" w:cs="Cambria" w:eastAsia="Cambria" w:hAnsi="Cambria"/>
        </w:rPr>
      </w:pPr>
      <w:r w:rsidDel="00000000" w:rsidR="00000000" w:rsidRPr="00000000">
        <w:rPr>
          <w:rtl w:val="0"/>
        </w:rPr>
      </w:r>
    </w:p>
    <w:p w:rsidR="00000000" w:rsidDel="00000000" w:rsidP="00000000" w:rsidRDefault="00000000" w:rsidRPr="00000000" w14:paraId="00000231">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Marinini.A, Genereux.R. (2013). ‘The challenge of Teaching for Transfer’, in McKeough, A., Lupart, J.L. and Marini, A. (eds.).  Teaching</w:t>
      </w:r>
      <w:r w:rsidDel="00000000" w:rsidR="00000000" w:rsidRPr="00000000">
        <w:rPr>
          <w:rFonts w:ascii="Cambria" w:cs="Cambria" w:eastAsia="Cambria" w:hAnsi="Cambria"/>
          <w:i w:val="1"/>
          <w:color w:val="222222"/>
          <w:highlight w:val="white"/>
          <w:rtl w:val="0"/>
        </w:rPr>
        <w:t xml:space="preserve"> for transfer: Fostering generalisation in learning</w:t>
      </w:r>
      <w:r w:rsidDel="00000000" w:rsidR="00000000" w:rsidRPr="00000000">
        <w:rPr>
          <w:rFonts w:ascii="Cambria" w:cs="Cambria" w:eastAsia="Cambria" w:hAnsi="Cambria"/>
          <w:color w:val="222222"/>
          <w:highlight w:val="white"/>
          <w:rtl w:val="0"/>
        </w:rPr>
        <w:t xml:space="preserve">. Routledge.</w:t>
      </w:r>
    </w:p>
    <w:p w:rsidR="00000000" w:rsidDel="00000000" w:rsidP="00000000" w:rsidRDefault="00000000" w:rsidRPr="00000000" w14:paraId="00000232">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33">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Mestre, J.P. ed., 2006. </w:t>
      </w:r>
      <w:r w:rsidDel="00000000" w:rsidR="00000000" w:rsidRPr="00000000">
        <w:rPr>
          <w:rFonts w:ascii="Cambria" w:cs="Cambria" w:eastAsia="Cambria" w:hAnsi="Cambria"/>
          <w:i w:val="1"/>
          <w:color w:val="222222"/>
          <w:highlight w:val="white"/>
          <w:rtl w:val="0"/>
        </w:rPr>
        <w:t xml:space="preserve">Transfer of learning from a modern multidisciplinary perspective</w:t>
      </w:r>
      <w:r w:rsidDel="00000000" w:rsidR="00000000" w:rsidRPr="00000000">
        <w:rPr>
          <w:rFonts w:ascii="Cambria" w:cs="Cambria" w:eastAsia="Cambria" w:hAnsi="Cambria"/>
          <w:color w:val="222222"/>
          <w:highlight w:val="white"/>
          <w:rtl w:val="0"/>
        </w:rPr>
        <w:t xml:space="preserve">. IAP.</w:t>
      </w:r>
    </w:p>
    <w:p w:rsidR="00000000" w:rsidDel="00000000" w:rsidP="00000000" w:rsidRDefault="00000000" w:rsidRPr="00000000" w14:paraId="00000234">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Pearson (2020) Design and Technology. </w:t>
      </w:r>
    </w:p>
    <w:p w:rsidR="00000000" w:rsidDel="00000000" w:rsidP="00000000" w:rsidRDefault="00000000" w:rsidRPr="00000000" w14:paraId="00000235">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36">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Sage, J. (2002). ‘Developing student’s capability in Design and Technology through collaborative approaches with Mathematics and Science’, in Owen-Jackson, G.(ed) </w:t>
      </w:r>
      <w:r w:rsidDel="00000000" w:rsidR="00000000" w:rsidRPr="00000000">
        <w:rPr>
          <w:rFonts w:ascii="Cambria" w:cs="Cambria" w:eastAsia="Cambria" w:hAnsi="Cambria"/>
          <w:i w:val="1"/>
          <w:highlight w:val="white"/>
          <w:rtl w:val="0"/>
        </w:rPr>
        <w:t xml:space="preserve">Aspects of Teaching Secondary Design and Technology. </w:t>
      </w:r>
      <w:r w:rsidDel="00000000" w:rsidR="00000000" w:rsidRPr="00000000">
        <w:rPr>
          <w:rFonts w:ascii="Cambria" w:cs="Cambria" w:eastAsia="Cambria" w:hAnsi="Cambria"/>
          <w:highlight w:val="white"/>
          <w:rtl w:val="0"/>
        </w:rPr>
        <w:t xml:space="preserve">Routledge: pp181-194</w:t>
      </w:r>
    </w:p>
    <w:p w:rsidR="00000000" w:rsidDel="00000000" w:rsidP="00000000" w:rsidRDefault="00000000" w:rsidRPr="00000000" w14:paraId="00000237">
      <w:pPr>
        <w:rPr>
          <w:rFonts w:ascii="Cambria" w:cs="Cambria" w:eastAsia="Cambria" w:hAnsi="Cambria"/>
        </w:rPr>
      </w:pPr>
      <w:r w:rsidDel="00000000" w:rsidR="00000000" w:rsidRPr="00000000">
        <w:rPr>
          <w:rtl w:val="0"/>
        </w:rPr>
      </w:r>
    </w:p>
    <w:p w:rsidR="00000000" w:rsidDel="00000000" w:rsidP="00000000" w:rsidRDefault="00000000" w:rsidRPr="00000000" w14:paraId="00000238">
      <w:pPr>
        <w:rPr>
          <w:rFonts w:ascii="Cambria" w:cs="Cambria" w:eastAsia="Cambria" w:hAnsi="Cambria"/>
        </w:rPr>
      </w:pPr>
      <w:r w:rsidDel="00000000" w:rsidR="00000000" w:rsidRPr="00000000">
        <w:rPr>
          <w:rFonts w:ascii="Cambria" w:cs="Cambria" w:eastAsia="Cambria" w:hAnsi="Cambria"/>
          <w:rtl w:val="0"/>
        </w:rPr>
        <w:t xml:space="preserve">Scott, F. (2012). Is mathematics to blame? An investigation into high school students' difficulties in performing calculations in chemistry. </w:t>
      </w:r>
      <w:r w:rsidDel="00000000" w:rsidR="00000000" w:rsidRPr="00000000">
        <w:rPr>
          <w:rFonts w:ascii="Cambria" w:cs="Cambria" w:eastAsia="Cambria" w:hAnsi="Cambria"/>
          <w:i w:val="1"/>
          <w:rtl w:val="0"/>
        </w:rPr>
        <w:t xml:space="preserve">Chemical Education Research and Practice</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rtl w:val="0"/>
        </w:rPr>
        <w:t xml:space="preserve">13</w:t>
      </w:r>
      <w:r w:rsidDel="00000000" w:rsidR="00000000" w:rsidRPr="00000000">
        <w:rPr>
          <w:rFonts w:ascii="Cambria" w:cs="Cambria" w:eastAsia="Cambria" w:hAnsi="Cambria"/>
          <w:rtl w:val="0"/>
        </w:rPr>
        <w:t xml:space="preserve">, 330-336. </w:t>
      </w:r>
    </w:p>
    <w:p w:rsidR="00000000" w:rsidDel="00000000" w:rsidP="00000000" w:rsidRDefault="00000000" w:rsidRPr="00000000" w14:paraId="00000239">
      <w:pPr>
        <w:rPr>
          <w:rFonts w:ascii="Cambria" w:cs="Cambria" w:eastAsia="Cambria" w:hAnsi="Cambria"/>
        </w:rPr>
      </w:pPr>
      <w:r w:rsidDel="00000000" w:rsidR="00000000" w:rsidRPr="00000000">
        <w:rPr>
          <w:rtl w:val="0"/>
        </w:rPr>
      </w:r>
    </w:p>
    <w:p w:rsidR="00000000" w:rsidDel="00000000" w:rsidP="00000000" w:rsidRDefault="00000000" w:rsidRPr="00000000" w14:paraId="0000023A">
      <w:pPr>
        <w:rPr>
          <w:rFonts w:ascii="Cambria" w:cs="Cambria" w:eastAsia="Cambria" w:hAnsi="Cambria"/>
        </w:rPr>
      </w:pPr>
      <w:r w:rsidDel="00000000" w:rsidR="00000000" w:rsidRPr="00000000">
        <w:rPr>
          <w:rFonts w:ascii="Cambria" w:cs="Cambria" w:eastAsia="Cambria" w:hAnsi="Cambria"/>
          <w:rtl w:val="0"/>
        </w:rPr>
        <w:t xml:space="preserve">Siskin, L. S. (1994). </w:t>
      </w:r>
      <w:r w:rsidDel="00000000" w:rsidR="00000000" w:rsidRPr="00000000">
        <w:rPr>
          <w:rFonts w:ascii="Cambria" w:cs="Cambria" w:eastAsia="Cambria" w:hAnsi="Cambria"/>
          <w:i w:val="1"/>
          <w:rtl w:val="0"/>
        </w:rPr>
        <w:t xml:space="preserve">Realms of Knowledge: Academic Departments in Secondary Schools. </w:t>
      </w:r>
      <w:r w:rsidDel="00000000" w:rsidR="00000000" w:rsidRPr="00000000">
        <w:rPr>
          <w:rFonts w:ascii="Cambria" w:cs="Cambria" w:eastAsia="Cambria" w:hAnsi="Cambria"/>
          <w:rtl w:val="0"/>
        </w:rPr>
        <w:t xml:space="preserve">Washington: The Falmer Press. </w:t>
      </w:r>
    </w:p>
    <w:p w:rsidR="00000000" w:rsidDel="00000000" w:rsidP="00000000" w:rsidRDefault="00000000" w:rsidRPr="00000000" w14:paraId="0000023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3C">
      <w:pPr>
        <w:rPr>
          <w:rFonts w:ascii="Cambria" w:cs="Cambria" w:eastAsia="Cambria" w:hAnsi="Cambria"/>
          <w:highlight w:val="white"/>
        </w:rPr>
      </w:pPr>
      <w:r w:rsidDel="00000000" w:rsidR="00000000" w:rsidRPr="00000000">
        <w:rPr>
          <w:rFonts w:ascii="Cambria" w:cs="Cambria" w:eastAsia="Cambria" w:hAnsi="Cambria"/>
          <w:highlight w:val="white"/>
          <w:rtl w:val="0"/>
        </w:rPr>
        <w:t xml:space="preserve">Southworth, G., Nias, J., Campbell, P. (2002). ‘The Culture of Collaboration’, in Pollard, A.(ed.) </w:t>
      </w:r>
      <w:r w:rsidDel="00000000" w:rsidR="00000000" w:rsidRPr="00000000">
        <w:rPr>
          <w:rFonts w:ascii="Cambria" w:cs="Cambria" w:eastAsia="Cambria" w:hAnsi="Cambria"/>
          <w:i w:val="1"/>
          <w:highlight w:val="white"/>
          <w:rtl w:val="0"/>
        </w:rPr>
        <w:t xml:space="preserve">Readings for Reflective Teaching. </w:t>
      </w:r>
      <w:r w:rsidDel="00000000" w:rsidR="00000000" w:rsidRPr="00000000">
        <w:rPr>
          <w:rFonts w:ascii="Cambria" w:cs="Cambria" w:eastAsia="Cambria" w:hAnsi="Cambria"/>
          <w:highlight w:val="white"/>
          <w:rtl w:val="0"/>
        </w:rPr>
        <w:t xml:space="preserve">Continuum: pp349-352</w:t>
      </w:r>
    </w:p>
    <w:p w:rsidR="00000000" w:rsidDel="00000000" w:rsidP="00000000" w:rsidRDefault="00000000" w:rsidRPr="00000000" w14:paraId="0000023D">
      <w:pPr>
        <w:rPr>
          <w:rFonts w:ascii="Cambria" w:cs="Cambria" w:eastAsia="Cambria" w:hAnsi="Cambria"/>
        </w:rPr>
      </w:pPr>
      <w:r w:rsidDel="00000000" w:rsidR="00000000" w:rsidRPr="00000000">
        <w:rPr>
          <w:rtl w:val="0"/>
        </w:rPr>
      </w:r>
    </w:p>
    <w:p w:rsidR="00000000" w:rsidDel="00000000" w:rsidP="00000000" w:rsidRDefault="00000000" w:rsidRPr="00000000" w14:paraId="0000023E">
      <w:pPr>
        <w:rPr>
          <w:rFonts w:ascii="Cambria" w:cs="Cambria" w:eastAsia="Cambria" w:hAnsi="Cambria"/>
        </w:rPr>
      </w:pPr>
      <w:r w:rsidDel="00000000" w:rsidR="00000000" w:rsidRPr="00000000">
        <w:rPr>
          <w:rFonts w:ascii="Cambria" w:cs="Cambria" w:eastAsia="Cambria" w:hAnsi="Cambria"/>
          <w:rtl w:val="0"/>
        </w:rPr>
        <w:t xml:space="preserve">Venville, G., Wallace, J., Rennie, L., &amp; Malone, J. (2002). Curriculum Integration: Eroding the high ground of D&amp;T subjectas a school subject. </w:t>
      </w:r>
      <w:r w:rsidDel="00000000" w:rsidR="00000000" w:rsidRPr="00000000">
        <w:rPr>
          <w:rFonts w:ascii="Cambria" w:cs="Cambria" w:eastAsia="Cambria" w:hAnsi="Cambria"/>
          <w:i w:val="1"/>
          <w:rtl w:val="0"/>
        </w:rPr>
        <w:t xml:space="preserve">Studies in D&amp;T subjectEducation,</w:t>
      </w:r>
      <w:r w:rsidDel="00000000" w:rsidR="00000000" w:rsidRPr="00000000">
        <w:rPr>
          <w:rFonts w:ascii="Cambria" w:cs="Cambria" w:eastAsia="Cambria" w:hAnsi="Cambria"/>
          <w:rtl w:val="0"/>
        </w:rPr>
        <w:t xml:space="preserve"> 43-83. </w:t>
      </w:r>
    </w:p>
    <w:p w:rsidR="00000000" w:rsidDel="00000000" w:rsidP="00000000" w:rsidRDefault="00000000" w:rsidRPr="00000000" w14:paraId="0000023F">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40">
      <w:pPr>
        <w:jc w:val="both"/>
        <w:rPr>
          <w:rFonts w:ascii="Cambria" w:cs="Cambria" w:eastAsia="Cambria" w:hAnsi="Cambria"/>
          <w:color w:val="ff0000"/>
        </w:rPr>
      </w:pPr>
      <w:r w:rsidDel="00000000" w:rsidR="00000000" w:rsidRPr="00000000">
        <w:rPr>
          <w:rFonts w:ascii="Cambria" w:cs="Cambria" w:eastAsia="Cambria" w:hAnsi="Cambria"/>
          <w:rtl w:val="0"/>
        </w:rPr>
        <w:t xml:space="preserve">References:( </w:t>
      </w:r>
      <w:r w:rsidDel="00000000" w:rsidR="00000000" w:rsidRPr="00000000">
        <w:rPr>
          <w:rFonts w:ascii="Cambria" w:cs="Cambria" w:eastAsia="Cambria" w:hAnsi="Cambria"/>
          <w:color w:val="ff0000"/>
          <w:rtl w:val="0"/>
        </w:rPr>
        <w:t xml:space="preserve">Chapter 3)</w:t>
      </w:r>
    </w:p>
    <w:p w:rsidR="00000000" w:rsidDel="00000000" w:rsidP="00000000" w:rsidRDefault="00000000" w:rsidRPr="00000000" w14:paraId="00000241">
      <w:pPr>
        <w:rPr>
          <w:rFonts w:ascii="Cambria" w:cs="Cambria" w:eastAsia="Cambria" w:hAnsi="Cambria"/>
        </w:rPr>
      </w:pPr>
      <w:r w:rsidDel="00000000" w:rsidR="00000000" w:rsidRPr="00000000">
        <w:rPr>
          <w:rFonts w:ascii="Cambria" w:cs="Cambria" w:eastAsia="Cambria" w:hAnsi="Cambria"/>
          <w:rtl w:val="0"/>
        </w:rPr>
        <w:t xml:space="preserve">Barlex, D. Steeg, T (2017) ‘David and Torben for D&amp;T’, Sound Epistemology, March 2017[Blog]. Available at https://dandtfordandt.wordpress.com/resources/re-building-dt/sound-epistemology/ (Accessed 10 April 2021)</w:t>
      </w:r>
    </w:p>
    <w:p w:rsidR="00000000" w:rsidDel="00000000" w:rsidP="00000000" w:rsidRDefault="00000000" w:rsidRPr="00000000" w14:paraId="00000242">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243">
      <w:pPr>
        <w:spacing w:line="360" w:lineRule="auto"/>
        <w:rPr>
          <w:rFonts w:ascii="Cambria" w:cs="Cambria" w:eastAsia="Cambria" w:hAnsi="Cambria"/>
        </w:rPr>
      </w:pPr>
      <w:bookmarkStart w:colFirst="0" w:colLast="0" w:name="_gjdgxs" w:id="2"/>
      <w:bookmarkEnd w:id="2"/>
      <w:r w:rsidDel="00000000" w:rsidR="00000000" w:rsidRPr="00000000">
        <w:rPr>
          <w:rFonts w:ascii="Cambria" w:cs="Cambria" w:eastAsia="Cambria" w:hAnsi="Cambria"/>
          <w:rtl w:val="0"/>
        </w:rPr>
        <w:t xml:space="preserve">Bazeley, P., 2007. Qualitative data analysis with NVivo. Sage.</w:t>
      </w:r>
    </w:p>
    <w:p w:rsidR="00000000" w:rsidDel="00000000" w:rsidP="00000000" w:rsidRDefault="00000000" w:rsidRPr="00000000" w14:paraId="00000244">
      <w:pPr>
        <w:spacing w:line="360" w:lineRule="auto"/>
        <w:rPr>
          <w:rFonts w:ascii="Cambria" w:cs="Cambria" w:eastAsia="Cambria" w:hAnsi="Cambria"/>
        </w:rPr>
      </w:pPr>
      <w:r w:rsidDel="00000000" w:rsidR="00000000" w:rsidRPr="00000000">
        <w:rPr>
          <w:rFonts w:ascii="Cambria" w:cs="Cambria" w:eastAsia="Cambria" w:hAnsi="Cambria"/>
          <w:rtl w:val="0"/>
        </w:rPr>
        <w:t xml:space="preserve">Braun, V., &amp; Clarke, C. (2013). Successful Qualitative Research. London: Sage.</w:t>
      </w:r>
    </w:p>
    <w:p w:rsidR="00000000" w:rsidDel="00000000" w:rsidP="00000000" w:rsidRDefault="00000000" w:rsidRPr="00000000" w14:paraId="00000245">
      <w:pPr>
        <w:rPr>
          <w:rFonts w:ascii="Cambria" w:cs="Cambria" w:eastAsia="Cambria" w:hAnsi="Cambria"/>
        </w:rPr>
      </w:pPr>
      <w:r w:rsidDel="00000000" w:rsidR="00000000" w:rsidRPr="00000000">
        <w:rPr>
          <w:rFonts w:ascii="Cambria" w:cs="Cambria" w:eastAsia="Cambria" w:hAnsi="Cambria"/>
          <w:rtl w:val="0"/>
        </w:rPr>
        <w:t xml:space="preserve">Brinkmann, S (2008). Semi-structured interviews. In P. Leavy (Ed.), The Oxford handbook of qualitative research. Oxford University Press, USA.</w:t>
      </w:r>
    </w:p>
    <w:p w:rsidR="00000000" w:rsidDel="00000000" w:rsidP="00000000" w:rsidRDefault="00000000" w:rsidRPr="00000000" w14:paraId="00000246">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247">
      <w:pPr>
        <w:rPr>
          <w:rFonts w:ascii="Cambria" w:cs="Cambria" w:eastAsia="Cambria" w:hAnsi="Cambria"/>
        </w:rPr>
      </w:pPr>
      <w:r w:rsidDel="00000000" w:rsidR="00000000" w:rsidRPr="00000000">
        <w:rPr>
          <w:rFonts w:ascii="Cambria" w:cs="Cambria" w:eastAsia="Cambria" w:hAnsi="Cambria"/>
          <w:rtl w:val="0"/>
        </w:rPr>
        <w:t xml:space="preserve">Cohen, L., Manion, L., &amp; Morrison, K. (2011). Research Methods in Education. Abingdon: Routledge.</w:t>
      </w:r>
    </w:p>
    <w:p w:rsidR="00000000" w:rsidDel="00000000" w:rsidP="00000000" w:rsidRDefault="00000000" w:rsidRPr="00000000" w14:paraId="00000248">
      <w:pPr>
        <w:rPr>
          <w:rFonts w:ascii="Cambria" w:cs="Cambria" w:eastAsia="Cambria" w:hAnsi="Cambria"/>
        </w:rPr>
      </w:pPr>
      <w:r w:rsidDel="00000000" w:rsidR="00000000" w:rsidRPr="00000000">
        <w:rPr>
          <w:rtl w:val="0"/>
        </w:rPr>
      </w:r>
    </w:p>
    <w:p w:rsidR="00000000" w:rsidDel="00000000" w:rsidP="00000000" w:rsidRDefault="00000000" w:rsidRPr="00000000" w14:paraId="00000249">
      <w:pPr>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Creswell, J.W., 2009. Qualitative procedures. </w:t>
      </w:r>
      <w:r w:rsidDel="00000000" w:rsidR="00000000" w:rsidRPr="00000000">
        <w:rPr>
          <w:rFonts w:ascii="Cambria" w:cs="Cambria" w:eastAsia="Cambria" w:hAnsi="Cambria"/>
          <w:i w:val="1"/>
          <w:color w:val="222222"/>
          <w:highlight w:val="white"/>
          <w:rtl w:val="0"/>
        </w:rPr>
        <w:t xml:space="preserve">Research Design: Qualitative, Quantitative, and Mixed Methods Approaches</w:t>
      </w:r>
      <w:r w:rsidDel="00000000" w:rsidR="00000000" w:rsidRPr="00000000">
        <w:rPr>
          <w:rFonts w:ascii="Cambria" w:cs="Cambria" w:eastAsia="Cambria" w:hAnsi="Cambria"/>
          <w:color w:val="222222"/>
          <w:highlight w:val="white"/>
          <w:rtl w:val="0"/>
        </w:rPr>
        <w:t xml:space="preserve">. Sage</w:t>
      </w:r>
    </w:p>
    <w:p w:rsidR="00000000" w:rsidDel="00000000" w:rsidP="00000000" w:rsidRDefault="00000000" w:rsidRPr="00000000" w14:paraId="0000024A">
      <w:pPr>
        <w:rPr>
          <w:rFonts w:ascii="Cambria" w:cs="Cambria" w:eastAsia="Cambria" w:hAnsi="Cambria"/>
        </w:rPr>
      </w:pPr>
      <w:r w:rsidDel="00000000" w:rsidR="00000000" w:rsidRPr="00000000">
        <w:rPr>
          <w:rtl w:val="0"/>
        </w:rPr>
      </w:r>
    </w:p>
    <w:p w:rsidR="00000000" w:rsidDel="00000000" w:rsidP="00000000" w:rsidRDefault="00000000" w:rsidRPr="00000000" w14:paraId="0000024B">
      <w:pPr>
        <w:rPr>
          <w:rFonts w:ascii="Cambria" w:cs="Cambria" w:eastAsia="Cambria" w:hAnsi="Cambria"/>
        </w:rPr>
      </w:pPr>
      <w:r w:rsidDel="00000000" w:rsidR="00000000" w:rsidRPr="00000000">
        <w:rPr>
          <w:rFonts w:ascii="Cambria" w:cs="Cambria" w:eastAsia="Cambria" w:hAnsi="Cambria"/>
          <w:rtl w:val="0"/>
        </w:rPr>
        <w:t xml:space="preserve">Denzin, N., &amp; Lincoln, Y. (2000). Handbook of Qualitative Research (2nd Edition). Thousand Oaks, CA: Sage.</w:t>
      </w:r>
    </w:p>
    <w:p w:rsidR="00000000" w:rsidDel="00000000" w:rsidP="00000000" w:rsidRDefault="00000000" w:rsidRPr="00000000" w14:paraId="0000024C">
      <w:pPr>
        <w:rPr>
          <w:rFonts w:ascii="Cambria" w:cs="Cambria" w:eastAsia="Cambria" w:hAnsi="Cambria"/>
        </w:rPr>
      </w:pPr>
      <w:r w:rsidDel="00000000" w:rsidR="00000000" w:rsidRPr="00000000">
        <w:rPr>
          <w:rtl w:val="0"/>
        </w:rPr>
      </w:r>
    </w:p>
    <w:p w:rsidR="00000000" w:rsidDel="00000000" w:rsidP="00000000" w:rsidRDefault="00000000" w:rsidRPr="00000000" w14:paraId="0000024D">
      <w:pPr>
        <w:rPr>
          <w:rFonts w:ascii="Cambria" w:cs="Cambria" w:eastAsia="Cambria" w:hAnsi="Cambria"/>
        </w:rPr>
      </w:pPr>
      <w:r w:rsidDel="00000000" w:rsidR="00000000" w:rsidRPr="00000000">
        <w:rPr>
          <w:rFonts w:ascii="Cambria" w:cs="Cambria" w:eastAsia="Cambria" w:hAnsi="Cambria"/>
          <w:rtl w:val="0"/>
        </w:rPr>
        <w:t xml:space="preserve">Kitcher, P., 1984. The nature of mathematical knowledge. Oxford University Press on Demand.</w:t>
      </w:r>
    </w:p>
    <w:p w:rsidR="00000000" w:rsidDel="00000000" w:rsidP="00000000" w:rsidRDefault="00000000" w:rsidRPr="00000000" w14:paraId="0000024E">
      <w:pPr>
        <w:rPr>
          <w:rFonts w:ascii="Cambria" w:cs="Cambria" w:eastAsia="Cambria" w:hAnsi="Cambria"/>
        </w:rPr>
      </w:pPr>
      <w:r w:rsidDel="00000000" w:rsidR="00000000" w:rsidRPr="00000000">
        <w:rPr>
          <w:rtl w:val="0"/>
        </w:rPr>
      </w:r>
    </w:p>
    <w:p w:rsidR="00000000" w:rsidDel="00000000" w:rsidP="00000000" w:rsidRDefault="00000000" w:rsidRPr="00000000" w14:paraId="0000024F">
      <w:pPr>
        <w:rPr>
          <w:rFonts w:ascii="Cambria" w:cs="Cambria" w:eastAsia="Cambria" w:hAnsi="Cambria"/>
        </w:rPr>
      </w:pPr>
      <w:r w:rsidDel="00000000" w:rsidR="00000000" w:rsidRPr="00000000">
        <w:rPr>
          <w:rFonts w:ascii="Cambria" w:cs="Cambria" w:eastAsia="Cambria" w:hAnsi="Cambria"/>
          <w:rtl w:val="0"/>
        </w:rPr>
        <w:t xml:space="preserve">Kvale, S., &amp; Brinkmann, S. (2009). InterViews: Learning the craft of qualitative research interviewing. Los Angeles: Sage</w:t>
      </w:r>
    </w:p>
    <w:p w:rsidR="00000000" w:rsidDel="00000000" w:rsidP="00000000" w:rsidRDefault="00000000" w:rsidRPr="00000000" w14:paraId="00000250">
      <w:pPr>
        <w:rPr>
          <w:rFonts w:ascii="Cambria" w:cs="Cambria" w:eastAsia="Cambria" w:hAnsi="Cambria"/>
        </w:rPr>
      </w:pPr>
      <w:r w:rsidDel="00000000" w:rsidR="00000000" w:rsidRPr="00000000">
        <w:rPr>
          <w:rtl w:val="0"/>
        </w:rPr>
      </w:r>
    </w:p>
    <w:p w:rsidR="00000000" w:rsidDel="00000000" w:rsidP="00000000" w:rsidRDefault="00000000" w:rsidRPr="00000000" w14:paraId="00000251">
      <w:pPr>
        <w:rPr>
          <w:rFonts w:ascii="Cambria" w:cs="Cambria" w:eastAsia="Cambria" w:hAnsi="Cambria"/>
        </w:rPr>
      </w:pPr>
      <w:r w:rsidDel="00000000" w:rsidR="00000000" w:rsidRPr="00000000">
        <w:rPr>
          <w:rFonts w:ascii="Cambria" w:cs="Cambria" w:eastAsia="Cambria" w:hAnsi="Cambria"/>
          <w:rtl w:val="0"/>
        </w:rPr>
        <w:t xml:space="preserve">Leavy, P. ed., 2014. The Oxford handbook of qualitative research. Oxford University Press, USA.</w:t>
      </w:r>
    </w:p>
    <w:p w:rsidR="00000000" w:rsidDel="00000000" w:rsidP="00000000" w:rsidRDefault="00000000" w:rsidRPr="00000000" w14:paraId="00000252">
      <w:pPr>
        <w:rPr>
          <w:rFonts w:ascii="Cambria" w:cs="Cambria" w:eastAsia="Cambria" w:hAnsi="Cambria"/>
        </w:rPr>
      </w:pPr>
      <w:r w:rsidDel="00000000" w:rsidR="00000000" w:rsidRPr="00000000">
        <w:rPr>
          <w:rtl w:val="0"/>
        </w:rPr>
      </w:r>
    </w:p>
    <w:p w:rsidR="00000000" w:rsidDel="00000000" w:rsidP="00000000" w:rsidRDefault="00000000" w:rsidRPr="00000000" w14:paraId="00000253">
      <w:pPr>
        <w:rPr>
          <w:rFonts w:ascii="Cambria" w:cs="Cambria" w:eastAsia="Cambria" w:hAnsi="Cambria"/>
        </w:rPr>
      </w:pPr>
      <w:r w:rsidDel="00000000" w:rsidR="00000000" w:rsidRPr="00000000">
        <w:rPr>
          <w:rFonts w:ascii="Cambria" w:cs="Cambria" w:eastAsia="Cambria" w:hAnsi="Cambria"/>
          <w:rtl w:val="0"/>
        </w:rPr>
        <w:t xml:space="preserve">Novick, G., 2008. Is there a bias against telephone interviews in qualitative research? Research in nursing &amp; health, 31(4), pp.391-398.</w:t>
      </w:r>
    </w:p>
    <w:p w:rsidR="00000000" w:rsidDel="00000000" w:rsidP="00000000" w:rsidRDefault="00000000" w:rsidRPr="00000000" w14:paraId="00000254">
      <w:pPr>
        <w:rPr>
          <w:rFonts w:ascii="Cambria" w:cs="Cambria" w:eastAsia="Cambria" w:hAnsi="Cambria"/>
        </w:rPr>
      </w:pPr>
      <w:r w:rsidDel="00000000" w:rsidR="00000000" w:rsidRPr="00000000">
        <w:rPr>
          <w:rtl w:val="0"/>
        </w:rPr>
      </w:r>
    </w:p>
    <w:p w:rsidR="00000000" w:rsidDel="00000000" w:rsidP="00000000" w:rsidRDefault="00000000" w:rsidRPr="00000000" w14:paraId="00000255">
      <w:pPr>
        <w:spacing w:line="360" w:lineRule="auto"/>
        <w:rPr>
          <w:rFonts w:ascii="Cambria" w:cs="Cambria" w:eastAsia="Cambria" w:hAnsi="Cambria"/>
        </w:rPr>
      </w:pPr>
      <w:r w:rsidDel="00000000" w:rsidR="00000000" w:rsidRPr="00000000">
        <w:rPr>
          <w:rFonts w:ascii="Cambria" w:cs="Cambria" w:eastAsia="Cambria" w:hAnsi="Cambria"/>
          <w:rtl w:val="0"/>
        </w:rPr>
        <w:t xml:space="preserve">O’Leary, Z., 2021. The essential guide to doing your research project. Sage.</w:t>
      </w:r>
    </w:p>
    <w:p w:rsidR="00000000" w:rsidDel="00000000" w:rsidP="00000000" w:rsidRDefault="00000000" w:rsidRPr="00000000" w14:paraId="00000256">
      <w:pPr>
        <w:spacing w:line="360" w:lineRule="auto"/>
        <w:rPr>
          <w:rFonts w:ascii="Cambria" w:cs="Cambria" w:eastAsia="Cambria" w:hAnsi="Cambria"/>
        </w:rPr>
      </w:pPr>
      <w:r w:rsidDel="00000000" w:rsidR="00000000" w:rsidRPr="00000000">
        <w:rPr>
          <w:rFonts w:ascii="Cambria" w:cs="Cambria" w:eastAsia="Cambria" w:hAnsi="Cambria"/>
          <w:rtl w:val="0"/>
        </w:rPr>
        <w:t xml:space="preserve">Pearson. (2017) D&amp;T specification</w:t>
      </w:r>
    </w:p>
    <w:p w:rsidR="00000000" w:rsidDel="00000000" w:rsidP="00000000" w:rsidRDefault="00000000" w:rsidRPr="00000000" w14:paraId="00000257">
      <w:pPr>
        <w:rPr>
          <w:rFonts w:ascii="Cambria" w:cs="Cambria" w:eastAsia="Cambria" w:hAnsi="Cambria"/>
        </w:rPr>
      </w:pPr>
      <w:r w:rsidDel="00000000" w:rsidR="00000000" w:rsidRPr="00000000">
        <w:rPr>
          <w:rFonts w:ascii="Cambria" w:cs="Cambria" w:eastAsia="Cambria" w:hAnsi="Cambria"/>
          <w:rtl w:val="0"/>
        </w:rPr>
        <w:t xml:space="preserve">Rubin, H.J. and Rubin, I.S., (2012). Qualitative interviewing: The art of hearing data, 3</w:t>
      </w:r>
      <w:r w:rsidDel="00000000" w:rsidR="00000000" w:rsidRPr="00000000">
        <w:rPr>
          <w:rFonts w:ascii="Cambria" w:cs="Cambria" w:eastAsia="Cambria" w:hAnsi="Cambria"/>
          <w:vertAlign w:val="superscript"/>
          <w:rtl w:val="0"/>
        </w:rPr>
        <w:t xml:space="preserve">rd</w:t>
      </w:r>
      <w:r w:rsidDel="00000000" w:rsidR="00000000" w:rsidRPr="00000000">
        <w:rPr>
          <w:rFonts w:ascii="Cambria" w:cs="Cambria" w:eastAsia="Cambria" w:hAnsi="Cambria"/>
          <w:rtl w:val="0"/>
        </w:rPr>
        <w:t xml:space="preserve"> ed. sage.</w:t>
      </w:r>
    </w:p>
    <w:p w:rsidR="00000000" w:rsidDel="00000000" w:rsidP="00000000" w:rsidRDefault="00000000" w:rsidRPr="00000000" w14:paraId="00000258">
      <w:pPr>
        <w:rPr>
          <w:rFonts w:ascii="Cambria" w:cs="Cambria" w:eastAsia="Cambria" w:hAnsi="Cambria"/>
        </w:rPr>
      </w:pPr>
      <w:r w:rsidDel="00000000" w:rsidR="00000000" w:rsidRPr="00000000">
        <w:rPr>
          <w:rtl w:val="0"/>
        </w:rPr>
      </w:r>
    </w:p>
    <w:p w:rsidR="00000000" w:rsidDel="00000000" w:rsidP="00000000" w:rsidRDefault="00000000" w:rsidRPr="00000000" w14:paraId="00000259">
      <w:pPr>
        <w:spacing w:line="360" w:lineRule="auto"/>
        <w:rPr>
          <w:rFonts w:ascii="Cambria" w:cs="Cambria" w:eastAsia="Cambria" w:hAnsi="Cambria"/>
        </w:rPr>
      </w:pPr>
      <w:r w:rsidDel="00000000" w:rsidR="00000000" w:rsidRPr="00000000">
        <w:rPr>
          <w:rFonts w:ascii="Cambria" w:cs="Cambria" w:eastAsia="Cambria" w:hAnsi="Cambria"/>
          <w:rtl w:val="0"/>
        </w:rPr>
        <w:t xml:space="preserve">Saldaña, J. (2009). The Coding manual for qualitative researchers. London: Sage.</w:t>
      </w:r>
    </w:p>
    <w:p w:rsidR="00000000" w:rsidDel="00000000" w:rsidP="00000000" w:rsidRDefault="00000000" w:rsidRPr="00000000" w14:paraId="0000025A">
      <w:pPr>
        <w:rPr>
          <w:rFonts w:ascii="Cambria" w:cs="Cambria" w:eastAsia="Cambria" w:hAnsi="Cambria"/>
        </w:rPr>
      </w:pPr>
      <w:r w:rsidDel="00000000" w:rsidR="00000000" w:rsidRPr="00000000">
        <w:rPr>
          <w:rFonts w:ascii="Cambria" w:cs="Cambria" w:eastAsia="Cambria" w:hAnsi="Cambria"/>
          <w:color w:val="222222"/>
          <w:highlight w:val="white"/>
          <w:rtl w:val="0"/>
        </w:rPr>
        <w:t xml:space="preserve">Saunders, B., Sim, J., Kingstone, T., Baker, S., Waterfield, J., Bartlam, B., Burroughs, H. and Jinks, C., 2018. Saturation in qualitative research: exploring its conceptualization and operationalization. </w:t>
      </w:r>
      <w:r w:rsidDel="00000000" w:rsidR="00000000" w:rsidRPr="00000000">
        <w:rPr>
          <w:rFonts w:ascii="Cambria" w:cs="Cambria" w:eastAsia="Cambria" w:hAnsi="Cambria"/>
          <w:i w:val="1"/>
          <w:color w:val="222222"/>
          <w:highlight w:val="white"/>
          <w:rtl w:val="0"/>
        </w:rPr>
        <w:t xml:space="preserve">Quality &amp; quantity</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52</w:t>
      </w:r>
      <w:r w:rsidDel="00000000" w:rsidR="00000000" w:rsidRPr="00000000">
        <w:rPr>
          <w:rFonts w:ascii="Cambria" w:cs="Cambria" w:eastAsia="Cambria" w:hAnsi="Cambria"/>
          <w:color w:val="222222"/>
          <w:highlight w:val="white"/>
          <w:rtl w:val="0"/>
        </w:rPr>
        <w:t xml:space="preserve">(4), pp.1893-1907.</w:t>
      </w:r>
      <w:r w:rsidDel="00000000" w:rsidR="00000000" w:rsidRPr="00000000">
        <w:rPr>
          <w:rtl w:val="0"/>
        </w:rPr>
      </w:r>
    </w:p>
    <w:p w:rsidR="00000000" w:rsidDel="00000000" w:rsidP="00000000" w:rsidRDefault="00000000" w:rsidRPr="00000000" w14:paraId="0000025B">
      <w:pPr>
        <w:spacing w:line="360" w:lineRule="auto"/>
        <w:rPr>
          <w:rFonts w:ascii="Cambria" w:cs="Cambria" w:eastAsia="Cambria" w:hAnsi="Cambria"/>
        </w:rPr>
      </w:pPr>
      <w:r w:rsidDel="00000000" w:rsidR="00000000" w:rsidRPr="00000000">
        <w:rPr>
          <w:rtl w:val="0"/>
        </w:rPr>
      </w:r>
    </w:p>
    <w:p w:rsidR="00000000" w:rsidDel="00000000" w:rsidP="00000000" w:rsidRDefault="00000000" w:rsidRPr="00000000" w14:paraId="0000025C">
      <w:pPr>
        <w:rPr>
          <w:rFonts w:ascii="Cambria" w:cs="Cambria" w:eastAsia="Cambria" w:hAnsi="Cambria"/>
        </w:rPr>
      </w:pPr>
      <w:r w:rsidDel="00000000" w:rsidR="00000000" w:rsidRPr="00000000">
        <w:rPr>
          <w:rFonts w:ascii="Cambria" w:cs="Cambria" w:eastAsia="Cambria" w:hAnsi="Cambria"/>
          <w:rtl w:val="0"/>
        </w:rPr>
        <w:t xml:space="preserve">Scott, D., &amp; Usher, R. (2011). Researching Education: Data, methods and Theory in Educational Enquiry (2nd Edition). London: Continuum International Publishing.</w:t>
      </w:r>
    </w:p>
    <w:p w:rsidR="00000000" w:rsidDel="00000000" w:rsidP="00000000" w:rsidRDefault="00000000" w:rsidRPr="00000000" w14:paraId="0000025D">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5E">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5F">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60">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61">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62">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tl w:val="0"/>
        </w:rPr>
      </w:r>
    </w:p>
    <w:sectPr>
      <w:footerReference r:id="rId6" w:type="default"/>
      <w:footerReference r:id="rId7" w:type="even"/>
      <w:pgSz w:h="16838" w:w="11906" w:orient="portrait"/>
      <w:pgMar w:bottom="1440" w:top="1440" w:left="1440" w:right="1440" w:header="708" w:footer="708"/>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63">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64">
    <w:pPr>
      <w:pBdr>
        <w:top w:space="0" w:sz="0" w:val="nil"/>
        <w:left w:space="0" w:sz="0" w:val="nil"/>
        <w:bottom w:space="0" w:sz="0" w:val="nil"/>
        <w:right w:space="0" w:sz="0" w:val="nil"/>
        <w:between w:space="0" w:sz="0" w:val="nil"/>
      </w:pBdr>
      <w:tabs>
        <w:tab w:val="center" w:leader="none" w:pos="4513"/>
        <w:tab w:val="right" w:leader="none" w:pos="9026"/>
      </w:tabs>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265">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rPr>
      <w:b w:val="1"/>
      <w:sz w:val="27"/>
      <w:szCs w:val="27"/>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 Id="rId7"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