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899BB40" w:rsidP="2899BB40" w:rsidRDefault="2899BB40" w14:paraId="2472D1E9" w14:textId="6DFFCA91">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33992965" wp14:paraId="12A3FCD8" wp14:textId="56BC5E54">
      <w:pPr>
        <w:pStyle w:val="Normal"/>
        <w:jc w:val="center"/>
        <w:rPr>
          <w:rFonts w:ascii="Arial" w:hAnsi="Arial" w:eastAsia="Arial" w:cs="Arial"/>
          <w:noProof w:val="0"/>
          <w:sz w:val="24"/>
          <w:szCs w:val="24"/>
          <w:lang w:val="en-GB"/>
        </w:rPr>
      </w:pPr>
      <w:r w:rsidRPr="33992965" w:rsidR="363E02D8">
        <w:rPr>
          <w:rFonts w:ascii="Arial" w:hAnsi="Arial" w:eastAsia="Arial" w:cs="Arial"/>
          <w:b w:val="1"/>
          <w:bCs w:val="1"/>
          <w:i w:val="0"/>
          <w:iCs w:val="0"/>
          <w:caps w:val="0"/>
          <w:smallCaps w:val="0"/>
          <w:noProof w:val="0"/>
          <w:color w:val="000000" w:themeColor="text1" w:themeTint="FF" w:themeShade="FF"/>
          <w:sz w:val="22"/>
          <w:szCs w:val="22"/>
          <w:lang w:val="en-US"/>
        </w:rPr>
        <w:t xml:space="preserve">BA (Hons) </w:t>
      </w:r>
      <w:r w:rsidRPr="33992965" w:rsidR="5E3788BF">
        <w:rPr>
          <w:rFonts w:ascii="Arial" w:hAnsi="Arial" w:eastAsia="Arial" w:cs="Arial"/>
          <w:b w:val="1"/>
          <w:bCs w:val="1"/>
          <w:i w:val="0"/>
          <w:iCs w:val="0"/>
          <w:caps w:val="0"/>
          <w:smallCaps w:val="0"/>
          <w:noProof w:val="0"/>
          <w:color w:val="000000" w:themeColor="text1" w:themeTint="FF" w:themeShade="FF"/>
          <w:sz w:val="22"/>
          <w:szCs w:val="22"/>
          <w:lang w:val="en-US"/>
        </w:rPr>
        <w:t>Research Methods for Business</w:t>
      </w:r>
      <w:r>
        <w:br/>
      </w:r>
      <w:r>
        <w:br/>
      </w:r>
      <w:r w:rsidRPr="33992965" w:rsidR="363E02D8">
        <w:rPr>
          <w:rFonts w:ascii="Arial" w:hAnsi="Arial" w:eastAsia="Arial" w:cs="Arial"/>
          <w:b w:val="1"/>
          <w:bCs w:val="1"/>
          <w:i w:val="0"/>
          <w:iCs w:val="0"/>
          <w:caps w:val="0"/>
          <w:smallCaps w:val="0"/>
          <w:noProof w:val="0"/>
          <w:color w:val="000000" w:themeColor="text1" w:themeTint="FF" w:themeShade="FF"/>
          <w:sz w:val="22"/>
          <w:szCs w:val="22"/>
          <w:lang w:val="en-US"/>
        </w:rPr>
        <w:t>Module: Leading and Implementing Change (LCLM600</w:t>
      </w:r>
      <w:r w:rsidRPr="33992965" w:rsidR="7530AD24">
        <w:rPr>
          <w:rFonts w:ascii="Arial" w:hAnsi="Arial" w:eastAsia="Arial" w:cs="Arial"/>
          <w:b w:val="1"/>
          <w:bCs w:val="1"/>
          <w:i w:val="0"/>
          <w:iCs w:val="0"/>
          <w:caps w:val="0"/>
          <w:smallCaps w:val="0"/>
          <w:noProof w:val="0"/>
          <w:color w:val="000000" w:themeColor="text1" w:themeTint="FF" w:themeShade="FF"/>
          <w:sz w:val="22"/>
          <w:szCs w:val="22"/>
          <w:lang w:val="en-US"/>
        </w:rPr>
        <w:t>4</w:t>
      </w:r>
      <w:r w:rsidRPr="33992965" w:rsidR="363E02D8">
        <w:rPr>
          <w:rFonts w:ascii="Arial" w:hAnsi="Arial" w:eastAsia="Arial" w:cs="Arial"/>
          <w:b w:val="1"/>
          <w:bCs w:val="1"/>
          <w:i w:val="0"/>
          <w:iCs w:val="0"/>
          <w:caps w:val="0"/>
          <w:smallCaps w:val="0"/>
          <w:noProof w:val="0"/>
          <w:color w:val="000000" w:themeColor="text1" w:themeTint="FF" w:themeShade="FF"/>
          <w:sz w:val="22"/>
          <w:szCs w:val="22"/>
          <w:lang w:val="en-US"/>
        </w:rPr>
        <w:t>)</w:t>
      </w:r>
      <w:r>
        <w:br/>
      </w:r>
      <w:r>
        <w:br/>
      </w:r>
      <w:r w:rsidRPr="33992965" w:rsidR="363E02D8">
        <w:rPr>
          <w:rFonts w:ascii="Arial" w:hAnsi="Arial" w:eastAsia="Arial" w:cs="Arial"/>
          <w:b w:val="1"/>
          <w:bCs w:val="1"/>
          <w:i w:val="0"/>
          <w:iCs w:val="0"/>
          <w:caps w:val="0"/>
          <w:smallCaps w:val="0"/>
          <w:noProof w:val="0"/>
          <w:color w:val="000000" w:themeColor="text1" w:themeTint="FF" w:themeShade="FF"/>
          <w:sz w:val="22"/>
          <w:szCs w:val="22"/>
          <w:lang w:val="en-US"/>
        </w:rPr>
        <w:t>Assignment Title:</w:t>
      </w:r>
      <w:r w:rsidRPr="33992965" w:rsidR="3DB3532A">
        <w:rPr>
          <w:rFonts w:ascii="Arial" w:hAnsi="Arial" w:eastAsia="Arial" w:cs="Arial"/>
          <w:b w:val="1"/>
          <w:bCs w:val="1"/>
          <w:i w:val="0"/>
          <w:iCs w:val="0"/>
          <w:caps w:val="0"/>
          <w:smallCaps w:val="0"/>
          <w:noProof w:val="0"/>
          <w:color w:val="000000" w:themeColor="text1" w:themeTint="FF" w:themeShade="FF"/>
          <w:sz w:val="22"/>
          <w:szCs w:val="22"/>
          <w:lang w:val="en-US"/>
        </w:rPr>
        <w:t xml:space="preserve"> Business Research Proposal</w:t>
      </w:r>
      <w:r>
        <w:br/>
      </w:r>
      <w:r>
        <w:br/>
      </w:r>
      <w:r w:rsidRPr="33992965" w:rsidR="363E02D8">
        <w:rPr>
          <w:rFonts w:ascii="Arial" w:hAnsi="Arial" w:eastAsia="Arial" w:cs="Arial"/>
          <w:b w:val="1"/>
          <w:bCs w:val="1"/>
          <w:i w:val="0"/>
          <w:iCs w:val="0"/>
          <w:caps w:val="0"/>
          <w:smallCaps w:val="0"/>
          <w:noProof w:val="0"/>
          <w:color w:val="000000" w:themeColor="text1" w:themeTint="FF" w:themeShade="FF"/>
          <w:sz w:val="22"/>
          <w:szCs w:val="22"/>
          <w:lang w:val="en-US"/>
        </w:rPr>
        <w:t>Student Name:</w:t>
      </w:r>
      <w:r w:rsidRPr="33992965" w:rsidR="1D546CB8">
        <w:rPr>
          <w:rFonts w:ascii="Arial" w:hAnsi="Arial" w:eastAsia="Arial" w:cs="Arial"/>
          <w:b w:val="1"/>
          <w:bCs w:val="1"/>
          <w:i w:val="0"/>
          <w:iCs w:val="0"/>
          <w:caps w:val="0"/>
          <w:smallCaps w:val="0"/>
          <w:noProof w:val="0"/>
          <w:color w:val="000000" w:themeColor="text1" w:themeTint="FF" w:themeShade="FF"/>
          <w:sz w:val="22"/>
          <w:szCs w:val="22"/>
          <w:lang w:val="en-US"/>
        </w:rPr>
        <w:t xml:space="preserve"> Kodesha Grant </w:t>
      </w:r>
    </w:p>
    <w:p w:rsidR="46934C3E" w:rsidP="386824F0" w:rsidRDefault="46934C3E" w14:paraId="5F49D45A" w14:textId="64705B6E">
      <w:pPr>
        <w:pStyle w:val="Normal"/>
        <w:jc w:val="center"/>
      </w:pPr>
      <w:r w:rsidRPr="006B5283" w:rsidR="46934C3E">
        <w:rPr>
          <w:rFonts w:ascii="Arial" w:hAnsi="Arial" w:eastAsia="Arial" w:cs="Arial"/>
          <w:b w:val="1"/>
          <w:bCs w:val="1"/>
          <w:i w:val="0"/>
          <w:iCs w:val="0"/>
          <w:caps w:val="0"/>
          <w:smallCaps w:val="0"/>
          <w:noProof w:val="0"/>
          <w:color w:val="000000" w:themeColor="text1" w:themeTint="FF" w:themeShade="FF"/>
          <w:sz w:val="22"/>
          <w:szCs w:val="22"/>
          <w:lang w:val="en-US"/>
        </w:rPr>
        <w:t>Student ID:</w:t>
      </w:r>
      <w:r w:rsidRPr="006B5283" w:rsidR="7C1EBE44">
        <w:rPr>
          <w:rFonts w:ascii="Arial" w:hAnsi="Arial" w:eastAsia="Arial" w:cs="Arial"/>
          <w:b w:val="1"/>
          <w:bCs w:val="1"/>
          <w:i w:val="0"/>
          <w:iCs w:val="0"/>
          <w:caps w:val="0"/>
          <w:smallCaps w:val="0"/>
          <w:noProof w:val="0"/>
          <w:color w:val="000000" w:themeColor="text1" w:themeTint="FF" w:themeShade="FF"/>
          <w:sz w:val="22"/>
          <w:szCs w:val="22"/>
          <w:lang w:val="en-US"/>
        </w:rPr>
        <w:t>2310545</w:t>
      </w:r>
      <w:r>
        <w:br/>
      </w:r>
      <w:r>
        <w:br/>
      </w:r>
      <w:r w:rsidRPr="006B5283" w:rsidR="46934C3E">
        <w:rPr>
          <w:rFonts w:ascii="Arial" w:hAnsi="Arial" w:eastAsia="Arial" w:cs="Arial"/>
          <w:b w:val="1"/>
          <w:bCs w:val="1"/>
          <w:i w:val="0"/>
          <w:iCs w:val="0"/>
          <w:caps w:val="0"/>
          <w:smallCaps w:val="0"/>
          <w:noProof w:val="0"/>
          <w:color w:val="000000" w:themeColor="text1" w:themeTint="FF" w:themeShade="FF"/>
          <w:sz w:val="22"/>
          <w:szCs w:val="22"/>
          <w:lang w:val="en-US"/>
        </w:rPr>
        <w:t>Lecturer(s):</w:t>
      </w:r>
      <w:r w:rsidRPr="006B5283" w:rsidR="57FA62A9">
        <w:rPr>
          <w:rFonts w:ascii="Arial" w:hAnsi="Arial" w:eastAsia="Arial" w:cs="Arial"/>
          <w:b w:val="1"/>
          <w:bCs w:val="1"/>
          <w:i w:val="0"/>
          <w:iCs w:val="0"/>
          <w:caps w:val="0"/>
          <w:smallCaps w:val="0"/>
          <w:noProof w:val="0"/>
          <w:color w:val="000000" w:themeColor="text1" w:themeTint="FF" w:themeShade="FF"/>
          <w:sz w:val="22"/>
          <w:szCs w:val="22"/>
          <w:lang w:val="en-US"/>
        </w:rPr>
        <w:t xml:space="preserve"> Dingning Liu</w:t>
      </w:r>
    </w:p>
    <w:p w:rsidR="386824F0" w:rsidP="386824F0" w:rsidRDefault="386824F0" w14:paraId="0408C004" w14:textId="4E904CF3">
      <w:pPr>
        <w:pStyle w:val="Normal"/>
        <w:jc w:val="center"/>
      </w:pPr>
    </w:p>
    <w:p w:rsidR="2899BB40" w:rsidP="2899BB40" w:rsidRDefault="2899BB40" w14:paraId="5EC57088" w14:textId="1815EA64">
      <w:pPr>
        <w:pStyle w:val="Normal"/>
        <w:jc w:val="center"/>
      </w:pPr>
    </w:p>
    <w:p w:rsidR="2899BB40" w:rsidP="7049C071" w:rsidRDefault="2899BB40" w14:paraId="10BA27A6" w14:textId="623931FD">
      <w:pPr>
        <w:pStyle w:val="Normal"/>
        <w:jc w:val="left"/>
        <w:rPr>
          <w:rFonts w:ascii="Arial" w:hAnsi="Arial" w:eastAsia="Arial" w:cs="Arial"/>
          <w:sz w:val="22"/>
          <w:szCs w:val="22"/>
        </w:rPr>
      </w:pPr>
    </w:p>
    <w:p w:rsidR="54182F8E" w:rsidP="54182F8E" w:rsidRDefault="54182F8E" w14:paraId="3F4735EC" w14:textId="5BA7D014">
      <w:pPr>
        <w:pStyle w:val="Normal"/>
        <w:jc w:val="left"/>
        <w:rPr>
          <w:rFonts w:ascii="Arial" w:hAnsi="Arial" w:eastAsia="Arial" w:cs="Arial"/>
          <w:sz w:val="22"/>
          <w:szCs w:val="22"/>
        </w:rPr>
      </w:pPr>
    </w:p>
    <w:p w:rsidR="54182F8E" w:rsidP="54182F8E" w:rsidRDefault="54182F8E" w14:paraId="07618F79" w14:textId="775F9569">
      <w:pPr>
        <w:pStyle w:val="Normal"/>
        <w:jc w:val="left"/>
        <w:rPr>
          <w:rFonts w:ascii="Arial" w:hAnsi="Arial" w:eastAsia="Arial" w:cs="Arial"/>
          <w:sz w:val="22"/>
          <w:szCs w:val="22"/>
        </w:rPr>
      </w:pPr>
    </w:p>
    <w:p w:rsidR="54182F8E" w:rsidP="54182F8E" w:rsidRDefault="54182F8E" w14:paraId="291452B9" w14:textId="5959194F">
      <w:pPr>
        <w:pStyle w:val="Normal"/>
        <w:jc w:val="left"/>
        <w:rPr>
          <w:rFonts w:ascii="Arial" w:hAnsi="Arial" w:eastAsia="Arial" w:cs="Arial"/>
          <w:sz w:val="22"/>
          <w:szCs w:val="22"/>
        </w:rPr>
      </w:pPr>
    </w:p>
    <w:p w:rsidR="54182F8E" w:rsidP="54182F8E" w:rsidRDefault="54182F8E" w14:paraId="1EE1322B" w14:textId="1D49026E">
      <w:pPr>
        <w:pStyle w:val="Normal"/>
        <w:jc w:val="left"/>
        <w:rPr>
          <w:rFonts w:ascii="Arial" w:hAnsi="Arial" w:eastAsia="Arial" w:cs="Arial"/>
          <w:sz w:val="22"/>
          <w:szCs w:val="22"/>
        </w:rPr>
      </w:pPr>
    </w:p>
    <w:p w:rsidR="54182F8E" w:rsidP="54182F8E" w:rsidRDefault="54182F8E" w14:paraId="5DFA48CF" w14:textId="45C81ED4">
      <w:pPr>
        <w:pStyle w:val="Normal"/>
        <w:jc w:val="left"/>
        <w:rPr>
          <w:rFonts w:ascii="Arial" w:hAnsi="Arial" w:eastAsia="Arial" w:cs="Arial"/>
          <w:sz w:val="22"/>
          <w:szCs w:val="22"/>
        </w:rPr>
      </w:pPr>
    </w:p>
    <w:p w:rsidR="54182F8E" w:rsidP="54182F8E" w:rsidRDefault="54182F8E" w14:paraId="4A0F661B" w14:textId="0A4AE103">
      <w:pPr>
        <w:pStyle w:val="Normal"/>
        <w:jc w:val="left"/>
        <w:rPr>
          <w:rFonts w:ascii="Arial" w:hAnsi="Arial" w:eastAsia="Arial" w:cs="Arial"/>
          <w:sz w:val="22"/>
          <w:szCs w:val="22"/>
        </w:rPr>
      </w:pPr>
    </w:p>
    <w:p w:rsidR="54182F8E" w:rsidP="54182F8E" w:rsidRDefault="54182F8E" w14:paraId="4A9E07F2" w14:textId="4F0209AD">
      <w:pPr>
        <w:pStyle w:val="Normal"/>
        <w:jc w:val="left"/>
        <w:rPr>
          <w:rFonts w:ascii="Arial" w:hAnsi="Arial" w:eastAsia="Arial" w:cs="Arial"/>
          <w:sz w:val="22"/>
          <w:szCs w:val="22"/>
        </w:rPr>
      </w:pPr>
    </w:p>
    <w:p w:rsidR="54182F8E" w:rsidP="54182F8E" w:rsidRDefault="54182F8E" w14:paraId="0BAD73E9" w14:textId="1C2DE7B7">
      <w:pPr>
        <w:pStyle w:val="Normal"/>
        <w:jc w:val="left"/>
        <w:rPr>
          <w:rFonts w:ascii="Arial" w:hAnsi="Arial" w:eastAsia="Arial" w:cs="Arial"/>
          <w:sz w:val="22"/>
          <w:szCs w:val="22"/>
        </w:rPr>
      </w:pPr>
    </w:p>
    <w:p w:rsidR="54182F8E" w:rsidP="54182F8E" w:rsidRDefault="54182F8E" w14:paraId="59503533" w14:textId="6B6D395E">
      <w:pPr>
        <w:pStyle w:val="Normal"/>
        <w:jc w:val="left"/>
        <w:rPr>
          <w:rFonts w:ascii="Arial" w:hAnsi="Arial" w:eastAsia="Arial" w:cs="Arial"/>
          <w:sz w:val="22"/>
          <w:szCs w:val="22"/>
        </w:rPr>
      </w:pPr>
    </w:p>
    <w:p w:rsidR="54182F8E" w:rsidP="54182F8E" w:rsidRDefault="54182F8E" w14:paraId="52662374" w14:textId="7D4FC7DF">
      <w:pPr>
        <w:pStyle w:val="Normal"/>
        <w:jc w:val="left"/>
        <w:rPr>
          <w:rFonts w:ascii="Arial" w:hAnsi="Arial" w:eastAsia="Arial" w:cs="Arial"/>
          <w:sz w:val="22"/>
          <w:szCs w:val="22"/>
        </w:rPr>
      </w:pPr>
    </w:p>
    <w:p w:rsidR="54182F8E" w:rsidP="54182F8E" w:rsidRDefault="54182F8E" w14:paraId="5BE0DCC3" w14:textId="2ABFA866">
      <w:pPr>
        <w:pStyle w:val="Normal"/>
        <w:jc w:val="left"/>
        <w:rPr>
          <w:rFonts w:ascii="Arial" w:hAnsi="Arial" w:eastAsia="Arial" w:cs="Arial"/>
          <w:sz w:val="22"/>
          <w:szCs w:val="22"/>
        </w:rPr>
      </w:pPr>
    </w:p>
    <w:p w:rsidR="54182F8E" w:rsidP="54182F8E" w:rsidRDefault="54182F8E" w14:paraId="4A74F916" w14:textId="2867C85B">
      <w:pPr>
        <w:pStyle w:val="Normal"/>
        <w:jc w:val="left"/>
        <w:rPr>
          <w:rFonts w:ascii="Arial" w:hAnsi="Arial" w:eastAsia="Arial" w:cs="Arial"/>
          <w:sz w:val="22"/>
          <w:szCs w:val="22"/>
        </w:rPr>
      </w:pPr>
    </w:p>
    <w:p w:rsidR="54182F8E" w:rsidP="54182F8E" w:rsidRDefault="54182F8E" w14:paraId="607A16E8" w14:textId="66D4EF35">
      <w:pPr>
        <w:pStyle w:val="Normal"/>
        <w:jc w:val="left"/>
        <w:rPr>
          <w:rFonts w:ascii="Arial" w:hAnsi="Arial" w:eastAsia="Arial" w:cs="Arial"/>
          <w:sz w:val="22"/>
          <w:szCs w:val="22"/>
        </w:rPr>
      </w:pPr>
    </w:p>
    <w:p w:rsidR="54182F8E" w:rsidP="54182F8E" w:rsidRDefault="54182F8E" w14:paraId="46F5D6D9" w14:textId="13E0D00E">
      <w:pPr>
        <w:pStyle w:val="Normal"/>
        <w:jc w:val="left"/>
        <w:rPr>
          <w:rFonts w:ascii="Arial" w:hAnsi="Arial" w:eastAsia="Arial" w:cs="Arial"/>
          <w:sz w:val="22"/>
          <w:szCs w:val="22"/>
        </w:rPr>
      </w:pPr>
    </w:p>
    <w:p w:rsidR="54182F8E" w:rsidP="54182F8E" w:rsidRDefault="54182F8E" w14:paraId="758D9000" w14:textId="2B406678">
      <w:pPr>
        <w:pStyle w:val="Normal"/>
        <w:jc w:val="left"/>
        <w:rPr>
          <w:rFonts w:ascii="Arial" w:hAnsi="Arial" w:eastAsia="Arial" w:cs="Arial"/>
          <w:sz w:val="22"/>
          <w:szCs w:val="22"/>
        </w:rPr>
      </w:pPr>
    </w:p>
    <w:p w:rsidR="54182F8E" w:rsidP="54182F8E" w:rsidRDefault="54182F8E" w14:paraId="593B3612" w14:textId="0FE337C4">
      <w:pPr>
        <w:pStyle w:val="Normal"/>
        <w:jc w:val="left"/>
        <w:rPr>
          <w:rFonts w:ascii="Arial" w:hAnsi="Arial" w:eastAsia="Arial" w:cs="Arial"/>
          <w:sz w:val="22"/>
          <w:szCs w:val="22"/>
        </w:rPr>
      </w:pPr>
    </w:p>
    <w:p w:rsidR="54182F8E" w:rsidP="54182F8E" w:rsidRDefault="54182F8E" w14:paraId="3BDC9227" w14:textId="7E501F9D">
      <w:pPr>
        <w:pStyle w:val="Normal"/>
        <w:jc w:val="left"/>
        <w:rPr>
          <w:rFonts w:ascii="Arial" w:hAnsi="Arial" w:eastAsia="Arial" w:cs="Arial"/>
          <w:sz w:val="22"/>
          <w:szCs w:val="22"/>
        </w:rPr>
      </w:pPr>
    </w:p>
    <w:p w:rsidR="54182F8E" w:rsidP="54182F8E" w:rsidRDefault="54182F8E" w14:paraId="3F411FAC" w14:textId="48AAD72F">
      <w:pPr>
        <w:pStyle w:val="Normal"/>
        <w:jc w:val="left"/>
        <w:rPr>
          <w:rFonts w:ascii="Arial" w:hAnsi="Arial" w:eastAsia="Arial" w:cs="Arial"/>
          <w:sz w:val="22"/>
          <w:szCs w:val="22"/>
        </w:rPr>
      </w:pPr>
    </w:p>
    <w:p w:rsidR="54182F8E" w:rsidP="54182F8E" w:rsidRDefault="54182F8E" w14:paraId="5FCB6A7F" w14:textId="32A7CE87">
      <w:pPr>
        <w:pStyle w:val="Normal"/>
        <w:jc w:val="left"/>
        <w:rPr>
          <w:rFonts w:ascii="Arial" w:hAnsi="Arial" w:eastAsia="Arial" w:cs="Arial"/>
          <w:sz w:val="22"/>
          <w:szCs w:val="22"/>
        </w:rPr>
      </w:pPr>
    </w:p>
    <w:p w:rsidR="006B5283" w:rsidP="006B5283" w:rsidRDefault="006B5283" w14:paraId="1F78397B" w14:textId="3E0A2FC4">
      <w:pPr>
        <w:pStyle w:val="Normal"/>
        <w:jc w:val="left"/>
        <w:rPr>
          <w:rFonts w:ascii="Arial" w:hAnsi="Arial" w:eastAsia="Arial" w:cs="Arial"/>
          <w:sz w:val="22"/>
          <w:szCs w:val="22"/>
        </w:rPr>
      </w:pPr>
    </w:p>
    <w:sdt>
      <w:sdtPr>
        <w:id w:val="1860768206"/>
        <w:docPartObj>
          <w:docPartGallery w:val="Table of Contents"/>
          <w:docPartUnique/>
        </w:docPartObj>
      </w:sdtPr>
      <w:sdtContent>
        <w:p w:rsidR="54182F8E" w:rsidP="54182F8E" w:rsidRDefault="54182F8E" w14:paraId="3472CFAD" w14:textId="56887FEC">
          <w:pPr>
            <w:pStyle w:val="TOC1"/>
            <w:tabs>
              <w:tab w:val="right" w:leader="dot" w:pos="9015"/>
            </w:tabs>
            <w:bidi w:val="0"/>
            <w:rPr>
              <w:rStyle w:val="Hyperlink"/>
            </w:rPr>
          </w:pPr>
          <w:r>
            <w:fldChar w:fldCharType="begin"/>
          </w:r>
          <w:r>
            <w:instrText xml:space="preserve">TOC \o "1-9" \z \u \h</w:instrText>
          </w:r>
          <w:r>
            <w:fldChar w:fldCharType="separate"/>
          </w:r>
          <w:hyperlink w:anchor="_Toc1319565860">
            <w:r w:rsidRPr="006B5283" w:rsidR="006B5283">
              <w:rPr>
                <w:rStyle w:val="Hyperlink"/>
              </w:rPr>
              <w:t>Introduction and Problem Identification</w:t>
            </w:r>
            <w:r>
              <w:tab/>
            </w:r>
            <w:r>
              <w:fldChar w:fldCharType="begin"/>
            </w:r>
            <w:r>
              <w:instrText xml:space="preserve">PAGEREF _Toc1319565860 \h</w:instrText>
            </w:r>
            <w:r>
              <w:fldChar w:fldCharType="separate"/>
            </w:r>
            <w:r w:rsidRPr="006B5283" w:rsidR="006B5283">
              <w:rPr>
                <w:rStyle w:val="Hyperlink"/>
              </w:rPr>
              <w:t>2</w:t>
            </w:r>
            <w:r>
              <w:fldChar w:fldCharType="end"/>
            </w:r>
          </w:hyperlink>
        </w:p>
        <w:p w:rsidR="54182F8E" w:rsidP="54182F8E" w:rsidRDefault="54182F8E" w14:paraId="59666FD2" w14:textId="1D867026">
          <w:pPr>
            <w:pStyle w:val="TOC1"/>
            <w:tabs>
              <w:tab w:val="right" w:leader="dot" w:pos="9015"/>
            </w:tabs>
            <w:bidi w:val="0"/>
            <w:rPr>
              <w:rStyle w:val="Hyperlink"/>
            </w:rPr>
          </w:pPr>
          <w:hyperlink w:anchor="_Toc86110694">
            <w:r w:rsidRPr="006B5283" w:rsidR="006B5283">
              <w:rPr>
                <w:rStyle w:val="Hyperlink"/>
              </w:rPr>
              <w:t>Objectives</w:t>
            </w:r>
            <w:r>
              <w:tab/>
            </w:r>
            <w:r>
              <w:fldChar w:fldCharType="begin"/>
            </w:r>
            <w:r>
              <w:instrText xml:space="preserve">PAGEREF _Toc86110694 \h</w:instrText>
            </w:r>
            <w:r>
              <w:fldChar w:fldCharType="separate"/>
            </w:r>
            <w:r w:rsidRPr="006B5283" w:rsidR="006B5283">
              <w:rPr>
                <w:rStyle w:val="Hyperlink"/>
              </w:rPr>
              <w:t>2</w:t>
            </w:r>
            <w:r>
              <w:fldChar w:fldCharType="end"/>
            </w:r>
          </w:hyperlink>
        </w:p>
        <w:p w:rsidR="54182F8E" w:rsidP="54182F8E" w:rsidRDefault="54182F8E" w14:paraId="3CA52FDC" w14:textId="310BE5CB">
          <w:pPr>
            <w:pStyle w:val="TOC1"/>
            <w:tabs>
              <w:tab w:val="right" w:leader="dot" w:pos="9015"/>
            </w:tabs>
            <w:bidi w:val="0"/>
            <w:rPr>
              <w:rStyle w:val="Hyperlink"/>
            </w:rPr>
          </w:pPr>
          <w:hyperlink w:anchor="_Toc917030049">
            <w:r w:rsidRPr="006B5283" w:rsidR="006B5283">
              <w:rPr>
                <w:rStyle w:val="Hyperlink"/>
              </w:rPr>
              <w:t>Research Questions</w:t>
            </w:r>
            <w:r>
              <w:tab/>
            </w:r>
            <w:r>
              <w:fldChar w:fldCharType="begin"/>
            </w:r>
            <w:r>
              <w:instrText xml:space="preserve">PAGEREF _Toc917030049 \h</w:instrText>
            </w:r>
            <w:r>
              <w:fldChar w:fldCharType="separate"/>
            </w:r>
            <w:r w:rsidRPr="006B5283" w:rsidR="006B5283">
              <w:rPr>
                <w:rStyle w:val="Hyperlink"/>
              </w:rPr>
              <w:t>3</w:t>
            </w:r>
            <w:r>
              <w:fldChar w:fldCharType="end"/>
            </w:r>
          </w:hyperlink>
        </w:p>
        <w:p w:rsidR="54182F8E" w:rsidP="54182F8E" w:rsidRDefault="54182F8E" w14:paraId="6836F5FD" w14:textId="2E6BB524">
          <w:pPr>
            <w:pStyle w:val="TOC1"/>
            <w:tabs>
              <w:tab w:val="right" w:leader="dot" w:pos="9015"/>
            </w:tabs>
            <w:bidi w:val="0"/>
            <w:rPr>
              <w:rStyle w:val="Hyperlink"/>
            </w:rPr>
          </w:pPr>
          <w:hyperlink w:anchor="_Toc1193165131">
            <w:r w:rsidRPr="006B5283" w:rsidR="006B5283">
              <w:rPr>
                <w:rStyle w:val="Hyperlink"/>
              </w:rPr>
              <w:t>Critical Literature Review</w:t>
            </w:r>
            <w:r>
              <w:tab/>
            </w:r>
            <w:r>
              <w:fldChar w:fldCharType="begin"/>
            </w:r>
            <w:r>
              <w:instrText xml:space="preserve">PAGEREF _Toc1193165131 \h</w:instrText>
            </w:r>
            <w:r>
              <w:fldChar w:fldCharType="separate"/>
            </w:r>
            <w:r w:rsidRPr="006B5283" w:rsidR="006B5283">
              <w:rPr>
                <w:rStyle w:val="Hyperlink"/>
              </w:rPr>
              <w:t>3</w:t>
            </w:r>
            <w:r>
              <w:fldChar w:fldCharType="end"/>
            </w:r>
          </w:hyperlink>
        </w:p>
        <w:p w:rsidR="54182F8E" w:rsidP="54182F8E" w:rsidRDefault="54182F8E" w14:paraId="3D936B89" w14:textId="6E20C5B1">
          <w:pPr>
            <w:pStyle w:val="TOC2"/>
            <w:tabs>
              <w:tab w:val="right" w:leader="dot" w:pos="9015"/>
            </w:tabs>
            <w:bidi w:val="0"/>
            <w:rPr>
              <w:rStyle w:val="Hyperlink"/>
            </w:rPr>
          </w:pPr>
          <w:hyperlink w:anchor="_Toc110057981">
            <w:r w:rsidRPr="006B5283" w:rsidR="006B5283">
              <w:rPr>
                <w:rStyle w:val="Hyperlink"/>
              </w:rPr>
              <w:t>Theoretical Frameworks for Analysis</w:t>
            </w:r>
            <w:r>
              <w:tab/>
            </w:r>
            <w:r>
              <w:fldChar w:fldCharType="begin"/>
            </w:r>
            <w:r>
              <w:instrText xml:space="preserve">PAGEREF _Toc110057981 \h</w:instrText>
            </w:r>
            <w:r>
              <w:fldChar w:fldCharType="separate"/>
            </w:r>
            <w:r w:rsidRPr="006B5283" w:rsidR="006B5283">
              <w:rPr>
                <w:rStyle w:val="Hyperlink"/>
              </w:rPr>
              <w:t>3</w:t>
            </w:r>
            <w:r>
              <w:fldChar w:fldCharType="end"/>
            </w:r>
          </w:hyperlink>
        </w:p>
        <w:p w:rsidR="54182F8E" w:rsidP="54182F8E" w:rsidRDefault="54182F8E" w14:paraId="73944620" w14:textId="72574298">
          <w:pPr>
            <w:pStyle w:val="TOC2"/>
            <w:tabs>
              <w:tab w:val="right" w:leader="dot" w:pos="9015"/>
            </w:tabs>
            <w:bidi w:val="0"/>
            <w:rPr>
              <w:rStyle w:val="Hyperlink"/>
            </w:rPr>
          </w:pPr>
          <w:hyperlink w:anchor="_Toc719727988">
            <w:r w:rsidRPr="006B5283" w:rsidR="006B5283">
              <w:rPr>
                <w:rStyle w:val="Hyperlink"/>
              </w:rPr>
              <w:t>Compensation, Legal Reforms, and Public Accountability</w:t>
            </w:r>
            <w:r>
              <w:tab/>
            </w:r>
            <w:r>
              <w:fldChar w:fldCharType="begin"/>
            </w:r>
            <w:r>
              <w:instrText xml:space="preserve">PAGEREF _Toc719727988 \h</w:instrText>
            </w:r>
            <w:r>
              <w:fldChar w:fldCharType="separate"/>
            </w:r>
            <w:r w:rsidRPr="006B5283" w:rsidR="006B5283">
              <w:rPr>
                <w:rStyle w:val="Hyperlink"/>
              </w:rPr>
              <w:t>4</w:t>
            </w:r>
            <w:r>
              <w:fldChar w:fldCharType="end"/>
            </w:r>
          </w:hyperlink>
        </w:p>
        <w:p w:rsidR="54182F8E" w:rsidP="54182F8E" w:rsidRDefault="54182F8E" w14:paraId="15E758A2" w14:textId="580E70E9">
          <w:pPr>
            <w:pStyle w:val="TOC2"/>
            <w:tabs>
              <w:tab w:val="right" w:leader="dot" w:pos="9015"/>
            </w:tabs>
            <w:bidi w:val="0"/>
            <w:rPr>
              <w:rStyle w:val="Hyperlink"/>
            </w:rPr>
          </w:pPr>
          <w:hyperlink w:anchor="_Toc256323152">
            <w:r w:rsidRPr="006B5283" w:rsidR="006B5283">
              <w:rPr>
                <w:rStyle w:val="Hyperlink"/>
              </w:rPr>
              <w:t>Data Collection and Analysis</w:t>
            </w:r>
            <w:r>
              <w:tab/>
            </w:r>
            <w:r>
              <w:fldChar w:fldCharType="begin"/>
            </w:r>
            <w:r>
              <w:instrText xml:space="preserve">PAGEREF _Toc256323152 \h</w:instrText>
            </w:r>
            <w:r>
              <w:fldChar w:fldCharType="separate"/>
            </w:r>
            <w:r w:rsidRPr="006B5283" w:rsidR="006B5283">
              <w:rPr>
                <w:rStyle w:val="Hyperlink"/>
              </w:rPr>
              <w:t>4</w:t>
            </w:r>
            <w:r>
              <w:fldChar w:fldCharType="end"/>
            </w:r>
          </w:hyperlink>
        </w:p>
        <w:p w:rsidR="54182F8E" w:rsidP="54182F8E" w:rsidRDefault="54182F8E" w14:paraId="47CE0F65" w14:textId="7F91EFA4">
          <w:pPr>
            <w:pStyle w:val="TOC1"/>
            <w:tabs>
              <w:tab w:val="right" w:leader="dot" w:pos="9015"/>
            </w:tabs>
            <w:bidi w:val="0"/>
            <w:rPr>
              <w:rStyle w:val="Hyperlink"/>
            </w:rPr>
          </w:pPr>
          <w:hyperlink w:anchor="_Toc4223524">
            <w:r w:rsidRPr="006B5283" w:rsidR="006B5283">
              <w:rPr>
                <w:rStyle w:val="Hyperlink"/>
              </w:rPr>
              <w:t>Expected Outcomes</w:t>
            </w:r>
            <w:r>
              <w:tab/>
            </w:r>
            <w:r>
              <w:fldChar w:fldCharType="begin"/>
            </w:r>
            <w:r>
              <w:instrText xml:space="preserve">PAGEREF _Toc4223524 \h</w:instrText>
            </w:r>
            <w:r>
              <w:fldChar w:fldCharType="separate"/>
            </w:r>
            <w:r w:rsidRPr="006B5283" w:rsidR="006B5283">
              <w:rPr>
                <w:rStyle w:val="Hyperlink"/>
              </w:rPr>
              <w:t>5</w:t>
            </w:r>
            <w:r>
              <w:fldChar w:fldCharType="end"/>
            </w:r>
          </w:hyperlink>
        </w:p>
        <w:p w:rsidR="54182F8E" w:rsidP="006B5283" w:rsidRDefault="54182F8E" w14:paraId="454E9057" w14:textId="2F1A1794">
          <w:pPr>
            <w:pStyle w:val="TOC1"/>
            <w:tabs>
              <w:tab w:val="right" w:leader="dot" w:pos="9015"/>
            </w:tabs>
            <w:bidi w:val="0"/>
            <w:rPr>
              <w:rStyle w:val="Hyperlink"/>
            </w:rPr>
          </w:pPr>
          <w:hyperlink w:anchor="_Toc491901076">
            <w:r w:rsidRPr="006B5283" w:rsidR="006B5283">
              <w:rPr>
                <w:rStyle w:val="Hyperlink"/>
              </w:rPr>
              <w:t>Business Relevance and Practical Implications</w:t>
            </w:r>
            <w:r>
              <w:tab/>
            </w:r>
            <w:r>
              <w:fldChar w:fldCharType="begin"/>
            </w:r>
            <w:r>
              <w:instrText xml:space="preserve">PAGEREF _Toc491901076 \h</w:instrText>
            </w:r>
            <w:r>
              <w:fldChar w:fldCharType="separate"/>
            </w:r>
            <w:r w:rsidRPr="006B5283" w:rsidR="006B5283">
              <w:rPr>
                <w:rStyle w:val="Hyperlink"/>
              </w:rPr>
              <w:t>5</w:t>
            </w:r>
            <w:r>
              <w:fldChar w:fldCharType="end"/>
            </w:r>
          </w:hyperlink>
        </w:p>
        <w:p w:rsidR="54182F8E" w:rsidP="54182F8E" w:rsidRDefault="54182F8E" w14:paraId="020D69CD" w14:textId="08C413F3">
          <w:pPr>
            <w:pStyle w:val="TOC1"/>
            <w:tabs>
              <w:tab w:val="right" w:leader="dot" w:pos="9015"/>
            </w:tabs>
            <w:bidi w:val="0"/>
            <w:rPr>
              <w:rStyle w:val="Hyperlink"/>
            </w:rPr>
          </w:pPr>
          <w:hyperlink w:anchor="_Toc2131957258">
            <w:r w:rsidRPr="006B5283" w:rsidR="006B5283">
              <w:rPr>
                <w:rStyle w:val="Hyperlink"/>
              </w:rPr>
              <w:t>Indicative Recommendations and Strategies</w:t>
            </w:r>
            <w:r>
              <w:tab/>
            </w:r>
            <w:r>
              <w:fldChar w:fldCharType="begin"/>
            </w:r>
            <w:r>
              <w:instrText xml:space="preserve">PAGEREF _Toc2131957258 \h</w:instrText>
            </w:r>
            <w:r>
              <w:fldChar w:fldCharType="separate"/>
            </w:r>
            <w:r w:rsidRPr="006B5283" w:rsidR="006B5283">
              <w:rPr>
                <w:rStyle w:val="Hyperlink"/>
              </w:rPr>
              <w:t>5</w:t>
            </w:r>
            <w:r>
              <w:fldChar w:fldCharType="end"/>
            </w:r>
          </w:hyperlink>
        </w:p>
        <w:p w:rsidR="54182F8E" w:rsidP="54182F8E" w:rsidRDefault="54182F8E" w14:paraId="7C6F49AD" w14:textId="1F9C9D86">
          <w:pPr>
            <w:pStyle w:val="TOC1"/>
            <w:tabs>
              <w:tab w:val="right" w:leader="dot" w:pos="9015"/>
            </w:tabs>
            <w:bidi w:val="0"/>
            <w:rPr>
              <w:rStyle w:val="Hyperlink"/>
            </w:rPr>
          </w:pPr>
          <w:hyperlink w:anchor="_Toc650385136">
            <w:r w:rsidRPr="006B5283" w:rsidR="006B5283">
              <w:rPr>
                <w:rStyle w:val="Hyperlink"/>
              </w:rPr>
              <w:t>Conclusion</w:t>
            </w:r>
            <w:r>
              <w:tab/>
            </w:r>
            <w:r>
              <w:fldChar w:fldCharType="begin"/>
            </w:r>
            <w:r>
              <w:instrText xml:space="preserve">PAGEREF _Toc650385136 \h</w:instrText>
            </w:r>
            <w:r>
              <w:fldChar w:fldCharType="separate"/>
            </w:r>
            <w:r w:rsidRPr="006B5283" w:rsidR="006B5283">
              <w:rPr>
                <w:rStyle w:val="Hyperlink"/>
              </w:rPr>
              <w:t>6</w:t>
            </w:r>
            <w:r>
              <w:fldChar w:fldCharType="end"/>
            </w:r>
          </w:hyperlink>
        </w:p>
        <w:p w:rsidR="54182F8E" w:rsidP="006B5283" w:rsidRDefault="54182F8E" w14:paraId="19775E17" w14:textId="4E73F075">
          <w:pPr>
            <w:pStyle w:val="TOC2"/>
            <w:tabs>
              <w:tab w:val="right" w:leader="dot" w:pos="9015"/>
            </w:tabs>
            <w:bidi w:val="0"/>
            <w:rPr>
              <w:rStyle w:val="Hyperlink"/>
            </w:rPr>
          </w:pPr>
          <w:hyperlink w:anchor="_Toc64664216">
            <w:r w:rsidRPr="006B5283" w:rsidR="006B5283">
              <w:rPr>
                <w:rStyle w:val="Hyperlink"/>
              </w:rPr>
              <w:t>References</w:t>
            </w:r>
            <w:r>
              <w:tab/>
            </w:r>
            <w:r>
              <w:fldChar w:fldCharType="begin"/>
            </w:r>
            <w:r>
              <w:instrText xml:space="preserve">PAGEREF _Toc64664216 \h</w:instrText>
            </w:r>
            <w:r>
              <w:fldChar w:fldCharType="separate"/>
            </w:r>
            <w:r w:rsidRPr="006B5283" w:rsidR="006B5283">
              <w:rPr>
                <w:rStyle w:val="Hyperlink"/>
              </w:rPr>
              <w:t>6</w:t>
            </w:r>
            <w:r>
              <w:fldChar w:fldCharType="end"/>
            </w:r>
          </w:hyperlink>
          <w:r>
            <w:fldChar w:fldCharType="end"/>
          </w:r>
        </w:p>
      </w:sdtContent>
    </w:sdt>
    <w:p w:rsidR="54182F8E" w:rsidP="54182F8E" w:rsidRDefault="54182F8E" w14:paraId="643DBA6A" w14:textId="580E57CC">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54182F8E" w:rsidP="54182F8E" w:rsidRDefault="54182F8E" w14:paraId="1847D0CE" w14:textId="53CD8377">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54182F8E" w:rsidP="54182F8E" w:rsidRDefault="54182F8E" w14:paraId="7DFA4597" w14:textId="256DE010">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54182F8E" w:rsidP="54182F8E" w:rsidRDefault="54182F8E" w14:paraId="1064DB03" w14:textId="4B669305">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54182F8E" w:rsidP="54182F8E" w:rsidRDefault="54182F8E" w14:paraId="3ABDE512" w14:textId="1CBF9701">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54182F8E" w:rsidP="54182F8E" w:rsidRDefault="54182F8E" w14:paraId="656B09FE" w14:textId="67C6FA60">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54182F8E" w:rsidP="54182F8E" w:rsidRDefault="54182F8E" w14:paraId="35E80CC5" w14:textId="7AA23A7D">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54182F8E" w:rsidP="54182F8E" w:rsidRDefault="54182F8E" w14:paraId="21613F5D" w14:textId="741331F6">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54182F8E" w:rsidP="54182F8E" w:rsidRDefault="54182F8E" w14:paraId="525036C9" w14:textId="37F5E1A9">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54182F8E" w:rsidP="006B5283" w:rsidRDefault="54182F8E" w14:paraId="3C38E232" w14:textId="1839F335">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006B5283" w:rsidP="006B5283" w:rsidRDefault="006B5283" w14:paraId="21AC7783" w14:textId="7E18564D">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006B5283" w:rsidP="006B5283" w:rsidRDefault="006B5283" w14:paraId="7E0ED5C5" w14:textId="67BED131">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006B5283" w:rsidP="006B5283" w:rsidRDefault="006B5283" w14:paraId="2B937799" w14:textId="00F6E95E">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006B5283" w:rsidP="006B5283" w:rsidRDefault="006B5283" w14:paraId="192F97DA" w14:textId="790C1F97">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006B5283" w:rsidP="006B5283" w:rsidRDefault="006B5283" w14:paraId="5524E92C" w14:textId="7DBD7B59">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006B5283" w:rsidP="006B5283" w:rsidRDefault="006B5283" w14:paraId="40A46B17" w14:textId="6A705664">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54182F8E" w:rsidP="54182F8E" w:rsidRDefault="54182F8E" w14:paraId="6FB0F057" w14:textId="70387CC7">
      <w:pPr>
        <w:spacing w:before="210" w:beforeAutospacing="off" w:after="210" w:afterAutospacing="off" w:line="300" w:lineRule="auto"/>
        <w:jc w:val="left"/>
        <w:rPr>
          <w:rFonts w:ascii="Arial" w:hAnsi="Arial" w:eastAsia="Arial" w:cs="Arial"/>
          <w:b w:val="1"/>
          <w:bCs w:val="1"/>
          <w:i w:val="0"/>
          <w:iCs w:val="0"/>
          <w:noProof w:val="0"/>
          <w:sz w:val="22"/>
          <w:szCs w:val="22"/>
          <w:lang w:val="en-GB"/>
        </w:rPr>
      </w:pPr>
    </w:p>
    <w:p w:rsidR="7049C071" w:rsidP="006B5283" w:rsidRDefault="7049C071" w14:paraId="67D3657B" w14:textId="644F386B">
      <w:pPr>
        <w:spacing w:before="210" w:beforeAutospacing="off" w:after="210" w:afterAutospacing="off" w:line="300" w:lineRule="auto"/>
        <w:jc w:val="left"/>
        <w:rPr>
          <w:rFonts w:ascii="Arial" w:hAnsi="Arial" w:eastAsia="Arial" w:cs="Arial" w:asciiTheme="minorAscii" w:hAnsiTheme="minorAscii" w:eastAsiaTheme="minorAscii" w:cstheme="minorAscii"/>
          <w:b w:val="1"/>
          <w:bCs w:val="1"/>
          <w:i w:val="0"/>
          <w:iCs w:val="0"/>
          <w:noProof w:val="0"/>
          <w:sz w:val="22"/>
          <w:szCs w:val="22"/>
          <w:lang w:val="en-GB"/>
        </w:rPr>
      </w:pPr>
      <w:r w:rsidRPr="006B5283" w:rsidR="30B4D521">
        <w:rPr>
          <w:rFonts w:ascii="Arial" w:hAnsi="Arial" w:eastAsia="Arial" w:cs="Arial" w:asciiTheme="minorAscii" w:hAnsiTheme="minorAscii" w:eastAsiaTheme="minorAscii" w:cstheme="minorAscii"/>
          <w:b w:val="1"/>
          <w:bCs w:val="1"/>
          <w:i w:val="0"/>
          <w:iCs w:val="0"/>
          <w:noProof w:val="0"/>
          <w:sz w:val="22"/>
          <w:szCs w:val="22"/>
          <w:lang w:val="en-GB"/>
        </w:rPr>
        <w:t>A Secondary Research Study of the Horizon System Failures, Organisational Governance, and Transition Risks</w:t>
      </w:r>
    </w:p>
    <w:p w:rsidR="45B7850D" w:rsidP="006B5283" w:rsidRDefault="45B7850D" w14:paraId="309EAC48" w14:textId="089290C6">
      <w:pPr>
        <w:pStyle w:val="Heading1"/>
        <w:keepNext w:val="1"/>
        <w:keepLines w:val="1"/>
        <w:spacing w:before="480" w:after="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bookmarkStart w:name="_Toc1319565860" w:id="960069222"/>
      <w:r w:rsidRPr="006B5283" w:rsidR="45B7850D">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t>Introduction and Problem Identification</w:t>
      </w:r>
      <w:bookmarkEnd w:id="960069222"/>
    </w:p>
    <w:p w:rsidR="45B7850D" w:rsidP="006B5283" w:rsidRDefault="45B7850D" w14:paraId="4A8DA018" w14:textId="181C511B">
      <w:pPr>
        <w:pStyle w:val="Normal"/>
        <w:rPr>
          <w:rFonts w:ascii="Arial" w:hAnsi="Arial" w:eastAsia="Arial" w:cs="Arial" w:asciiTheme="minorAscii" w:hAnsiTheme="minorAscii" w:eastAsiaTheme="minorAscii" w:cstheme="minorAscii"/>
          <w:noProof w:val="0"/>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In this research proposal I explore a significant and continuing business problem at the UK Post Office: the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organisation’s</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deep and prolonged dependence on the Horizon branch IT system and the stalled efforts to move to a safer alternative. My aim is to present a clear and simple academic narrative that a marker can follow easily while keeping all the original citations and references. Evidence from the statutory Post Office Horizon IT Inquiry and credible industry reporting shows that Horizon has been extended repeatedly, even as the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organisation</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moved away from its in‑house New Branch IT (NBIT) plan toward externally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procured</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platforms. These delays have prolonged reliance on legacy technology and key suppliers, creating financial, operational, legal, and reputational risks</w:t>
      </w:r>
      <w:r w:rsidRPr="006B5283" w:rsidR="2844659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w:t>
      </w:r>
      <w:r w:rsidRPr="006B5283" w:rsidR="5B7F7D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006B5283" w:rsidR="5B7F7DAE">
        <w:rPr>
          <w:rFonts w:ascii="Arial" w:hAnsi="Arial" w:eastAsia="Arial" w:cs="Arial" w:asciiTheme="minorAscii" w:hAnsiTheme="minorAscii" w:eastAsiaTheme="minorAscii" w:cstheme="minorAscii"/>
          <w:noProof w:val="0"/>
          <w:sz w:val="22"/>
          <w:szCs w:val="22"/>
          <w:lang w:val="en-US"/>
        </w:rPr>
        <w:t>(for, 2025)</w:t>
      </w:r>
    </w:p>
    <w:p w:rsidR="45B7850D" w:rsidP="006B5283" w:rsidRDefault="45B7850D" w14:paraId="1BE33948" w14:textId="30113D5A">
      <w:pPr>
        <w:pStyle w:val="Normal"/>
        <w:rPr>
          <w:rFonts w:ascii="Arial" w:hAnsi="Arial" w:eastAsia="Arial" w:cs="Arial" w:asciiTheme="minorAscii" w:hAnsiTheme="minorAscii" w:eastAsiaTheme="minorAscii" w:cstheme="minorAscii"/>
          <w:noProof w:val="0"/>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The Horizon scandal has already been described as the largest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miscarriage of justice</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in modern UK legal history, with hundreds of wrongful convictions and an ongoing program of compensation and statutory redress. Branch systems sit at the core of accounting, customer service, and compliance, so persistent software defects or weak controls have direct human and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organisational</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consequences. Continued dependence on legacy systems therefore magnifies transition risk, increases running costs, and erodes trust among sub‑postmasters and the communities they serve</w:t>
      </w:r>
      <w:r w:rsidRPr="006B5283" w:rsidR="6B7A76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006B5283" w:rsidR="7440C161">
        <w:rPr>
          <w:rFonts w:ascii="Arial" w:hAnsi="Arial" w:eastAsia="Arial" w:cs="Arial" w:asciiTheme="minorAscii" w:hAnsiTheme="minorAscii" w:eastAsiaTheme="minorAscii" w:cstheme="minorAscii"/>
          <w:noProof w:val="0"/>
          <w:sz w:val="22"/>
          <w:szCs w:val="22"/>
          <w:lang w:val="en-US"/>
        </w:rPr>
        <w:t>(UK Legislation, n.d.)</w:t>
      </w:r>
    </w:p>
    <w:p w:rsidR="45B7850D" w:rsidP="006B5283" w:rsidRDefault="45B7850D" w14:paraId="1B3CD8CA" w14:textId="112B42CA">
      <w:pPr>
        <w:pStyle w:val="Heading1"/>
        <w:keepNext w:val="1"/>
        <w:keepLines w:val="1"/>
        <w:spacing w:before="480" w:after="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bookmarkStart w:name="_Toc86110694" w:id="1662612158"/>
      <w:r w:rsidRPr="006B5283" w:rsidR="45B7850D">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t>Objectives</w:t>
      </w:r>
      <w:bookmarkEnd w:id="1662612158"/>
    </w:p>
    <w:p w:rsidR="45B7850D" w:rsidP="006B5283" w:rsidRDefault="45B7850D" w14:paraId="5C7F41EE" w14:textId="54F5DE44">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My proposal has four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objectives</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First, I will map the historical development and technical weaknesses of Horizon and review the failure of NBIT and alternative proposals [en.wikipedia.org], [theregister.com]. Second, I will examine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organisational</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culture, governance, and risk‑management practices that shape decision‐making and accountability [ukpol.co.uk]. Third, I will evaluate remediation strategies and reforms discussed in the literature, including supplier models, cloud migration pathways, and formal governance frameworks [theregister.com], [datacenter…namics.com]. Finally, I will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identify</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gaps in existing research and propose practical recommendations for IT governance, risk management, and controlled change in public‑sector contexts</w:t>
      </w:r>
      <w:r w:rsidRPr="006B5283" w:rsidR="1CBFA7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w:t>
      </w:r>
    </w:p>
    <w:p w:rsidR="45B7850D" w:rsidP="006B5283" w:rsidRDefault="45B7850D" w14:paraId="5040FB99" w14:textId="22B044C8">
      <w:pPr>
        <w:pStyle w:val="Heading1"/>
        <w:keepNext w:val="1"/>
        <w:keepLines w:val="1"/>
        <w:spacing w:before="480" w:after="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bookmarkStart w:name="_Toc917030049" w:id="1422123267"/>
      <w:r w:rsidRPr="006B5283" w:rsidR="45B7850D">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t>Research Questions</w:t>
      </w:r>
      <w:bookmarkEnd w:id="1422123267"/>
    </w:p>
    <w:p w:rsidR="45B7850D" w:rsidP="006B5283" w:rsidRDefault="45B7850D" w14:paraId="4E3991F9" w14:textId="1CC92555">
      <w:pPr>
        <w:pStyle w:val="Normal"/>
        <w:rPr>
          <w:rFonts w:ascii="Arial" w:hAnsi="Arial" w:eastAsia="Arial" w:cs="Arial" w:asciiTheme="minorAscii" w:hAnsiTheme="minorAscii" w:eastAsiaTheme="minorAscii" w:cstheme="minorAscii"/>
          <w:noProof w:val="0"/>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RQ1. What technical issues have been documented across different Horizon versions, and how have these issues affected operational performance and accounting reliability? </w:t>
      </w:r>
      <w:r>
        <w:br/>
      </w:r>
      <w:r>
        <w:br/>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RQ2. How have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organisational</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culture, governance structures, and risk practices influenced the handling of failures and ethical and legal outcomes?</w:t>
      </w:r>
      <w:r>
        <w:br/>
      </w:r>
      <w:r>
        <w:br/>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RQ3. Which reforms—IT governance frameworks, procurement strategies, and cloud‑migration approaches—are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emphasised</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in the literature, and how effective </w:t>
      </w:r>
      <w:r w:rsidRPr="006B5283" w:rsidR="6F5F95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they might</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be for reducing transition risk at the Post </w:t>
      </w:r>
      <w:r w:rsidRPr="006B5283" w:rsidR="41C479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Office.</w:t>
      </w:r>
      <w:r w:rsidRPr="006B5283" w:rsidR="2D40D0A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(Anon, n.d.)</w:t>
      </w:r>
    </w:p>
    <w:p w:rsidR="45B7850D" w:rsidP="006B5283" w:rsidRDefault="45B7850D" w14:paraId="328053B2" w14:textId="61C406EE">
      <w:pPr>
        <w:pStyle w:val="Heading1"/>
        <w:keepNext w:val="1"/>
        <w:keepLines w:val="1"/>
        <w:spacing w:before="480" w:after="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bookmarkStart w:name="_Toc1193165131" w:id="1069884504"/>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Critical Literature Review</w:t>
      </w:r>
      <w:bookmarkEnd w:id="1069884504"/>
    </w:p>
    <w:p w:rsidR="45B7850D" w:rsidP="006B5283" w:rsidRDefault="45B7850D" w14:paraId="00A05706" w14:textId="1ADE14A9">
      <w:pPr>
        <w:pStyle w:val="Normal"/>
        <w:keepNext w:val="1"/>
        <w:keepLines w:val="1"/>
        <w:spacing w:before="200" w:after="0"/>
        <w:rPr>
          <w:rFonts w:ascii="Arial" w:hAnsi="Arial" w:eastAsia="Arial" w:cs="Arial" w:asciiTheme="minorAscii" w:hAnsiTheme="minorAscii" w:eastAsiaTheme="minorAscii" w:cstheme="minorAscii"/>
          <w:noProof w:val="0"/>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Technical Failures and Continuing Operational Risk</w:t>
      </w:r>
      <w:r>
        <w:br/>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Inquiry evidence and independent reporting confirm that the Horizon system, across Legacy Horizon and Horizon Online/HNG‑X,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contained</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‘bugs, errors and defects’ that generated unreliable branch accounts. Senior leaders at the Post Office and Fujitsu ‘knew or should have known’ about these weaknesses, yet the system continued to be treated legally reliable. These technical failures fed directly into wrongful prosecutions and long‑term harm to sub‑postmasters.</w:t>
      </w:r>
      <w:r w:rsidRPr="006B5283" w:rsidR="0217B4D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006B5283" w:rsidR="0217B4D4">
        <w:rPr>
          <w:rFonts w:ascii="Arial" w:hAnsi="Arial" w:eastAsia="Arial" w:cs="Arial" w:asciiTheme="minorAscii" w:hAnsiTheme="minorAscii" w:eastAsiaTheme="minorAscii" w:cstheme="minorAscii"/>
          <w:noProof w:val="0"/>
          <w:sz w:val="22"/>
          <w:szCs w:val="22"/>
          <w:lang w:val="en-US"/>
        </w:rPr>
        <w:t>(Anon, n.d.)</w:t>
      </w:r>
    </w:p>
    <w:p w:rsidR="45B7850D" w:rsidP="006B5283" w:rsidRDefault="45B7850D" w14:paraId="726D038E" w14:textId="687A2ABD">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Recent surveys and trade‑press pieces also suggest that live operational issues continue, including unexplained shortfalls, freezes, and connectivity failures. This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indicates</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that reliability problems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remain</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 day‑to‑day risk for branches and that the technical debt embedded in the ecosystem is non‑trivial [cybernoz.com]. At the same time, the in‑house NBIT program suffered immaturity, cost escalation, and unclear governance, before being abandoned in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favour</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of externally sourced solutions. Procurement delays then led to extensions of Horizon, reinforcing supplier dependence and making strategic change harder to deliver.</w:t>
      </w:r>
    </w:p>
    <w:p w:rsidR="45B7850D" w:rsidP="006B5283" w:rsidRDefault="45B7850D" w14:paraId="6C85AF10" w14:textId="70892AEE">
      <w:pPr>
        <w:pStyle w:val="Normal"/>
        <w:rPr>
          <w:rFonts w:ascii="Arial" w:hAnsi="Arial" w:eastAsia="Arial" w:cs="Arial" w:asciiTheme="minorAscii" w:hAnsiTheme="minorAscii" w:eastAsiaTheme="minorAscii" w:cstheme="minorAscii"/>
          <w:noProof w:val="0"/>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Volume 1 of the inquiry points to systemic governance failures: over‑reliance on Horizon data, inadequate internal oversight, and weak escalation for technical complaints.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Organisational</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research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emphasises</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the need to jointly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optimise</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technology and social systems; a persistent lack of user‑centered feedback, transparency, and participatory decision‑making made risks more likely to persist and escalate.</w:t>
      </w:r>
      <w:r w:rsidRPr="006B5283" w:rsidR="076FEC4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006B5283" w:rsidR="076FEC4F">
        <w:rPr>
          <w:rFonts w:ascii="Arial" w:hAnsi="Arial" w:eastAsia="Arial" w:cs="Arial" w:asciiTheme="minorAscii" w:hAnsiTheme="minorAscii" w:eastAsiaTheme="minorAscii" w:cstheme="minorAscii"/>
          <w:noProof w:val="0"/>
          <w:sz w:val="22"/>
          <w:szCs w:val="22"/>
          <w:lang w:val="en-US"/>
        </w:rPr>
        <w:t>(Anon, n.d.)</w:t>
      </w:r>
    </w:p>
    <w:p w:rsidR="45B7850D" w:rsidP="006B5283" w:rsidRDefault="45B7850D" w14:paraId="4F21045F" w14:textId="0F55CEBF">
      <w:pPr>
        <w:pStyle w:val="Heading2"/>
        <w:keepNext w:val="1"/>
        <w:keepLines w:val="1"/>
        <w:spacing w:before="200" w:after="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bookmarkStart w:name="_Toc110057981" w:id="374171486"/>
      <w:r w:rsidRPr="006B5283" w:rsidR="45B7850D">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t>Theoretical Frameworks for Analysis</w:t>
      </w:r>
      <w:bookmarkEnd w:id="374171486"/>
    </w:p>
    <w:p w:rsidR="45B7850D" w:rsidP="006B5283" w:rsidRDefault="45B7850D" w14:paraId="5639D8E9" w14:textId="629A6FE6">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Socio‑Technical Systems (STS) highlights the interdependence between human workflows and technology. In the Horizon case, gaps between sub‑postmasters’ everyday tasks and the system’s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behaviour</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(including error handling, auditability, and support) help explain how defects translated into harm and why trust eroded over time.</w:t>
      </w:r>
    </w:p>
    <w:p w:rsidR="45B7850D" w:rsidP="006B5283" w:rsidRDefault="45B7850D" w14:paraId="67D3C9E2" w14:textId="695A5231">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Normal Accident Theory (NAT). NAT argues that accidents in tightly coupled, complex systems can be ‘normal</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This implies that a safer transition should simplify architecture and interfaces wherever possible, reduce coupling, and remove single points of failure—particularly important when migrating from a legacy platform like Horizon</w:t>
      </w:r>
      <w:r w:rsidRPr="006B5283" w:rsidR="417C52F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45B7850D" w:rsidP="006B5283" w:rsidRDefault="45B7850D" w14:paraId="3987C617" w14:textId="48B11232">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IT Governance Frameworks (COBIT 2019; ITIL 4). These frameworks specify decision rights, control processes, and service‑management practices that support accountable change and reliable operations. The literature shows that structured governance is vital for change control, problem management, and learning after incidents—areas where the Post Office fell short during the Horizon period.</w:t>
      </w:r>
    </w:p>
    <w:p w:rsidR="45B7850D" w:rsidP="006B5283" w:rsidRDefault="45B7850D" w14:paraId="68CFE2AF" w14:textId="5ADEBBC0">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ISO 31000:2018 Risk Management. ISO 31000 provides a scalable model for integrating risk appetite, ownership, and monitoring into decision‑making. Applied here, it encourages a consistent approach to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identifying</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analysing</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treating, and reviewing risks across programs and suppliers.</w:t>
      </w:r>
    </w:p>
    <w:p w:rsidR="45B7850D" w:rsidP="006B5283" w:rsidRDefault="45B7850D" w14:paraId="3967AD4C" w14:textId="33E64D79">
      <w:pPr>
        <w:pStyle w:val="Normal"/>
        <w:rPr>
          <w:rFonts w:ascii="Arial" w:hAnsi="Arial" w:eastAsia="Arial" w:cs="Arial" w:asciiTheme="minorAscii" w:hAnsiTheme="minorAscii" w:eastAsiaTheme="minorAscii" w:cstheme="minorAscii"/>
          <w:noProof w:val="0"/>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Technical Debt and Legacy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Modernisation</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Research on technical debt shows how decades of under‑investment can produce ‘ecosystem debt’: obsolete platforms, brittle integrations, and escalating remedial effort. This provides a useful lens for the cumulative fragility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observed</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in </w:t>
      </w:r>
      <w:r w:rsidRPr="006B5283" w:rsidR="44C17EC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the Horizon</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and in the failed NBIT path</w:t>
      </w:r>
      <w:r w:rsidRPr="006B5283" w:rsidR="55539F6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(Parliament.uk, 2024)</w:t>
      </w:r>
    </w:p>
    <w:p w:rsidR="45B7850D" w:rsidP="006B5283" w:rsidRDefault="45B7850D" w14:paraId="4F9D00EA" w14:textId="046EFC81">
      <w:pPr>
        <w:pStyle w:val="Heading2"/>
        <w:keepNext w:val="1"/>
        <w:keepLines w:val="1"/>
        <w:spacing w:before="200" w:after="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bookmarkStart w:name="_Toc719727988" w:id="1374461787"/>
      <w:r w:rsidRPr="006B5283" w:rsidR="45B7850D">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t>Compensation, Legal Reforms, and Public Accountability</w:t>
      </w:r>
      <w:bookmarkEnd w:id="1374461787"/>
    </w:p>
    <w:p w:rsidR="45B7850D" w:rsidP="006B5283" w:rsidRDefault="45B7850D" w14:paraId="62963E8E" w14:textId="534998AE">
      <w:pPr>
        <w:pStyle w:val="Normal"/>
        <w:rPr>
          <w:rFonts w:ascii="Arial" w:hAnsi="Arial" w:eastAsia="Arial" w:cs="Arial" w:asciiTheme="minorAscii" w:hAnsiTheme="minorAscii" w:eastAsiaTheme="minorAscii" w:cstheme="minorAscii"/>
          <w:noProof w:val="0"/>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Government compensation schemes (including the GLO, HCRS, and HSS) and the Post Office (Horizon System) Offences Act 2024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demonstrate</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the scale of harm and the legal imperative for remediation. Ongoing monitoring and large financial commitments underline how poor governance and unreliable IT can escalate into national‑level legal and political consequences.</w:t>
      </w:r>
      <w:r w:rsidRPr="006B5283" w:rsidR="3158F9D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006B5283" w:rsidR="3158F9D8">
        <w:rPr>
          <w:rFonts w:ascii="Arial" w:hAnsi="Arial" w:eastAsia="Arial" w:cs="Arial" w:asciiTheme="minorAscii" w:hAnsiTheme="minorAscii" w:eastAsiaTheme="minorAscii" w:cstheme="minorAscii"/>
          <w:noProof w:val="0"/>
          <w:sz w:val="22"/>
          <w:szCs w:val="22"/>
          <w:lang w:val="en-US"/>
        </w:rPr>
        <w:t>(Sweney, 2026)</w:t>
      </w:r>
    </w:p>
    <w:p w:rsidR="45B7850D" w:rsidP="006B5283" w:rsidRDefault="45B7850D" w14:paraId="4B434D63" w14:textId="75CC5CDA">
      <w:pPr>
        <w:pStyle w:val="Normal"/>
        <w:keepNext w:val="1"/>
        <w:keepLines w:val="1"/>
        <w:spacing w:before="480" w:after="0"/>
        <w:rPr>
          <w:rFonts w:ascii="Arial" w:hAnsi="Arial" w:eastAsia="Arial" w:cs="Arial" w:asciiTheme="minorAscii" w:hAnsiTheme="minorAscii" w:eastAsiaTheme="minorAscii" w:cstheme="minorAscii"/>
          <w:noProof w:val="0"/>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Despite extensive documentation, there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remains</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limited integrated analysis that connects technical faults, transition‑program governance, and established frameworks for IT governance and risk. My research responds to this gap by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synthesising</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the evidence from inquiry material, policy documents, and academic sources to generate practical insights for future public‑sector IT transformation.</w:t>
      </w:r>
      <w:r w:rsidRPr="006B5283" w:rsidR="4A9A78D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006B5283" w:rsidR="4A9A78D1">
        <w:rPr>
          <w:rFonts w:ascii="Arial" w:hAnsi="Arial" w:eastAsia="Arial" w:cs="Arial" w:asciiTheme="minorAscii" w:hAnsiTheme="minorAscii" w:eastAsiaTheme="minorAscii" w:cstheme="minorAscii"/>
          <w:noProof w:val="0"/>
          <w:sz w:val="22"/>
          <w:szCs w:val="22"/>
          <w:lang w:val="en-US"/>
        </w:rPr>
        <w:t>(</w:t>
      </w:r>
      <w:r w:rsidRPr="006B5283" w:rsidR="01EA9D0C">
        <w:rPr>
          <w:rFonts w:ascii="Arial" w:hAnsi="Arial" w:eastAsia="Arial" w:cs="Arial" w:asciiTheme="minorAscii" w:hAnsiTheme="minorAscii" w:eastAsiaTheme="minorAscii" w:cstheme="minorAscii"/>
          <w:noProof w:val="0"/>
          <w:sz w:val="22"/>
          <w:szCs w:val="22"/>
          <w:lang w:val="en-US"/>
        </w:rPr>
        <w:t>(Department for Business and Trade and Blair McDougall MP, 2025)</w:t>
      </w:r>
    </w:p>
    <w:p w:rsidR="45B7850D" w:rsidP="006B5283" w:rsidRDefault="45B7850D" w14:paraId="7DE482A7" w14:textId="2FA3C5FF">
      <w:pPr>
        <w:pStyle w:val="Normal"/>
        <w:keepNext w:val="1"/>
        <w:keepLines w:val="1"/>
        <w:spacing w:before="480" w:after="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006B5283" w:rsidR="45B7850D">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t>Methodology – Secondary Research Approach</w:t>
      </w:r>
    </w:p>
    <w:p w:rsidR="45B7850D" w:rsidP="006B5283" w:rsidRDefault="45B7850D" w14:paraId="0032ACB6" w14:textId="6B94BB90">
      <w:pPr>
        <w:pStyle w:val="Normal"/>
        <w:rPr>
          <w:rFonts w:ascii="Arial" w:hAnsi="Arial" w:eastAsia="Arial" w:cs="Arial" w:asciiTheme="minorAscii" w:hAnsiTheme="minorAscii" w:eastAsiaTheme="minorAscii" w:cstheme="minorAscii"/>
          <w:noProof w:val="0"/>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I will use a secondary‑research design. This is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appropriate because</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 large body of credible sources already exists, including inquiry documents, legislation, government monitoring reports, peer‑reviewed literature, and detailed trade‑press journalism. It allows me to carry out a thorough, critically informed analysis without the ethical and logistical complexities of primary data collection in a sensitive, high‑profile case</w:t>
      </w:r>
      <w:r w:rsidRPr="006B5283" w:rsidR="633D1AF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006B5283" w:rsidR="633D1AF8">
        <w:rPr>
          <w:rFonts w:ascii="Arial" w:hAnsi="Arial" w:eastAsia="Arial" w:cs="Arial" w:asciiTheme="minorAscii" w:hAnsiTheme="minorAscii" w:eastAsiaTheme="minorAscii" w:cstheme="minorAscii"/>
          <w:noProof w:val="0"/>
          <w:sz w:val="22"/>
          <w:szCs w:val="22"/>
          <w:lang w:val="en-US"/>
        </w:rPr>
        <w:t>(Post Office Horizon IT Inquiry, 2025) (Anon, n.d.)</w:t>
      </w:r>
    </w:p>
    <w:p w:rsidR="45B7850D" w:rsidP="006B5283" w:rsidRDefault="45B7850D" w14:paraId="5FC6898E" w14:textId="77C79926">
      <w:pPr>
        <w:pStyle w:val="Heading2"/>
        <w:keepNext w:val="1"/>
        <w:keepLines w:val="1"/>
        <w:spacing w:before="200" w:after="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bookmarkStart w:name="_Toc256323152" w:id="513284993"/>
      <w:r w:rsidRPr="006B5283" w:rsidR="45B7850D">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t>Data Collection and Analysis</w:t>
      </w:r>
      <w:bookmarkEnd w:id="513284993"/>
    </w:p>
    <w:p w:rsidR="45B7850D" w:rsidP="006B5283" w:rsidRDefault="45B7850D" w14:paraId="3FEB785A" w14:textId="42ADE7A7">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Data collection will focus on four categories: (1) academic databases (for example JSTOR, IEEE Xplore, and Google Scholar) for studies of IT governance, risk, and legacy systems; (2) government and inquiry (for example the Post Office Horizon IT Inquiry volumes and the government’s responses); (3) reputable journalism and industry analysis (for instance Reuters, the Financial Times, and specialist outlets) that track program changes and supplier decisions; and (4) policy and professional materials from bodies such as ISACA and AXELOS. I will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organise</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sources by research question and use </w:t>
      </w:r>
      <w:r w:rsidRPr="006B5283" w:rsidR="2C11DDE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statistical</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analysis to develop patterns around technical failures, governance weaknesses,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organisational</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culture, and reform strategies.</w:t>
      </w:r>
    </w:p>
    <w:p w:rsidR="18B9EAB8" w:rsidP="006B5283" w:rsidRDefault="18B9EAB8" w14:paraId="1693C367" w14:textId="75A1A450">
      <w:pPr>
        <w:pStyle w:val="Normal"/>
        <w:rPr>
          <w:rFonts w:ascii="Arial" w:hAnsi="Arial" w:eastAsia="Arial" w:cs="Arial"/>
          <w:noProof w:val="0"/>
          <w:sz w:val="22"/>
          <w:szCs w:val="22"/>
          <w:lang w:val="en-US"/>
        </w:rPr>
      </w:pPr>
      <w:r w:rsidRPr="006B5283" w:rsidR="18B9EA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Use SPSS to analyze the </w:t>
      </w:r>
      <w:r w:rsidRPr="006B5283" w:rsidR="18B9EA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dat</w:t>
      </w:r>
      <w:r w:rsidRPr="006B5283" w:rsidR="6536B37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a</w:t>
      </w:r>
      <w:r w:rsidRPr="006B5283" w:rsidR="682672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It</w:t>
      </w:r>
      <w:r w:rsidRPr="006B5283" w:rsidR="0991CE43">
        <w:rPr>
          <w:rFonts w:ascii="Arial" w:hAnsi="Arial" w:eastAsia="Arial" w:cs="Arial"/>
          <w:b w:val="0"/>
          <w:bCs w:val="0"/>
          <w:i w:val="0"/>
          <w:iCs w:val="0"/>
          <w:caps w:val="0"/>
          <w:smallCaps w:val="0"/>
          <w:noProof w:val="0"/>
          <w:color w:val="0A0A0A"/>
          <w:sz w:val="24"/>
          <w:szCs w:val="24"/>
          <w:lang w:val="en-US"/>
        </w:rPr>
        <w:t xml:space="preserve"> </w:t>
      </w:r>
      <w:r w:rsidRPr="006B5283" w:rsidR="0991CE43">
        <w:rPr>
          <w:rFonts w:ascii="Arial" w:hAnsi="Arial" w:eastAsia="Arial" w:cs="Arial"/>
          <w:b w:val="0"/>
          <w:bCs w:val="0"/>
          <w:i w:val="0"/>
          <w:iCs w:val="0"/>
          <w:caps w:val="0"/>
          <w:smallCaps w:val="0"/>
          <w:noProof w:val="0"/>
          <w:color w:val="0A0A0A"/>
          <w:sz w:val="24"/>
          <w:szCs w:val="24"/>
          <w:lang w:val="en-US"/>
        </w:rPr>
        <w:t>inv</w:t>
      </w:r>
      <w:r w:rsidRPr="006B5283" w:rsidR="0991CE43">
        <w:rPr>
          <w:rFonts w:ascii="Arial" w:hAnsi="Arial" w:eastAsia="Arial" w:cs="Arial"/>
          <w:b w:val="0"/>
          <w:bCs w:val="0"/>
          <w:i w:val="0"/>
          <w:iCs w:val="0"/>
          <w:caps w:val="0"/>
          <w:smallCaps w:val="0"/>
          <w:noProof w:val="0"/>
          <w:color w:val="0A0A0A"/>
          <w:sz w:val="24"/>
          <w:szCs w:val="24"/>
          <w:lang w:val="en-US"/>
        </w:rPr>
        <w:t>olves using descriptive statistics to summarize data and inferential statistics to test hypotheses and generalize findings to a larger population. Key steps include data collection, analysis, and interpretation.</w:t>
      </w:r>
    </w:p>
    <w:p w:rsidR="45B7850D" w:rsidP="006B5283" w:rsidRDefault="45B7850D" w14:paraId="5AD40973" w14:textId="640B0BE4">
      <w:pPr>
        <w:pStyle w:val="Heading1"/>
        <w:keepNext w:val="1"/>
        <w:keepLines w:val="1"/>
        <w:spacing w:before="480" w:after="0"/>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pPr>
      <w:bookmarkStart w:name="_Toc4223524" w:id="1461522835"/>
      <w:r w:rsidRPr="006B5283" w:rsidR="45B7850D">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t>Expected Outcomes</w:t>
      </w:r>
      <w:bookmarkEnd w:id="1461522835"/>
    </w:p>
    <w:p w:rsidR="45B7850D" w:rsidP="006B5283" w:rsidRDefault="45B7850D" w14:paraId="270F41AD" w14:textId="2ED31750">
      <w:pPr>
        <w:pStyle w:val="Normal"/>
        <w:rPr>
          <w:rFonts w:ascii="Arial" w:hAnsi="Arial" w:eastAsia="Arial" w:cs="Arial" w:asciiTheme="minorAscii" w:hAnsiTheme="minorAscii" w:eastAsiaTheme="minorAscii" w:cstheme="minorAscii"/>
          <w:noProof w:val="0"/>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I expect four outcomes. First, a concise, structured overview of Horizon’s technical failures and the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organisational</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context that enabled them. Second, an assessment of how culture, governance, and decision‑making shaped the handling of risk and error. Third, a critical evaluation of proposed remediation strategies (procurement models, cloud migration, supplier oversight, and program controls), including their potential strengths and limits for the Post Office. Fourth, a set of practical recommendations and an outline for future research, especially on embedding ethical accountability and user‑centered feedback in public‑sector IT.</w:t>
      </w:r>
      <w:r w:rsidRPr="006B5283" w:rsidR="30861D1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p>
    <w:p w:rsidR="45B7850D" w:rsidP="006B5283" w:rsidRDefault="45B7850D" w14:paraId="65509044" w14:textId="052199A8">
      <w:pPr>
        <w:pStyle w:val="Heading1"/>
        <w:keepNext w:val="1"/>
        <w:keepLines w:val="1"/>
        <w:spacing w:before="480" w:after="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bookmarkStart w:name="_Toc491901076" w:id="1736423514"/>
      <w:r w:rsidRPr="006B5283" w:rsidR="45B7850D">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t>Business Relevance and Practical Implications</w:t>
      </w:r>
      <w:bookmarkEnd w:id="1736423514"/>
    </w:p>
    <w:p w:rsidR="45B7850D" w:rsidP="006B5283" w:rsidRDefault="45B7850D" w14:paraId="27D15167" w14:textId="52ACD828">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This topic is directly relevant to the UK Post Office because it engages with the operational, governance, and technology weaknesses that follow from dependence on Horizon and the delayed transition to a modern alternative. The inquiry records and ongoing reporting document serious system faults, accounting inaccuracies, and reliability problems—issues that have translated into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financial loss</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human harm, and reputational damage. By combining academic frameworks with inquiry findings and policy sources, the study can support better strategy, governance, and risk‑management decisions in the next phase of change.</w:t>
      </w:r>
    </w:p>
    <w:p w:rsidR="45B7850D" w:rsidP="006B5283" w:rsidRDefault="45B7850D" w14:paraId="7E73FC54" w14:textId="1DB9135D">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A key contribution to the study is to show how system design, governance structures, and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organisational</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culture interact and shape outcomes. Evidence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indicates</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that Horizon’s flaws were known internally and that uncertainty around NBIT prolonged reliance on a fragile platform. The analysis links these observations to practical governance actions that could prevent repetition, such as stronger decision rights, clearer risk ownership, and built‑in transparency and user feedback.</w:t>
      </w:r>
    </w:p>
    <w:p w:rsidR="45B7850D" w:rsidP="006B5283" w:rsidRDefault="45B7850D" w14:paraId="3304F596" w14:textId="796F13A3">
      <w:pPr>
        <w:pStyle w:val="Normal"/>
        <w:rPr>
          <w:rFonts w:ascii="Arial" w:hAnsi="Arial" w:eastAsia="Arial" w:cs="Arial" w:asciiTheme="minorAscii" w:hAnsiTheme="minorAscii" w:eastAsiaTheme="minorAscii" w:cstheme="minorAscii"/>
          <w:noProof w:val="0"/>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From a practical standpoint, the study can help in three ways: (1) by setting clearer criteria for IT procurement and supplier oversight to avoid cost overruns and lock‑in; (2) by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emphasising</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structured risk management (ISO 31000) to surface and treat risks early; and (3) by encouraging user‑centered change so new systems reflect branch realities and reduce error at source</w:t>
      </w:r>
      <w:r w:rsidRPr="006B5283" w:rsidR="42F07B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006B5283" w:rsidR="42F07B92">
        <w:rPr>
          <w:rFonts w:ascii="Arial" w:hAnsi="Arial" w:eastAsia="Arial" w:cs="Arial" w:asciiTheme="minorAscii" w:hAnsiTheme="minorAscii" w:eastAsiaTheme="minorAscii" w:cstheme="minorAscii"/>
          <w:noProof w:val="0"/>
          <w:sz w:val="22"/>
          <w:szCs w:val="22"/>
          <w:lang w:val="en-US"/>
        </w:rPr>
        <w:t>(Anon, n.d.)</w:t>
      </w:r>
    </w:p>
    <w:p w:rsidR="45B7850D" w:rsidP="006B5283" w:rsidRDefault="45B7850D" w14:paraId="7558F07B" w14:textId="0B21CF56">
      <w:pPr>
        <w:pStyle w:val="Heading1"/>
        <w:keepNext w:val="1"/>
        <w:keepLines w:val="1"/>
        <w:spacing w:before="480" w:after="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bookmarkStart w:name="_Toc2131957258" w:id="774283629"/>
      <w:r w:rsidRPr="006B5283" w:rsidR="45B7850D">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t>Indicative Recommendations and Strategies</w:t>
      </w:r>
      <w:bookmarkEnd w:id="774283629"/>
    </w:p>
    <w:p w:rsidR="45B7850D" w:rsidP="006B5283" w:rsidRDefault="45B7850D" w14:paraId="75C1725B" w14:textId="20DE1B93">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Strengthen IT governance structures. Adopt COBIT 2019 decision domains for enterprise IT and align program ‑level controls with ITIL 4 service management practices (for example change enablement, incident/problem management, continual improvement). Embed service level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objectives</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that reward learning from incidents and transparent root‑cause </w:t>
      </w:r>
      <w:r w:rsidRPr="006B5283" w:rsidR="2A4C097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analysis.</w:t>
      </w:r>
    </w:p>
    <w:p w:rsidR="45B7850D" w:rsidP="006B5283" w:rsidRDefault="45B7850D" w14:paraId="6959B3F0" w14:textId="33EEAEE5">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Implement an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organisation</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‑wide risk framework. Use ISO 31000 to set risk appetite, assign treatment plans, and define escalation paths, with quarterly reviews at executive level and supplier governance boards. Integrate risk registers across programs and use leading indicators (for example defect density trends, change lead times, and unplanned work) to keep attention on operational reliability</w:t>
      </w:r>
      <w:r w:rsidRPr="006B5283" w:rsidR="1E28DEE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w:t>
      </w:r>
    </w:p>
    <w:p w:rsidR="45B7850D" w:rsidP="006B5283" w:rsidRDefault="45B7850D" w14:paraId="495C3685" w14:textId="4D992AB1">
      <w:pPr>
        <w:pStyle w:val="Normal"/>
        <w:rPr>
          <w:rFonts w:ascii="Arial" w:hAnsi="Arial" w:eastAsia="Arial" w:cs="Arial" w:asciiTheme="minorAscii" w:hAnsiTheme="minorAscii" w:eastAsiaTheme="minorAscii" w:cstheme="minorAscii"/>
          <w:noProof w:val="0"/>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Plan a structured, low‑risk legacy‑to‑cloud migration. Apply progressive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modernisation</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rather than a ‘big bang</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Reduce coupling, improve data auditability, and protect critical services with phased cut‑overs, blue‑green deployments, and rollback plans. Use contractual mechanisms that keep portability and exit options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viable</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to prevent lock‑in</w:t>
      </w:r>
      <w:r w:rsidRPr="006B5283" w:rsidR="732BC7A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p>
    <w:p w:rsidR="45B7850D" w:rsidP="006B5283" w:rsidRDefault="45B7850D" w14:paraId="7D7ED803" w14:textId="59943758">
      <w:pP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Reduce ‘ecosystem debt’ and infrastructure fragility. Catalogue legacy integration points, remove redundant components, and design for observability.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Prioritise</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investment where the ratio of risk reduced to cost is highest, making fragility visible to senior leaders. Track a debt‑burndown plan with measurable milestones</w:t>
      </w:r>
      <w:r w:rsidRPr="006B5283" w:rsidR="1E9ED73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w:t>
      </w:r>
    </w:p>
    <w:p w:rsidR="45B7850D" w:rsidP="006B5283" w:rsidRDefault="45B7850D" w14:paraId="290C0D4C" w14:textId="0CD2883B">
      <w:pPr>
        <w:pStyle w:val="Normal"/>
        <w:rPr>
          <w:rFonts w:ascii="Arial" w:hAnsi="Arial" w:eastAsia="Arial" w:cs="Arial" w:asciiTheme="minorAscii" w:hAnsiTheme="minorAscii" w:eastAsiaTheme="minorAscii" w:cstheme="minorAscii"/>
          <w:noProof w:val="0"/>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Support cultural and ethical reform. Establish a just‑culture approach that distinguishes blameworthy acts from system‑induced error. Protect whistle‑blowing, require independent technical validation for high‑stakes decisions, and make user feedback a formal input to change control. Public‑facing transparency should be normal for service‑affecting incidents and redress progress.</w:t>
      </w:r>
      <w:r w:rsidRPr="006B5283" w:rsidR="29694D0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006B5283" w:rsidR="29694D0C">
        <w:rPr>
          <w:rFonts w:ascii="Arial" w:hAnsi="Arial" w:eastAsia="Arial" w:cs="Arial" w:asciiTheme="minorAscii" w:hAnsiTheme="minorAscii" w:eastAsiaTheme="minorAscii" w:cstheme="minorAscii"/>
          <w:noProof w:val="0"/>
          <w:sz w:val="22"/>
          <w:szCs w:val="22"/>
          <w:lang w:val="en-US"/>
        </w:rPr>
        <w:t>(Clark, 2025)</w:t>
      </w:r>
    </w:p>
    <w:p w:rsidR="45B7850D" w:rsidP="006B5283" w:rsidRDefault="45B7850D" w14:paraId="01C62AB4" w14:textId="320028EA">
      <w:pPr>
        <w:pStyle w:val="Heading1"/>
        <w:keepNext w:val="1"/>
        <w:keepLines w:val="1"/>
        <w:spacing w:before="480" w:after="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bookmarkStart w:name="_Toc650385136" w:id="1854268876"/>
      <w:r w:rsidRPr="006B5283" w:rsidR="45B7850D">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US"/>
        </w:rPr>
        <w:t>Conclusion</w:t>
      </w:r>
      <w:bookmarkEnd w:id="1854268876"/>
    </w:p>
    <w:p w:rsidR="45B7850D" w:rsidP="006B5283" w:rsidRDefault="45B7850D" w14:paraId="56DBD24B" w14:textId="61616566">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A secondary‑research approach is well suited to this topic because the volume and quality of existing evidence are high, and the ethical issues around primary data are sensitive. By drawing together inquiry material, policy responses, professional frameworks, and industry analysis, I can provide a coherent account of how outdated technology and weak governance combine to produce far‑reaching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organisational</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and human consequences. The proposal sets out a realistic set of actions that could support safer transition: stronger governance and risk management, a measured </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modernisation</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roadmap, reduction of ecosystem debt, and a culture that prizes learning, transparency, and ethics. In simple terms, the lesson is to build systems and governance together so that the next platform is not only technically sound but also trusted by the people who use it</w:t>
      </w:r>
      <w:r w:rsidRPr="006B5283" w:rsidR="756FF2AB">
        <w:rPr>
          <w:rFonts w:ascii="Arial" w:hAnsi="Arial" w:eastAsia="Arial" w:cs="Arial" w:asciiTheme="minorAscii" w:hAnsiTheme="minorAscii" w:eastAsiaTheme="minorAscii" w:cstheme="minorAscii"/>
          <w:noProof w:val="0"/>
          <w:sz w:val="22"/>
          <w:szCs w:val="22"/>
          <w:lang w:val="en-US"/>
        </w:rPr>
        <w:t xml:space="preserve"> </w:t>
      </w:r>
      <w:r w:rsidRPr="006B5283" w:rsidR="756FF2AB">
        <w:rPr>
          <w:rFonts w:ascii="Arial" w:hAnsi="Arial" w:eastAsia="Arial" w:cs="Arial" w:asciiTheme="minorAscii" w:hAnsiTheme="minorAscii" w:eastAsiaTheme="minorAscii" w:cstheme="minorAscii"/>
          <w:noProof w:val="0"/>
          <w:sz w:val="22"/>
          <w:szCs w:val="22"/>
          <w:lang w:val="en-US"/>
        </w:rPr>
        <w:t>(Post Office Horizon IT Inquiry, 2025)</w:t>
      </w:r>
      <w:r w:rsidRPr="006B5283" w:rsidR="45B785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w:t>
      </w:r>
    </w:p>
    <w:p w:rsidR="7049C071" w:rsidP="006B5283" w:rsidRDefault="7049C071" w14:paraId="559674A8" w14:textId="5DC42880">
      <w:pPr>
        <w:pStyle w:val="Heading2"/>
        <w:spacing w:before="261" w:beforeAutospacing="off" w:after="261" w:afterAutospacing="off" w:line="300" w:lineRule="auto"/>
        <w:jc w:val="left"/>
        <w:rPr>
          <w:rFonts w:ascii="Arial" w:hAnsi="Arial" w:eastAsia="Arial" w:cs="Arial"/>
          <w:b w:val="1"/>
          <w:bCs w:val="1"/>
          <w:i w:val="0"/>
          <w:iCs w:val="0"/>
          <w:noProof w:val="0"/>
          <w:color w:val="auto"/>
          <w:sz w:val="22"/>
          <w:szCs w:val="22"/>
          <w:lang w:val="en-GB"/>
        </w:rPr>
      </w:pPr>
      <w:bookmarkStart w:name="_Toc64664216" w:id="1974819121"/>
      <w:r w:rsidRPr="006B5283" w:rsidR="30B4D521">
        <w:rPr>
          <w:rFonts w:ascii="Arial" w:hAnsi="Arial" w:eastAsia="Arial" w:cs="Arial"/>
          <w:b w:val="1"/>
          <w:bCs w:val="1"/>
          <w:i w:val="0"/>
          <w:iCs w:val="0"/>
          <w:noProof w:val="0"/>
          <w:color w:val="auto"/>
          <w:sz w:val="22"/>
          <w:szCs w:val="22"/>
          <w:lang w:val="en-GB"/>
        </w:rPr>
        <w:t>References</w:t>
      </w:r>
      <w:bookmarkEnd w:id="1974819121"/>
      <w:r w:rsidRPr="006B5283" w:rsidR="30B4D521">
        <w:rPr>
          <w:rFonts w:ascii="Arial" w:hAnsi="Arial" w:eastAsia="Arial" w:cs="Arial"/>
          <w:b w:val="1"/>
          <w:bCs w:val="1"/>
          <w:i w:val="0"/>
          <w:iCs w:val="0"/>
          <w:noProof w:val="0"/>
          <w:color w:val="auto"/>
          <w:sz w:val="22"/>
          <w:szCs w:val="22"/>
          <w:lang w:val="en-GB"/>
        </w:rPr>
        <w:t xml:space="preserve"> </w:t>
      </w:r>
    </w:p>
    <w:p w:rsidR="14FF83A2" w:rsidP="006B5283" w:rsidRDefault="14FF83A2" w14:paraId="43FC8C8B" w14:textId="6053492D">
      <w:pPr>
        <w:pStyle w:val="ListParagraph"/>
        <w:numPr>
          <w:ilvl w:val="0"/>
          <w:numId w:val="17"/>
        </w:numPr>
        <w:spacing w:before="0" w:beforeAutospacing="off" w:after="0" w:afterAutospacing="off" w:line="300" w:lineRule="auto"/>
        <w:jc w:val="left"/>
        <w:rPr>
          <w:rFonts w:ascii="Segoe UI" w:hAnsi="Segoe UI" w:eastAsia="Segoe UI" w:cs="Segoe UI"/>
          <w:b w:val="0"/>
          <w:bCs w:val="0"/>
          <w:i w:val="0"/>
          <w:iCs w:val="0"/>
          <w:strike w:val="0"/>
          <w:dstrike w:val="0"/>
          <w:noProof w:val="0"/>
          <w:color w:val="464FEB"/>
          <w:sz w:val="21"/>
          <w:szCs w:val="21"/>
          <w:u w:val="none"/>
          <w:lang w:val="en-GB"/>
        </w:rPr>
      </w:pPr>
      <w:r w:rsidRPr="006B5283" w:rsidR="3C59C06C">
        <w:rPr>
          <w:rFonts w:ascii="Times New Roman" w:hAnsi="Times New Roman" w:eastAsia="Times New Roman" w:cs="Times New Roman"/>
          <w:noProof w:val="0"/>
          <w:sz w:val="24"/>
          <w:szCs w:val="24"/>
          <w:lang w:val="en-GB"/>
        </w:rPr>
        <w:t xml:space="preserve">Department for Business and Trade and Blair McDougall MP (2025). </w:t>
      </w:r>
      <w:r w:rsidRPr="006B5283" w:rsidR="3C59C06C">
        <w:rPr>
          <w:rFonts w:ascii="Times New Roman" w:hAnsi="Times New Roman" w:eastAsia="Times New Roman" w:cs="Times New Roman"/>
          <w:i w:val="1"/>
          <w:iCs w:val="1"/>
          <w:noProof w:val="0"/>
          <w:sz w:val="24"/>
          <w:szCs w:val="24"/>
          <w:lang w:val="en-GB"/>
        </w:rPr>
        <w:t>Government response to the Post Office Horizon IT Inquiry report (volume 1)</w:t>
      </w:r>
      <w:r w:rsidRPr="006B5283" w:rsidR="3C59C06C">
        <w:rPr>
          <w:rFonts w:ascii="Times New Roman" w:hAnsi="Times New Roman" w:eastAsia="Times New Roman" w:cs="Times New Roman"/>
          <w:noProof w:val="0"/>
          <w:sz w:val="24"/>
          <w:szCs w:val="24"/>
          <w:lang w:val="en-GB"/>
        </w:rPr>
        <w:t xml:space="preserve">. [online] GOV.UK. Available at: </w:t>
      </w:r>
      <w:hyperlink r:id="Rd022fe41eb1e4586">
        <w:r w:rsidRPr="006B5283" w:rsidR="3C59C06C">
          <w:rPr>
            <w:rStyle w:val="Hyperlink"/>
            <w:rFonts w:ascii="Times New Roman" w:hAnsi="Times New Roman" w:eastAsia="Times New Roman" w:cs="Times New Roman"/>
            <w:noProof w:val="0"/>
            <w:sz w:val="24"/>
            <w:szCs w:val="24"/>
            <w:lang w:val="en-GB"/>
          </w:rPr>
          <w:t>https://www.gov.uk/government/publications/government-response-to-the-post-office-horizon-it-inquiry-report-volume-1</w:t>
        </w:r>
      </w:hyperlink>
      <w:r w:rsidRPr="006B5283" w:rsidR="3C59C06C">
        <w:rPr>
          <w:rFonts w:ascii="Times New Roman" w:hAnsi="Times New Roman" w:eastAsia="Times New Roman" w:cs="Times New Roman"/>
          <w:noProof w:val="0"/>
          <w:sz w:val="24"/>
          <w:szCs w:val="24"/>
          <w:lang w:val="en-GB"/>
        </w:rPr>
        <w:t>.</w:t>
      </w:r>
    </w:p>
    <w:p w:rsidR="14FF83A2" w:rsidP="006B5283" w:rsidRDefault="14FF83A2" w14:paraId="1979F066" w14:textId="03F0FFE0">
      <w:pPr>
        <w:pStyle w:val="Normal"/>
        <w:spacing w:before="0" w:beforeAutospacing="off" w:after="0" w:afterAutospacing="off" w:line="300" w:lineRule="auto"/>
        <w:jc w:val="left"/>
        <w:rPr>
          <w:rFonts w:ascii="Segoe UI" w:hAnsi="Segoe UI" w:eastAsia="Segoe UI" w:cs="Segoe UI"/>
          <w:b w:val="0"/>
          <w:bCs w:val="0"/>
          <w:i w:val="0"/>
          <w:iCs w:val="0"/>
          <w:strike w:val="0"/>
          <w:dstrike w:val="0"/>
          <w:noProof w:val="0"/>
          <w:color w:val="464FEB"/>
          <w:sz w:val="21"/>
          <w:szCs w:val="21"/>
          <w:u w:val="none"/>
          <w:lang w:val="en-GB"/>
        </w:rPr>
      </w:pPr>
    </w:p>
    <w:p w:rsidR="14FF83A2" w:rsidP="006B5283" w:rsidRDefault="14FF83A2" w14:paraId="3E1EBFC3" w14:textId="03B942DC">
      <w:pPr>
        <w:pStyle w:val="ListParagraph"/>
        <w:numPr>
          <w:ilvl w:val="0"/>
          <w:numId w:val="17"/>
        </w:numPr>
        <w:spacing w:before="0" w:beforeAutospacing="off" w:after="0" w:afterAutospacing="off" w:line="300" w:lineRule="auto"/>
        <w:jc w:val="left"/>
        <w:rPr>
          <w:rFonts w:ascii="Times New Roman" w:hAnsi="Times New Roman" w:eastAsia="Times New Roman" w:cs="Times New Roman"/>
          <w:noProof w:val="0"/>
          <w:sz w:val="24"/>
          <w:szCs w:val="24"/>
          <w:lang w:val="en-GB"/>
        </w:rPr>
      </w:pPr>
      <w:r w:rsidRPr="006B5283" w:rsidR="7F3815BA">
        <w:rPr>
          <w:rFonts w:ascii="Times New Roman" w:hAnsi="Times New Roman" w:eastAsia="Times New Roman" w:cs="Times New Roman"/>
          <w:noProof w:val="0"/>
          <w:sz w:val="24"/>
          <w:szCs w:val="24"/>
          <w:lang w:val="en-GB"/>
        </w:rPr>
        <w:t xml:space="preserve">UK Legislation (n.d.). </w:t>
      </w:r>
      <w:r w:rsidRPr="006B5283" w:rsidR="7F3815BA">
        <w:rPr>
          <w:rFonts w:ascii="Times New Roman" w:hAnsi="Times New Roman" w:eastAsia="Times New Roman" w:cs="Times New Roman"/>
          <w:i w:val="1"/>
          <w:iCs w:val="1"/>
          <w:noProof w:val="0"/>
          <w:sz w:val="24"/>
          <w:szCs w:val="24"/>
          <w:lang w:val="en-GB"/>
        </w:rPr>
        <w:t>Legislation.gov.uk</w:t>
      </w:r>
      <w:r w:rsidRPr="006B5283" w:rsidR="7F3815BA">
        <w:rPr>
          <w:rFonts w:ascii="Times New Roman" w:hAnsi="Times New Roman" w:eastAsia="Times New Roman" w:cs="Times New Roman"/>
          <w:noProof w:val="0"/>
          <w:sz w:val="24"/>
          <w:szCs w:val="24"/>
          <w:lang w:val="en-GB"/>
        </w:rPr>
        <w:t xml:space="preserve">. [online] Legislation.gov.uk. Available at: </w:t>
      </w:r>
      <w:hyperlink r:id="R59e2e5df1fb941f3">
        <w:r w:rsidRPr="006B5283" w:rsidR="7F3815BA">
          <w:rPr>
            <w:rStyle w:val="Hyperlink"/>
            <w:rFonts w:ascii="Times New Roman" w:hAnsi="Times New Roman" w:eastAsia="Times New Roman" w:cs="Times New Roman"/>
            <w:noProof w:val="0"/>
            <w:sz w:val="24"/>
            <w:szCs w:val="24"/>
            <w:lang w:val="en-GB"/>
          </w:rPr>
          <w:t>https://www.legislation.gov.uk/</w:t>
        </w:r>
      </w:hyperlink>
      <w:r w:rsidRPr="006B5283" w:rsidR="7F3815BA">
        <w:rPr>
          <w:rFonts w:ascii="Times New Roman" w:hAnsi="Times New Roman" w:eastAsia="Times New Roman" w:cs="Times New Roman"/>
          <w:noProof w:val="0"/>
          <w:sz w:val="24"/>
          <w:szCs w:val="24"/>
          <w:lang w:val="en-GB"/>
        </w:rPr>
        <w:t>.</w:t>
      </w:r>
    </w:p>
    <w:p w:rsidR="14FF83A2" w:rsidP="006B5283" w:rsidRDefault="14FF83A2" w14:paraId="3A087C6E" w14:textId="0A02BD40">
      <w:pPr>
        <w:pStyle w:val="ListParagraph"/>
        <w:numPr>
          <w:ilvl w:val="0"/>
          <w:numId w:val="17"/>
        </w:numPr>
        <w:spacing w:before="0" w:beforeAutospacing="off" w:after="0" w:afterAutospacing="off" w:line="300" w:lineRule="auto"/>
        <w:jc w:val="left"/>
        <w:rPr>
          <w:rFonts w:ascii="Times New Roman" w:hAnsi="Times New Roman" w:eastAsia="Times New Roman" w:cs="Times New Roman"/>
          <w:noProof w:val="0"/>
          <w:sz w:val="24"/>
          <w:szCs w:val="24"/>
          <w:lang w:val="en-GB"/>
        </w:rPr>
      </w:pPr>
      <w:r w:rsidRPr="006B5283" w:rsidR="7F009CD3">
        <w:rPr>
          <w:rFonts w:ascii="Times New Roman" w:hAnsi="Times New Roman" w:eastAsia="Times New Roman" w:cs="Times New Roman"/>
          <w:noProof w:val="0"/>
          <w:sz w:val="24"/>
          <w:szCs w:val="24"/>
          <w:lang w:val="en-GB"/>
        </w:rPr>
        <w:t xml:space="preserve">Post Office (2016). </w:t>
      </w:r>
      <w:r w:rsidRPr="006B5283" w:rsidR="7F009CD3">
        <w:rPr>
          <w:rFonts w:ascii="Times New Roman" w:hAnsi="Times New Roman" w:eastAsia="Times New Roman" w:cs="Times New Roman"/>
          <w:i w:val="1"/>
          <w:iCs w:val="1"/>
          <w:noProof w:val="0"/>
          <w:sz w:val="24"/>
          <w:szCs w:val="24"/>
          <w:lang w:val="en-GB"/>
        </w:rPr>
        <w:t>Post Office</w:t>
      </w:r>
      <w:r w:rsidRPr="006B5283" w:rsidR="7F009CD3">
        <w:rPr>
          <w:rFonts w:ascii="Times New Roman" w:hAnsi="Times New Roman" w:eastAsia="Times New Roman" w:cs="Times New Roman"/>
          <w:noProof w:val="0"/>
          <w:sz w:val="24"/>
          <w:szCs w:val="24"/>
          <w:lang w:val="en-GB"/>
        </w:rPr>
        <w:t xml:space="preserve">. [online] Postoffice.co.uk. Available at: </w:t>
      </w:r>
      <w:hyperlink r:id="Rcc1219f412e64ab9">
        <w:r w:rsidRPr="006B5283" w:rsidR="7F009CD3">
          <w:rPr>
            <w:rStyle w:val="Hyperlink"/>
            <w:rFonts w:ascii="Times New Roman" w:hAnsi="Times New Roman" w:eastAsia="Times New Roman" w:cs="Times New Roman"/>
            <w:noProof w:val="0"/>
            <w:sz w:val="24"/>
            <w:szCs w:val="24"/>
            <w:lang w:val="en-GB"/>
          </w:rPr>
          <w:t>https://www.postoffice.co.uk/</w:t>
        </w:r>
      </w:hyperlink>
      <w:r w:rsidRPr="006B5283" w:rsidR="7F009CD3">
        <w:rPr>
          <w:rFonts w:ascii="Times New Roman" w:hAnsi="Times New Roman" w:eastAsia="Times New Roman" w:cs="Times New Roman"/>
          <w:noProof w:val="0"/>
          <w:sz w:val="24"/>
          <w:szCs w:val="24"/>
          <w:lang w:val="en-GB"/>
        </w:rPr>
        <w:t>.</w:t>
      </w:r>
    </w:p>
    <w:p w:rsidR="14FF83A2" w:rsidP="006B5283" w:rsidRDefault="14FF83A2" w14:paraId="2ECF5A21" w14:textId="21608C2A">
      <w:pPr>
        <w:pStyle w:val="ListParagraph"/>
        <w:numPr>
          <w:ilvl w:val="0"/>
          <w:numId w:val="17"/>
        </w:numPr>
        <w:spacing w:before="0" w:beforeAutospacing="off" w:after="0" w:afterAutospacing="off" w:line="300" w:lineRule="auto"/>
        <w:jc w:val="left"/>
        <w:rPr>
          <w:rFonts w:ascii="Times New Roman" w:hAnsi="Times New Roman" w:eastAsia="Times New Roman" w:cs="Times New Roman"/>
          <w:noProof w:val="0"/>
          <w:sz w:val="24"/>
          <w:szCs w:val="24"/>
          <w:lang w:val="en-GB"/>
        </w:rPr>
      </w:pPr>
      <w:r w:rsidRPr="006B5283" w:rsidR="2BC4138E">
        <w:rPr>
          <w:rFonts w:ascii="Times New Roman" w:hAnsi="Times New Roman" w:eastAsia="Times New Roman" w:cs="Times New Roman"/>
          <w:noProof w:val="0"/>
          <w:sz w:val="24"/>
          <w:szCs w:val="24"/>
          <w:lang w:val="en-GB"/>
        </w:rPr>
        <w:t xml:space="preserve">Anon, (n.d.). </w:t>
      </w:r>
      <w:r w:rsidRPr="006B5283" w:rsidR="2BC4138E">
        <w:rPr>
          <w:rFonts w:ascii="Times New Roman" w:hAnsi="Times New Roman" w:eastAsia="Times New Roman" w:cs="Times New Roman"/>
          <w:i w:val="1"/>
          <w:iCs w:val="1"/>
          <w:noProof w:val="0"/>
          <w:sz w:val="24"/>
          <w:szCs w:val="24"/>
          <w:lang w:val="en-GB"/>
        </w:rPr>
        <w:t>UKPOL.CO.UK – Political Speech Archive – Over 9,000 speeches on British Politics</w:t>
      </w:r>
      <w:r w:rsidRPr="006B5283" w:rsidR="2BC4138E">
        <w:rPr>
          <w:rFonts w:ascii="Times New Roman" w:hAnsi="Times New Roman" w:eastAsia="Times New Roman" w:cs="Times New Roman"/>
          <w:noProof w:val="0"/>
          <w:sz w:val="24"/>
          <w:szCs w:val="24"/>
          <w:lang w:val="en-GB"/>
        </w:rPr>
        <w:t xml:space="preserve">. [online] Available at: </w:t>
      </w:r>
      <w:hyperlink r:id="Rd383fe435adc4afb">
        <w:r w:rsidRPr="006B5283" w:rsidR="2BC4138E">
          <w:rPr>
            <w:rStyle w:val="Hyperlink"/>
            <w:rFonts w:ascii="Times New Roman" w:hAnsi="Times New Roman" w:eastAsia="Times New Roman" w:cs="Times New Roman"/>
            <w:noProof w:val="0"/>
            <w:sz w:val="24"/>
            <w:szCs w:val="24"/>
            <w:lang w:val="en-GB"/>
          </w:rPr>
          <w:t>https://www.ukpol.co.uk/</w:t>
        </w:r>
      </w:hyperlink>
      <w:r w:rsidRPr="006B5283" w:rsidR="2BC4138E">
        <w:rPr>
          <w:rFonts w:ascii="Times New Roman" w:hAnsi="Times New Roman" w:eastAsia="Times New Roman" w:cs="Times New Roman"/>
          <w:noProof w:val="0"/>
          <w:sz w:val="24"/>
          <w:szCs w:val="24"/>
          <w:lang w:val="en-GB"/>
        </w:rPr>
        <w:t>.</w:t>
      </w:r>
    </w:p>
    <w:p w:rsidR="14FF83A2" w:rsidP="006B5283" w:rsidRDefault="14FF83A2" w14:paraId="66842B18" w14:textId="5B96D966">
      <w:pPr>
        <w:pStyle w:val="Normal"/>
        <w:spacing w:before="0" w:beforeAutospacing="off" w:after="0" w:afterAutospacing="off" w:line="300" w:lineRule="auto"/>
        <w:jc w:val="left"/>
        <w:rPr>
          <w:rFonts w:ascii="Segoe UI" w:hAnsi="Segoe UI" w:eastAsia="Segoe UI" w:cs="Segoe UI"/>
          <w:b w:val="0"/>
          <w:bCs w:val="0"/>
          <w:i w:val="0"/>
          <w:iCs w:val="0"/>
          <w:strike w:val="0"/>
          <w:dstrike w:val="0"/>
          <w:noProof w:val="0"/>
          <w:color w:val="464FEB"/>
          <w:sz w:val="21"/>
          <w:szCs w:val="21"/>
          <w:u w:val="none"/>
          <w:lang w:val="en-GB"/>
        </w:rPr>
      </w:pPr>
    </w:p>
    <w:p w:rsidR="14FF83A2" w:rsidP="006B5283" w:rsidRDefault="14FF83A2" w14:paraId="1DFF317F" w14:textId="36F658D5">
      <w:pPr>
        <w:pStyle w:val="ListParagraph"/>
        <w:numPr>
          <w:ilvl w:val="0"/>
          <w:numId w:val="17"/>
        </w:numPr>
        <w:spacing w:before="0" w:beforeAutospacing="off" w:after="0" w:afterAutospacing="off" w:line="300" w:lineRule="auto"/>
        <w:jc w:val="left"/>
        <w:rPr>
          <w:rFonts w:ascii="Segoe UI" w:hAnsi="Segoe UI" w:eastAsia="Segoe UI" w:cs="Segoe UI"/>
          <w:b w:val="0"/>
          <w:bCs w:val="0"/>
          <w:i w:val="0"/>
          <w:iCs w:val="0"/>
          <w:strike w:val="0"/>
          <w:dstrike w:val="0"/>
          <w:noProof w:val="0"/>
          <w:color w:val="464FEB"/>
          <w:sz w:val="21"/>
          <w:szCs w:val="21"/>
          <w:u w:val="none"/>
          <w:lang w:val="en-GB"/>
        </w:rPr>
      </w:pPr>
      <w:r w:rsidRPr="006B5283" w:rsidR="37532B82">
        <w:rPr>
          <w:rFonts w:ascii="Times New Roman" w:hAnsi="Times New Roman" w:eastAsia="Times New Roman" w:cs="Times New Roman"/>
          <w:noProof w:val="0"/>
          <w:sz w:val="24"/>
          <w:szCs w:val="24"/>
          <w:lang w:val="en-GB"/>
        </w:rPr>
        <w:t xml:space="preserve">Post Office Horizon IT Inquiry. (2025). </w:t>
      </w:r>
      <w:r w:rsidRPr="006B5283" w:rsidR="37532B82">
        <w:rPr>
          <w:rFonts w:ascii="Times New Roman" w:hAnsi="Times New Roman" w:eastAsia="Times New Roman" w:cs="Times New Roman"/>
          <w:i w:val="1"/>
          <w:iCs w:val="1"/>
          <w:noProof w:val="0"/>
          <w:sz w:val="24"/>
          <w:szCs w:val="24"/>
          <w:lang w:val="en-GB"/>
        </w:rPr>
        <w:t>Homepage</w:t>
      </w:r>
      <w:r w:rsidRPr="006B5283" w:rsidR="37532B82">
        <w:rPr>
          <w:rFonts w:ascii="Times New Roman" w:hAnsi="Times New Roman" w:eastAsia="Times New Roman" w:cs="Times New Roman"/>
          <w:noProof w:val="0"/>
          <w:sz w:val="24"/>
          <w:szCs w:val="24"/>
          <w:lang w:val="en-GB"/>
        </w:rPr>
        <w:t xml:space="preserve">. [online] Available at: </w:t>
      </w:r>
      <w:hyperlink r:id="R387e1e943bbc44ea">
        <w:r w:rsidRPr="006B5283" w:rsidR="37532B82">
          <w:rPr>
            <w:rStyle w:val="Hyperlink"/>
            <w:rFonts w:ascii="Times New Roman" w:hAnsi="Times New Roman" w:eastAsia="Times New Roman" w:cs="Times New Roman"/>
            <w:noProof w:val="0"/>
            <w:sz w:val="24"/>
            <w:szCs w:val="24"/>
            <w:lang w:val="en-GB"/>
          </w:rPr>
          <w:t>https://www.postofficehorizoninquiry.org.uk/</w:t>
        </w:r>
      </w:hyperlink>
      <w:r w:rsidRPr="006B5283" w:rsidR="37532B82">
        <w:rPr>
          <w:rFonts w:ascii="Times New Roman" w:hAnsi="Times New Roman" w:eastAsia="Times New Roman" w:cs="Times New Roman"/>
          <w:noProof w:val="0"/>
          <w:sz w:val="24"/>
          <w:szCs w:val="24"/>
          <w:lang w:val="en-GB"/>
        </w:rPr>
        <w:t>.</w:t>
      </w:r>
    </w:p>
    <w:p w:rsidR="14FF83A2" w:rsidP="006B5283" w:rsidRDefault="14FF83A2" w14:paraId="015A5DCB" w14:textId="04D5AEBD">
      <w:pPr>
        <w:pStyle w:val="ListParagraph"/>
        <w:numPr>
          <w:ilvl w:val="0"/>
          <w:numId w:val="17"/>
        </w:numPr>
        <w:spacing w:before="0" w:beforeAutospacing="off" w:after="0" w:afterAutospacing="off" w:line="300" w:lineRule="auto"/>
        <w:jc w:val="left"/>
        <w:rPr>
          <w:rFonts w:ascii="Segoe UI" w:hAnsi="Segoe UI" w:eastAsia="Segoe UI" w:cs="Segoe UI"/>
          <w:b w:val="0"/>
          <w:bCs w:val="0"/>
          <w:i w:val="0"/>
          <w:iCs w:val="0"/>
          <w:strike w:val="0"/>
          <w:dstrike w:val="0"/>
          <w:noProof w:val="0"/>
          <w:color w:val="464FEB"/>
          <w:sz w:val="21"/>
          <w:szCs w:val="21"/>
          <w:u w:val="none"/>
          <w:lang w:val="en-GB"/>
        </w:rPr>
      </w:pPr>
      <w:r w:rsidRPr="006B5283" w:rsidR="003ADA17">
        <w:rPr>
          <w:rFonts w:ascii="Times New Roman" w:hAnsi="Times New Roman" w:eastAsia="Times New Roman" w:cs="Times New Roman"/>
          <w:noProof w:val="0"/>
          <w:sz w:val="24"/>
          <w:szCs w:val="24"/>
          <w:lang w:val="en-GB"/>
        </w:rPr>
        <w:t xml:space="preserve">Parliament.uk. (2024). </w:t>
      </w:r>
      <w:r w:rsidRPr="006B5283" w:rsidR="003ADA17">
        <w:rPr>
          <w:rFonts w:ascii="Times New Roman" w:hAnsi="Times New Roman" w:eastAsia="Times New Roman" w:cs="Times New Roman"/>
          <w:i w:val="1"/>
          <w:iCs w:val="1"/>
          <w:noProof w:val="0"/>
          <w:sz w:val="24"/>
          <w:szCs w:val="24"/>
          <w:lang w:val="en-GB"/>
        </w:rPr>
        <w:t>Post Office Horizon scandal redress: Unfinished business: Government response</w:t>
      </w:r>
      <w:r w:rsidRPr="006B5283" w:rsidR="003ADA17">
        <w:rPr>
          <w:rFonts w:ascii="Times New Roman" w:hAnsi="Times New Roman" w:eastAsia="Times New Roman" w:cs="Times New Roman"/>
          <w:noProof w:val="0"/>
          <w:sz w:val="24"/>
          <w:szCs w:val="24"/>
          <w:lang w:val="en-GB"/>
        </w:rPr>
        <w:t xml:space="preserve">. [online] Available at: </w:t>
      </w:r>
      <w:hyperlink r:id="R6dc73eb8df884700">
        <w:r w:rsidRPr="006B5283" w:rsidR="003ADA17">
          <w:rPr>
            <w:rStyle w:val="Hyperlink"/>
            <w:rFonts w:ascii="Times New Roman" w:hAnsi="Times New Roman" w:eastAsia="Times New Roman" w:cs="Times New Roman"/>
            <w:noProof w:val="0"/>
            <w:sz w:val="24"/>
            <w:szCs w:val="24"/>
            <w:lang w:val="en-GB"/>
          </w:rPr>
          <w:t>https://publications.parliament.uk/pa/cm5901/cmselect/cmbeis/969/report.html</w:t>
        </w:r>
      </w:hyperlink>
      <w:r w:rsidRPr="006B5283" w:rsidR="003ADA17">
        <w:rPr>
          <w:rFonts w:ascii="Times New Roman" w:hAnsi="Times New Roman" w:eastAsia="Times New Roman" w:cs="Times New Roman"/>
          <w:noProof w:val="0"/>
          <w:sz w:val="24"/>
          <w:szCs w:val="24"/>
          <w:lang w:val="en-GB"/>
        </w:rPr>
        <w:t>.</w:t>
      </w:r>
    </w:p>
    <w:p w:rsidR="14FF83A2" w:rsidP="006B5283" w:rsidRDefault="14FF83A2" w14:paraId="75C85ECF" w14:textId="52ECB254">
      <w:pPr>
        <w:pStyle w:val="Normal"/>
        <w:spacing w:before="0" w:beforeAutospacing="off" w:after="0" w:afterAutospacing="off" w:line="300" w:lineRule="auto"/>
        <w:jc w:val="left"/>
        <w:rPr>
          <w:rFonts w:ascii="Segoe UI" w:hAnsi="Segoe UI" w:eastAsia="Segoe UI" w:cs="Segoe UI"/>
          <w:b w:val="0"/>
          <w:bCs w:val="0"/>
          <w:i w:val="0"/>
          <w:iCs w:val="0"/>
          <w:strike w:val="0"/>
          <w:dstrike w:val="0"/>
          <w:noProof w:val="0"/>
          <w:color w:val="464FEB"/>
          <w:sz w:val="21"/>
          <w:szCs w:val="21"/>
          <w:u w:val="none"/>
          <w:lang w:val="en-GB"/>
        </w:rPr>
      </w:pPr>
    </w:p>
    <w:p w:rsidR="14FF83A2" w:rsidP="006B5283" w:rsidRDefault="14FF83A2" w14:paraId="48651FBF" w14:textId="3E1BB2BB">
      <w:pPr>
        <w:pStyle w:val="ListParagraph"/>
        <w:numPr>
          <w:ilvl w:val="0"/>
          <w:numId w:val="18"/>
        </w:numPr>
        <w:spacing w:before="0" w:beforeAutospacing="off" w:after="0" w:afterAutospacing="off" w:line="300" w:lineRule="auto"/>
        <w:jc w:val="left"/>
        <w:rPr>
          <w:rFonts w:ascii="Segoe UI" w:hAnsi="Segoe UI" w:eastAsia="Segoe UI" w:cs="Segoe UI"/>
          <w:b w:val="0"/>
          <w:bCs w:val="0"/>
          <w:i w:val="0"/>
          <w:iCs w:val="0"/>
          <w:strike w:val="0"/>
          <w:dstrike w:val="0"/>
          <w:noProof w:val="0"/>
          <w:color w:val="464FEB"/>
          <w:sz w:val="21"/>
          <w:szCs w:val="21"/>
          <w:u w:val="none"/>
          <w:lang w:val="en-GB"/>
        </w:rPr>
      </w:pPr>
      <w:r w:rsidRPr="006B5283" w:rsidR="5AC2C468">
        <w:rPr>
          <w:rFonts w:ascii="Times New Roman" w:hAnsi="Times New Roman" w:eastAsia="Times New Roman" w:cs="Times New Roman"/>
          <w:noProof w:val="0"/>
          <w:sz w:val="24"/>
          <w:szCs w:val="24"/>
          <w:lang w:val="en-GB"/>
        </w:rPr>
        <w:t xml:space="preserve">Clark, L. (2025). </w:t>
      </w:r>
      <w:r w:rsidRPr="006B5283" w:rsidR="5AC2C468">
        <w:rPr>
          <w:rFonts w:ascii="Times New Roman" w:hAnsi="Times New Roman" w:eastAsia="Times New Roman" w:cs="Times New Roman"/>
          <w:i w:val="1"/>
          <w:iCs w:val="1"/>
          <w:noProof w:val="0"/>
          <w:sz w:val="24"/>
          <w:szCs w:val="24"/>
          <w:lang w:val="en-GB"/>
        </w:rPr>
        <w:t>Post Office finally throttles delayed in-house EPOS project</w:t>
      </w:r>
      <w:r w:rsidRPr="006B5283" w:rsidR="5AC2C468">
        <w:rPr>
          <w:rFonts w:ascii="Times New Roman" w:hAnsi="Times New Roman" w:eastAsia="Times New Roman" w:cs="Times New Roman"/>
          <w:noProof w:val="0"/>
          <w:sz w:val="24"/>
          <w:szCs w:val="24"/>
          <w:lang w:val="en-GB"/>
        </w:rPr>
        <w:t xml:space="preserve">. [online] Theregister.com. Available at: </w:t>
      </w:r>
      <w:hyperlink r:id="R16698229b5f64f94">
        <w:r w:rsidRPr="006B5283" w:rsidR="5AC2C468">
          <w:rPr>
            <w:rStyle w:val="Hyperlink"/>
            <w:rFonts w:ascii="Times New Roman" w:hAnsi="Times New Roman" w:eastAsia="Times New Roman" w:cs="Times New Roman"/>
            <w:noProof w:val="0"/>
            <w:sz w:val="24"/>
            <w:szCs w:val="24"/>
            <w:lang w:val="en-GB"/>
          </w:rPr>
          <w:t>https://www.theregister.com/2025/05/14/post_office_horizon_support/</w:t>
        </w:r>
      </w:hyperlink>
      <w:r w:rsidRPr="006B5283" w:rsidR="5AC2C468">
        <w:rPr>
          <w:rFonts w:ascii="Times New Roman" w:hAnsi="Times New Roman" w:eastAsia="Times New Roman" w:cs="Times New Roman"/>
          <w:noProof w:val="0"/>
          <w:sz w:val="24"/>
          <w:szCs w:val="24"/>
          <w:lang w:val="en-GB"/>
        </w:rPr>
        <w:t>.</w:t>
      </w:r>
    </w:p>
    <w:p w:rsidR="14FF83A2" w:rsidP="006B5283" w:rsidRDefault="14FF83A2" w14:paraId="2BD658F8" w14:textId="3864D5FB">
      <w:pPr>
        <w:pStyle w:val="Normal"/>
        <w:spacing w:before="0" w:beforeAutospacing="off" w:after="0" w:afterAutospacing="off" w:line="300" w:lineRule="auto"/>
        <w:jc w:val="left"/>
        <w:rPr>
          <w:rFonts w:ascii="Segoe UI" w:hAnsi="Segoe UI" w:eastAsia="Segoe UI" w:cs="Segoe UI"/>
          <w:b w:val="0"/>
          <w:bCs w:val="0"/>
          <w:i w:val="0"/>
          <w:iCs w:val="0"/>
          <w:strike w:val="0"/>
          <w:dstrike w:val="0"/>
          <w:noProof w:val="0"/>
          <w:color w:val="464FEB"/>
          <w:sz w:val="21"/>
          <w:szCs w:val="21"/>
          <w:u w:val="none"/>
          <w:lang w:val="en-GB"/>
        </w:rPr>
      </w:pPr>
    </w:p>
    <w:p w:rsidR="14FF83A2" w:rsidP="006B5283" w:rsidRDefault="14FF83A2" w14:paraId="4CF04626" w14:textId="6362C275">
      <w:pPr>
        <w:pStyle w:val="ListParagraph"/>
        <w:numPr>
          <w:ilvl w:val="0"/>
          <w:numId w:val="18"/>
        </w:numPr>
        <w:spacing w:before="0" w:beforeAutospacing="off" w:after="0" w:afterAutospacing="off" w:line="300" w:lineRule="auto"/>
        <w:jc w:val="left"/>
        <w:rPr>
          <w:rFonts w:ascii="Segoe UI" w:hAnsi="Segoe UI" w:eastAsia="Segoe UI" w:cs="Segoe UI"/>
          <w:b w:val="0"/>
          <w:bCs w:val="0"/>
          <w:i w:val="0"/>
          <w:iCs w:val="0"/>
          <w:strike w:val="0"/>
          <w:dstrike w:val="0"/>
          <w:noProof w:val="0"/>
          <w:color w:val="464FEB"/>
          <w:sz w:val="21"/>
          <w:szCs w:val="21"/>
          <w:u w:val="none"/>
          <w:lang w:val="en-GB"/>
        </w:rPr>
      </w:pPr>
      <w:r w:rsidRPr="006B5283" w:rsidR="34FB739F">
        <w:rPr>
          <w:rFonts w:ascii="Times New Roman" w:hAnsi="Times New Roman" w:eastAsia="Times New Roman" w:cs="Times New Roman"/>
          <w:noProof w:val="0"/>
          <w:sz w:val="24"/>
          <w:szCs w:val="24"/>
          <w:lang w:val="en-GB"/>
        </w:rPr>
        <w:t xml:space="preserve">Sweney, M. (2026). </w:t>
      </w:r>
      <w:r w:rsidRPr="006B5283" w:rsidR="34FB739F">
        <w:rPr>
          <w:rFonts w:ascii="Times New Roman" w:hAnsi="Times New Roman" w:eastAsia="Times New Roman" w:cs="Times New Roman"/>
          <w:i w:val="1"/>
          <w:iCs w:val="1"/>
          <w:noProof w:val="0"/>
          <w:sz w:val="24"/>
          <w:szCs w:val="24"/>
          <w:lang w:val="en-GB"/>
        </w:rPr>
        <w:t>Thousands may lose out as Post Office closes main Horizon compensation scheme</w:t>
      </w:r>
      <w:r w:rsidRPr="006B5283" w:rsidR="34FB739F">
        <w:rPr>
          <w:rFonts w:ascii="Times New Roman" w:hAnsi="Times New Roman" w:eastAsia="Times New Roman" w:cs="Times New Roman"/>
          <w:noProof w:val="0"/>
          <w:sz w:val="24"/>
          <w:szCs w:val="24"/>
          <w:lang w:val="en-GB"/>
        </w:rPr>
        <w:t xml:space="preserve">. [online] the Guardian. Available at: </w:t>
      </w:r>
      <w:hyperlink r:id="R57afeb81e75e440e">
        <w:r w:rsidRPr="006B5283" w:rsidR="34FB739F">
          <w:rPr>
            <w:rStyle w:val="Hyperlink"/>
            <w:rFonts w:ascii="Times New Roman" w:hAnsi="Times New Roman" w:eastAsia="Times New Roman" w:cs="Times New Roman"/>
            <w:noProof w:val="0"/>
            <w:sz w:val="24"/>
            <w:szCs w:val="24"/>
            <w:lang w:val="en-GB"/>
          </w:rPr>
          <w:t>https://www.theguardian.com/uk-news/2026/jan/31/post-office-workers-horizon-compensation-scheme-deadline</w:t>
        </w:r>
      </w:hyperlink>
      <w:r w:rsidRPr="006B5283" w:rsidR="34FB739F">
        <w:rPr>
          <w:rFonts w:ascii="Times New Roman" w:hAnsi="Times New Roman" w:eastAsia="Times New Roman" w:cs="Times New Roman"/>
          <w:noProof w:val="0"/>
          <w:sz w:val="24"/>
          <w:szCs w:val="24"/>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0">
    <w:nsid w:val="4ec288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bca38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9a3b4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75fdf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e260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a9298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ff623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8207b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a787b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ba650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a53ab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60183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e0ae4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c0507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da83a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c82ac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33d3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571ad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ea5cf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cce41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09605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ea72c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d7851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5b059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6a822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4183e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7bffd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18caa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179f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c591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D19728"/>
    <w:rsid w:val="003864DE"/>
    <w:rsid w:val="003ADA17"/>
    <w:rsid w:val="006B5283"/>
    <w:rsid w:val="009D3D46"/>
    <w:rsid w:val="013066A1"/>
    <w:rsid w:val="01891CB7"/>
    <w:rsid w:val="019BDA51"/>
    <w:rsid w:val="01EA9D0C"/>
    <w:rsid w:val="0217B4D4"/>
    <w:rsid w:val="0355F748"/>
    <w:rsid w:val="0434EE73"/>
    <w:rsid w:val="0701B4A2"/>
    <w:rsid w:val="0704782B"/>
    <w:rsid w:val="076FEC4F"/>
    <w:rsid w:val="078F86D6"/>
    <w:rsid w:val="07EBDB76"/>
    <w:rsid w:val="080E982E"/>
    <w:rsid w:val="08468FB2"/>
    <w:rsid w:val="08C10834"/>
    <w:rsid w:val="094E17F5"/>
    <w:rsid w:val="09521083"/>
    <w:rsid w:val="0991CE43"/>
    <w:rsid w:val="09A7EA66"/>
    <w:rsid w:val="09E03130"/>
    <w:rsid w:val="0A0110B4"/>
    <w:rsid w:val="0A8F0364"/>
    <w:rsid w:val="0A9F1275"/>
    <w:rsid w:val="0D180343"/>
    <w:rsid w:val="0D990E97"/>
    <w:rsid w:val="0DF192AF"/>
    <w:rsid w:val="0E58E5C7"/>
    <w:rsid w:val="0F0E2C1C"/>
    <w:rsid w:val="10FEDF1D"/>
    <w:rsid w:val="112076C3"/>
    <w:rsid w:val="13170350"/>
    <w:rsid w:val="132ED9E3"/>
    <w:rsid w:val="13674C85"/>
    <w:rsid w:val="13C6BD89"/>
    <w:rsid w:val="14FF83A2"/>
    <w:rsid w:val="150A4623"/>
    <w:rsid w:val="150C2470"/>
    <w:rsid w:val="15232567"/>
    <w:rsid w:val="162F6019"/>
    <w:rsid w:val="168FF428"/>
    <w:rsid w:val="16CB48C7"/>
    <w:rsid w:val="17643899"/>
    <w:rsid w:val="18B9EAB8"/>
    <w:rsid w:val="18E0CB9F"/>
    <w:rsid w:val="192FC34D"/>
    <w:rsid w:val="19ECE7BC"/>
    <w:rsid w:val="1A15E1B5"/>
    <w:rsid w:val="1A2AC8F7"/>
    <w:rsid w:val="1A52A6FE"/>
    <w:rsid w:val="1B07449C"/>
    <w:rsid w:val="1BA2738F"/>
    <w:rsid w:val="1C7EE1CE"/>
    <w:rsid w:val="1CBFA750"/>
    <w:rsid w:val="1D546CB8"/>
    <w:rsid w:val="1DA49644"/>
    <w:rsid w:val="1DBEB92A"/>
    <w:rsid w:val="1DE48F9C"/>
    <w:rsid w:val="1E26360E"/>
    <w:rsid w:val="1E28DEE4"/>
    <w:rsid w:val="1E9ED730"/>
    <w:rsid w:val="1FE37019"/>
    <w:rsid w:val="2026C3A1"/>
    <w:rsid w:val="2154CEF1"/>
    <w:rsid w:val="21DCEAB6"/>
    <w:rsid w:val="23160E53"/>
    <w:rsid w:val="23804C55"/>
    <w:rsid w:val="27DA7502"/>
    <w:rsid w:val="28446599"/>
    <w:rsid w:val="2899BB40"/>
    <w:rsid w:val="28A9AD76"/>
    <w:rsid w:val="29694D0C"/>
    <w:rsid w:val="2A4C0978"/>
    <w:rsid w:val="2A4F6A8B"/>
    <w:rsid w:val="2A8AB339"/>
    <w:rsid w:val="2AAE56D0"/>
    <w:rsid w:val="2BC4138E"/>
    <w:rsid w:val="2BDEDDA0"/>
    <w:rsid w:val="2C11DDE2"/>
    <w:rsid w:val="2C9CC6C0"/>
    <w:rsid w:val="2CA8E1DB"/>
    <w:rsid w:val="2D1659EC"/>
    <w:rsid w:val="2D40D0AB"/>
    <w:rsid w:val="2D628496"/>
    <w:rsid w:val="2DE379DC"/>
    <w:rsid w:val="2EF73E49"/>
    <w:rsid w:val="2F22F86C"/>
    <w:rsid w:val="2FA8362E"/>
    <w:rsid w:val="2FE07571"/>
    <w:rsid w:val="30861D1D"/>
    <w:rsid w:val="30B4D521"/>
    <w:rsid w:val="3158F9D8"/>
    <w:rsid w:val="3207B13F"/>
    <w:rsid w:val="325B1FB0"/>
    <w:rsid w:val="329FFCA9"/>
    <w:rsid w:val="32A72443"/>
    <w:rsid w:val="33173C31"/>
    <w:rsid w:val="335977AB"/>
    <w:rsid w:val="33992965"/>
    <w:rsid w:val="3436CB4F"/>
    <w:rsid w:val="34DF0682"/>
    <w:rsid w:val="34FB739F"/>
    <w:rsid w:val="3573EA4F"/>
    <w:rsid w:val="35CD521A"/>
    <w:rsid w:val="363E02D8"/>
    <w:rsid w:val="37532B82"/>
    <w:rsid w:val="37A7C721"/>
    <w:rsid w:val="37CCB73D"/>
    <w:rsid w:val="38545874"/>
    <w:rsid w:val="386824F0"/>
    <w:rsid w:val="39722092"/>
    <w:rsid w:val="397777E0"/>
    <w:rsid w:val="3A0DE8D7"/>
    <w:rsid w:val="3A2EBAE2"/>
    <w:rsid w:val="3A731BC7"/>
    <w:rsid w:val="3AA115ED"/>
    <w:rsid w:val="3AE9DB5C"/>
    <w:rsid w:val="3BA2E4A5"/>
    <w:rsid w:val="3C30EA79"/>
    <w:rsid w:val="3C59C06C"/>
    <w:rsid w:val="3DB3532A"/>
    <w:rsid w:val="3E03C1F2"/>
    <w:rsid w:val="4017C5D8"/>
    <w:rsid w:val="403605FD"/>
    <w:rsid w:val="4056FC93"/>
    <w:rsid w:val="4097DA2B"/>
    <w:rsid w:val="412A9CCE"/>
    <w:rsid w:val="41769633"/>
    <w:rsid w:val="417C52F4"/>
    <w:rsid w:val="41C47903"/>
    <w:rsid w:val="428B3028"/>
    <w:rsid w:val="42A65CE6"/>
    <w:rsid w:val="42AA9D7F"/>
    <w:rsid w:val="42F07B92"/>
    <w:rsid w:val="42FEF756"/>
    <w:rsid w:val="445BBC9B"/>
    <w:rsid w:val="447E6974"/>
    <w:rsid w:val="44B0514F"/>
    <w:rsid w:val="44C17EC9"/>
    <w:rsid w:val="44C91726"/>
    <w:rsid w:val="45624EC3"/>
    <w:rsid w:val="45B7850D"/>
    <w:rsid w:val="46934C3E"/>
    <w:rsid w:val="4A9A78D1"/>
    <w:rsid w:val="4C5905B5"/>
    <w:rsid w:val="4C9DEE36"/>
    <w:rsid w:val="4CA4A1D1"/>
    <w:rsid w:val="4D79179F"/>
    <w:rsid w:val="4DAA9936"/>
    <w:rsid w:val="4DB7E99F"/>
    <w:rsid w:val="4E481101"/>
    <w:rsid w:val="4ED98903"/>
    <w:rsid w:val="4F1C05A4"/>
    <w:rsid w:val="4F4DE33C"/>
    <w:rsid w:val="4F7F7D39"/>
    <w:rsid w:val="4F9DF19D"/>
    <w:rsid w:val="4FE0FE3D"/>
    <w:rsid w:val="5074E192"/>
    <w:rsid w:val="5113271F"/>
    <w:rsid w:val="511962B8"/>
    <w:rsid w:val="51FDE69A"/>
    <w:rsid w:val="523138EB"/>
    <w:rsid w:val="52A5D8F6"/>
    <w:rsid w:val="53131655"/>
    <w:rsid w:val="53203510"/>
    <w:rsid w:val="53ABA97A"/>
    <w:rsid w:val="54182F8E"/>
    <w:rsid w:val="54325371"/>
    <w:rsid w:val="54A9E310"/>
    <w:rsid w:val="54E6C4B5"/>
    <w:rsid w:val="55539F6A"/>
    <w:rsid w:val="565A8860"/>
    <w:rsid w:val="5690A965"/>
    <w:rsid w:val="574BD649"/>
    <w:rsid w:val="5775CDDD"/>
    <w:rsid w:val="57CEBEAD"/>
    <w:rsid w:val="57FA62A9"/>
    <w:rsid w:val="597506E5"/>
    <w:rsid w:val="59D2E735"/>
    <w:rsid w:val="5A51539E"/>
    <w:rsid w:val="5A8B1B84"/>
    <w:rsid w:val="5AC2C468"/>
    <w:rsid w:val="5B7F7DAE"/>
    <w:rsid w:val="5BE02A2E"/>
    <w:rsid w:val="5C0728B3"/>
    <w:rsid w:val="5C56F4CA"/>
    <w:rsid w:val="5CE24E5E"/>
    <w:rsid w:val="5DB22B93"/>
    <w:rsid w:val="5E3788BF"/>
    <w:rsid w:val="5E7A26DC"/>
    <w:rsid w:val="5EB15F5E"/>
    <w:rsid w:val="5F3DA989"/>
    <w:rsid w:val="5F75D6D2"/>
    <w:rsid w:val="5FC227B8"/>
    <w:rsid w:val="5FEE33B9"/>
    <w:rsid w:val="5FF043BF"/>
    <w:rsid w:val="60968502"/>
    <w:rsid w:val="60E40E24"/>
    <w:rsid w:val="619F3DD7"/>
    <w:rsid w:val="620141B0"/>
    <w:rsid w:val="623C380E"/>
    <w:rsid w:val="633D1AF8"/>
    <w:rsid w:val="635510EB"/>
    <w:rsid w:val="63D19728"/>
    <w:rsid w:val="642D60EC"/>
    <w:rsid w:val="645765E9"/>
    <w:rsid w:val="65206465"/>
    <w:rsid w:val="6536B374"/>
    <w:rsid w:val="67E64C8E"/>
    <w:rsid w:val="68176BB0"/>
    <w:rsid w:val="6821BEAA"/>
    <w:rsid w:val="68267249"/>
    <w:rsid w:val="68C835B8"/>
    <w:rsid w:val="693A8D9C"/>
    <w:rsid w:val="6965FF45"/>
    <w:rsid w:val="6B7A76C0"/>
    <w:rsid w:val="6BE0BB1A"/>
    <w:rsid w:val="6BFB6C6B"/>
    <w:rsid w:val="6C65218E"/>
    <w:rsid w:val="6CB80FD0"/>
    <w:rsid w:val="6CB80FD0"/>
    <w:rsid w:val="6D26AC52"/>
    <w:rsid w:val="6D6BF6BC"/>
    <w:rsid w:val="6EB03F88"/>
    <w:rsid w:val="6EE2CCED"/>
    <w:rsid w:val="6EEE7D1E"/>
    <w:rsid w:val="6F50D336"/>
    <w:rsid w:val="6F5F95EB"/>
    <w:rsid w:val="6F945184"/>
    <w:rsid w:val="7049C071"/>
    <w:rsid w:val="70938995"/>
    <w:rsid w:val="70BD9BEE"/>
    <w:rsid w:val="711069C6"/>
    <w:rsid w:val="7135344F"/>
    <w:rsid w:val="72963241"/>
    <w:rsid w:val="73201903"/>
    <w:rsid w:val="732BC7A6"/>
    <w:rsid w:val="737069C7"/>
    <w:rsid w:val="738C2DFB"/>
    <w:rsid w:val="7440C161"/>
    <w:rsid w:val="7530AD24"/>
    <w:rsid w:val="756FF2AB"/>
    <w:rsid w:val="77B77418"/>
    <w:rsid w:val="77EE52C3"/>
    <w:rsid w:val="77F7442C"/>
    <w:rsid w:val="786C7893"/>
    <w:rsid w:val="7A3B6588"/>
    <w:rsid w:val="7A75ECEC"/>
    <w:rsid w:val="7A998663"/>
    <w:rsid w:val="7B71E1E9"/>
    <w:rsid w:val="7BFE3D7B"/>
    <w:rsid w:val="7C1EBE44"/>
    <w:rsid w:val="7C261F7A"/>
    <w:rsid w:val="7C459FE9"/>
    <w:rsid w:val="7C4E40A0"/>
    <w:rsid w:val="7C711C7A"/>
    <w:rsid w:val="7CB9089D"/>
    <w:rsid w:val="7F009CD3"/>
    <w:rsid w:val="7F3815BA"/>
    <w:rsid w:val="7F55A637"/>
    <w:rsid w:val="7F84416D"/>
    <w:rsid w:val="7F8DACC6"/>
    <w:rsid w:val="7FCCA9A4"/>
    <w:rsid w:val="7FD20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19728"/>
  <w15:chartTrackingRefBased/>
  <w15:docId w15:val="{5127052F-BF1E-4045-984A-D49DD63404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899BB40"/>
    <w:pPr>
      <w:spacing/>
      <w:ind w:left="720"/>
      <w:contextualSpacing/>
    </w:pPr>
  </w:style>
  <w:style w:type="paragraph" w:styleId="Heading2">
    <w:uiPriority w:val="9"/>
    <w:name w:val="heading 2"/>
    <w:basedOn w:val="Normal"/>
    <w:next w:val="Normal"/>
    <w:unhideWhenUsed/>
    <w:qFormat/>
    <w:rsid w:val="14FF83A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4FF83A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4FF83A2"/>
    <w:rPr>
      <w:color w:val="467886"/>
      <w:u w:val="single"/>
    </w:rPr>
  </w:style>
  <w:style w:type="paragraph" w:styleId="Heading1">
    <w:uiPriority w:val="9"/>
    <w:name w:val="heading 1"/>
    <w:basedOn w:val="Normal"/>
    <w:next w:val="Normal"/>
    <w:qFormat/>
    <w:rsid w:val="14FF83A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4fe0e5c07de4448" /><Relationship Type="http://schemas.openxmlformats.org/officeDocument/2006/relationships/hyperlink" Target="https://www.gov.uk/government/publications/government-response-to-the-post-office-horizon-it-inquiry-report-volume-1" TargetMode="External" Id="Rd022fe41eb1e4586" /><Relationship Type="http://schemas.openxmlformats.org/officeDocument/2006/relationships/hyperlink" Target="https://www.legislation.gov.uk/" TargetMode="External" Id="R59e2e5df1fb941f3" /><Relationship Type="http://schemas.openxmlformats.org/officeDocument/2006/relationships/hyperlink" Target="https://www.postoffice.co.uk/" TargetMode="External" Id="Rcc1219f412e64ab9" /><Relationship Type="http://schemas.openxmlformats.org/officeDocument/2006/relationships/hyperlink" Target="https://www.ukpol.co.uk/" TargetMode="External" Id="Rd383fe435adc4afb" /><Relationship Type="http://schemas.openxmlformats.org/officeDocument/2006/relationships/hyperlink" Target="https://www.postofficehorizoninquiry.org.uk/" TargetMode="External" Id="R387e1e943bbc44ea" /><Relationship Type="http://schemas.openxmlformats.org/officeDocument/2006/relationships/hyperlink" Target="https://publications.parliament.uk/pa/cm5901/cmselect/cmbeis/969/report.html" TargetMode="External" Id="R6dc73eb8df884700" /><Relationship Type="http://schemas.openxmlformats.org/officeDocument/2006/relationships/hyperlink" Target="https://www.theregister.com/2025/05/14/post_office_horizon_support/" TargetMode="External" Id="R16698229b5f64f94" /><Relationship Type="http://schemas.openxmlformats.org/officeDocument/2006/relationships/hyperlink" Target="https://www.theguardian.com/uk-news/2026/jan/31/post-office-workers-horizon-compensation-scheme-deadline" TargetMode="External" Id="R57afeb81e75e44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Kodesha Grant (2310545)</dc:creator>
  <keywords/>
  <dc:description/>
  <lastModifiedBy>Kodesha Grant (2310545)</lastModifiedBy>
  <revision>8</revision>
  <dcterms:created xsi:type="dcterms:W3CDTF">2026-01-28T23:23:35.3286354Z</dcterms:created>
  <dcterms:modified xsi:type="dcterms:W3CDTF">2026-03-15T16:51:15.3767755Z</dcterms:modified>
</coreProperties>
</file>