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BCF7AC" w14:textId="232CE6F3" w:rsidR="00BD0AEF" w:rsidRPr="00B26485" w:rsidRDefault="00135F88" w:rsidP="00135F88">
      <w:pPr>
        <w:rPr>
          <w:rFonts w:ascii="Arial" w:hAnsi="Arial" w:cs="Arial"/>
          <w:b/>
          <w:sz w:val="22"/>
          <w:szCs w:val="22"/>
          <w:lang w:val="en-US"/>
        </w:rPr>
      </w:pPr>
      <w:r w:rsidRPr="00B26485">
        <w:rPr>
          <w:rFonts w:ascii="Arial" w:hAnsi="Arial" w:cs="Arial"/>
          <w:b/>
          <w:sz w:val="22"/>
          <w:szCs w:val="22"/>
          <w:lang w:val="en-US"/>
        </w:rPr>
        <w:t>N</w:t>
      </w:r>
      <w:r w:rsidR="00BD0AEF" w:rsidRPr="00B26485">
        <w:rPr>
          <w:rFonts w:ascii="Arial" w:hAnsi="Arial" w:cs="Arial"/>
          <w:b/>
          <w:sz w:val="22"/>
          <w:szCs w:val="22"/>
          <w:lang w:val="en-US"/>
        </w:rPr>
        <w:t xml:space="preserve">ame: </w:t>
      </w:r>
      <w:r w:rsidR="00BD0AEF" w:rsidRPr="00B26485">
        <w:rPr>
          <w:rFonts w:ascii="Arial" w:hAnsi="Arial" w:cs="Arial"/>
          <w:bCs/>
          <w:sz w:val="22"/>
          <w:szCs w:val="22"/>
          <w:lang w:val="en-US"/>
        </w:rPr>
        <w:t>Areeba Kauser</w:t>
      </w:r>
    </w:p>
    <w:p w14:paraId="26F01F2C" w14:textId="7375DCE2" w:rsidR="00BD0AEF" w:rsidRPr="00B26485" w:rsidRDefault="00BD0AEF" w:rsidP="00135F88">
      <w:pPr>
        <w:rPr>
          <w:rFonts w:ascii="Arial" w:hAnsi="Arial" w:cs="Arial"/>
          <w:b/>
          <w:sz w:val="22"/>
          <w:szCs w:val="22"/>
          <w:lang w:val="en-US"/>
        </w:rPr>
      </w:pPr>
      <w:r w:rsidRPr="00B26485">
        <w:rPr>
          <w:rFonts w:ascii="Arial" w:hAnsi="Arial" w:cs="Arial"/>
          <w:b/>
          <w:sz w:val="22"/>
          <w:szCs w:val="22"/>
          <w:lang w:val="en-US"/>
        </w:rPr>
        <w:t>Student ID:</w:t>
      </w:r>
      <w:r w:rsidR="00BD1F60" w:rsidRPr="00B26485">
        <w:rPr>
          <w:rFonts w:ascii="Arial" w:hAnsi="Arial" w:cs="Arial"/>
          <w:b/>
          <w:sz w:val="22"/>
          <w:szCs w:val="22"/>
          <w:lang w:val="en-US"/>
        </w:rPr>
        <w:t xml:space="preserve"> </w:t>
      </w:r>
      <w:r w:rsidR="00BD1F60" w:rsidRPr="00B26485">
        <w:rPr>
          <w:rFonts w:ascii="Arial" w:hAnsi="Arial" w:cs="Arial"/>
          <w:bCs/>
          <w:sz w:val="22"/>
          <w:szCs w:val="22"/>
          <w:lang w:val="en-US"/>
        </w:rPr>
        <w:t>2412108</w:t>
      </w:r>
    </w:p>
    <w:p w14:paraId="3EFD649A" w14:textId="0AD679E0" w:rsidR="00BD1F60" w:rsidRPr="00B26485" w:rsidRDefault="00BD1F60" w:rsidP="00135F88">
      <w:pPr>
        <w:rPr>
          <w:rFonts w:ascii="Arial" w:hAnsi="Arial" w:cs="Arial"/>
          <w:b/>
          <w:sz w:val="22"/>
          <w:szCs w:val="22"/>
          <w:lang w:val="en-US"/>
        </w:rPr>
      </w:pPr>
      <w:r w:rsidRPr="00B26485">
        <w:rPr>
          <w:rFonts w:ascii="Arial" w:hAnsi="Arial" w:cs="Arial"/>
          <w:b/>
          <w:sz w:val="22"/>
          <w:szCs w:val="22"/>
          <w:lang w:val="en-US"/>
        </w:rPr>
        <w:t xml:space="preserve">Module name: </w:t>
      </w:r>
      <w:r w:rsidR="00B26485" w:rsidRPr="00B26485">
        <w:rPr>
          <w:rFonts w:ascii="Arial" w:hAnsi="Arial" w:cs="Arial"/>
          <w:bCs/>
          <w:sz w:val="22"/>
          <w:szCs w:val="22"/>
          <w:lang w:val="en-US"/>
        </w:rPr>
        <w:t>I</w:t>
      </w:r>
      <w:r w:rsidRPr="00B26485">
        <w:rPr>
          <w:rFonts w:ascii="Arial" w:hAnsi="Arial" w:cs="Arial"/>
          <w:bCs/>
          <w:sz w:val="22"/>
          <w:szCs w:val="22"/>
          <w:lang w:val="en-US"/>
        </w:rPr>
        <w:t>ntroduction to</w:t>
      </w:r>
      <w:r w:rsidR="00546F58">
        <w:rPr>
          <w:rFonts w:ascii="Arial" w:hAnsi="Arial" w:cs="Arial"/>
          <w:bCs/>
          <w:sz w:val="22"/>
          <w:szCs w:val="22"/>
          <w:lang w:val="en-US"/>
        </w:rPr>
        <w:t xml:space="preserve"> independent</w:t>
      </w:r>
      <w:r w:rsidRPr="00B26485">
        <w:rPr>
          <w:rFonts w:ascii="Arial" w:hAnsi="Arial" w:cs="Arial"/>
          <w:bCs/>
          <w:sz w:val="22"/>
          <w:szCs w:val="22"/>
          <w:lang w:val="en-US"/>
        </w:rPr>
        <w:t xml:space="preserve"> research skills</w:t>
      </w:r>
    </w:p>
    <w:p w14:paraId="671D56F2" w14:textId="16BF143F" w:rsidR="00BD1F60" w:rsidRPr="00B26485" w:rsidRDefault="001D5915" w:rsidP="00135F88">
      <w:pPr>
        <w:rPr>
          <w:rFonts w:ascii="Arial" w:hAnsi="Arial" w:cs="Arial"/>
          <w:bCs/>
          <w:sz w:val="22"/>
          <w:szCs w:val="22"/>
          <w:lang w:val="en-US"/>
        </w:rPr>
      </w:pPr>
      <w:r w:rsidRPr="00B26485">
        <w:rPr>
          <w:rFonts w:ascii="Arial" w:hAnsi="Arial" w:cs="Arial"/>
          <w:b/>
          <w:sz w:val="22"/>
          <w:szCs w:val="22"/>
          <w:lang w:val="en-US"/>
        </w:rPr>
        <w:t xml:space="preserve">Module code: </w:t>
      </w:r>
      <w:r w:rsidRPr="00B26485">
        <w:rPr>
          <w:rFonts w:ascii="Arial" w:hAnsi="Arial" w:cs="Arial"/>
          <w:bCs/>
          <w:sz w:val="22"/>
          <w:szCs w:val="22"/>
          <w:lang w:val="en-US"/>
        </w:rPr>
        <w:t>BMHP5019</w:t>
      </w:r>
    </w:p>
    <w:p w14:paraId="7797AC46" w14:textId="225CEEFC" w:rsidR="00CA3130" w:rsidRPr="00B26485" w:rsidRDefault="00CA3130" w:rsidP="00135F88">
      <w:pPr>
        <w:rPr>
          <w:rFonts w:ascii="Arial" w:hAnsi="Arial" w:cs="Arial"/>
          <w:b/>
          <w:sz w:val="22"/>
          <w:szCs w:val="22"/>
          <w:lang w:val="en-US"/>
        </w:rPr>
      </w:pPr>
      <w:r w:rsidRPr="00B26485">
        <w:rPr>
          <w:rFonts w:ascii="Arial" w:hAnsi="Arial" w:cs="Arial"/>
          <w:b/>
          <w:sz w:val="22"/>
          <w:szCs w:val="22"/>
          <w:lang w:val="en-US"/>
        </w:rPr>
        <w:t>Title: Component 2</w:t>
      </w:r>
      <w:r w:rsidR="00936757" w:rsidRPr="00B26485">
        <w:rPr>
          <w:rFonts w:ascii="Arial" w:hAnsi="Arial" w:cs="Arial"/>
          <w:b/>
          <w:sz w:val="22"/>
          <w:szCs w:val="22"/>
          <w:lang w:val="en-US"/>
        </w:rPr>
        <w:t xml:space="preserve">: </w:t>
      </w:r>
      <w:r w:rsidR="00D00F6E" w:rsidRPr="00B26485">
        <w:rPr>
          <w:rFonts w:ascii="Arial" w:hAnsi="Arial" w:cs="Arial"/>
          <w:bCs/>
          <w:sz w:val="22"/>
          <w:szCs w:val="22"/>
          <w:lang w:val="en-US"/>
        </w:rPr>
        <w:t>research report</w:t>
      </w:r>
    </w:p>
    <w:p w14:paraId="230A4D3C" w14:textId="0314538E" w:rsidR="00D00F6E" w:rsidRDefault="00282645" w:rsidP="00135F88">
      <w:pPr>
        <w:rPr>
          <w:rFonts w:ascii="Arial" w:hAnsi="Arial" w:cs="Arial"/>
          <w:bCs/>
          <w:sz w:val="22"/>
          <w:szCs w:val="22"/>
          <w:lang w:val="en-US"/>
        </w:rPr>
      </w:pPr>
      <w:r w:rsidRPr="00B26485">
        <w:rPr>
          <w:rFonts w:ascii="Arial" w:hAnsi="Arial" w:cs="Arial"/>
          <w:b/>
          <w:sz w:val="22"/>
          <w:szCs w:val="22"/>
          <w:lang w:val="en-US"/>
        </w:rPr>
        <w:t>Lecturer</w:t>
      </w:r>
      <w:r w:rsidR="00D00F6E" w:rsidRPr="00B26485">
        <w:rPr>
          <w:rFonts w:ascii="Arial" w:hAnsi="Arial" w:cs="Arial"/>
          <w:b/>
          <w:sz w:val="22"/>
          <w:szCs w:val="22"/>
          <w:lang w:val="en-US"/>
        </w:rPr>
        <w:t>:</w:t>
      </w:r>
      <w:r w:rsidRPr="00B26485">
        <w:rPr>
          <w:rFonts w:ascii="Arial" w:hAnsi="Arial" w:cs="Arial"/>
          <w:b/>
          <w:sz w:val="22"/>
          <w:szCs w:val="22"/>
          <w:lang w:val="en-US"/>
        </w:rPr>
        <w:t xml:space="preserve"> </w:t>
      </w:r>
      <w:r w:rsidRPr="00B26485">
        <w:rPr>
          <w:rFonts w:ascii="Arial" w:hAnsi="Arial" w:cs="Arial"/>
          <w:bCs/>
          <w:sz w:val="22"/>
          <w:szCs w:val="22"/>
          <w:lang w:val="en-US"/>
        </w:rPr>
        <w:t>Philip jones</w:t>
      </w:r>
    </w:p>
    <w:p w14:paraId="2F9C74AA" w14:textId="77777777" w:rsidR="004F56F0" w:rsidRDefault="004F56F0" w:rsidP="00135F88">
      <w:pPr>
        <w:rPr>
          <w:rFonts w:ascii="Arial" w:hAnsi="Arial" w:cs="Arial"/>
          <w:bCs/>
          <w:sz w:val="22"/>
          <w:szCs w:val="22"/>
          <w:lang w:val="en-US"/>
        </w:rPr>
      </w:pPr>
    </w:p>
    <w:p w14:paraId="0066A004" w14:textId="59E80A80" w:rsidR="00B26485" w:rsidRDefault="00D11019" w:rsidP="004F56F0">
      <w:pPr>
        <w:jc w:val="center"/>
        <w:rPr>
          <w:rFonts w:ascii="Arial" w:hAnsi="Arial" w:cs="Arial"/>
          <w:b/>
          <w:sz w:val="22"/>
          <w:szCs w:val="22"/>
          <w:u w:val="single"/>
          <w:lang w:val="en-US"/>
        </w:rPr>
      </w:pPr>
      <w:r w:rsidRPr="004F56F0">
        <w:rPr>
          <w:rFonts w:ascii="Arial" w:hAnsi="Arial" w:cs="Arial"/>
          <w:b/>
          <w:sz w:val="22"/>
          <w:szCs w:val="22"/>
          <w:u w:val="single"/>
          <w:lang w:val="en-US"/>
        </w:rPr>
        <w:t xml:space="preserve">Factors </w:t>
      </w:r>
      <w:r w:rsidR="00E12FF5" w:rsidRPr="004F56F0">
        <w:rPr>
          <w:rFonts w:ascii="Arial" w:hAnsi="Arial" w:cs="Arial"/>
          <w:b/>
          <w:sz w:val="22"/>
          <w:szCs w:val="22"/>
          <w:u w:val="single"/>
          <w:lang w:val="en-US"/>
        </w:rPr>
        <w:t xml:space="preserve">Influencing Access to General Practice in </w:t>
      </w:r>
      <w:r w:rsidR="004F56F0" w:rsidRPr="004F56F0">
        <w:rPr>
          <w:rFonts w:ascii="Arial" w:hAnsi="Arial" w:cs="Arial"/>
          <w:b/>
          <w:sz w:val="22"/>
          <w:szCs w:val="22"/>
          <w:u w:val="single"/>
          <w:lang w:val="en-US"/>
        </w:rPr>
        <w:t>the UK: A Scoping Review</w:t>
      </w:r>
    </w:p>
    <w:p w14:paraId="13593EF6" w14:textId="77777777" w:rsidR="004F56F0" w:rsidRPr="004F56F0" w:rsidRDefault="004F56F0" w:rsidP="004F56F0">
      <w:pPr>
        <w:jc w:val="center"/>
        <w:rPr>
          <w:rFonts w:ascii="Arial" w:hAnsi="Arial" w:cs="Arial"/>
          <w:b/>
          <w:sz w:val="22"/>
          <w:szCs w:val="22"/>
          <w:u w:val="single"/>
          <w:lang w:val="en-US"/>
        </w:rPr>
      </w:pPr>
    </w:p>
    <w:p w14:paraId="2C841EF4" w14:textId="6CB9D815" w:rsidR="0098523B" w:rsidRPr="0002514C" w:rsidRDefault="00CC5090" w:rsidP="00CC5090">
      <w:pPr>
        <w:rPr>
          <w:rFonts w:ascii="Arial" w:hAnsi="Arial" w:cs="Arial"/>
          <w:b/>
          <w:bCs/>
          <w:sz w:val="22"/>
          <w:szCs w:val="22"/>
          <w:u w:val="single"/>
          <w:lang w:val="en-US"/>
        </w:rPr>
      </w:pPr>
      <w:r w:rsidRPr="0002514C">
        <w:rPr>
          <w:rFonts w:ascii="Arial" w:hAnsi="Arial" w:cs="Arial"/>
          <w:b/>
          <w:bCs/>
          <w:sz w:val="22"/>
          <w:szCs w:val="22"/>
          <w:u w:val="single"/>
          <w:lang w:val="en-US"/>
        </w:rPr>
        <w:t>Introduction</w:t>
      </w:r>
      <w:r w:rsidR="005C6737" w:rsidRPr="0002514C">
        <w:rPr>
          <w:rFonts w:ascii="Arial" w:hAnsi="Arial" w:cs="Arial"/>
          <w:b/>
          <w:bCs/>
          <w:sz w:val="22"/>
          <w:szCs w:val="22"/>
          <w:u w:val="single"/>
          <w:lang w:val="en-US"/>
        </w:rPr>
        <w:t>:</w:t>
      </w:r>
    </w:p>
    <w:p w14:paraId="62A400E4" w14:textId="3513B9C9" w:rsidR="002B7CC2" w:rsidRPr="002B7CC2" w:rsidRDefault="00CC5090" w:rsidP="002B7CC2">
      <w:pPr>
        <w:rPr>
          <w:rFonts w:ascii="Arial" w:hAnsi="Arial" w:cs="Arial"/>
          <w:sz w:val="22"/>
          <w:szCs w:val="22"/>
        </w:rPr>
      </w:pPr>
      <w:r w:rsidRPr="00CC5090">
        <w:rPr>
          <w:rFonts w:ascii="Arial" w:hAnsi="Arial" w:cs="Arial"/>
          <w:sz w:val="22"/>
          <w:szCs w:val="22"/>
          <w:lang w:val="en-US"/>
        </w:rPr>
        <w:t xml:space="preserve">General practice serves as the foundation of the healthcare system in the United Kingdom, acting as the initial point of contact for individuals seeking diagnosis, treatment, preventive care, and referrals to specialized services. With an aging population and a rise in long-term health conditions, the demand for primary care services has significantly increased. As a result, numerous GP practices throughout the UK are facing heightened pressure to accommodate patient needs, leading to extended waiting times for appointments </w:t>
      </w:r>
      <w:r w:rsidR="00F65C56" w:rsidRPr="009F5983">
        <w:rPr>
          <w:rFonts w:ascii="Arial" w:hAnsi="Arial" w:cs="Arial"/>
          <w:b/>
          <w:bCs/>
          <w:sz w:val="22"/>
          <w:szCs w:val="22"/>
        </w:rPr>
        <w:t>(Mahtani &amp; Abrams, 2025)</w:t>
      </w:r>
      <w:r w:rsidR="009F5983">
        <w:rPr>
          <w:rFonts w:ascii="Arial" w:hAnsi="Arial" w:cs="Arial"/>
          <w:sz w:val="22"/>
          <w:szCs w:val="22"/>
        </w:rPr>
        <w:t xml:space="preserve">. </w:t>
      </w:r>
      <w:r w:rsidRPr="00CC5090">
        <w:rPr>
          <w:rFonts w:ascii="Arial" w:hAnsi="Arial" w:cs="Arial"/>
          <w:sz w:val="22"/>
          <w:szCs w:val="22"/>
          <w:lang w:val="en-US"/>
        </w:rPr>
        <w:t xml:space="preserve">Timely access to healthcare is acknowledged as a crucial measure of service quality, and delays in securing GP appointments can adversely impact patient outcomes, satisfaction, and the overall effectiveness of the National Health Service </w:t>
      </w:r>
      <w:r w:rsidR="002B7CC2" w:rsidRPr="002B7CC2">
        <w:rPr>
          <w:rFonts w:ascii="Arial" w:hAnsi="Arial" w:cs="Arial"/>
          <w:b/>
          <w:bCs/>
          <w:sz w:val="22"/>
          <w:szCs w:val="22"/>
        </w:rPr>
        <w:t>(Limiri, 2025)</w:t>
      </w:r>
      <w:r w:rsidR="002B7CC2" w:rsidRPr="002B7CC2">
        <w:rPr>
          <w:rFonts w:ascii="Arial" w:hAnsi="Arial" w:cs="Arial"/>
          <w:sz w:val="22"/>
          <w:szCs w:val="22"/>
        </w:rPr>
        <w:t>.</w:t>
      </w:r>
    </w:p>
    <w:p w14:paraId="6599DB68" w14:textId="6F43067C" w:rsidR="00F44FEB" w:rsidRPr="009B3F51" w:rsidRDefault="00CC5090" w:rsidP="00F44FEB">
      <w:pPr>
        <w:rPr>
          <w:rFonts w:ascii="Arial" w:hAnsi="Arial" w:cs="Arial"/>
          <w:sz w:val="22"/>
          <w:szCs w:val="22"/>
        </w:rPr>
      </w:pPr>
      <w:r w:rsidRPr="00CC5090">
        <w:rPr>
          <w:rFonts w:ascii="Arial" w:hAnsi="Arial" w:cs="Arial"/>
          <w:sz w:val="22"/>
          <w:szCs w:val="22"/>
          <w:lang w:val="en-US"/>
        </w:rPr>
        <w:t>Prolonged waiting times have emerged as a major concern for healthcare professionals, policymakers, and patients alike. Research indicates that extended delays can exacerbate both physical and mental health issues, result in delayed diagnoses, increase reliance on emergency departments, and place additional strain on secondary healthcare services</w:t>
      </w:r>
      <w:r w:rsidR="009B3F51" w:rsidRPr="009B3F51">
        <w:rPr>
          <w:rFonts w:ascii="Times New Roman" w:eastAsia="Times New Roman" w:hAnsi="Times New Roman" w:cs="Times New Roman"/>
          <w:kern w:val="0"/>
          <w:lang w:eastAsia="en-GB"/>
          <w14:ligatures w14:val="none"/>
        </w:rPr>
        <w:t xml:space="preserve"> </w:t>
      </w:r>
      <w:r w:rsidR="009B3F51" w:rsidRPr="009B3F51">
        <w:rPr>
          <w:rFonts w:ascii="Arial" w:hAnsi="Arial" w:cs="Arial"/>
          <w:b/>
          <w:bCs/>
          <w:sz w:val="22"/>
          <w:szCs w:val="22"/>
        </w:rPr>
        <w:t>(Gagliardi et al., 2021)</w:t>
      </w:r>
      <w:r w:rsidRPr="00CC5090">
        <w:rPr>
          <w:rFonts w:ascii="Arial" w:hAnsi="Arial" w:cs="Arial"/>
          <w:sz w:val="22"/>
          <w:szCs w:val="22"/>
          <w:lang w:val="en-US"/>
        </w:rPr>
        <w:t>. The factors contributing to this situation are complex and include workforce shortages, escalating patient demand, administrative burdens, and the enduring effects of the COVID-19 pandemic on healthcare delivery</w:t>
      </w:r>
      <w:r w:rsidR="00B60793">
        <w:rPr>
          <w:rFonts w:ascii="Arial" w:hAnsi="Arial" w:cs="Arial"/>
          <w:sz w:val="22"/>
          <w:szCs w:val="22"/>
          <w:lang w:val="en-US"/>
        </w:rPr>
        <w:t xml:space="preserve"> </w:t>
      </w:r>
      <w:r w:rsidR="00B60793" w:rsidRPr="00B60793">
        <w:rPr>
          <w:rFonts w:ascii="Arial" w:hAnsi="Arial" w:cs="Arial"/>
          <w:b/>
          <w:bCs/>
          <w:sz w:val="22"/>
          <w:szCs w:val="22"/>
        </w:rPr>
        <w:t>(British Medical Association, 2024)</w:t>
      </w:r>
      <w:r w:rsidR="00B60793" w:rsidRPr="00B60793">
        <w:rPr>
          <w:rFonts w:ascii="Arial" w:hAnsi="Arial" w:cs="Arial"/>
          <w:sz w:val="22"/>
          <w:szCs w:val="22"/>
        </w:rPr>
        <w:t>.</w:t>
      </w:r>
      <w:r w:rsidR="00B60793">
        <w:rPr>
          <w:rFonts w:ascii="Arial" w:hAnsi="Arial" w:cs="Arial"/>
          <w:sz w:val="22"/>
          <w:szCs w:val="22"/>
        </w:rPr>
        <w:t xml:space="preserve"> </w:t>
      </w:r>
      <w:r w:rsidRPr="00CC5090">
        <w:rPr>
          <w:rFonts w:ascii="Arial" w:hAnsi="Arial" w:cs="Arial"/>
          <w:sz w:val="22"/>
          <w:szCs w:val="22"/>
          <w:lang w:val="en-US"/>
        </w:rPr>
        <w:t>Consequently, enhancing access to general practice has become a strategic focus within the reform of NHS primary care.</w:t>
      </w:r>
    </w:p>
    <w:p w14:paraId="058F3134" w14:textId="33CED931" w:rsidR="00D20D90" w:rsidRPr="0036092F" w:rsidRDefault="00D20D90" w:rsidP="00D20D90">
      <w:pPr>
        <w:rPr>
          <w:rFonts w:ascii="Arial" w:hAnsi="Arial" w:cs="Arial"/>
          <w:sz w:val="22"/>
          <w:szCs w:val="22"/>
        </w:rPr>
      </w:pPr>
      <w:r w:rsidRPr="00D20D90">
        <w:rPr>
          <w:rFonts w:ascii="Arial" w:hAnsi="Arial" w:cs="Arial"/>
          <w:sz w:val="22"/>
          <w:szCs w:val="22"/>
          <w:lang w:val="en-US"/>
        </w:rPr>
        <w:t xml:space="preserve">A scoping review serves as a suitable methodology for investigating this topic, as it allows researchers to systematically chart the extent of existing evidence, pinpoint essential concepts, and reveal gaps in literature without confining the review to a narrowly defined intervention </w:t>
      </w:r>
      <w:r w:rsidR="0036092F" w:rsidRPr="0036092F">
        <w:rPr>
          <w:rFonts w:ascii="Arial" w:hAnsi="Arial" w:cs="Arial"/>
          <w:b/>
          <w:bCs/>
          <w:sz w:val="22"/>
          <w:szCs w:val="22"/>
        </w:rPr>
        <w:t>(Tikhonova &amp; Kosycheva, 2025)</w:t>
      </w:r>
      <w:r w:rsidRPr="00D20D90">
        <w:rPr>
          <w:rFonts w:ascii="Arial" w:hAnsi="Arial" w:cs="Arial"/>
          <w:sz w:val="22"/>
          <w:szCs w:val="22"/>
          <w:lang w:val="en-US"/>
        </w:rPr>
        <w:t>. This method is especially beneficial when examining intricate healthcare issues such as GP waiting times, where organizational, workforce, and patient-related factors interact to affect service accessibility.</w:t>
      </w:r>
    </w:p>
    <w:p w14:paraId="1DEF9CF0" w14:textId="77777777" w:rsidR="00D20D90" w:rsidRPr="00D20D90" w:rsidRDefault="00D20D90" w:rsidP="00D20D90">
      <w:pPr>
        <w:rPr>
          <w:rFonts w:ascii="Arial" w:hAnsi="Arial" w:cs="Arial"/>
          <w:sz w:val="22"/>
          <w:szCs w:val="22"/>
          <w:lang w:val="en-US"/>
        </w:rPr>
      </w:pPr>
      <w:r w:rsidRPr="00D20D90">
        <w:rPr>
          <w:rFonts w:ascii="Arial" w:hAnsi="Arial" w:cs="Arial"/>
          <w:sz w:val="22"/>
          <w:szCs w:val="22"/>
          <w:lang w:val="en-US"/>
        </w:rPr>
        <w:t>The purpose of this review is to analyze the existing evidence regarding the factors that lead to extended waiting periods in UK general practice and to assess their impact on patients and healthcare services. The review is structured around the following research question:</w:t>
      </w:r>
    </w:p>
    <w:p w14:paraId="09F8F998" w14:textId="77777777" w:rsidR="00D20D90" w:rsidRDefault="00D20D90" w:rsidP="00D20D90">
      <w:pPr>
        <w:rPr>
          <w:rFonts w:ascii="Arial" w:hAnsi="Arial" w:cs="Arial"/>
          <w:b/>
          <w:sz w:val="22"/>
          <w:szCs w:val="22"/>
          <w:u w:val="single"/>
          <w:lang w:val="en-US"/>
        </w:rPr>
      </w:pPr>
    </w:p>
    <w:p w14:paraId="292EF20A" w14:textId="77777777" w:rsidR="009278CF" w:rsidRDefault="009278CF" w:rsidP="00D20D90">
      <w:pPr>
        <w:rPr>
          <w:rFonts w:ascii="Arial" w:hAnsi="Arial" w:cs="Arial"/>
          <w:b/>
          <w:bCs/>
          <w:sz w:val="22"/>
          <w:szCs w:val="22"/>
          <w:u w:val="single"/>
          <w:lang w:val="en-US"/>
        </w:rPr>
      </w:pPr>
    </w:p>
    <w:p w14:paraId="1D05CB26" w14:textId="77777777" w:rsidR="009278CF" w:rsidRDefault="009278CF" w:rsidP="00D20D90">
      <w:pPr>
        <w:rPr>
          <w:rFonts w:ascii="Arial" w:hAnsi="Arial" w:cs="Arial"/>
          <w:b/>
          <w:bCs/>
          <w:sz w:val="22"/>
          <w:szCs w:val="22"/>
          <w:u w:val="single"/>
          <w:lang w:val="en-US"/>
        </w:rPr>
      </w:pPr>
    </w:p>
    <w:p w14:paraId="026B91C4" w14:textId="0908432D" w:rsidR="00D20D90" w:rsidRPr="0002514C" w:rsidRDefault="00D20D90" w:rsidP="00D20D90">
      <w:pPr>
        <w:rPr>
          <w:rFonts w:ascii="Arial" w:hAnsi="Arial" w:cs="Arial"/>
          <w:b/>
          <w:sz w:val="22"/>
          <w:szCs w:val="22"/>
          <w:u w:val="single"/>
          <w:lang w:val="en-US"/>
        </w:rPr>
      </w:pPr>
      <w:r w:rsidRPr="0002514C">
        <w:rPr>
          <w:rFonts w:ascii="Arial" w:hAnsi="Arial" w:cs="Arial"/>
          <w:b/>
          <w:sz w:val="22"/>
          <w:szCs w:val="22"/>
          <w:u w:val="single"/>
          <w:lang w:val="en-US"/>
        </w:rPr>
        <w:t>What evidence exists regarding the factors that contribute to prolonged waiting times in UK GP practices and their impact on patients and healthcare services?</w:t>
      </w:r>
    </w:p>
    <w:p w14:paraId="1362C1BA" w14:textId="3B984F66" w:rsidR="00D20D90" w:rsidRPr="00D20D90" w:rsidRDefault="00D20D90" w:rsidP="00D20D90">
      <w:pPr>
        <w:rPr>
          <w:rFonts w:ascii="Arial" w:hAnsi="Arial" w:cs="Arial"/>
          <w:sz w:val="22"/>
          <w:szCs w:val="22"/>
          <w:lang w:val="en-US"/>
        </w:rPr>
      </w:pPr>
      <w:r w:rsidRPr="00D20D90">
        <w:rPr>
          <w:rFonts w:ascii="Arial" w:hAnsi="Arial" w:cs="Arial"/>
          <w:sz w:val="22"/>
          <w:szCs w:val="22"/>
          <w:lang w:val="en-US"/>
        </w:rPr>
        <w:t>To address this question, the review has three objectives:</w:t>
      </w:r>
    </w:p>
    <w:p w14:paraId="74578103" w14:textId="2F48F5AA" w:rsidR="00D20D90" w:rsidRPr="00D20D90" w:rsidRDefault="00D20D90" w:rsidP="00BA0981">
      <w:pPr>
        <w:pStyle w:val="ListParagraph"/>
        <w:numPr>
          <w:ilvl w:val="0"/>
          <w:numId w:val="3"/>
        </w:numPr>
        <w:rPr>
          <w:rFonts w:ascii="Arial" w:hAnsi="Arial" w:cs="Arial"/>
          <w:sz w:val="22"/>
          <w:szCs w:val="22"/>
          <w:lang w:val="en-US"/>
        </w:rPr>
      </w:pPr>
      <w:r w:rsidRPr="00D20D90">
        <w:rPr>
          <w:rFonts w:ascii="Arial" w:hAnsi="Arial" w:cs="Arial"/>
          <w:sz w:val="22"/>
          <w:szCs w:val="22"/>
          <w:lang w:val="en-US"/>
        </w:rPr>
        <w:t>To identify the primary factors that contribute to prolonged waiting times in UK general practice.</w:t>
      </w:r>
    </w:p>
    <w:p w14:paraId="5BFD5490" w14:textId="4F4B0D7E" w:rsidR="00D20D90" w:rsidRPr="00D20D90" w:rsidRDefault="00D20D90" w:rsidP="00BA0981">
      <w:pPr>
        <w:pStyle w:val="ListParagraph"/>
        <w:numPr>
          <w:ilvl w:val="0"/>
          <w:numId w:val="3"/>
        </w:numPr>
        <w:rPr>
          <w:rFonts w:ascii="Arial" w:hAnsi="Arial" w:cs="Arial"/>
          <w:sz w:val="22"/>
          <w:szCs w:val="22"/>
          <w:lang w:val="en-US"/>
        </w:rPr>
      </w:pPr>
      <w:r w:rsidRPr="00D20D90">
        <w:rPr>
          <w:rFonts w:ascii="Arial" w:hAnsi="Arial" w:cs="Arial"/>
          <w:sz w:val="22"/>
          <w:szCs w:val="22"/>
          <w:lang w:val="en-US"/>
        </w:rPr>
        <w:t>To investigate the effects of these waiting periods on patients and healthcare services.</w:t>
      </w:r>
    </w:p>
    <w:p w14:paraId="3BACEA3B" w14:textId="77777777" w:rsidR="00DE62BF" w:rsidRPr="0002514C" w:rsidRDefault="00D20D90" w:rsidP="00F44FEB">
      <w:pPr>
        <w:pStyle w:val="ListParagraph"/>
        <w:numPr>
          <w:ilvl w:val="0"/>
          <w:numId w:val="3"/>
        </w:numPr>
        <w:rPr>
          <w:rFonts w:ascii="Arial" w:hAnsi="Arial" w:cs="Arial"/>
          <w:sz w:val="22"/>
          <w:szCs w:val="22"/>
          <w:lang w:val="en-US"/>
        </w:rPr>
      </w:pPr>
      <w:r w:rsidRPr="0002514C">
        <w:rPr>
          <w:rFonts w:ascii="Arial" w:hAnsi="Arial" w:cs="Arial"/>
          <w:sz w:val="22"/>
          <w:szCs w:val="22"/>
          <w:lang w:val="en-US"/>
        </w:rPr>
        <w:t>To examine evidence-based strategies that could enhance access to GP services and decrease waiting times.</w:t>
      </w:r>
    </w:p>
    <w:p w14:paraId="796F0B10" w14:textId="77777777" w:rsidR="00ED0364" w:rsidRDefault="00D20D90" w:rsidP="00F44FEB">
      <w:pPr>
        <w:rPr>
          <w:rFonts w:ascii="Arial" w:hAnsi="Arial" w:cs="Arial"/>
          <w:sz w:val="22"/>
          <w:szCs w:val="22"/>
          <w:lang w:val="en-US"/>
        </w:rPr>
      </w:pPr>
      <w:r w:rsidRPr="00D20D90">
        <w:rPr>
          <w:rFonts w:ascii="Arial" w:hAnsi="Arial" w:cs="Arial"/>
          <w:sz w:val="22"/>
          <w:szCs w:val="22"/>
          <w:lang w:val="en-US"/>
        </w:rPr>
        <w:t>This review aims to deliver an evidence-based summary that may assist healthcare professionals, practice managers, and policymakers in their efforts to enhance access to primary care and facilitate future service planning.</w:t>
      </w:r>
    </w:p>
    <w:p w14:paraId="424E8E3C" w14:textId="77777777" w:rsidR="00ED0364" w:rsidRDefault="00ED0364" w:rsidP="00F44FEB">
      <w:pPr>
        <w:rPr>
          <w:rFonts w:ascii="Arial" w:hAnsi="Arial" w:cs="Arial"/>
          <w:sz w:val="22"/>
          <w:szCs w:val="22"/>
          <w:lang w:val="en-US"/>
        </w:rPr>
      </w:pPr>
    </w:p>
    <w:p w14:paraId="77AA13D4" w14:textId="77777777" w:rsidR="00EB5FC6" w:rsidRPr="001B7BA9" w:rsidRDefault="00ED0364" w:rsidP="00ED0364">
      <w:pPr>
        <w:rPr>
          <w:rFonts w:ascii="Arial" w:hAnsi="Arial" w:cs="Arial"/>
          <w:sz w:val="22"/>
          <w:szCs w:val="22"/>
          <w:lang w:val="en-US"/>
        </w:rPr>
      </w:pPr>
      <w:r w:rsidRPr="001B7BA9">
        <w:rPr>
          <w:rFonts w:ascii="Arial" w:hAnsi="Arial" w:cs="Arial"/>
          <w:b/>
          <w:bCs/>
          <w:sz w:val="22"/>
          <w:szCs w:val="22"/>
          <w:u w:val="single"/>
          <w:lang w:val="en-US"/>
        </w:rPr>
        <w:t>Background</w:t>
      </w:r>
      <w:r w:rsidR="009A2743" w:rsidRPr="001B7BA9">
        <w:rPr>
          <w:rFonts w:ascii="Arial" w:hAnsi="Arial" w:cs="Arial"/>
          <w:sz w:val="22"/>
          <w:szCs w:val="22"/>
          <w:lang w:val="en-US"/>
        </w:rPr>
        <w:t>:</w:t>
      </w:r>
    </w:p>
    <w:p w14:paraId="662DE4FA" w14:textId="5293BE0D" w:rsidR="0095565B" w:rsidRPr="001B7BA9" w:rsidRDefault="00ED0364" w:rsidP="00F44FEB">
      <w:pPr>
        <w:rPr>
          <w:rFonts w:ascii="Arial" w:hAnsi="Arial" w:cs="Arial"/>
          <w:sz w:val="22"/>
          <w:szCs w:val="22"/>
          <w:lang w:val="en-US"/>
        </w:rPr>
      </w:pPr>
      <w:r w:rsidRPr="001B7BA9">
        <w:rPr>
          <w:rFonts w:ascii="Arial" w:hAnsi="Arial" w:cs="Arial"/>
          <w:sz w:val="22"/>
          <w:szCs w:val="22"/>
          <w:lang w:val="en-US"/>
        </w:rPr>
        <w:t>General practice is fundamental to the provision of healthcare in the United Kingdom, with general practitioners</w:t>
      </w:r>
      <w:r w:rsidRPr="000A43DB">
        <w:rPr>
          <w:rFonts w:ascii="Arial" w:hAnsi="Arial" w:cs="Arial"/>
          <w:color w:val="EE0000"/>
          <w:sz w:val="22"/>
          <w:szCs w:val="22"/>
          <w:lang w:val="en-US"/>
        </w:rPr>
        <w:t xml:space="preserve"> </w:t>
      </w:r>
      <w:r w:rsidRPr="001B7BA9">
        <w:rPr>
          <w:rFonts w:ascii="Arial" w:hAnsi="Arial" w:cs="Arial"/>
          <w:sz w:val="22"/>
          <w:szCs w:val="22"/>
          <w:lang w:val="en-US"/>
        </w:rPr>
        <w:t xml:space="preserve">delivering comprehensive, continuous, and patient-centered care for individuals of all ages. Serving as the initial point of contact for </w:t>
      </w:r>
      <w:r w:rsidR="0053167D" w:rsidRPr="001B7BA9">
        <w:rPr>
          <w:rFonts w:ascii="Arial" w:hAnsi="Arial" w:cs="Arial"/>
          <w:sz w:val="22"/>
          <w:szCs w:val="22"/>
          <w:lang w:val="en-US"/>
        </w:rPr>
        <w:t>many</w:t>
      </w:r>
      <w:r w:rsidRPr="001B7BA9">
        <w:rPr>
          <w:rFonts w:ascii="Arial" w:hAnsi="Arial" w:cs="Arial"/>
          <w:sz w:val="22"/>
          <w:szCs w:val="22"/>
          <w:lang w:val="en-US"/>
        </w:rPr>
        <w:t xml:space="preserve"> healthcare requirements, general practice is vital in preventing illness, managing chronic conditions, and facilitating referrals to secondary care services </w:t>
      </w:r>
      <w:r w:rsidRPr="00C90DFD">
        <w:rPr>
          <w:rFonts w:ascii="Arial" w:hAnsi="Arial" w:cs="Arial"/>
          <w:b/>
          <w:bCs/>
          <w:color w:val="000000" w:themeColor="text1"/>
          <w:sz w:val="22"/>
          <w:szCs w:val="22"/>
          <w:lang w:val="en-US"/>
        </w:rPr>
        <w:t>(NHS England, 2024)</w:t>
      </w:r>
      <w:r w:rsidRPr="00C90DFD">
        <w:rPr>
          <w:rFonts w:ascii="Arial" w:hAnsi="Arial" w:cs="Arial"/>
          <w:color w:val="000000" w:themeColor="text1"/>
          <w:sz w:val="22"/>
          <w:szCs w:val="22"/>
          <w:lang w:val="en-US"/>
        </w:rPr>
        <w:t>.</w:t>
      </w:r>
      <w:r w:rsidRPr="00C90DFD">
        <w:rPr>
          <w:rFonts w:ascii="Arial" w:hAnsi="Arial" w:cs="Arial"/>
          <w:sz w:val="22"/>
          <w:szCs w:val="22"/>
          <w:lang w:val="en-US"/>
        </w:rPr>
        <w:t xml:space="preserve"> </w:t>
      </w:r>
      <w:r w:rsidRPr="001B7BA9">
        <w:rPr>
          <w:rFonts w:ascii="Arial" w:hAnsi="Arial" w:cs="Arial"/>
          <w:sz w:val="22"/>
          <w:szCs w:val="22"/>
          <w:lang w:val="en-US"/>
        </w:rPr>
        <w:t>Efficient access to GP services is crucial for sustaining population health and alleviating unnecessary strain on hospitals and emergency departments. Nevertheless, the rising demand for appointments has rendered timely access to primary care an escalating challenge throughout the UK.</w:t>
      </w:r>
    </w:p>
    <w:p w14:paraId="631F1EB6" w14:textId="011C8023" w:rsidR="00ED0364" w:rsidRPr="00B726A6" w:rsidRDefault="00ED0364" w:rsidP="00F44FEB">
      <w:pPr>
        <w:rPr>
          <w:rFonts w:ascii="Arial" w:hAnsi="Arial" w:cs="Arial"/>
          <w:sz w:val="22"/>
          <w:szCs w:val="22"/>
        </w:rPr>
      </w:pPr>
      <w:r w:rsidRPr="00ED0364">
        <w:rPr>
          <w:rFonts w:ascii="Arial" w:hAnsi="Arial" w:cs="Arial"/>
          <w:sz w:val="22"/>
          <w:szCs w:val="22"/>
          <w:lang w:val="en-US"/>
        </w:rPr>
        <w:t>In the last decade, the demand for GP services has surged considerably due to demographic and epidemiological shifts. The ageing population in the UK has led to an increase in individuals living with multiple long-term conditions, necessitating regular monitoring and ongoing treatment</w:t>
      </w:r>
      <w:r w:rsidR="0084513D">
        <w:rPr>
          <w:rFonts w:ascii="Arial" w:hAnsi="Arial" w:cs="Arial"/>
          <w:b/>
          <w:color w:val="EE0000"/>
          <w:sz w:val="22"/>
          <w:szCs w:val="22"/>
          <w:lang w:val="en-US"/>
        </w:rPr>
        <w:t xml:space="preserve"> </w:t>
      </w:r>
      <w:r w:rsidR="0084513D" w:rsidRPr="0084513D">
        <w:rPr>
          <w:rFonts w:ascii="Arial" w:hAnsi="Arial" w:cs="Arial"/>
          <w:b/>
          <w:color w:val="000000" w:themeColor="text1"/>
          <w:sz w:val="22"/>
          <w:szCs w:val="22"/>
        </w:rPr>
        <w:t>(Parisi et al., 2024)</w:t>
      </w:r>
      <w:r w:rsidRPr="00ED0364">
        <w:rPr>
          <w:rFonts w:ascii="Arial" w:hAnsi="Arial" w:cs="Arial"/>
          <w:sz w:val="22"/>
          <w:szCs w:val="22"/>
          <w:lang w:val="en-US"/>
        </w:rPr>
        <w:t>. Furthermore, heightened public awareness of health concerns, a rise in mental health cases, and the backlog of care resulting from the COVID-19 pandemic have contributed to the growing number of patients seeking GP appointments</w:t>
      </w:r>
      <w:r w:rsidR="00B726A6" w:rsidRPr="00B726A6">
        <w:rPr>
          <w:rFonts w:ascii="Times New Roman" w:eastAsia="Times New Roman" w:hAnsi="Times New Roman" w:cs="Times New Roman"/>
          <w:kern w:val="0"/>
          <w:lang w:eastAsia="en-GB"/>
          <w14:ligatures w14:val="none"/>
        </w:rPr>
        <w:t xml:space="preserve"> </w:t>
      </w:r>
      <w:r w:rsidR="00B726A6" w:rsidRPr="00B726A6">
        <w:rPr>
          <w:rFonts w:ascii="Arial" w:hAnsi="Arial" w:cs="Arial"/>
          <w:b/>
          <w:bCs/>
          <w:sz w:val="22"/>
          <w:szCs w:val="22"/>
        </w:rPr>
        <w:t>(Juraszek et al., 2025)</w:t>
      </w:r>
      <w:r w:rsidRPr="00ED0364">
        <w:rPr>
          <w:rFonts w:ascii="Arial" w:hAnsi="Arial" w:cs="Arial"/>
          <w:sz w:val="22"/>
          <w:szCs w:val="22"/>
          <w:lang w:val="en-US"/>
        </w:rPr>
        <w:t>. While demand continues to escalate, the capacity of general practice has struggled to keep up.</w:t>
      </w:r>
    </w:p>
    <w:p w14:paraId="6C3449D7" w14:textId="642FA67C" w:rsidR="00157527" w:rsidRPr="00157527" w:rsidRDefault="00C93667" w:rsidP="00F44FEB">
      <w:pPr>
        <w:rPr>
          <w:rFonts w:ascii="Times New Roman" w:eastAsia="Times New Roman" w:hAnsi="Times New Roman" w:cs="Times New Roman"/>
          <w:kern w:val="0"/>
          <w:lang w:eastAsia="en-GB"/>
          <w14:ligatures w14:val="none"/>
        </w:rPr>
      </w:pPr>
      <w:r w:rsidRPr="001B7BA9">
        <w:rPr>
          <w:rFonts w:ascii="Arial" w:hAnsi="Arial" w:cs="Arial"/>
          <w:sz w:val="22"/>
          <w:szCs w:val="22"/>
          <w:lang w:val="en-US"/>
        </w:rPr>
        <w:t xml:space="preserve">One of the most frequently cited reasons for prolonged waiting times is the lack of General Practitioners and other primary care professionals. The British Medical Association </w:t>
      </w:r>
      <w:r w:rsidRPr="001F1DB2">
        <w:rPr>
          <w:rFonts w:ascii="Arial" w:hAnsi="Arial" w:cs="Arial"/>
          <w:b/>
          <w:bCs/>
          <w:color w:val="000000" w:themeColor="text1"/>
          <w:sz w:val="22"/>
          <w:szCs w:val="22"/>
          <w:lang w:val="en-US"/>
        </w:rPr>
        <w:t>(2023)</w:t>
      </w:r>
      <w:r w:rsidRPr="001F1DB2">
        <w:rPr>
          <w:rFonts w:ascii="Arial" w:hAnsi="Arial" w:cs="Arial"/>
          <w:color w:val="000000" w:themeColor="text1"/>
          <w:sz w:val="22"/>
          <w:szCs w:val="22"/>
          <w:lang w:val="en-US"/>
        </w:rPr>
        <w:t xml:space="preserve"> </w:t>
      </w:r>
      <w:r w:rsidRPr="001B7BA9">
        <w:rPr>
          <w:rFonts w:ascii="Arial" w:hAnsi="Arial" w:cs="Arial"/>
          <w:sz w:val="22"/>
          <w:szCs w:val="22"/>
          <w:lang w:val="en-US"/>
        </w:rPr>
        <w:t>has indicated that a growing number of GPs are exiting the field due to excessive workloads, burnout, and challenges related to recruitment and retention. This shortage in the workforce has led to a decrease in appointment availability, an increase in clinician workloads, and a restricted capacity for practices to meet the rising demand from patients. Consequently, patients frequently face delays in obtaining routine appointments, especially in regions experiencing higher levels of socioeconomic deprivation or workforce shortages</w:t>
      </w:r>
      <w:r w:rsidR="00157527">
        <w:rPr>
          <w:rFonts w:ascii="Arial" w:hAnsi="Arial" w:cs="Arial"/>
          <w:sz w:val="22"/>
          <w:szCs w:val="22"/>
          <w:lang w:val="en-US"/>
        </w:rPr>
        <w:t xml:space="preserve"> </w:t>
      </w:r>
      <w:r w:rsidR="00157527" w:rsidRPr="00157527">
        <w:rPr>
          <w:rFonts w:ascii="Arial" w:hAnsi="Arial" w:cs="Arial"/>
          <w:b/>
          <w:bCs/>
          <w:sz w:val="22"/>
          <w:szCs w:val="22"/>
        </w:rPr>
        <w:t>(Dyson, 2020</w:t>
      </w:r>
      <w:r w:rsidR="00157527" w:rsidRPr="00157527">
        <w:rPr>
          <w:rFonts w:ascii="Arial" w:hAnsi="Arial" w:cs="Arial"/>
          <w:b/>
          <w:bCs/>
          <w:sz w:val="22"/>
          <w:szCs w:val="22"/>
        </w:rPr>
        <w:t>)</w:t>
      </w:r>
      <w:r w:rsidR="00157527">
        <w:rPr>
          <w:rFonts w:ascii="Arial" w:hAnsi="Arial" w:cs="Arial"/>
          <w:sz w:val="22"/>
          <w:szCs w:val="22"/>
        </w:rPr>
        <w:t>.</w:t>
      </w:r>
    </w:p>
    <w:p w14:paraId="3C2C32BE" w14:textId="5D08765B" w:rsidR="00783587" w:rsidRDefault="00C93667" w:rsidP="00FC23CB">
      <w:pPr>
        <w:rPr>
          <w:rFonts w:ascii="Arial" w:hAnsi="Arial" w:cs="Arial"/>
          <w:b/>
          <w:bCs/>
          <w:sz w:val="22"/>
          <w:szCs w:val="22"/>
        </w:rPr>
      </w:pPr>
      <w:r w:rsidRPr="00C93667">
        <w:rPr>
          <w:rFonts w:ascii="Arial" w:hAnsi="Arial" w:cs="Arial"/>
          <w:sz w:val="22"/>
          <w:szCs w:val="22"/>
          <w:lang w:val="en-US"/>
        </w:rPr>
        <w:lastRenderedPageBreak/>
        <w:t xml:space="preserve">Organizational elements within GP practices also play a role in determining waiting times. The systems used for appointment scheduling, administrative workflows, and the presence of various healthcare professionals can significantly impact the speed at which patients receive care. Numerous practices have implemented digital triage systems, telephone consultations, and online booking platforms to enhance access and manage demand more effectively. While these methods have provided greater flexibility for certain patients, they may pose challenges for older adults, individuals with limited digital literacy, or those lacking reliable internet access, which could exacerbate disparities in healthcare access </w:t>
      </w:r>
      <w:r w:rsidR="00783587" w:rsidRPr="00783587">
        <w:rPr>
          <w:rFonts w:ascii="Arial" w:hAnsi="Arial" w:cs="Arial"/>
          <w:b/>
          <w:bCs/>
          <w:sz w:val="22"/>
          <w:szCs w:val="22"/>
        </w:rPr>
        <w:t>(Gellert et al., 2023)</w:t>
      </w:r>
      <w:r w:rsidR="00776B27" w:rsidRPr="00776B27">
        <w:rPr>
          <w:rFonts w:ascii="Arial" w:hAnsi="Arial" w:cs="Arial"/>
          <w:sz w:val="22"/>
          <w:szCs w:val="22"/>
        </w:rPr>
        <w:t>.</w:t>
      </w:r>
    </w:p>
    <w:p w14:paraId="62A0B864" w14:textId="130C6196" w:rsidR="00FC23CB" w:rsidRPr="00BF4374" w:rsidRDefault="00FC23CB" w:rsidP="00FC23CB">
      <w:pPr>
        <w:rPr>
          <w:rFonts w:ascii="Arial" w:hAnsi="Arial" w:cs="Arial"/>
          <w:sz w:val="22"/>
          <w:szCs w:val="22"/>
        </w:rPr>
      </w:pPr>
      <w:r w:rsidRPr="00FC23CB">
        <w:rPr>
          <w:rFonts w:ascii="Arial" w:hAnsi="Arial" w:cs="Arial"/>
          <w:sz w:val="22"/>
          <w:szCs w:val="22"/>
          <w:lang w:val="en-US"/>
        </w:rPr>
        <w:t>The COVID-19 pandemic profoundly transformed the delivery of general practice services across the UK. Infection control protocols hastened the adoption of remote consultations, with numerous appointments taking place via telephone or video instead of in person. Although remote consulting allowed practices to maintain care during restrictive periods, evidence indicates that it also posed challenges related to continuity of care, communication, and patient satisfaction, especially for individuals with complex health needs or limited access to digital resources</w:t>
      </w:r>
      <w:r w:rsidR="00BF4374">
        <w:rPr>
          <w:rFonts w:ascii="Arial" w:hAnsi="Arial" w:cs="Arial"/>
          <w:sz w:val="22"/>
          <w:szCs w:val="22"/>
          <w:lang w:val="en-US"/>
        </w:rPr>
        <w:t xml:space="preserve"> </w:t>
      </w:r>
      <w:r w:rsidR="00BF4374" w:rsidRPr="00776B27">
        <w:rPr>
          <w:rFonts w:ascii="Arial" w:hAnsi="Arial" w:cs="Arial"/>
          <w:b/>
          <w:bCs/>
          <w:sz w:val="22"/>
          <w:szCs w:val="22"/>
        </w:rPr>
        <w:t>(Mesiano &amp; Santos, 2026)</w:t>
      </w:r>
      <w:r w:rsidR="00776B27">
        <w:rPr>
          <w:rFonts w:ascii="Arial" w:hAnsi="Arial" w:cs="Arial"/>
          <w:sz w:val="22"/>
          <w:szCs w:val="22"/>
        </w:rPr>
        <w:t>.</w:t>
      </w:r>
      <w:r w:rsidRPr="00FC23CB">
        <w:rPr>
          <w:rFonts w:ascii="Arial" w:hAnsi="Arial" w:cs="Arial"/>
          <w:sz w:val="22"/>
          <w:szCs w:val="22"/>
          <w:lang w:val="en-US"/>
        </w:rPr>
        <w:t xml:space="preserve"> Additionally, the pandemic resulted in a backlog of unmet healthcare requirements, leading to heightened demand for GP appointments as restrictions were eased.</w:t>
      </w:r>
    </w:p>
    <w:p w14:paraId="6C8ED7D0" w14:textId="6D789F8B" w:rsidR="00C93667" w:rsidRPr="009845AF" w:rsidRDefault="00FC23CB" w:rsidP="00F44FEB">
      <w:pPr>
        <w:rPr>
          <w:rFonts w:ascii="Arial" w:hAnsi="Arial" w:cs="Arial"/>
          <w:sz w:val="22"/>
          <w:szCs w:val="22"/>
        </w:rPr>
      </w:pPr>
      <w:r w:rsidRPr="00FC23CB">
        <w:rPr>
          <w:rFonts w:ascii="Arial" w:hAnsi="Arial" w:cs="Arial"/>
          <w:sz w:val="22"/>
          <w:szCs w:val="22"/>
          <w:lang w:val="en-US"/>
        </w:rPr>
        <w:t>Extended waiting times can have significant repercussions for both patients and healthcare systems. Delays in obtaining primary care may result in the worsening of existing health issues, postponed diagnoses of serious conditions, increased anxiety, and diminished patient trust in healthcare services. In instances where timely GP appointments are not available, some patients resort to seeking treatment at urgent care centers or emergency departments for issues that could have been addressed within primary care, thereby intensifying pressure on the broader NHS</w:t>
      </w:r>
      <w:r w:rsidR="009845AF" w:rsidRPr="009845AF">
        <w:rPr>
          <w:rFonts w:ascii="Times New Roman" w:eastAsia="Times New Roman" w:hAnsi="Times New Roman" w:cs="Times New Roman"/>
          <w:kern w:val="0"/>
          <w:lang w:eastAsia="en-GB"/>
          <w14:ligatures w14:val="none"/>
        </w:rPr>
        <w:t xml:space="preserve"> </w:t>
      </w:r>
      <w:r w:rsidR="009845AF" w:rsidRPr="009845AF">
        <w:rPr>
          <w:rFonts w:ascii="Arial" w:hAnsi="Arial" w:cs="Arial"/>
          <w:b/>
          <w:bCs/>
          <w:sz w:val="22"/>
          <w:szCs w:val="22"/>
        </w:rPr>
        <w:t>(Limiri, 2025)</w:t>
      </w:r>
      <w:r w:rsidRPr="00CF1F43">
        <w:rPr>
          <w:rFonts w:ascii="Arial" w:hAnsi="Arial" w:cs="Arial"/>
          <w:sz w:val="22"/>
          <w:szCs w:val="22"/>
          <w:lang w:val="en-US"/>
        </w:rPr>
        <w:t>.</w:t>
      </w:r>
      <w:r w:rsidRPr="00FC23CB">
        <w:rPr>
          <w:rFonts w:ascii="Arial" w:hAnsi="Arial" w:cs="Arial"/>
          <w:sz w:val="22"/>
          <w:szCs w:val="22"/>
          <w:lang w:val="en-US"/>
        </w:rPr>
        <w:t xml:space="preserve"> These challenges illustrate that waiting times serve not only as an indicator of service efficiency but also as a crucial factor influencing healthcare quality and patient outcomes.</w:t>
      </w:r>
    </w:p>
    <w:p w14:paraId="5C80C413" w14:textId="0578B642" w:rsidR="0088076C" w:rsidRDefault="007A4565" w:rsidP="00F44FEB">
      <w:pPr>
        <w:rPr>
          <w:rFonts w:ascii="Arial" w:hAnsi="Arial" w:cs="Arial"/>
          <w:sz w:val="22"/>
          <w:szCs w:val="22"/>
          <w:lang w:val="en-US"/>
        </w:rPr>
      </w:pPr>
      <w:r w:rsidRPr="007A4565">
        <w:rPr>
          <w:rFonts w:ascii="Arial" w:hAnsi="Arial" w:cs="Arial"/>
          <w:sz w:val="22"/>
          <w:szCs w:val="22"/>
          <w:lang w:val="en-US"/>
        </w:rPr>
        <w:t>Considering the intricate factors that lead to extended waiting times for general practitioners, it is essential to conduct a thorough examination of the existing evidence. A scoping review serves as a suitable method for outlining the current literature, pinpointing common themes, and revealing areas where knowledge is lacking. The results of this review will enhance our understanding of the reasons behind and effects of waiting times in UK general practice, thereby aiding in the formulation of evidence-based suggestions to enhance access to primary care services.</w:t>
      </w:r>
      <w:r w:rsidR="00622E5C">
        <w:rPr>
          <w:rFonts w:ascii="Arial" w:hAnsi="Arial" w:cs="Arial"/>
          <w:sz w:val="22"/>
          <w:szCs w:val="22"/>
          <w:lang w:val="en-US"/>
        </w:rPr>
        <w:t xml:space="preserve"> </w:t>
      </w:r>
    </w:p>
    <w:p w14:paraId="0185CD72" w14:textId="77777777" w:rsidR="00764F39" w:rsidRDefault="00764F39" w:rsidP="00F44FEB">
      <w:pPr>
        <w:rPr>
          <w:rFonts w:ascii="Arial" w:hAnsi="Arial" w:cs="Arial"/>
          <w:sz w:val="22"/>
          <w:szCs w:val="22"/>
          <w:lang w:val="en-US"/>
        </w:rPr>
      </w:pPr>
    </w:p>
    <w:p w14:paraId="4D51596C" w14:textId="6276659D" w:rsidR="00764F39" w:rsidRPr="008A5A7E" w:rsidRDefault="007B26F8" w:rsidP="00F44FEB">
      <w:pPr>
        <w:rPr>
          <w:rFonts w:ascii="Arial" w:hAnsi="Arial" w:cs="Arial"/>
          <w:b/>
          <w:bCs/>
          <w:sz w:val="22"/>
          <w:szCs w:val="22"/>
          <w:u w:val="single"/>
          <w:lang w:val="en-US"/>
        </w:rPr>
      </w:pPr>
      <w:r w:rsidRPr="008A5A7E">
        <w:rPr>
          <w:rFonts w:ascii="Arial" w:hAnsi="Arial" w:cs="Arial"/>
          <w:b/>
          <w:bCs/>
          <w:sz w:val="22"/>
          <w:szCs w:val="22"/>
          <w:u w:val="single"/>
          <w:lang w:val="en-US"/>
        </w:rPr>
        <w:t>M</w:t>
      </w:r>
      <w:r w:rsidR="00083F25" w:rsidRPr="008A5A7E">
        <w:rPr>
          <w:rFonts w:ascii="Arial" w:hAnsi="Arial" w:cs="Arial"/>
          <w:b/>
          <w:bCs/>
          <w:sz w:val="22"/>
          <w:szCs w:val="22"/>
          <w:u w:val="single"/>
          <w:lang w:val="en-US"/>
        </w:rPr>
        <w:t>ethods</w:t>
      </w:r>
      <w:r w:rsidR="006116EE" w:rsidRPr="008A5A7E">
        <w:rPr>
          <w:rFonts w:ascii="Arial" w:hAnsi="Arial" w:cs="Arial"/>
          <w:b/>
          <w:bCs/>
          <w:sz w:val="22"/>
          <w:szCs w:val="22"/>
          <w:u w:val="single"/>
          <w:lang w:val="en-US"/>
        </w:rPr>
        <w:t>:</w:t>
      </w:r>
    </w:p>
    <w:p w14:paraId="55F8946A" w14:textId="77777777" w:rsidR="00062266" w:rsidRPr="00062266" w:rsidRDefault="00062266" w:rsidP="00062266">
      <w:pPr>
        <w:rPr>
          <w:rFonts w:ascii="Arial" w:hAnsi="Arial" w:cs="Arial"/>
          <w:sz w:val="22"/>
          <w:szCs w:val="22"/>
          <w:lang w:val="en-US"/>
        </w:rPr>
      </w:pPr>
      <w:r w:rsidRPr="00062266">
        <w:rPr>
          <w:rFonts w:ascii="Arial" w:hAnsi="Arial" w:cs="Arial"/>
          <w:sz w:val="22"/>
          <w:szCs w:val="22"/>
          <w:lang w:val="en-US"/>
        </w:rPr>
        <w:t>This research utilized a scoping review methodology to investigate the evidence related to the factors that lead to extended waiting times in UK general practice, as well as their impact on patients and healthcare services.</w:t>
      </w:r>
    </w:p>
    <w:p w14:paraId="28E5B363" w14:textId="3BB882D4" w:rsidR="00062266" w:rsidRPr="00CF1F43" w:rsidRDefault="00062266" w:rsidP="00062266">
      <w:pPr>
        <w:rPr>
          <w:rFonts w:ascii="Arial" w:hAnsi="Arial" w:cs="Arial"/>
          <w:sz w:val="22"/>
          <w:szCs w:val="22"/>
        </w:rPr>
      </w:pPr>
      <w:r w:rsidRPr="00062266">
        <w:rPr>
          <w:rFonts w:ascii="Arial" w:hAnsi="Arial" w:cs="Arial"/>
          <w:sz w:val="22"/>
          <w:szCs w:val="22"/>
          <w:lang w:val="en-US"/>
        </w:rPr>
        <w:t>A scoping review was deemed the most suitable method because it allows researchers to outline the range of existing evidence, pinpoint essential concepts, and reveal gaps in literature, especially when exploring intricate healthcare issues</w:t>
      </w:r>
      <w:r w:rsidR="00CF1F43" w:rsidRPr="00CF1F43">
        <w:rPr>
          <w:rFonts w:ascii="Times New Roman" w:eastAsia="Times New Roman" w:hAnsi="Times New Roman" w:cs="Times New Roman"/>
          <w:kern w:val="0"/>
          <w:lang w:eastAsia="en-GB"/>
          <w14:ligatures w14:val="none"/>
        </w:rPr>
        <w:t xml:space="preserve"> </w:t>
      </w:r>
      <w:r w:rsidR="00CF1F43" w:rsidRPr="00CF1F43">
        <w:rPr>
          <w:rFonts w:ascii="Arial" w:hAnsi="Arial" w:cs="Arial"/>
          <w:b/>
          <w:bCs/>
          <w:sz w:val="22"/>
          <w:szCs w:val="22"/>
        </w:rPr>
        <w:t>(Khalil et al., 2025)</w:t>
      </w:r>
      <w:r w:rsidRPr="00062266">
        <w:rPr>
          <w:rFonts w:ascii="Arial" w:hAnsi="Arial" w:cs="Arial"/>
          <w:sz w:val="22"/>
          <w:szCs w:val="22"/>
          <w:lang w:val="en-US"/>
        </w:rPr>
        <w:t xml:space="preserve">. In </w:t>
      </w:r>
      <w:r w:rsidRPr="00062266">
        <w:rPr>
          <w:rFonts w:ascii="Arial" w:hAnsi="Arial" w:cs="Arial"/>
          <w:sz w:val="22"/>
          <w:szCs w:val="22"/>
          <w:lang w:val="en-US"/>
        </w:rPr>
        <w:lastRenderedPageBreak/>
        <w:t>contrast to a systematic review, a scoping review aims to present an overview of the available evidence rather than evaluate the effectiveness of a specific intervention.</w:t>
      </w:r>
    </w:p>
    <w:p w14:paraId="2336F04C" w14:textId="77777777" w:rsidR="00C51CCF" w:rsidRDefault="00062266" w:rsidP="00F44FEB">
      <w:pPr>
        <w:rPr>
          <w:rFonts w:ascii="Arial" w:hAnsi="Arial" w:cs="Arial"/>
          <w:sz w:val="22"/>
          <w:szCs w:val="22"/>
          <w:lang w:val="en-US"/>
        </w:rPr>
      </w:pPr>
      <w:r w:rsidRPr="00062266">
        <w:rPr>
          <w:rFonts w:ascii="Arial" w:hAnsi="Arial" w:cs="Arial"/>
          <w:sz w:val="22"/>
          <w:szCs w:val="22"/>
          <w:lang w:val="en-US"/>
        </w:rPr>
        <w:t xml:space="preserve">The review adhered to the Preferred Reporting Items for Systematic Reviews and Meta-Analyses Extension for Scoping Reviews (PRISMA-ScR) guidelines to maintain transparency and consistency throughout the review process </w:t>
      </w:r>
      <w:r w:rsidRPr="00EB5216">
        <w:rPr>
          <w:rFonts w:ascii="Arial" w:hAnsi="Arial" w:cs="Arial"/>
          <w:b/>
          <w:color w:val="000000" w:themeColor="text1"/>
          <w:sz w:val="22"/>
          <w:szCs w:val="22"/>
          <w:lang w:val="en-US"/>
        </w:rPr>
        <w:t>(Tricco et al., 2018)</w:t>
      </w:r>
      <w:r w:rsidRPr="00EB5216">
        <w:rPr>
          <w:rFonts w:ascii="Arial" w:hAnsi="Arial" w:cs="Arial"/>
          <w:color w:val="000000" w:themeColor="text1"/>
          <w:sz w:val="22"/>
          <w:szCs w:val="22"/>
          <w:lang w:val="en-US"/>
        </w:rPr>
        <w:t xml:space="preserve">. </w:t>
      </w:r>
      <w:r w:rsidRPr="00062266">
        <w:rPr>
          <w:rFonts w:ascii="Arial" w:hAnsi="Arial" w:cs="Arial"/>
          <w:sz w:val="22"/>
          <w:szCs w:val="22"/>
          <w:lang w:val="en-US"/>
        </w:rPr>
        <w:t>The</w:t>
      </w:r>
    </w:p>
    <w:p w14:paraId="752BA565" w14:textId="1123BDD9" w:rsidR="00622E5C" w:rsidRDefault="00062266" w:rsidP="00F44FEB">
      <w:pPr>
        <w:rPr>
          <w:rFonts w:ascii="Arial" w:hAnsi="Arial" w:cs="Arial"/>
          <w:sz w:val="22"/>
          <w:szCs w:val="22"/>
          <w:lang w:val="en-US"/>
        </w:rPr>
      </w:pPr>
      <w:r w:rsidRPr="00062266">
        <w:rPr>
          <w:rFonts w:ascii="Arial" w:hAnsi="Arial" w:cs="Arial"/>
          <w:sz w:val="22"/>
          <w:szCs w:val="22"/>
          <w:lang w:val="en-US"/>
        </w:rPr>
        <w:t>review process included identifying pertinent studies, screening titles and abstracts, evaluating full-text articles against established eligibility criteria, and extracting data for thematic analysis.</w:t>
      </w:r>
    </w:p>
    <w:p w14:paraId="7826A906" w14:textId="77777777" w:rsidR="00BB422A" w:rsidRPr="00BB422A" w:rsidRDefault="00BB422A" w:rsidP="00BB422A">
      <w:pPr>
        <w:rPr>
          <w:rFonts w:ascii="Arial" w:hAnsi="Arial" w:cs="Arial"/>
          <w:sz w:val="22"/>
          <w:szCs w:val="22"/>
          <w:lang w:val="en-US"/>
        </w:rPr>
      </w:pPr>
      <w:r w:rsidRPr="00BB422A">
        <w:rPr>
          <w:rFonts w:ascii="Arial" w:hAnsi="Arial" w:cs="Arial"/>
          <w:sz w:val="22"/>
          <w:szCs w:val="22"/>
          <w:lang w:val="en-US"/>
        </w:rPr>
        <w:t>A thorough literature search was performed utilizing four electronic databases: PubMed, CINAHL, MEDLINE, and Google Scholar.</w:t>
      </w:r>
    </w:p>
    <w:p w14:paraId="7868B4F7" w14:textId="5BD14AFE" w:rsidR="00BB422A" w:rsidRPr="00BB422A" w:rsidRDefault="00BB422A" w:rsidP="00BB422A">
      <w:pPr>
        <w:rPr>
          <w:rFonts w:ascii="Arial" w:hAnsi="Arial" w:cs="Arial"/>
          <w:sz w:val="22"/>
          <w:szCs w:val="22"/>
          <w:lang w:val="en-US"/>
        </w:rPr>
      </w:pPr>
      <w:r w:rsidRPr="00BB422A">
        <w:rPr>
          <w:rFonts w:ascii="Arial" w:hAnsi="Arial" w:cs="Arial"/>
          <w:sz w:val="22"/>
          <w:szCs w:val="22"/>
          <w:lang w:val="en-US"/>
        </w:rPr>
        <w:t xml:space="preserve">These databases were chosen due to their indexing of high-quality healthcare and primary care research pertinent to the review question. The </w:t>
      </w:r>
      <w:r w:rsidR="00AD4C35" w:rsidRPr="00BB422A">
        <w:rPr>
          <w:rFonts w:ascii="Arial" w:hAnsi="Arial" w:cs="Arial"/>
          <w:sz w:val="22"/>
          <w:szCs w:val="22"/>
          <w:lang w:val="en-US"/>
        </w:rPr>
        <w:t>research was</w:t>
      </w:r>
      <w:r w:rsidRPr="00BB422A">
        <w:rPr>
          <w:rFonts w:ascii="Arial" w:hAnsi="Arial" w:cs="Arial"/>
          <w:sz w:val="22"/>
          <w:szCs w:val="22"/>
          <w:lang w:val="en-US"/>
        </w:rPr>
        <w:t xml:space="preserve"> restricted to studies published from 2019 to 2024 to ensure that the evidence addresses current issues within UK general practice, particularly the effects of the COVID-19 pandemic on service delivery. Only studies published in English were considered.</w:t>
      </w:r>
    </w:p>
    <w:p w14:paraId="67C6636D" w14:textId="77777777" w:rsidR="00062266" w:rsidRDefault="00BB422A" w:rsidP="00F44FEB">
      <w:pPr>
        <w:rPr>
          <w:rFonts w:ascii="Arial" w:hAnsi="Arial" w:cs="Arial"/>
          <w:sz w:val="22"/>
          <w:szCs w:val="22"/>
          <w:lang w:val="en-US"/>
        </w:rPr>
      </w:pPr>
      <w:r w:rsidRPr="00BB422A">
        <w:rPr>
          <w:rFonts w:ascii="Arial" w:hAnsi="Arial" w:cs="Arial"/>
          <w:sz w:val="22"/>
          <w:szCs w:val="22"/>
          <w:lang w:val="en-US"/>
        </w:rPr>
        <w:t>The search strategy integrated keywords and Boolean operators to enhance the retrieval of pertinent literature. The primary search terms included "GP waiting times," "general practice," "primary care," "appointment delays," "patient access," "United Kingdom," "workforce shortages," and "NHS." Boolean operators such as AND and OR were employed to merge search terms and increase search sensitivity. Additionally, reference lists of relevant studies were examined to discover any further eligible articles.</w:t>
      </w:r>
    </w:p>
    <w:p w14:paraId="4A68825E" w14:textId="77777777" w:rsidR="00EC3BB7" w:rsidRPr="00EC3BB7" w:rsidRDefault="00EC3BB7" w:rsidP="00EC3BB7">
      <w:pPr>
        <w:rPr>
          <w:rFonts w:ascii="Arial" w:hAnsi="Arial" w:cs="Arial"/>
          <w:sz w:val="22"/>
          <w:szCs w:val="22"/>
          <w:lang w:val="en-US"/>
        </w:rPr>
      </w:pPr>
      <w:r w:rsidRPr="00EC3BB7">
        <w:rPr>
          <w:rFonts w:ascii="Arial" w:hAnsi="Arial" w:cs="Arial"/>
          <w:sz w:val="22"/>
          <w:szCs w:val="22"/>
          <w:lang w:val="en-US"/>
        </w:rPr>
        <w:t>Clear criteria for inclusion and exclusion were defined prior to the literature search to maintain consistency in the selection of studies. Studies were included if they were peer-reviewed journal articles, concentrated on UK general practice, examined factors influencing GP waiting times or their effects on patients and healthcare services, and were published between 2019 and 2024. Excluded were studies conducted outside the UK, conference abstracts, opinion pieces, editorials, grey literature, and publications not available in English.</w:t>
      </w:r>
    </w:p>
    <w:p w14:paraId="126BE043" w14:textId="77777777" w:rsidR="00EC3BB7" w:rsidRPr="00EC3BB7" w:rsidRDefault="00EC3BB7" w:rsidP="00EC3BB7">
      <w:pPr>
        <w:rPr>
          <w:rFonts w:ascii="Arial" w:hAnsi="Arial" w:cs="Arial"/>
          <w:sz w:val="22"/>
          <w:szCs w:val="22"/>
          <w:lang w:val="en-US"/>
        </w:rPr>
      </w:pPr>
      <w:r w:rsidRPr="00EC3BB7">
        <w:rPr>
          <w:rFonts w:ascii="Arial" w:hAnsi="Arial" w:cs="Arial"/>
          <w:sz w:val="22"/>
          <w:szCs w:val="22"/>
          <w:lang w:val="en-US"/>
        </w:rPr>
        <w:t>Data extraction from the selected studies was performed using a structured data extraction table. The information gathered included the author, year of publication, study design, study population, objectives, key findings, and conclusions. This method facilitated comparisons among studies and aided in identifying recurring patterns within the evidence.</w:t>
      </w:r>
    </w:p>
    <w:p w14:paraId="7A6E1BFA" w14:textId="77777777" w:rsidR="00EC3BB7" w:rsidRPr="00EC3BB7" w:rsidRDefault="00EC3BB7" w:rsidP="00EC3BB7">
      <w:pPr>
        <w:rPr>
          <w:rFonts w:ascii="Arial" w:hAnsi="Arial" w:cs="Arial"/>
          <w:sz w:val="22"/>
          <w:szCs w:val="22"/>
          <w:lang w:val="en-US"/>
        </w:rPr>
      </w:pPr>
      <w:r w:rsidRPr="00EC3BB7">
        <w:rPr>
          <w:rFonts w:ascii="Arial" w:hAnsi="Arial" w:cs="Arial"/>
          <w:sz w:val="22"/>
          <w:szCs w:val="22"/>
          <w:lang w:val="en-US"/>
        </w:rPr>
        <w:t>A thematic analysis was conducted to synthesize the findings from the included studies. After multiple readings of each article, key findings were coded and organized into broader themes. This process revealed common factors that contribute to extended waiting times, their impacts on patients and healthcare services, and proposed strategies for enhancing access to general practice. The themes derived from this analysis are detailed in the Results section.</w:t>
      </w:r>
    </w:p>
    <w:p w14:paraId="2643669B" w14:textId="65C2BA33" w:rsidR="00EC3BB7" w:rsidRDefault="00EC3BB7" w:rsidP="00F44FEB">
      <w:pPr>
        <w:rPr>
          <w:rFonts w:ascii="Arial" w:hAnsi="Arial" w:cs="Arial"/>
          <w:sz w:val="22"/>
          <w:szCs w:val="22"/>
          <w:lang w:val="en-US"/>
        </w:rPr>
      </w:pPr>
      <w:r w:rsidRPr="00EC3BB7">
        <w:rPr>
          <w:rFonts w:ascii="Arial" w:hAnsi="Arial" w:cs="Arial"/>
          <w:sz w:val="22"/>
          <w:szCs w:val="22"/>
          <w:lang w:val="en-US"/>
        </w:rPr>
        <w:t>Since this study relied exclusively on published literature, ethical approval was not necessary. However, the review adhered to the principles of academic integrity, which included accurate reporting of findings, proper acknowledgment of sources through Harvard referencing, and an objective presentation of the available evidence.</w:t>
      </w:r>
    </w:p>
    <w:p w14:paraId="2C52CAF7" w14:textId="77777777" w:rsidR="006E4685" w:rsidRDefault="006E4685" w:rsidP="00F44FEB">
      <w:pPr>
        <w:rPr>
          <w:rFonts w:ascii="Arial" w:hAnsi="Arial" w:cs="Arial"/>
          <w:sz w:val="22"/>
          <w:szCs w:val="22"/>
          <w:lang w:val="en-US"/>
        </w:rPr>
      </w:pPr>
    </w:p>
    <w:p w14:paraId="14F35F7E" w14:textId="77777777" w:rsidR="008D59D0" w:rsidRDefault="008D59D0" w:rsidP="00F44FEB">
      <w:pPr>
        <w:rPr>
          <w:rFonts w:ascii="Arial" w:hAnsi="Arial" w:cs="Arial"/>
          <w:b/>
          <w:bCs/>
          <w:sz w:val="22"/>
          <w:szCs w:val="22"/>
          <w:u w:val="single"/>
          <w:lang w:val="en-US"/>
        </w:rPr>
      </w:pPr>
    </w:p>
    <w:p w14:paraId="539F0ECC" w14:textId="629F5100" w:rsidR="004001F4" w:rsidRPr="004F7219" w:rsidRDefault="00061806" w:rsidP="00F44FEB">
      <w:pPr>
        <w:rPr>
          <w:rFonts w:ascii="Arial" w:hAnsi="Arial" w:cs="Arial"/>
          <w:b/>
          <w:bCs/>
          <w:sz w:val="22"/>
          <w:szCs w:val="22"/>
          <w:u w:val="single"/>
          <w:lang w:val="en-US"/>
        </w:rPr>
      </w:pPr>
      <w:r w:rsidRPr="004F7219">
        <w:rPr>
          <w:rFonts w:ascii="Arial" w:hAnsi="Arial" w:cs="Arial"/>
          <w:b/>
          <w:bCs/>
          <w:sz w:val="22"/>
          <w:szCs w:val="22"/>
          <w:u w:val="single"/>
          <w:lang w:val="en-US"/>
        </w:rPr>
        <w:t>R</w:t>
      </w:r>
      <w:r w:rsidR="00964C07" w:rsidRPr="004F7219">
        <w:rPr>
          <w:rFonts w:ascii="Arial" w:hAnsi="Arial" w:cs="Arial"/>
          <w:b/>
          <w:bCs/>
          <w:sz w:val="22"/>
          <w:szCs w:val="22"/>
          <w:u w:val="single"/>
          <w:lang w:val="en-US"/>
        </w:rPr>
        <w:t>e</w:t>
      </w:r>
      <w:r w:rsidR="00DE66AD" w:rsidRPr="004F7219">
        <w:rPr>
          <w:rFonts w:ascii="Arial" w:hAnsi="Arial" w:cs="Arial"/>
          <w:b/>
          <w:bCs/>
          <w:sz w:val="22"/>
          <w:szCs w:val="22"/>
          <w:u w:val="single"/>
          <w:lang w:val="en-US"/>
        </w:rPr>
        <w:t>sults</w:t>
      </w:r>
      <w:r w:rsidRPr="004F7219">
        <w:rPr>
          <w:rFonts w:ascii="Arial" w:hAnsi="Arial" w:cs="Arial"/>
          <w:b/>
          <w:bCs/>
          <w:sz w:val="22"/>
          <w:szCs w:val="22"/>
          <w:u w:val="single"/>
          <w:lang w:val="en-US"/>
        </w:rPr>
        <w:t>:</w:t>
      </w:r>
    </w:p>
    <w:p w14:paraId="15B610F5" w14:textId="77777777" w:rsidR="00897D1E" w:rsidRPr="00897D1E" w:rsidRDefault="00897D1E" w:rsidP="00897D1E">
      <w:pPr>
        <w:rPr>
          <w:rFonts w:ascii="Arial" w:hAnsi="Arial" w:cs="Arial"/>
          <w:b/>
          <w:bCs/>
          <w:sz w:val="22"/>
          <w:szCs w:val="22"/>
          <w:u w:val="single"/>
          <w:lang w:val="en-US"/>
        </w:rPr>
      </w:pPr>
      <w:r w:rsidRPr="00897D1E">
        <w:rPr>
          <w:rFonts w:ascii="Arial" w:hAnsi="Arial" w:cs="Arial"/>
          <w:b/>
          <w:bCs/>
          <w:sz w:val="22"/>
          <w:szCs w:val="22"/>
          <w:u w:val="single"/>
          <w:lang w:val="en-US"/>
        </w:rPr>
        <w:t>Study Characteristics</w:t>
      </w:r>
    </w:p>
    <w:p w14:paraId="312CC695" w14:textId="79F61383" w:rsidR="009B5AEC" w:rsidRDefault="00897D1E" w:rsidP="009B5AEC">
      <w:pPr>
        <w:rPr>
          <w:rFonts w:ascii="Arial" w:hAnsi="Arial" w:cs="Arial"/>
          <w:sz w:val="22"/>
          <w:szCs w:val="22"/>
          <w:lang w:val="en-US"/>
        </w:rPr>
      </w:pPr>
      <w:r w:rsidRPr="006D77C8">
        <w:rPr>
          <w:rFonts w:ascii="Arial" w:hAnsi="Arial" w:cs="Arial"/>
          <w:sz w:val="22"/>
          <w:szCs w:val="22"/>
          <w:lang w:val="en-US"/>
        </w:rPr>
        <w:t xml:space="preserve">After conducting </w:t>
      </w:r>
      <w:r w:rsidR="00915A6F" w:rsidRPr="006D77C8">
        <w:rPr>
          <w:rFonts w:ascii="Arial" w:hAnsi="Arial" w:cs="Arial"/>
          <w:sz w:val="22"/>
          <w:szCs w:val="22"/>
          <w:lang w:val="en-US"/>
        </w:rPr>
        <w:t>database</w:t>
      </w:r>
      <w:r w:rsidRPr="006D77C8">
        <w:rPr>
          <w:rFonts w:ascii="Arial" w:hAnsi="Arial" w:cs="Arial"/>
          <w:sz w:val="22"/>
          <w:szCs w:val="22"/>
          <w:lang w:val="en-US"/>
        </w:rPr>
        <w:t xml:space="preserve"> search and screening, six peer-reviewed studies were identified that met the inclusion criteria for this scoping review. These studies, published between 2021 and 2024, examined various aspects of access to general practice in the UK, such as appointment availability, workforce challenges, patient experiences, and modifications in primary care delivery due to the COVID-19 pandemic. </w:t>
      </w:r>
      <w:r w:rsidR="0094424D" w:rsidRPr="006D77C8">
        <w:rPr>
          <w:rFonts w:ascii="Arial" w:hAnsi="Arial" w:cs="Arial"/>
          <w:sz w:val="22"/>
          <w:szCs w:val="22"/>
          <w:lang w:val="en-US"/>
        </w:rPr>
        <w:t>Ma</w:t>
      </w:r>
      <w:r w:rsidR="0094424D">
        <w:rPr>
          <w:rFonts w:ascii="Arial" w:hAnsi="Arial" w:cs="Arial"/>
          <w:sz w:val="22"/>
          <w:szCs w:val="22"/>
          <w:lang w:val="en-US"/>
        </w:rPr>
        <w:t>jority</w:t>
      </w:r>
      <w:r w:rsidR="00AD5F0D">
        <w:rPr>
          <w:rFonts w:ascii="Arial" w:hAnsi="Arial" w:cs="Arial"/>
          <w:sz w:val="22"/>
          <w:szCs w:val="22"/>
          <w:lang w:val="en-US"/>
        </w:rPr>
        <w:t xml:space="preserve"> </w:t>
      </w:r>
      <w:r w:rsidR="00AD5F0D" w:rsidRPr="006D77C8">
        <w:rPr>
          <w:rFonts w:ascii="Arial" w:hAnsi="Arial" w:cs="Arial"/>
          <w:sz w:val="22"/>
          <w:szCs w:val="22"/>
          <w:lang w:val="en-US"/>
        </w:rPr>
        <w:t>of</w:t>
      </w:r>
      <w:r w:rsidRPr="006D77C8">
        <w:rPr>
          <w:rFonts w:ascii="Arial" w:hAnsi="Arial" w:cs="Arial"/>
          <w:sz w:val="22"/>
          <w:szCs w:val="22"/>
          <w:lang w:val="en-US"/>
        </w:rPr>
        <w:t xml:space="preserve"> the studies employed either observational or qualitative research methodologies, while one study served as a scoping review of access systems in general practice. Together, these studies indicated that extended waiting times are affected by a range of interacting factors rather than a singular cause.</w:t>
      </w:r>
    </w:p>
    <w:p w14:paraId="674494E4" w14:textId="3630ECB7" w:rsidR="009B5AEC" w:rsidRDefault="009B5AEC" w:rsidP="009B5AEC">
      <w:pPr>
        <w:rPr>
          <w:rFonts w:ascii="Arial" w:hAnsi="Arial" w:cs="Arial"/>
          <w:b/>
          <w:sz w:val="22"/>
          <w:szCs w:val="22"/>
          <w:u w:val="single"/>
          <w:lang w:val="en-US"/>
        </w:rPr>
      </w:pPr>
      <w:r w:rsidRPr="000C3B4E">
        <w:rPr>
          <w:rFonts w:ascii="Arial" w:hAnsi="Arial" w:cs="Arial"/>
          <w:b/>
          <w:sz w:val="22"/>
          <w:szCs w:val="22"/>
          <w:u w:val="single"/>
          <w:lang w:val="en-US"/>
        </w:rPr>
        <w:t>Table 1</w:t>
      </w:r>
      <w:r w:rsidR="00AD388D" w:rsidRPr="000C3B4E">
        <w:rPr>
          <w:rFonts w:ascii="Arial" w:hAnsi="Arial" w:cs="Arial"/>
          <w:b/>
          <w:sz w:val="22"/>
          <w:szCs w:val="22"/>
          <w:u w:val="single"/>
          <w:lang w:val="en-US"/>
        </w:rPr>
        <w:t>: characteristics of included studies</w:t>
      </w:r>
      <w:r w:rsidR="000C3B4E">
        <w:rPr>
          <w:rFonts w:ascii="Arial" w:hAnsi="Arial" w:cs="Arial"/>
          <w:b/>
          <w:bCs/>
          <w:sz w:val="22"/>
          <w:szCs w:val="22"/>
          <w:u w:val="single"/>
          <w:lang w:val="en-US"/>
        </w:rPr>
        <w:t>:</w:t>
      </w:r>
    </w:p>
    <w:tbl>
      <w:tblPr>
        <w:tblStyle w:val="TableGrid"/>
        <w:tblW w:w="9493" w:type="dxa"/>
        <w:tblLook w:val="04A0" w:firstRow="1" w:lastRow="0" w:firstColumn="1" w:lastColumn="0" w:noHBand="0" w:noVBand="1"/>
      </w:tblPr>
      <w:tblGrid>
        <w:gridCol w:w="2484"/>
        <w:gridCol w:w="2484"/>
        <w:gridCol w:w="2484"/>
        <w:gridCol w:w="1898"/>
        <w:gridCol w:w="143"/>
      </w:tblGrid>
      <w:tr w:rsidR="00715CB4" w14:paraId="4357D49A" w14:textId="77777777" w:rsidTr="00F53BE3">
        <w:trPr>
          <w:trHeight w:val="1436"/>
        </w:trPr>
        <w:tc>
          <w:tcPr>
            <w:tcW w:w="2484" w:type="dxa"/>
          </w:tcPr>
          <w:p w14:paraId="5167B4C7" w14:textId="77777777" w:rsidR="00715CB4" w:rsidRDefault="004C34A2" w:rsidP="007E7B0A">
            <w:pPr>
              <w:rPr>
                <w:rFonts w:ascii="Arial" w:hAnsi="Arial" w:cs="Arial"/>
                <w:b/>
                <w:bCs/>
                <w:sz w:val="22"/>
                <w:szCs w:val="22"/>
                <w:u w:val="single"/>
                <w:lang w:val="en-US"/>
              </w:rPr>
            </w:pPr>
            <w:r>
              <w:rPr>
                <w:rFonts w:ascii="Arial" w:hAnsi="Arial" w:cs="Arial"/>
                <w:b/>
                <w:bCs/>
                <w:sz w:val="22"/>
                <w:szCs w:val="22"/>
                <w:u w:val="single"/>
                <w:lang w:val="en-US"/>
              </w:rPr>
              <w:t>Author (year)</w:t>
            </w:r>
            <w:r w:rsidR="008173F8">
              <w:rPr>
                <w:rFonts w:ascii="Arial" w:hAnsi="Arial" w:cs="Arial"/>
                <w:b/>
                <w:bCs/>
                <w:sz w:val="22"/>
                <w:szCs w:val="22"/>
                <w:u w:val="single"/>
                <w:lang w:val="en-US"/>
              </w:rPr>
              <w:t>:</w:t>
            </w:r>
          </w:p>
          <w:p w14:paraId="13322F0E" w14:textId="204BC54C" w:rsidR="008173F8" w:rsidRDefault="008173F8" w:rsidP="007E7B0A">
            <w:pPr>
              <w:rPr>
                <w:rFonts w:ascii="Arial" w:hAnsi="Arial" w:cs="Arial"/>
                <w:b/>
                <w:bCs/>
                <w:sz w:val="22"/>
                <w:szCs w:val="22"/>
                <w:u w:val="single"/>
                <w:lang w:val="en-US"/>
              </w:rPr>
            </w:pPr>
          </w:p>
        </w:tc>
        <w:tc>
          <w:tcPr>
            <w:tcW w:w="2484" w:type="dxa"/>
          </w:tcPr>
          <w:p w14:paraId="0743EF86" w14:textId="186BFB03" w:rsidR="00715CB4" w:rsidRDefault="00456B4F" w:rsidP="007E7B0A">
            <w:pPr>
              <w:rPr>
                <w:rFonts w:ascii="Arial" w:hAnsi="Arial" w:cs="Arial"/>
                <w:b/>
                <w:bCs/>
                <w:sz w:val="22"/>
                <w:szCs w:val="22"/>
                <w:u w:val="single"/>
                <w:lang w:val="en-US"/>
              </w:rPr>
            </w:pPr>
            <w:r>
              <w:rPr>
                <w:rFonts w:ascii="Arial" w:hAnsi="Arial" w:cs="Arial"/>
                <w:b/>
                <w:bCs/>
                <w:sz w:val="22"/>
                <w:szCs w:val="22"/>
                <w:u w:val="single"/>
                <w:lang w:val="en-US"/>
              </w:rPr>
              <w:t>Study Design:</w:t>
            </w:r>
          </w:p>
        </w:tc>
        <w:tc>
          <w:tcPr>
            <w:tcW w:w="2484" w:type="dxa"/>
          </w:tcPr>
          <w:p w14:paraId="5448AD70" w14:textId="468A0486" w:rsidR="00715CB4" w:rsidRDefault="00196650" w:rsidP="007E7B0A">
            <w:pPr>
              <w:rPr>
                <w:rFonts w:ascii="Arial" w:hAnsi="Arial" w:cs="Arial"/>
                <w:b/>
                <w:bCs/>
                <w:sz w:val="22"/>
                <w:szCs w:val="22"/>
                <w:u w:val="single"/>
                <w:lang w:val="en-US"/>
              </w:rPr>
            </w:pPr>
            <w:r>
              <w:rPr>
                <w:rFonts w:ascii="Arial" w:hAnsi="Arial" w:cs="Arial"/>
                <w:b/>
                <w:bCs/>
                <w:sz w:val="22"/>
                <w:szCs w:val="22"/>
                <w:u w:val="single"/>
                <w:lang w:val="en-US"/>
              </w:rPr>
              <w:t>Study</w:t>
            </w:r>
            <w:r w:rsidR="003B414B">
              <w:rPr>
                <w:rFonts w:ascii="Arial" w:hAnsi="Arial" w:cs="Arial"/>
                <w:b/>
                <w:bCs/>
                <w:sz w:val="22"/>
                <w:szCs w:val="22"/>
                <w:u w:val="single"/>
                <w:lang w:val="en-US"/>
              </w:rPr>
              <w:t xml:space="preserve"> Aim</w:t>
            </w:r>
            <w:r w:rsidR="008173F8">
              <w:rPr>
                <w:rFonts w:ascii="Arial" w:hAnsi="Arial" w:cs="Arial"/>
                <w:b/>
                <w:bCs/>
                <w:sz w:val="22"/>
                <w:szCs w:val="22"/>
                <w:u w:val="single"/>
                <w:lang w:val="en-US"/>
              </w:rPr>
              <w:t>:</w:t>
            </w:r>
            <w:r>
              <w:rPr>
                <w:rFonts w:ascii="Arial" w:hAnsi="Arial" w:cs="Arial"/>
                <w:b/>
                <w:bCs/>
                <w:sz w:val="22"/>
                <w:szCs w:val="22"/>
                <w:u w:val="single"/>
                <w:lang w:val="en-US"/>
              </w:rPr>
              <w:t xml:space="preserve"> </w:t>
            </w:r>
          </w:p>
        </w:tc>
        <w:tc>
          <w:tcPr>
            <w:tcW w:w="2041" w:type="dxa"/>
            <w:gridSpan w:val="2"/>
          </w:tcPr>
          <w:p w14:paraId="03327FA7" w14:textId="497FD5BF" w:rsidR="00715CB4" w:rsidRDefault="007074AC" w:rsidP="007E7B0A">
            <w:pPr>
              <w:rPr>
                <w:rFonts w:ascii="Arial" w:hAnsi="Arial" w:cs="Arial"/>
                <w:b/>
                <w:bCs/>
                <w:sz w:val="22"/>
                <w:szCs w:val="22"/>
                <w:u w:val="single"/>
                <w:lang w:val="en-US"/>
              </w:rPr>
            </w:pPr>
            <w:r>
              <w:rPr>
                <w:rFonts w:ascii="Arial" w:hAnsi="Arial" w:cs="Arial"/>
                <w:b/>
                <w:bCs/>
                <w:sz w:val="22"/>
                <w:szCs w:val="22"/>
                <w:u w:val="single"/>
                <w:lang w:val="en-US"/>
              </w:rPr>
              <w:t>Key Findings</w:t>
            </w:r>
            <w:r w:rsidR="008173F8">
              <w:rPr>
                <w:rFonts w:ascii="Arial" w:hAnsi="Arial" w:cs="Arial"/>
                <w:b/>
                <w:bCs/>
                <w:sz w:val="22"/>
                <w:szCs w:val="22"/>
                <w:u w:val="single"/>
                <w:lang w:val="en-US"/>
              </w:rPr>
              <w:t>:</w:t>
            </w:r>
          </w:p>
        </w:tc>
      </w:tr>
      <w:tr w:rsidR="00715CB4" w14:paraId="273B3F2D" w14:textId="77777777" w:rsidTr="00F53BE3">
        <w:trPr>
          <w:trHeight w:val="1375"/>
        </w:trPr>
        <w:tc>
          <w:tcPr>
            <w:tcW w:w="2484" w:type="dxa"/>
          </w:tcPr>
          <w:p w14:paraId="1B83F4DC" w14:textId="1D46AECC" w:rsidR="00715CB4" w:rsidRPr="00EF61D3" w:rsidRDefault="002A61CB" w:rsidP="007E7B0A">
            <w:pPr>
              <w:rPr>
                <w:rFonts w:ascii="Arial" w:hAnsi="Arial" w:cs="Arial"/>
                <w:sz w:val="22"/>
                <w:szCs w:val="22"/>
                <w:lang w:val="en-US"/>
              </w:rPr>
            </w:pPr>
            <w:r>
              <w:rPr>
                <w:rFonts w:ascii="Arial" w:hAnsi="Arial" w:cs="Arial"/>
                <w:sz w:val="22"/>
                <w:szCs w:val="22"/>
                <w:lang w:val="en-US"/>
              </w:rPr>
              <w:t>Chappel et al.</w:t>
            </w:r>
            <w:r w:rsidR="0090546C">
              <w:rPr>
                <w:rFonts w:ascii="Arial" w:hAnsi="Arial" w:cs="Arial"/>
                <w:sz w:val="22"/>
                <w:szCs w:val="22"/>
                <w:lang w:val="en-US"/>
              </w:rPr>
              <w:t xml:space="preserve"> </w:t>
            </w:r>
            <w:r w:rsidR="0090546C" w:rsidRPr="0080673E">
              <w:rPr>
                <w:rFonts w:ascii="Arial" w:hAnsi="Arial" w:cs="Arial"/>
                <w:b/>
                <w:bCs/>
                <w:sz w:val="22"/>
                <w:szCs w:val="22"/>
                <w:lang w:val="en-US"/>
              </w:rPr>
              <w:t>(2023)</w:t>
            </w:r>
          </w:p>
        </w:tc>
        <w:tc>
          <w:tcPr>
            <w:tcW w:w="2484" w:type="dxa"/>
          </w:tcPr>
          <w:p w14:paraId="30556F65" w14:textId="2E46616E" w:rsidR="00715CB4" w:rsidRPr="0090546C" w:rsidRDefault="008D68A3" w:rsidP="007E7B0A">
            <w:pPr>
              <w:rPr>
                <w:rFonts w:ascii="Arial" w:hAnsi="Arial" w:cs="Arial"/>
                <w:sz w:val="22"/>
                <w:szCs w:val="22"/>
                <w:lang w:val="en-US"/>
              </w:rPr>
            </w:pPr>
            <w:r>
              <w:rPr>
                <w:rFonts w:ascii="Arial" w:hAnsi="Arial" w:cs="Arial"/>
                <w:sz w:val="22"/>
                <w:szCs w:val="22"/>
                <w:lang w:val="en-US"/>
              </w:rPr>
              <w:t>A retrospective repeated cross-</w:t>
            </w:r>
            <w:r w:rsidR="00BB3CAC">
              <w:rPr>
                <w:rFonts w:ascii="Arial" w:hAnsi="Arial" w:cs="Arial"/>
                <w:sz w:val="22"/>
                <w:szCs w:val="22"/>
                <w:lang w:val="en-US"/>
              </w:rPr>
              <w:t>sectional study</w:t>
            </w:r>
          </w:p>
        </w:tc>
        <w:tc>
          <w:tcPr>
            <w:tcW w:w="2484" w:type="dxa"/>
          </w:tcPr>
          <w:p w14:paraId="589F3681" w14:textId="3521D49A" w:rsidR="00715CB4" w:rsidRPr="00BB3CAC" w:rsidRDefault="00BB3CAC" w:rsidP="007E7B0A">
            <w:pPr>
              <w:rPr>
                <w:rFonts w:ascii="Arial" w:hAnsi="Arial" w:cs="Arial"/>
                <w:sz w:val="22"/>
                <w:szCs w:val="22"/>
                <w:lang w:val="en-US"/>
              </w:rPr>
            </w:pPr>
            <w:r>
              <w:rPr>
                <w:rFonts w:ascii="Arial" w:hAnsi="Arial" w:cs="Arial"/>
                <w:sz w:val="22"/>
                <w:szCs w:val="22"/>
                <w:lang w:val="en-US"/>
              </w:rPr>
              <w:t xml:space="preserve">To examine the </w:t>
            </w:r>
            <w:r w:rsidR="006D238C">
              <w:rPr>
                <w:rFonts w:ascii="Arial" w:hAnsi="Arial" w:cs="Arial"/>
                <w:sz w:val="22"/>
                <w:szCs w:val="22"/>
                <w:lang w:val="en-US"/>
              </w:rPr>
              <w:t>alterations</w:t>
            </w:r>
            <w:r w:rsidR="0071473C">
              <w:rPr>
                <w:rFonts w:ascii="Arial" w:hAnsi="Arial" w:cs="Arial"/>
                <w:sz w:val="22"/>
                <w:szCs w:val="22"/>
                <w:lang w:val="en-US"/>
              </w:rPr>
              <w:t xml:space="preserve"> in </w:t>
            </w:r>
            <w:r w:rsidR="00981FAB">
              <w:rPr>
                <w:rFonts w:ascii="Arial" w:hAnsi="Arial" w:cs="Arial"/>
                <w:sz w:val="22"/>
                <w:szCs w:val="22"/>
                <w:lang w:val="en-US"/>
              </w:rPr>
              <w:t xml:space="preserve">patient- initiated </w:t>
            </w:r>
            <w:r w:rsidR="00BE5C73">
              <w:rPr>
                <w:rFonts w:ascii="Arial" w:hAnsi="Arial" w:cs="Arial"/>
                <w:sz w:val="22"/>
                <w:szCs w:val="22"/>
                <w:lang w:val="en-US"/>
              </w:rPr>
              <w:t xml:space="preserve">demand and accessibility to general </w:t>
            </w:r>
            <w:r w:rsidR="003F2ECC">
              <w:rPr>
                <w:rFonts w:ascii="Arial" w:hAnsi="Arial" w:cs="Arial"/>
                <w:sz w:val="22"/>
                <w:szCs w:val="22"/>
                <w:lang w:val="en-US"/>
              </w:rPr>
              <w:t>practice in England from 2019-2022</w:t>
            </w:r>
          </w:p>
        </w:tc>
        <w:tc>
          <w:tcPr>
            <w:tcW w:w="2041" w:type="dxa"/>
            <w:gridSpan w:val="2"/>
          </w:tcPr>
          <w:p w14:paraId="6EFAD145" w14:textId="08311E4E" w:rsidR="00715CB4" w:rsidRPr="003B414B" w:rsidRDefault="0080673E" w:rsidP="007E7B0A">
            <w:pPr>
              <w:rPr>
                <w:rFonts w:ascii="Arial" w:hAnsi="Arial" w:cs="Arial"/>
                <w:sz w:val="22"/>
                <w:szCs w:val="22"/>
                <w:lang w:val="en-US"/>
              </w:rPr>
            </w:pPr>
            <w:r>
              <w:rPr>
                <w:rFonts w:ascii="Arial" w:hAnsi="Arial" w:cs="Arial"/>
                <w:sz w:val="22"/>
                <w:szCs w:val="22"/>
                <w:lang w:val="en-US"/>
              </w:rPr>
              <w:t xml:space="preserve">The demand from </w:t>
            </w:r>
            <w:r w:rsidR="009A5B7F">
              <w:rPr>
                <w:rFonts w:ascii="Arial" w:hAnsi="Arial" w:cs="Arial"/>
                <w:sz w:val="22"/>
                <w:szCs w:val="22"/>
                <w:lang w:val="en-US"/>
              </w:rPr>
              <w:t>patients has risen signi</w:t>
            </w:r>
            <w:r w:rsidR="00514916">
              <w:rPr>
                <w:rFonts w:ascii="Arial" w:hAnsi="Arial" w:cs="Arial"/>
                <w:sz w:val="22"/>
                <w:szCs w:val="22"/>
                <w:lang w:val="en-US"/>
              </w:rPr>
              <w:t xml:space="preserve">ficantly. While modern access </w:t>
            </w:r>
            <w:r w:rsidR="00F46A83">
              <w:rPr>
                <w:rFonts w:ascii="Arial" w:hAnsi="Arial" w:cs="Arial"/>
                <w:sz w:val="22"/>
                <w:szCs w:val="22"/>
                <w:lang w:val="en-US"/>
              </w:rPr>
              <w:t xml:space="preserve">systems have enhanced </w:t>
            </w:r>
            <w:r w:rsidR="005050BD">
              <w:rPr>
                <w:rFonts w:ascii="Arial" w:hAnsi="Arial" w:cs="Arial"/>
                <w:sz w:val="22"/>
                <w:szCs w:val="22"/>
                <w:lang w:val="en-US"/>
              </w:rPr>
              <w:t xml:space="preserve">the management </w:t>
            </w:r>
            <w:r w:rsidR="004512F9">
              <w:rPr>
                <w:rFonts w:ascii="Arial" w:hAnsi="Arial" w:cs="Arial"/>
                <w:sz w:val="22"/>
                <w:szCs w:val="22"/>
                <w:lang w:val="en-US"/>
              </w:rPr>
              <w:t>of appointments</w:t>
            </w:r>
            <w:r w:rsidR="007E412D">
              <w:rPr>
                <w:rFonts w:ascii="Arial" w:hAnsi="Arial" w:cs="Arial"/>
                <w:sz w:val="22"/>
                <w:szCs w:val="22"/>
                <w:lang w:val="en-US"/>
              </w:rPr>
              <w:t xml:space="preserve">, the ongoing </w:t>
            </w:r>
            <w:r w:rsidR="009129F8">
              <w:rPr>
                <w:rFonts w:ascii="Arial" w:hAnsi="Arial" w:cs="Arial"/>
                <w:sz w:val="22"/>
                <w:szCs w:val="22"/>
                <w:lang w:val="en-US"/>
              </w:rPr>
              <w:t xml:space="preserve">increase in demand has continued to exert </w:t>
            </w:r>
            <w:r w:rsidR="00C53AF9">
              <w:rPr>
                <w:rFonts w:ascii="Arial" w:hAnsi="Arial" w:cs="Arial"/>
                <w:sz w:val="22"/>
                <w:szCs w:val="22"/>
                <w:lang w:val="en-US"/>
              </w:rPr>
              <w:t xml:space="preserve">pressure </w:t>
            </w:r>
            <w:r w:rsidR="005A0132">
              <w:rPr>
                <w:rFonts w:ascii="Arial" w:hAnsi="Arial" w:cs="Arial"/>
                <w:sz w:val="22"/>
                <w:szCs w:val="22"/>
                <w:lang w:val="en-US"/>
              </w:rPr>
              <w:t>on GP services</w:t>
            </w:r>
          </w:p>
        </w:tc>
      </w:tr>
      <w:tr w:rsidR="00715CB4" w14:paraId="6CB9E69D" w14:textId="77777777" w:rsidTr="00F53BE3">
        <w:trPr>
          <w:trHeight w:val="1436"/>
        </w:trPr>
        <w:tc>
          <w:tcPr>
            <w:tcW w:w="2484" w:type="dxa"/>
          </w:tcPr>
          <w:p w14:paraId="26F3659C" w14:textId="26413EBD" w:rsidR="00715CB4" w:rsidRPr="00296AFD" w:rsidRDefault="00296AFD" w:rsidP="007E7B0A">
            <w:pPr>
              <w:rPr>
                <w:rFonts w:ascii="Arial" w:hAnsi="Arial" w:cs="Arial"/>
                <w:b/>
                <w:bCs/>
                <w:sz w:val="22"/>
                <w:szCs w:val="22"/>
                <w:lang w:val="en-US"/>
              </w:rPr>
            </w:pPr>
            <w:r w:rsidRPr="00296AFD">
              <w:rPr>
                <w:rFonts w:ascii="Arial" w:hAnsi="Arial" w:cs="Arial"/>
                <w:sz w:val="22"/>
                <w:szCs w:val="22"/>
                <w:lang w:val="en-US"/>
              </w:rPr>
              <w:t>Eccles et al.</w:t>
            </w:r>
            <w:r w:rsidRPr="00296AFD">
              <w:rPr>
                <w:rFonts w:ascii="Arial" w:hAnsi="Arial" w:cs="Arial"/>
                <w:b/>
                <w:bCs/>
                <w:sz w:val="22"/>
                <w:szCs w:val="22"/>
                <w:lang w:val="en-US"/>
              </w:rPr>
              <w:t xml:space="preserve"> (2024)</w:t>
            </w:r>
          </w:p>
        </w:tc>
        <w:tc>
          <w:tcPr>
            <w:tcW w:w="2484" w:type="dxa"/>
          </w:tcPr>
          <w:p w14:paraId="628DD75A" w14:textId="314DF920" w:rsidR="00715CB4" w:rsidRPr="00A80A0A" w:rsidRDefault="00A80A0A" w:rsidP="007E7B0A">
            <w:pPr>
              <w:rPr>
                <w:rFonts w:ascii="Arial" w:hAnsi="Arial" w:cs="Arial"/>
                <w:sz w:val="22"/>
                <w:szCs w:val="22"/>
                <w:lang w:val="en-US"/>
              </w:rPr>
            </w:pPr>
            <w:r w:rsidRPr="00A80A0A">
              <w:rPr>
                <w:rFonts w:ascii="Arial" w:hAnsi="Arial" w:cs="Arial"/>
                <w:sz w:val="22"/>
                <w:szCs w:val="22"/>
                <w:lang w:val="en-US"/>
              </w:rPr>
              <w:t>C</w:t>
            </w:r>
            <w:r>
              <w:rPr>
                <w:rFonts w:ascii="Arial" w:hAnsi="Arial" w:cs="Arial"/>
                <w:sz w:val="22"/>
                <w:szCs w:val="22"/>
                <w:lang w:val="en-US"/>
              </w:rPr>
              <w:t>omprehensive scoping rev</w:t>
            </w:r>
            <w:r w:rsidR="0069177D">
              <w:rPr>
                <w:rFonts w:ascii="Arial" w:hAnsi="Arial" w:cs="Arial"/>
                <w:sz w:val="22"/>
                <w:szCs w:val="22"/>
                <w:lang w:val="en-US"/>
              </w:rPr>
              <w:t>iew</w:t>
            </w:r>
          </w:p>
        </w:tc>
        <w:tc>
          <w:tcPr>
            <w:tcW w:w="2484" w:type="dxa"/>
          </w:tcPr>
          <w:p w14:paraId="768B950C" w14:textId="0006BA1E" w:rsidR="00715CB4" w:rsidRPr="005B31FC" w:rsidRDefault="00586CFF" w:rsidP="007E7B0A">
            <w:pPr>
              <w:rPr>
                <w:rFonts w:ascii="Arial" w:hAnsi="Arial" w:cs="Arial"/>
                <w:sz w:val="22"/>
                <w:szCs w:val="22"/>
                <w:lang w:val="en-US"/>
              </w:rPr>
            </w:pPr>
            <w:r>
              <w:rPr>
                <w:rFonts w:ascii="Arial" w:hAnsi="Arial" w:cs="Arial"/>
                <w:sz w:val="22"/>
                <w:szCs w:val="22"/>
                <w:lang w:val="en-US"/>
              </w:rPr>
              <w:t xml:space="preserve">To examine </w:t>
            </w:r>
            <w:r w:rsidR="001111E2">
              <w:rPr>
                <w:rFonts w:ascii="Arial" w:hAnsi="Arial" w:cs="Arial"/>
                <w:sz w:val="22"/>
                <w:szCs w:val="22"/>
                <w:lang w:val="en-US"/>
              </w:rPr>
              <w:t xml:space="preserve">the evidence </w:t>
            </w:r>
            <w:r w:rsidR="003510AF">
              <w:rPr>
                <w:rFonts w:ascii="Arial" w:hAnsi="Arial" w:cs="Arial"/>
                <w:sz w:val="22"/>
                <w:szCs w:val="22"/>
                <w:lang w:val="en-US"/>
              </w:rPr>
              <w:t xml:space="preserve">concerning </w:t>
            </w:r>
            <w:r w:rsidR="0020502E">
              <w:rPr>
                <w:rFonts w:ascii="Arial" w:hAnsi="Arial" w:cs="Arial"/>
                <w:sz w:val="22"/>
                <w:szCs w:val="22"/>
                <w:lang w:val="en-US"/>
              </w:rPr>
              <w:t xml:space="preserve">access systems utilized </w:t>
            </w:r>
            <w:r w:rsidR="000F48DD">
              <w:rPr>
                <w:rFonts w:ascii="Arial" w:hAnsi="Arial" w:cs="Arial"/>
                <w:sz w:val="22"/>
                <w:szCs w:val="22"/>
                <w:lang w:val="en-US"/>
              </w:rPr>
              <w:t>in general practice</w:t>
            </w:r>
          </w:p>
        </w:tc>
        <w:tc>
          <w:tcPr>
            <w:tcW w:w="2041" w:type="dxa"/>
            <w:gridSpan w:val="2"/>
          </w:tcPr>
          <w:p w14:paraId="63E1E924" w14:textId="0784D11F" w:rsidR="00715CB4" w:rsidRPr="000D59D7" w:rsidRDefault="00E622A9" w:rsidP="007E7B0A">
            <w:pPr>
              <w:rPr>
                <w:rFonts w:ascii="Arial" w:hAnsi="Arial" w:cs="Arial"/>
                <w:sz w:val="22"/>
                <w:szCs w:val="22"/>
                <w:lang w:val="en-US"/>
              </w:rPr>
            </w:pPr>
            <w:r>
              <w:rPr>
                <w:rFonts w:ascii="Arial" w:hAnsi="Arial" w:cs="Arial"/>
                <w:sz w:val="22"/>
                <w:szCs w:val="22"/>
                <w:lang w:val="en-US"/>
              </w:rPr>
              <w:t xml:space="preserve">No individual </w:t>
            </w:r>
            <w:r w:rsidR="00F05AF1">
              <w:rPr>
                <w:rFonts w:ascii="Arial" w:hAnsi="Arial" w:cs="Arial"/>
                <w:sz w:val="22"/>
                <w:szCs w:val="22"/>
                <w:lang w:val="en-US"/>
              </w:rPr>
              <w:t xml:space="preserve">appointment system consistently </w:t>
            </w:r>
            <w:r w:rsidR="0010136E">
              <w:rPr>
                <w:rFonts w:ascii="Arial" w:hAnsi="Arial" w:cs="Arial"/>
                <w:sz w:val="22"/>
                <w:szCs w:val="22"/>
                <w:lang w:val="en-US"/>
              </w:rPr>
              <w:t xml:space="preserve">enhanced access. </w:t>
            </w:r>
            <w:r w:rsidR="000D1F58">
              <w:rPr>
                <w:rFonts w:ascii="Arial" w:hAnsi="Arial" w:cs="Arial"/>
                <w:sz w:val="22"/>
                <w:szCs w:val="22"/>
                <w:lang w:val="en-US"/>
              </w:rPr>
              <w:t>Factors such as workforce capacity,</w:t>
            </w:r>
            <w:r w:rsidR="005871DF">
              <w:rPr>
                <w:rFonts w:ascii="Arial" w:hAnsi="Arial" w:cs="Arial"/>
                <w:sz w:val="22"/>
                <w:szCs w:val="22"/>
                <w:lang w:val="en-US"/>
              </w:rPr>
              <w:t xml:space="preserve"> organizational</w:t>
            </w:r>
            <w:r w:rsidR="00515086">
              <w:rPr>
                <w:rFonts w:ascii="Arial" w:hAnsi="Arial" w:cs="Arial"/>
                <w:sz w:val="22"/>
                <w:szCs w:val="22"/>
                <w:lang w:val="en-US"/>
              </w:rPr>
              <w:t xml:space="preserve"> structure</w:t>
            </w:r>
            <w:r w:rsidR="001F40F5">
              <w:rPr>
                <w:rFonts w:ascii="Arial" w:hAnsi="Arial" w:cs="Arial"/>
                <w:sz w:val="22"/>
                <w:szCs w:val="22"/>
                <w:lang w:val="en-US"/>
              </w:rPr>
              <w:t>, and implementation played</w:t>
            </w:r>
            <w:r w:rsidR="007D1626">
              <w:rPr>
                <w:rFonts w:ascii="Arial" w:hAnsi="Arial" w:cs="Arial"/>
                <w:sz w:val="22"/>
                <w:szCs w:val="22"/>
                <w:lang w:val="en-US"/>
              </w:rPr>
              <w:t xml:space="preserve"> a significant </w:t>
            </w:r>
            <w:r w:rsidR="00DA63BC">
              <w:rPr>
                <w:rFonts w:ascii="Arial" w:hAnsi="Arial" w:cs="Arial"/>
                <w:sz w:val="22"/>
                <w:szCs w:val="22"/>
                <w:lang w:val="en-US"/>
              </w:rPr>
              <w:t>role in determining effectiveness</w:t>
            </w:r>
          </w:p>
        </w:tc>
      </w:tr>
      <w:tr w:rsidR="00715CB4" w14:paraId="5288929A" w14:textId="77777777" w:rsidTr="00F53BE3">
        <w:trPr>
          <w:trHeight w:val="1375"/>
        </w:trPr>
        <w:tc>
          <w:tcPr>
            <w:tcW w:w="2484" w:type="dxa"/>
          </w:tcPr>
          <w:p w14:paraId="32D0FB63" w14:textId="30564DA0" w:rsidR="00715CB4" w:rsidRPr="00337100" w:rsidRDefault="00337100" w:rsidP="007E7B0A">
            <w:pPr>
              <w:rPr>
                <w:rFonts w:ascii="Arial" w:hAnsi="Arial" w:cs="Arial"/>
                <w:sz w:val="22"/>
                <w:szCs w:val="22"/>
                <w:lang w:val="en-US"/>
              </w:rPr>
            </w:pPr>
            <w:r w:rsidRPr="00337100">
              <w:rPr>
                <w:rFonts w:ascii="Arial" w:hAnsi="Arial" w:cs="Arial"/>
                <w:sz w:val="22"/>
                <w:szCs w:val="22"/>
                <w:lang w:val="en-US"/>
              </w:rPr>
              <w:lastRenderedPageBreak/>
              <w:t>Murphy et al.</w:t>
            </w:r>
            <w:r w:rsidR="00B16EAB">
              <w:rPr>
                <w:rFonts w:ascii="Arial" w:hAnsi="Arial" w:cs="Arial"/>
                <w:sz w:val="22"/>
                <w:szCs w:val="22"/>
                <w:lang w:val="en-US"/>
              </w:rPr>
              <w:t xml:space="preserve"> </w:t>
            </w:r>
            <w:r w:rsidR="00F27F7F" w:rsidRPr="00A61AE5">
              <w:rPr>
                <w:rFonts w:ascii="Arial" w:hAnsi="Arial" w:cs="Arial"/>
                <w:b/>
                <w:bCs/>
                <w:sz w:val="22"/>
                <w:szCs w:val="22"/>
                <w:lang w:val="en-US"/>
              </w:rPr>
              <w:t>(2021)</w:t>
            </w:r>
          </w:p>
        </w:tc>
        <w:tc>
          <w:tcPr>
            <w:tcW w:w="2484" w:type="dxa"/>
          </w:tcPr>
          <w:p w14:paraId="1648E39A" w14:textId="13488C35" w:rsidR="00715CB4" w:rsidRPr="00A61AE5" w:rsidRDefault="00A61AE5" w:rsidP="007E7B0A">
            <w:pPr>
              <w:rPr>
                <w:rFonts w:ascii="Arial" w:hAnsi="Arial" w:cs="Arial"/>
                <w:sz w:val="22"/>
                <w:szCs w:val="22"/>
                <w:lang w:val="en-US"/>
              </w:rPr>
            </w:pPr>
            <w:r>
              <w:rPr>
                <w:rFonts w:ascii="Arial" w:hAnsi="Arial" w:cs="Arial"/>
                <w:sz w:val="22"/>
                <w:szCs w:val="22"/>
                <w:lang w:val="en-US"/>
              </w:rPr>
              <w:t xml:space="preserve">A </w:t>
            </w:r>
            <w:r w:rsidR="00F96A39">
              <w:rPr>
                <w:rFonts w:ascii="Arial" w:hAnsi="Arial" w:cs="Arial"/>
                <w:sz w:val="22"/>
                <w:szCs w:val="22"/>
                <w:lang w:val="en-US"/>
              </w:rPr>
              <w:t>long</w:t>
            </w:r>
            <w:r w:rsidR="00466E24">
              <w:rPr>
                <w:rFonts w:ascii="Arial" w:hAnsi="Arial" w:cs="Arial"/>
                <w:sz w:val="22"/>
                <w:szCs w:val="22"/>
                <w:lang w:val="en-US"/>
              </w:rPr>
              <w:t>itud</w:t>
            </w:r>
            <w:r w:rsidR="009B0FFB">
              <w:rPr>
                <w:rFonts w:ascii="Arial" w:hAnsi="Arial" w:cs="Arial"/>
                <w:sz w:val="22"/>
                <w:szCs w:val="22"/>
                <w:lang w:val="en-US"/>
              </w:rPr>
              <w:t>inal study utilizing mixed methods</w:t>
            </w:r>
          </w:p>
        </w:tc>
        <w:tc>
          <w:tcPr>
            <w:tcW w:w="2484" w:type="dxa"/>
          </w:tcPr>
          <w:p w14:paraId="05504E3C" w14:textId="43AEFC11" w:rsidR="00715CB4" w:rsidRPr="00BC33BF" w:rsidRDefault="00E66294" w:rsidP="007E7B0A">
            <w:pPr>
              <w:rPr>
                <w:rFonts w:ascii="Arial" w:hAnsi="Arial" w:cs="Arial"/>
                <w:sz w:val="22"/>
                <w:szCs w:val="22"/>
                <w:lang w:val="en-US"/>
              </w:rPr>
            </w:pPr>
            <w:r>
              <w:rPr>
                <w:rFonts w:ascii="Arial" w:hAnsi="Arial" w:cs="Arial"/>
                <w:sz w:val="22"/>
                <w:szCs w:val="22"/>
                <w:lang w:val="en-US"/>
              </w:rPr>
              <w:t xml:space="preserve">To investigate </w:t>
            </w:r>
            <w:r w:rsidR="003048E5">
              <w:rPr>
                <w:rFonts w:ascii="Arial" w:hAnsi="Arial" w:cs="Arial"/>
                <w:sz w:val="22"/>
                <w:szCs w:val="22"/>
                <w:lang w:val="en-US"/>
              </w:rPr>
              <w:t xml:space="preserve">the </w:t>
            </w:r>
            <w:r w:rsidR="00687592">
              <w:rPr>
                <w:rFonts w:ascii="Arial" w:hAnsi="Arial" w:cs="Arial"/>
                <w:sz w:val="22"/>
                <w:szCs w:val="22"/>
                <w:lang w:val="en-US"/>
              </w:rPr>
              <w:t xml:space="preserve">application of </w:t>
            </w:r>
            <w:r w:rsidR="00B73109">
              <w:rPr>
                <w:rFonts w:ascii="Arial" w:hAnsi="Arial" w:cs="Arial"/>
                <w:sz w:val="22"/>
                <w:szCs w:val="22"/>
                <w:lang w:val="en-US"/>
              </w:rPr>
              <w:t>remote</w:t>
            </w:r>
            <w:r w:rsidR="00261476">
              <w:rPr>
                <w:rFonts w:ascii="Arial" w:hAnsi="Arial" w:cs="Arial"/>
                <w:sz w:val="22"/>
                <w:szCs w:val="22"/>
                <w:lang w:val="en-US"/>
              </w:rPr>
              <w:t xml:space="preserve"> c</w:t>
            </w:r>
            <w:r w:rsidR="005C3A06">
              <w:rPr>
                <w:rFonts w:ascii="Arial" w:hAnsi="Arial" w:cs="Arial"/>
                <w:sz w:val="22"/>
                <w:szCs w:val="22"/>
                <w:lang w:val="en-US"/>
              </w:rPr>
              <w:t>onsulting within primary care in the UK</w:t>
            </w:r>
            <w:r w:rsidR="00754A25">
              <w:rPr>
                <w:rFonts w:ascii="Arial" w:hAnsi="Arial" w:cs="Arial"/>
                <w:sz w:val="22"/>
                <w:szCs w:val="22"/>
                <w:lang w:val="en-US"/>
              </w:rPr>
              <w:t xml:space="preserve"> in the aftermath of COVID-19 </w:t>
            </w:r>
          </w:p>
        </w:tc>
        <w:tc>
          <w:tcPr>
            <w:tcW w:w="2041" w:type="dxa"/>
            <w:gridSpan w:val="2"/>
          </w:tcPr>
          <w:p w14:paraId="74D60B9E" w14:textId="66E4F46D" w:rsidR="00715CB4" w:rsidRPr="00AB059B" w:rsidRDefault="00AB059B" w:rsidP="007E7B0A">
            <w:pPr>
              <w:rPr>
                <w:rFonts w:ascii="Arial" w:hAnsi="Arial" w:cs="Arial"/>
                <w:sz w:val="22"/>
                <w:szCs w:val="22"/>
                <w:lang w:val="en-US"/>
              </w:rPr>
            </w:pPr>
            <w:r w:rsidRPr="00AB059B">
              <w:rPr>
                <w:rFonts w:ascii="Arial" w:hAnsi="Arial" w:cs="Arial"/>
                <w:sz w:val="22"/>
                <w:szCs w:val="22"/>
                <w:lang w:val="en-US"/>
              </w:rPr>
              <w:t>Remote</w:t>
            </w:r>
            <w:r>
              <w:rPr>
                <w:rFonts w:ascii="Arial" w:hAnsi="Arial" w:cs="Arial"/>
                <w:sz w:val="22"/>
                <w:szCs w:val="22"/>
                <w:lang w:val="en-US"/>
              </w:rPr>
              <w:t xml:space="preserve"> </w:t>
            </w:r>
            <w:r w:rsidR="005F3178">
              <w:rPr>
                <w:rFonts w:ascii="Arial" w:hAnsi="Arial" w:cs="Arial"/>
                <w:sz w:val="22"/>
                <w:szCs w:val="22"/>
                <w:lang w:val="en-US"/>
              </w:rPr>
              <w:t xml:space="preserve">consulting has enhanced accessibility for certain </w:t>
            </w:r>
            <w:r w:rsidR="004F2A3C">
              <w:rPr>
                <w:rFonts w:ascii="Arial" w:hAnsi="Arial" w:cs="Arial"/>
                <w:sz w:val="22"/>
                <w:szCs w:val="22"/>
                <w:lang w:val="en-US"/>
              </w:rPr>
              <w:t xml:space="preserve">patients; </w:t>
            </w:r>
            <w:r w:rsidR="003C6C32">
              <w:rPr>
                <w:rFonts w:ascii="Arial" w:hAnsi="Arial" w:cs="Arial"/>
                <w:sz w:val="22"/>
                <w:szCs w:val="22"/>
                <w:lang w:val="en-US"/>
              </w:rPr>
              <w:t xml:space="preserve">however, it has also brought </w:t>
            </w:r>
            <w:r w:rsidR="00B52A6F">
              <w:rPr>
                <w:rFonts w:ascii="Arial" w:hAnsi="Arial" w:cs="Arial"/>
                <w:sz w:val="22"/>
                <w:szCs w:val="22"/>
                <w:lang w:val="en-US"/>
              </w:rPr>
              <w:t xml:space="preserve">to light digital disparities and obstacles to maintaining </w:t>
            </w:r>
            <w:r w:rsidR="00940C2B">
              <w:rPr>
                <w:rFonts w:ascii="Arial" w:hAnsi="Arial" w:cs="Arial"/>
                <w:sz w:val="22"/>
                <w:szCs w:val="22"/>
                <w:lang w:val="en-US"/>
              </w:rPr>
              <w:t>continuity of care.</w:t>
            </w:r>
          </w:p>
        </w:tc>
      </w:tr>
      <w:tr w:rsidR="00715CB4" w14:paraId="6CB4270A" w14:textId="77777777" w:rsidTr="00F53BE3">
        <w:trPr>
          <w:trHeight w:val="1436"/>
        </w:trPr>
        <w:tc>
          <w:tcPr>
            <w:tcW w:w="2484" w:type="dxa"/>
          </w:tcPr>
          <w:p w14:paraId="5C6CEE7E" w14:textId="5EB00827" w:rsidR="00715CB4" w:rsidRPr="00852369" w:rsidRDefault="00852369" w:rsidP="007E7B0A">
            <w:pPr>
              <w:rPr>
                <w:rFonts w:ascii="Arial" w:hAnsi="Arial" w:cs="Arial"/>
                <w:sz w:val="22"/>
                <w:szCs w:val="22"/>
                <w:lang w:val="en-US"/>
              </w:rPr>
            </w:pPr>
            <w:r>
              <w:rPr>
                <w:rFonts w:ascii="Arial" w:hAnsi="Arial" w:cs="Arial"/>
                <w:sz w:val="22"/>
                <w:szCs w:val="22"/>
                <w:lang w:val="en-US"/>
              </w:rPr>
              <w:t xml:space="preserve">Parker et al. </w:t>
            </w:r>
            <w:r w:rsidRPr="00F11BFC">
              <w:rPr>
                <w:rFonts w:ascii="Arial" w:hAnsi="Arial" w:cs="Arial"/>
                <w:b/>
                <w:bCs/>
                <w:sz w:val="22"/>
                <w:szCs w:val="22"/>
                <w:lang w:val="en-US"/>
              </w:rPr>
              <w:t>(</w:t>
            </w:r>
            <w:r w:rsidR="00F11BFC" w:rsidRPr="00F11BFC">
              <w:rPr>
                <w:rFonts w:ascii="Arial" w:hAnsi="Arial" w:cs="Arial"/>
                <w:b/>
                <w:bCs/>
                <w:sz w:val="22"/>
                <w:szCs w:val="22"/>
                <w:lang w:val="en-US"/>
              </w:rPr>
              <w:t>2022)</w:t>
            </w:r>
          </w:p>
        </w:tc>
        <w:tc>
          <w:tcPr>
            <w:tcW w:w="2484" w:type="dxa"/>
          </w:tcPr>
          <w:p w14:paraId="5A063BBA" w14:textId="23C2577B" w:rsidR="00715CB4" w:rsidRPr="00F63AC4" w:rsidRDefault="00F63AC4" w:rsidP="007E7B0A">
            <w:pPr>
              <w:rPr>
                <w:rFonts w:ascii="Arial" w:hAnsi="Arial" w:cs="Arial"/>
                <w:sz w:val="22"/>
                <w:szCs w:val="22"/>
                <w:lang w:val="en-US"/>
              </w:rPr>
            </w:pPr>
            <w:r>
              <w:rPr>
                <w:rFonts w:ascii="Arial" w:hAnsi="Arial" w:cs="Arial"/>
                <w:sz w:val="22"/>
                <w:szCs w:val="22"/>
                <w:lang w:val="en-US"/>
              </w:rPr>
              <w:t xml:space="preserve">Methodical assessment </w:t>
            </w:r>
          </w:p>
        </w:tc>
        <w:tc>
          <w:tcPr>
            <w:tcW w:w="2484" w:type="dxa"/>
          </w:tcPr>
          <w:p w14:paraId="3C2E3440" w14:textId="6F974773" w:rsidR="00715CB4" w:rsidRPr="000D69E1" w:rsidRDefault="00740AC2" w:rsidP="007E7B0A">
            <w:pPr>
              <w:rPr>
                <w:rFonts w:ascii="Arial" w:hAnsi="Arial" w:cs="Arial"/>
                <w:sz w:val="22"/>
                <w:szCs w:val="22"/>
                <w:lang w:val="en-US"/>
              </w:rPr>
            </w:pPr>
            <w:r w:rsidRPr="000D69E1">
              <w:rPr>
                <w:rFonts w:ascii="Arial" w:hAnsi="Arial" w:cs="Arial"/>
                <w:sz w:val="22"/>
                <w:szCs w:val="22"/>
                <w:lang w:val="en-US"/>
              </w:rPr>
              <w:t>To</w:t>
            </w:r>
            <w:r w:rsidR="000D69E1">
              <w:rPr>
                <w:rFonts w:ascii="Arial" w:hAnsi="Arial" w:cs="Arial"/>
                <w:sz w:val="22"/>
                <w:szCs w:val="22"/>
                <w:lang w:val="en-US"/>
              </w:rPr>
              <w:t xml:space="preserve"> investigate the dispa</w:t>
            </w:r>
            <w:r w:rsidR="00315113">
              <w:rPr>
                <w:rFonts w:ascii="Arial" w:hAnsi="Arial" w:cs="Arial"/>
                <w:sz w:val="22"/>
                <w:szCs w:val="22"/>
                <w:lang w:val="en-US"/>
              </w:rPr>
              <w:t xml:space="preserve">rities related to remote consultations in general practice </w:t>
            </w:r>
          </w:p>
        </w:tc>
        <w:tc>
          <w:tcPr>
            <w:tcW w:w="2041" w:type="dxa"/>
            <w:gridSpan w:val="2"/>
          </w:tcPr>
          <w:p w14:paraId="53974162" w14:textId="53C6AEE9" w:rsidR="00715CB4" w:rsidRPr="00001BDC" w:rsidRDefault="00001BDC" w:rsidP="007E7B0A">
            <w:pPr>
              <w:rPr>
                <w:rFonts w:ascii="Arial" w:hAnsi="Arial" w:cs="Arial"/>
                <w:sz w:val="22"/>
                <w:szCs w:val="22"/>
                <w:lang w:val="en-US"/>
              </w:rPr>
            </w:pPr>
            <w:r w:rsidRPr="00001BDC">
              <w:rPr>
                <w:rFonts w:ascii="Arial" w:hAnsi="Arial" w:cs="Arial"/>
                <w:sz w:val="22"/>
                <w:szCs w:val="22"/>
                <w:lang w:val="en-US"/>
              </w:rPr>
              <w:t>E</w:t>
            </w:r>
            <w:r>
              <w:rPr>
                <w:rFonts w:ascii="Arial" w:hAnsi="Arial" w:cs="Arial"/>
                <w:sz w:val="22"/>
                <w:szCs w:val="22"/>
                <w:lang w:val="en-US"/>
              </w:rPr>
              <w:t>lderly in</w:t>
            </w:r>
            <w:r w:rsidR="00B152D9">
              <w:rPr>
                <w:rFonts w:ascii="Arial" w:hAnsi="Arial" w:cs="Arial"/>
                <w:sz w:val="22"/>
                <w:szCs w:val="22"/>
                <w:lang w:val="en-US"/>
              </w:rPr>
              <w:t xml:space="preserve">dividuals and socially disadvantaged </w:t>
            </w:r>
            <w:r w:rsidR="00D91AF8">
              <w:rPr>
                <w:rFonts w:ascii="Arial" w:hAnsi="Arial" w:cs="Arial"/>
                <w:sz w:val="22"/>
                <w:szCs w:val="22"/>
                <w:lang w:val="en-US"/>
              </w:rPr>
              <w:t>populations faced more significant o</w:t>
            </w:r>
            <w:r w:rsidR="000061FD">
              <w:rPr>
                <w:rFonts w:ascii="Arial" w:hAnsi="Arial" w:cs="Arial"/>
                <w:sz w:val="22"/>
                <w:szCs w:val="22"/>
                <w:lang w:val="en-US"/>
              </w:rPr>
              <w:t xml:space="preserve">bstacles in accessing remote </w:t>
            </w:r>
            <w:r w:rsidR="00771509">
              <w:rPr>
                <w:rFonts w:ascii="Arial" w:hAnsi="Arial" w:cs="Arial"/>
                <w:sz w:val="22"/>
                <w:szCs w:val="22"/>
                <w:lang w:val="en-US"/>
              </w:rPr>
              <w:t>general practitioner services</w:t>
            </w:r>
          </w:p>
        </w:tc>
      </w:tr>
      <w:tr w:rsidR="00715CB4" w:rsidRPr="00F751F0" w14:paraId="67F73F46" w14:textId="77777777" w:rsidTr="00F53BE3">
        <w:trPr>
          <w:trHeight w:val="1375"/>
        </w:trPr>
        <w:tc>
          <w:tcPr>
            <w:tcW w:w="2484" w:type="dxa"/>
          </w:tcPr>
          <w:p w14:paraId="564A8DB0" w14:textId="2FA4EC78" w:rsidR="00715CB4" w:rsidRPr="009801EF" w:rsidRDefault="009801EF" w:rsidP="007E7B0A">
            <w:pPr>
              <w:rPr>
                <w:rFonts w:ascii="Arial" w:hAnsi="Arial" w:cs="Arial"/>
                <w:sz w:val="22"/>
                <w:szCs w:val="22"/>
                <w:lang w:val="en-US"/>
              </w:rPr>
            </w:pPr>
            <w:r w:rsidRPr="009801EF">
              <w:rPr>
                <w:rFonts w:ascii="Arial" w:hAnsi="Arial" w:cs="Arial"/>
                <w:sz w:val="22"/>
                <w:szCs w:val="22"/>
                <w:lang w:val="en-US"/>
              </w:rPr>
              <w:t xml:space="preserve">Pettigrew et al. </w:t>
            </w:r>
            <w:r w:rsidRPr="009801EF">
              <w:rPr>
                <w:rFonts w:ascii="Arial" w:hAnsi="Arial" w:cs="Arial"/>
                <w:b/>
                <w:bCs/>
                <w:sz w:val="22"/>
                <w:szCs w:val="22"/>
                <w:lang w:val="en-US"/>
              </w:rPr>
              <w:t>(2024)</w:t>
            </w:r>
          </w:p>
        </w:tc>
        <w:tc>
          <w:tcPr>
            <w:tcW w:w="2484" w:type="dxa"/>
          </w:tcPr>
          <w:p w14:paraId="052A77E0" w14:textId="34373A11" w:rsidR="00715CB4" w:rsidRPr="0015192F" w:rsidRDefault="009801EF" w:rsidP="007E7B0A">
            <w:pPr>
              <w:rPr>
                <w:rFonts w:ascii="Arial" w:hAnsi="Arial" w:cs="Arial"/>
                <w:sz w:val="22"/>
                <w:szCs w:val="22"/>
                <w:lang w:val="en-US"/>
              </w:rPr>
            </w:pPr>
            <w:r w:rsidRPr="0015192F">
              <w:rPr>
                <w:rFonts w:ascii="Arial" w:hAnsi="Arial" w:cs="Arial"/>
                <w:sz w:val="22"/>
                <w:szCs w:val="22"/>
                <w:lang w:val="en-US"/>
              </w:rPr>
              <w:t xml:space="preserve">A study </w:t>
            </w:r>
            <w:r w:rsidR="0015192F" w:rsidRPr="0015192F">
              <w:rPr>
                <w:rFonts w:ascii="Arial" w:hAnsi="Arial" w:cs="Arial"/>
                <w:sz w:val="22"/>
                <w:szCs w:val="22"/>
                <w:lang w:val="en-US"/>
              </w:rPr>
              <w:t>that examines data from the past over a long period</w:t>
            </w:r>
          </w:p>
        </w:tc>
        <w:tc>
          <w:tcPr>
            <w:tcW w:w="2484" w:type="dxa"/>
          </w:tcPr>
          <w:p w14:paraId="4945852C" w14:textId="74305F9A" w:rsidR="00715CB4" w:rsidRPr="00F751F0" w:rsidRDefault="006E34C6" w:rsidP="007E7B0A">
            <w:pPr>
              <w:rPr>
                <w:rFonts w:ascii="Arial" w:hAnsi="Arial" w:cs="Arial"/>
                <w:sz w:val="22"/>
                <w:szCs w:val="22"/>
                <w:lang w:val="en-US"/>
              </w:rPr>
            </w:pPr>
            <w:r w:rsidRPr="00F751F0">
              <w:rPr>
                <w:rFonts w:ascii="Arial" w:hAnsi="Arial" w:cs="Arial"/>
                <w:sz w:val="22"/>
                <w:szCs w:val="22"/>
                <w:lang w:val="en-US"/>
              </w:rPr>
              <w:t>To analyze alter</w:t>
            </w:r>
            <w:r w:rsidR="00B57D50" w:rsidRPr="00F751F0">
              <w:rPr>
                <w:rFonts w:ascii="Arial" w:hAnsi="Arial" w:cs="Arial"/>
                <w:sz w:val="22"/>
                <w:szCs w:val="22"/>
                <w:lang w:val="en-US"/>
              </w:rPr>
              <w:t>ations in the workforce, organizational</w:t>
            </w:r>
            <w:r w:rsidR="00CF247B" w:rsidRPr="00F751F0">
              <w:rPr>
                <w:rFonts w:ascii="Arial" w:hAnsi="Arial" w:cs="Arial"/>
                <w:sz w:val="22"/>
                <w:szCs w:val="22"/>
                <w:lang w:val="en-US"/>
              </w:rPr>
              <w:t xml:space="preserve"> st</w:t>
            </w:r>
            <w:r w:rsidR="002B796A" w:rsidRPr="00F751F0">
              <w:rPr>
                <w:rFonts w:ascii="Arial" w:hAnsi="Arial" w:cs="Arial"/>
                <w:sz w:val="22"/>
                <w:szCs w:val="22"/>
                <w:lang w:val="en-US"/>
              </w:rPr>
              <w:t>r</w:t>
            </w:r>
            <w:r w:rsidR="00CF247B" w:rsidRPr="00F751F0">
              <w:rPr>
                <w:rFonts w:ascii="Arial" w:hAnsi="Arial" w:cs="Arial"/>
                <w:sz w:val="22"/>
                <w:szCs w:val="22"/>
                <w:lang w:val="en-US"/>
              </w:rPr>
              <w:t>ucture</w:t>
            </w:r>
            <w:r w:rsidR="000277E5" w:rsidRPr="00F751F0">
              <w:rPr>
                <w:rFonts w:ascii="Arial" w:hAnsi="Arial" w:cs="Arial"/>
                <w:sz w:val="22"/>
                <w:szCs w:val="22"/>
                <w:lang w:val="en-US"/>
              </w:rPr>
              <w:t xml:space="preserve">, and appointments </w:t>
            </w:r>
            <w:r w:rsidR="002F6D16" w:rsidRPr="00F751F0">
              <w:rPr>
                <w:rFonts w:ascii="Arial" w:hAnsi="Arial" w:cs="Arial"/>
                <w:sz w:val="22"/>
                <w:szCs w:val="22"/>
                <w:lang w:val="en-US"/>
              </w:rPr>
              <w:t xml:space="preserve">within English </w:t>
            </w:r>
            <w:r w:rsidR="00016102" w:rsidRPr="00F751F0">
              <w:rPr>
                <w:rFonts w:ascii="Arial" w:hAnsi="Arial" w:cs="Arial"/>
                <w:sz w:val="22"/>
                <w:szCs w:val="22"/>
                <w:lang w:val="en-US"/>
              </w:rPr>
              <w:t>general practice</w:t>
            </w:r>
          </w:p>
        </w:tc>
        <w:tc>
          <w:tcPr>
            <w:tcW w:w="2041" w:type="dxa"/>
            <w:gridSpan w:val="2"/>
          </w:tcPr>
          <w:p w14:paraId="0B12B6B0" w14:textId="7DD027A5" w:rsidR="00715CB4" w:rsidRPr="00F751F0" w:rsidRDefault="007A6338" w:rsidP="007E7B0A">
            <w:pPr>
              <w:rPr>
                <w:rFonts w:ascii="Arial" w:hAnsi="Arial" w:cs="Arial"/>
                <w:sz w:val="22"/>
                <w:szCs w:val="22"/>
                <w:lang w:val="en-US"/>
              </w:rPr>
            </w:pPr>
            <w:r>
              <w:rPr>
                <w:rFonts w:ascii="Arial" w:hAnsi="Arial" w:cs="Arial"/>
                <w:sz w:val="22"/>
                <w:szCs w:val="22"/>
                <w:lang w:val="en-US"/>
              </w:rPr>
              <w:t>The number of GP appointments has risen</w:t>
            </w:r>
            <w:r w:rsidR="0032742D">
              <w:rPr>
                <w:rFonts w:ascii="Arial" w:hAnsi="Arial" w:cs="Arial"/>
                <w:sz w:val="22"/>
                <w:szCs w:val="22"/>
                <w:lang w:val="en-US"/>
              </w:rPr>
              <w:t xml:space="preserve">, even in the face of workface shortages, which has </w:t>
            </w:r>
            <w:r w:rsidR="002D1C8C">
              <w:rPr>
                <w:rFonts w:ascii="Arial" w:hAnsi="Arial" w:cs="Arial"/>
                <w:sz w:val="22"/>
                <w:szCs w:val="22"/>
                <w:lang w:val="en-US"/>
              </w:rPr>
              <w:t>led to an increased workload and heightened pressure on practices</w:t>
            </w:r>
          </w:p>
        </w:tc>
      </w:tr>
      <w:tr w:rsidR="00B02123" w:rsidRPr="00F751F0" w14:paraId="45E0068F" w14:textId="77777777" w:rsidTr="00F53BE3">
        <w:trPr>
          <w:trHeight w:val="1375"/>
        </w:trPr>
        <w:tc>
          <w:tcPr>
            <w:tcW w:w="2484" w:type="dxa"/>
          </w:tcPr>
          <w:p w14:paraId="690075B4" w14:textId="39C40211" w:rsidR="00B02123" w:rsidRPr="009801EF" w:rsidRDefault="00004FDF" w:rsidP="007E7B0A">
            <w:pPr>
              <w:rPr>
                <w:rFonts w:ascii="Arial" w:hAnsi="Arial" w:cs="Arial"/>
                <w:sz w:val="22"/>
                <w:szCs w:val="22"/>
                <w:lang w:val="en-US"/>
              </w:rPr>
            </w:pPr>
            <w:r>
              <w:rPr>
                <w:rFonts w:ascii="Arial" w:hAnsi="Arial" w:cs="Arial"/>
                <w:sz w:val="22"/>
                <w:szCs w:val="22"/>
                <w:lang w:val="en-US"/>
              </w:rPr>
              <w:t xml:space="preserve">Hayes et al. </w:t>
            </w:r>
            <w:r w:rsidRPr="00004FDF">
              <w:rPr>
                <w:rFonts w:ascii="Arial" w:hAnsi="Arial" w:cs="Arial"/>
                <w:b/>
                <w:bCs/>
                <w:sz w:val="22"/>
                <w:szCs w:val="22"/>
                <w:lang w:val="en-US"/>
              </w:rPr>
              <w:t>(2024)</w:t>
            </w:r>
          </w:p>
        </w:tc>
        <w:tc>
          <w:tcPr>
            <w:tcW w:w="2484" w:type="dxa"/>
          </w:tcPr>
          <w:p w14:paraId="51B05F3E" w14:textId="382E6152" w:rsidR="00B02123" w:rsidRPr="0015192F" w:rsidRDefault="00FF3357" w:rsidP="007E7B0A">
            <w:pPr>
              <w:rPr>
                <w:rFonts w:ascii="Arial" w:hAnsi="Arial" w:cs="Arial"/>
                <w:sz w:val="22"/>
                <w:szCs w:val="22"/>
                <w:lang w:val="en-US"/>
              </w:rPr>
            </w:pPr>
            <w:r>
              <w:rPr>
                <w:rFonts w:ascii="Arial" w:hAnsi="Arial" w:cs="Arial"/>
                <w:sz w:val="22"/>
                <w:szCs w:val="22"/>
                <w:lang w:val="en-US"/>
              </w:rPr>
              <w:t xml:space="preserve">An analysis conducted through observation </w:t>
            </w:r>
          </w:p>
        </w:tc>
        <w:tc>
          <w:tcPr>
            <w:tcW w:w="2484" w:type="dxa"/>
          </w:tcPr>
          <w:p w14:paraId="7642BA17" w14:textId="05D2F557" w:rsidR="00B02123" w:rsidRPr="00F751F0" w:rsidRDefault="002D706B" w:rsidP="007E7B0A">
            <w:pPr>
              <w:rPr>
                <w:rFonts w:ascii="Arial" w:hAnsi="Arial" w:cs="Arial"/>
                <w:sz w:val="22"/>
                <w:szCs w:val="22"/>
                <w:lang w:val="en-US"/>
              </w:rPr>
            </w:pPr>
            <w:r>
              <w:rPr>
                <w:rFonts w:ascii="Arial" w:hAnsi="Arial" w:cs="Arial"/>
                <w:sz w:val="22"/>
                <w:szCs w:val="22"/>
                <w:lang w:val="en-US"/>
              </w:rPr>
              <w:t xml:space="preserve">To examine the impact of NHS waiting times </w:t>
            </w:r>
            <w:r w:rsidR="001A3E06">
              <w:rPr>
                <w:rFonts w:ascii="Arial" w:hAnsi="Arial" w:cs="Arial"/>
                <w:sz w:val="22"/>
                <w:szCs w:val="22"/>
                <w:lang w:val="en-US"/>
              </w:rPr>
              <w:t>on the</w:t>
            </w:r>
            <w:r w:rsidR="006672B8">
              <w:rPr>
                <w:rFonts w:ascii="Arial" w:hAnsi="Arial" w:cs="Arial"/>
                <w:sz w:val="22"/>
                <w:szCs w:val="22"/>
                <w:lang w:val="en-US"/>
              </w:rPr>
              <w:t xml:space="preserve"> referral </w:t>
            </w:r>
            <w:r w:rsidR="00E26741">
              <w:rPr>
                <w:rFonts w:ascii="Arial" w:hAnsi="Arial" w:cs="Arial"/>
                <w:sz w:val="22"/>
                <w:szCs w:val="22"/>
                <w:lang w:val="en-US"/>
              </w:rPr>
              <w:t xml:space="preserve">practices of general practitioners </w:t>
            </w:r>
            <w:r w:rsidR="006672B8">
              <w:rPr>
                <w:rFonts w:ascii="Arial" w:hAnsi="Arial" w:cs="Arial"/>
                <w:sz w:val="22"/>
                <w:szCs w:val="22"/>
                <w:lang w:val="en-US"/>
              </w:rPr>
              <w:t xml:space="preserve"> </w:t>
            </w:r>
          </w:p>
        </w:tc>
        <w:tc>
          <w:tcPr>
            <w:tcW w:w="2041" w:type="dxa"/>
            <w:gridSpan w:val="2"/>
          </w:tcPr>
          <w:p w14:paraId="78EA0C1F" w14:textId="2EAAF109" w:rsidR="00B02123" w:rsidRDefault="00E26741" w:rsidP="007E7B0A">
            <w:pPr>
              <w:rPr>
                <w:rFonts w:ascii="Arial" w:hAnsi="Arial" w:cs="Arial"/>
                <w:sz w:val="22"/>
                <w:szCs w:val="22"/>
                <w:lang w:val="en-US"/>
              </w:rPr>
            </w:pPr>
            <w:r>
              <w:rPr>
                <w:rFonts w:ascii="Arial" w:hAnsi="Arial" w:cs="Arial"/>
                <w:sz w:val="22"/>
                <w:szCs w:val="22"/>
                <w:lang w:val="en-US"/>
              </w:rPr>
              <w:t xml:space="preserve">Extended waiting periods </w:t>
            </w:r>
            <w:r w:rsidR="00975BC3">
              <w:rPr>
                <w:rFonts w:ascii="Arial" w:hAnsi="Arial" w:cs="Arial"/>
                <w:sz w:val="22"/>
                <w:szCs w:val="22"/>
                <w:lang w:val="en-US"/>
              </w:rPr>
              <w:t>in hospitals have affected the decision</w:t>
            </w:r>
            <w:r w:rsidR="00602984">
              <w:rPr>
                <w:rFonts w:ascii="Arial" w:hAnsi="Arial" w:cs="Arial"/>
                <w:sz w:val="22"/>
                <w:szCs w:val="22"/>
                <w:lang w:val="en-US"/>
              </w:rPr>
              <w:t xml:space="preserve">-making process of general practitioners </w:t>
            </w:r>
            <w:r w:rsidR="00941498">
              <w:rPr>
                <w:rFonts w:ascii="Arial" w:hAnsi="Arial" w:cs="Arial"/>
                <w:sz w:val="22"/>
                <w:szCs w:val="22"/>
                <w:lang w:val="en-US"/>
              </w:rPr>
              <w:t xml:space="preserve">regarding </w:t>
            </w:r>
            <w:r w:rsidR="00324E6C">
              <w:rPr>
                <w:rFonts w:ascii="Arial" w:hAnsi="Arial" w:cs="Arial"/>
                <w:sz w:val="22"/>
                <w:szCs w:val="22"/>
                <w:lang w:val="en-US"/>
              </w:rPr>
              <w:t>referrals, highlighting the influence of broader pressure</w:t>
            </w:r>
            <w:r w:rsidR="00F04C66">
              <w:rPr>
                <w:rFonts w:ascii="Arial" w:hAnsi="Arial" w:cs="Arial"/>
                <w:sz w:val="22"/>
                <w:szCs w:val="22"/>
                <w:lang w:val="en-US"/>
              </w:rPr>
              <w:t>s within the NHS on primary care</w:t>
            </w:r>
          </w:p>
        </w:tc>
      </w:tr>
      <w:tr w:rsidR="0082315A" w14:paraId="50586E45" w14:textId="77777777" w:rsidTr="00F53BE3">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
          <w:wAfter w:w="143" w:type="dxa"/>
          <w:trHeight w:val="103"/>
        </w:trPr>
        <w:tc>
          <w:tcPr>
            <w:tcW w:w="9350" w:type="dxa"/>
            <w:gridSpan w:val="4"/>
          </w:tcPr>
          <w:p w14:paraId="06323CF0" w14:textId="77777777" w:rsidR="0082315A" w:rsidRDefault="0082315A" w:rsidP="007E7B0A">
            <w:pPr>
              <w:rPr>
                <w:rFonts w:ascii="Arial" w:hAnsi="Arial" w:cs="Arial"/>
                <w:b/>
                <w:bCs/>
                <w:sz w:val="22"/>
                <w:szCs w:val="22"/>
                <w:u w:val="single"/>
                <w:lang w:val="en-US"/>
              </w:rPr>
            </w:pPr>
          </w:p>
        </w:tc>
      </w:tr>
      <w:tr w:rsidR="007E7B0A" w14:paraId="04A09E17" w14:textId="77777777" w:rsidTr="00F53BE3">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3"/>
        </w:trPr>
        <w:tc>
          <w:tcPr>
            <w:tcW w:w="9493" w:type="dxa"/>
            <w:gridSpan w:val="5"/>
          </w:tcPr>
          <w:p w14:paraId="4ACBB9B8" w14:textId="77777777" w:rsidR="007E7B0A" w:rsidRDefault="007E7B0A" w:rsidP="007E7B0A">
            <w:pPr>
              <w:rPr>
                <w:rFonts w:ascii="Arial" w:hAnsi="Arial" w:cs="Arial"/>
                <w:b/>
                <w:bCs/>
                <w:sz w:val="22"/>
                <w:szCs w:val="22"/>
                <w:u w:val="single"/>
                <w:lang w:val="en-US"/>
              </w:rPr>
            </w:pPr>
          </w:p>
        </w:tc>
      </w:tr>
    </w:tbl>
    <w:p w14:paraId="3531D114" w14:textId="348B9039" w:rsidR="000C3B4E" w:rsidRPr="000C3B4E" w:rsidRDefault="000C3B4E" w:rsidP="009B5AEC">
      <w:pPr>
        <w:rPr>
          <w:rFonts w:ascii="Arial" w:hAnsi="Arial" w:cs="Arial"/>
          <w:b/>
          <w:bCs/>
          <w:sz w:val="22"/>
          <w:szCs w:val="22"/>
          <w:u w:val="single"/>
          <w:lang w:val="en-US"/>
        </w:rPr>
      </w:pPr>
    </w:p>
    <w:p w14:paraId="3AF76657" w14:textId="77777777" w:rsidR="00D709B5" w:rsidRDefault="00D709B5" w:rsidP="009B5AEC">
      <w:pPr>
        <w:rPr>
          <w:rFonts w:ascii="Arial" w:hAnsi="Arial" w:cs="Arial"/>
          <w:sz w:val="22"/>
          <w:szCs w:val="22"/>
          <w:lang w:val="en-US"/>
        </w:rPr>
      </w:pPr>
    </w:p>
    <w:p w14:paraId="0493D1D6" w14:textId="77777777" w:rsidR="0082315E" w:rsidRDefault="0082315E" w:rsidP="009B5AEC">
      <w:pPr>
        <w:rPr>
          <w:rFonts w:ascii="Arial" w:hAnsi="Arial" w:cs="Arial"/>
          <w:sz w:val="22"/>
          <w:szCs w:val="22"/>
          <w:lang w:val="en-US"/>
        </w:rPr>
      </w:pPr>
    </w:p>
    <w:p w14:paraId="583625BC" w14:textId="77777777" w:rsidR="0082315E" w:rsidRDefault="0082315E" w:rsidP="009B5AEC">
      <w:pPr>
        <w:rPr>
          <w:rFonts w:ascii="Arial" w:hAnsi="Arial" w:cs="Arial"/>
          <w:sz w:val="22"/>
          <w:szCs w:val="22"/>
          <w:lang w:val="en-US"/>
        </w:rPr>
      </w:pPr>
    </w:p>
    <w:p w14:paraId="6EFAACFB" w14:textId="349A3880" w:rsidR="0021382E" w:rsidRPr="003C6941" w:rsidRDefault="00C17A4C" w:rsidP="003C6941">
      <w:pPr>
        <w:spacing w:line="240" w:lineRule="auto"/>
        <w:rPr>
          <w:rFonts w:ascii="Arial" w:hAnsi="Arial" w:cs="Arial"/>
          <w:b/>
          <w:bCs/>
          <w:sz w:val="22"/>
          <w:szCs w:val="22"/>
          <w:u w:val="single"/>
          <w:lang w:val="en-US"/>
        </w:rPr>
      </w:pPr>
      <w:r w:rsidRPr="003C6941">
        <w:rPr>
          <w:rFonts w:ascii="Arial" w:hAnsi="Arial" w:cs="Arial"/>
          <w:b/>
          <w:bCs/>
          <w:sz w:val="22"/>
          <w:szCs w:val="22"/>
          <w:u w:val="single"/>
          <w:lang w:val="en-US"/>
        </w:rPr>
        <w:lastRenderedPageBreak/>
        <w:t>Thematic Analysis</w:t>
      </w:r>
    </w:p>
    <w:p w14:paraId="58AB4D96" w14:textId="77777777" w:rsidR="003B61D0" w:rsidRPr="003C6941" w:rsidRDefault="00EB583C" w:rsidP="003C6941">
      <w:pPr>
        <w:spacing w:line="240" w:lineRule="auto"/>
        <w:rPr>
          <w:rFonts w:ascii="Arial" w:hAnsi="Arial" w:cs="Arial"/>
          <w:sz w:val="22"/>
          <w:szCs w:val="22"/>
          <w:lang w:val="en-US"/>
        </w:rPr>
      </w:pPr>
      <w:r w:rsidRPr="003C6941">
        <w:rPr>
          <w:rFonts w:ascii="Arial" w:hAnsi="Arial" w:cs="Arial"/>
          <w:sz w:val="22"/>
          <w:szCs w:val="22"/>
          <w:lang w:val="en-US"/>
        </w:rPr>
        <w:t xml:space="preserve">A thematic analysis was performed to uncover recurring patterns within the six studies included. After thorough examination of the findings, four primary themes emerged: </w:t>
      </w:r>
    </w:p>
    <w:p w14:paraId="5BDABF6F" w14:textId="39128F72" w:rsidR="009C06A3" w:rsidRPr="003C6941" w:rsidRDefault="00EB583C" w:rsidP="003C6941">
      <w:pPr>
        <w:spacing w:line="240" w:lineRule="auto"/>
        <w:rPr>
          <w:rFonts w:ascii="Arial" w:hAnsi="Arial" w:cs="Arial"/>
          <w:sz w:val="22"/>
          <w:szCs w:val="22"/>
          <w:lang w:val="en-US"/>
        </w:rPr>
      </w:pPr>
      <w:r w:rsidRPr="003C6941">
        <w:rPr>
          <w:rFonts w:ascii="Arial" w:hAnsi="Arial" w:cs="Arial"/>
          <w:sz w:val="22"/>
          <w:szCs w:val="22"/>
          <w:lang w:val="en-US"/>
        </w:rPr>
        <w:t xml:space="preserve">1) </w:t>
      </w:r>
      <w:r w:rsidR="004D4978" w:rsidRPr="003C6941">
        <w:rPr>
          <w:rFonts w:ascii="Arial" w:hAnsi="Arial" w:cs="Arial"/>
          <w:sz w:val="22"/>
          <w:szCs w:val="22"/>
          <w:lang w:val="en-US"/>
        </w:rPr>
        <w:t>S</w:t>
      </w:r>
      <w:r w:rsidRPr="003C6941">
        <w:rPr>
          <w:rFonts w:ascii="Arial" w:hAnsi="Arial" w:cs="Arial"/>
          <w:sz w:val="22"/>
          <w:szCs w:val="22"/>
          <w:lang w:val="en-US"/>
        </w:rPr>
        <w:t>hortages in the workforce coupled with rising patient demand</w:t>
      </w:r>
    </w:p>
    <w:p w14:paraId="1A32CEB9" w14:textId="18C6DE1C" w:rsidR="009C06A3" w:rsidRPr="003C6941" w:rsidRDefault="00EB583C" w:rsidP="003C6941">
      <w:pPr>
        <w:spacing w:line="240" w:lineRule="auto"/>
        <w:rPr>
          <w:rFonts w:ascii="Arial" w:hAnsi="Arial" w:cs="Arial"/>
          <w:sz w:val="22"/>
          <w:szCs w:val="22"/>
          <w:lang w:val="en-US"/>
        </w:rPr>
      </w:pPr>
      <w:r w:rsidRPr="003C6941">
        <w:rPr>
          <w:rFonts w:ascii="Arial" w:hAnsi="Arial" w:cs="Arial"/>
          <w:sz w:val="22"/>
          <w:szCs w:val="22"/>
          <w:lang w:val="en-US"/>
        </w:rPr>
        <w:t xml:space="preserve">2) </w:t>
      </w:r>
      <w:r w:rsidR="004D4978" w:rsidRPr="003C6941">
        <w:rPr>
          <w:rFonts w:ascii="Arial" w:hAnsi="Arial" w:cs="Arial"/>
          <w:sz w:val="22"/>
          <w:szCs w:val="22"/>
          <w:lang w:val="en-US"/>
        </w:rPr>
        <w:t>F</w:t>
      </w:r>
      <w:r w:rsidRPr="003C6941">
        <w:rPr>
          <w:rFonts w:ascii="Arial" w:hAnsi="Arial" w:cs="Arial"/>
          <w:sz w:val="22"/>
          <w:szCs w:val="22"/>
          <w:lang w:val="en-US"/>
        </w:rPr>
        <w:t>actors related to organizational structure and appointment systems</w:t>
      </w:r>
    </w:p>
    <w:p w14:paraId="33173B71" w14:textId="5BF1FE39" w:rsidR="009C06A3" w:rsidRPr="003C6941" w:rsidRDefault="00EB583C" w:rsidP="003C6941">
      <w:pPr>
        <w:spacing w:line="240" w:lineRule="auto"/>
        <w:rPr>
          <w:rFonts w:ascii="Arial" w:hAnsi="Arial" w:cs="Arial"/>
          <w:sz w:val="22"/>
          <w:szCs w:val="22"/>
          <w:lang w:val="en-US"/>
        </w:rPr>
      </w:pPr>
      <w:r w:rsidRPr="003C6941">
        <w:rPr>
          <w:rFonts w:ascii="Arial" w:hAnsi="Arial" w:cs="Arial"/>
          <w:sz w:val="22"/>
          <w:szCs w:val="22"/>
          <w:lang w:val="en-US"/>
        </w:rPr>
        <w:t xml:space="preserve">3) </w:t>
      </w:r>
      <w:r w:rsidR="004D4978" w:rsidRPr="003C6941">
        <w:rPr>
          <w:rFonts w:ascii="Arial" w:hAnsi="Arial" w:cs="Arial"/>
          <w:sz w:val="22"/>
          <w:szCs w:val="22"/>
          <w:lang w:val="en-US"/>
        </w:rPr>
        <w:t>T</w:t>
      </w:r>
      <w:r w:rsidRPr="003C6941">
        <w:rPr>
          <w:rFonts w:ascii="Arial" w:hAnsi="Arial" w:cs="Arial"/>
          <w:sz w:val="22"/>
          <w:szCs w:val="22"/>
          <w:lang w:val="en-US"/>
        </w:rPr>
        <w:t>he effects of extended waiting times on patients and healthcare services</w:t>
      </w:r>
    </w:p>
    <w:p w14:paraId="0EFE362B" w14:textId="7CA4133D" w:rsidR="009C06A3" w:rsidRPr="003C6941" w:rsidRDefault="00EB583C" w:rsidP="003C6941">
      <w:pPr>
        <w:spacing w:line="240" w:lineRule="auto"/>
        <w:rPr>
          <w:rFonts w:ascii="Arial" w:hAnsi="Arial" w:cs="Arial"/>
          <w:sz w:val="22"/>
          <w:szCs w:val="22"/>
          <w:lang w:val="en-US"/>
        </w:rPr>
      </w:pPr>
      <w:r w:rsidRPr="003C6941">
        <w:rPr>
          <w:rFonts w:ascii="Arial" w:hAnsi="Arial" w:cs="Arial"/>
          <w:sz w:val="22"/>
          <w:szCs w:val="22"/>
          <w:lang w:val="en-US"/>
        </w:rPr>
        <w:t xml:space="preserve">4) </w:t>
      </w:r>
      <w:r w:rsidR="004D4978" w:rsidRPr="003C6941">
        <w:rPr>
          <w:rFonts w:ascii="Arial" w:hAnsi="Arial" w:cs="Arial"/>
          <w:sz w:val="22"/>
          <w:szCs w:val="22"/>
          <w:lang w:val="en-US"/>
        </w:rPr>
        <w:t>A</w:t>
      </w:r>
      <w:r w:rsidRPr="003C6941">
        <w:rPr>
          <w:rFonts w:ascii="Arial" w:hAnsi="Arial" w:cs="Arial"/>
          <w:sz w:val="22"/>
          <w:szCs w:val="22"/>
          <w:lang w:val="en-US"/>
        </w:rPr>
        <w:t>pproaches to enhance access to general practice.</w:t>
      </w:r>
    </w:p>
    <w:p w14:paraId="689FB524" w14:textId="0100991A" w:rsidR="0082315E" w:rsidRDefault="00EB583C" w:rsidP="003C6941">
      <w:pPr>
        <w:spacing w:line="240" w:lineRule="auto"/>
        <w:rPr>
          <w:rFonts w:ascii="Arial" w:hAnsi="Arial" w:cs="Arial"/>
          <w:sz w:val="22"/>
          <w:szCs w:val="22"/>
          <w:lang w:val="en-US"/>
        </w:rPr>
      </w:pPr>
      <w:r w:rsidRPr="003C6941">
        <w:rPr>
          <w:rFonts w:ascii="Arial" w:hAnsi="Arial" w:cs="Arial"/>
          <w:sz w:val="22"/>
          <w:szCs w:val="22"/>
          <w:lang w:val="en-US"/>
        </w:rPr>
        <w:t xml:space="preserve">The following </w:t>
      </w:r>
      <w:r w:rsidR="0078067B" w:rsidRPr="003C6941">
        <w:rPr>
          <w:rFonts w:ascii="Arial" w:hAnsi="Arial" w:cs="Arial"/>
          <w:sz w:val="22"/>
          <w:szCs w:val="22"/>
          <w:lang w:val="en-US"/>
        </w:rPr>
        <w:t xml:space="preserve">sections </w:t>
      </w:r>
      <w:r w:rsidR="00B5134D" w:rsidRPr="003C6941">
        <w:rPr>
          <w:rFonts w:ascii="Arial" w:hAnsi="Arial" w:cs="Arial"/>
          <w:sz w:val="22"/>
          <w:szCs w:val="22"/>
          <w:lang w:val="en-US"/>
        </w:rPr>
        <w:t xml:space="preserve">present </w:t>
      </w:r>
      <w:r w:rsidR="00127150" w:rsidRPr="003C6941">
        <w:rPr>
          <w:rFonts w:ascii="Arial" w:hAnsi="Arial" w:cs="Arial"/>
          <w:sz w:val="22"/>
          <w:szCs w:val="22"/>
          <w:lang w:val="en-US"/>
        </w:rPr>
        <w:t xml:space="preserve">the findings </w:t>
      </w:r>
      <w:r w:rsidR="007B1446" w:rsidRPr="003C6941">
        <w:rPr>
          <w:rFonts w:ascii="Arial" w:hAnsi="Arial" w:cs="Arial"/>
          <w:sz w:val="22"/>
          <w:szCs w:val="22"/>
          <w:lang w:val="en-US"/>
        </w:rPr>
        <w:t>associa</w:t>
      </w:r>
      <w:r w:rsidR="006D6436" w:rsidRPr="003C6941">
        <w:rPr>
          <w:rFonts w:ascii="Arial" w:hAnsi="Arial" w:cs="Arial"/>
          <w:sz w:val="22"/>
          <w:szCs w:val="22"/>
          <w:lang w:val="en-US"/>
        </w:rPr>
        <w:t xml:space="preserve">ted </w:t>
      </w:r>
      <w:r w:rsidR="00694FF2" w:rsidRPr="003C6941">
        <w:rPr>
          <w:rFonts w:ascii="Arial" w:hAnsi="Arial" w:cs="Arial"/>
          <w:sz w:val="22"/>
          <w:szCs w:val="22"/>
          <w:lang w:val="en-US"/>
        </w:rPr>
        <w:t>with each ide</w:t>
      </w:r>
      <w:r w:rsidR="00722099" w:rsidRPr="003C6941">
        <w:rPr>
          <w:rFonts w:ascii="Arial" w:hAnsi="Arial" w:cs="Arial"/>
          <w:sz w:val="22"/>
          <w:szCs w:val="22"/>
          <w:lang w:val="en-US"/>
        </w:rPr>
        <w:t>ntified</w:t>
      </w:r>
      <w:r w:rsidR="00434D8C" w:rsidRPr="003C6941">
        <w:rPr>
          <w:rFonts w:ascii="Arial" w:hAnsi="Arial" w:cs="Arial"/>
          <w:sz w:val="22"/>
          <w:szCs w:val="22"/>
          <w:lang w:val="en-US"/>
        </w:rPr>
        <w:t xml:space="preserve"> </w:t>
      </w:r>
      <w:r w:rsidRPr="003C6941">
        <w:rPr>
          <w:rFonts w:ascii="Arial" w:hAnsi="Arial" w:cs="Arial"/>
          <w:sz w:val="22"/>
          <w:szCs w:val="22"/>
          <w:lang w:val="en-US"/>
        </w:rPr>
        <w:t>theme.</w:t>
      </w:r>
    </w:p>
    <w:p w14:paraId="0901745E" w14:textId="77777777" w:rsidR="003C6941" w:rsidRPr="003C6941" w:rsidRDefault="003C6941" w:rsidP="003C6941">
      <w:pPr>
        <w:spacing w:line="240" w:lineRule="auto"/>
        <w:rPr>
          <w:rFonts w:ascii="Arial" w:hAnsi="Arial" w:cs="Arial"/>
          <w:sz w:val="22"/>
          <w:szCs w:val="22"/>
          <w:lang w:val="en-US"/>
        </w:rPr>
      </w:pPr>
    </w:p>
    <w:p w14:paraId="168FCE30" w14:textId="77777777" w:rsidR="003C6941" w:rsidRDefault="00D11478" w:rsidP="003C6941">
      <w:pPr>
        <w:spacing w:line="240" w:lineRule="auto"/>
        <w:rPr>
          <w:rFonts w:ascii="Arial" w:hAnsi="Arial" w:cs="Arial"/>
          <w:b/>
          <w:bCs/>
          <w:sz w:val="22"/>
          <w:szCs w:val="22"/>
          <w:u w:val="single"/>
          <w:lang w:val="en-US"/>
        </w:rPr>
      </w:pPr>
      <w:r w:rsidRPr="003C6941">
        <w:rPr>
          <w:rFonts w:ascii="Arial" w:hAnsi="Arial" w:cs="Arial"/>
          <w:b/>
          <w:bCs/>
          <w:sz w:val="22"/>
          <w:szCs w:val="22"/>
          <w:u w:val="single"/>
          <w:lang w:val="en-US"/>
        </w:rPr>
        <w:t>Theme 1: Workforce Shortages and Increasing Patient Demand</w:t>
      </w:r>
      <w:r w:rsidR="003C6941">
        <w:rPr>
          <w:rFonts w:ascii="Arial" w:hAnsi="Arial" w:cs="Arial"/>
          <w:b/>
          <w:bCs/>
          <w:sz w:val="22"/>
          <w:szCs w:val="22"/>
          <w:u w:val="single"/>
          <w:lang w:val="en-US"/>
        </w:rPr>
        <w:t>:</w:t>
      </w:r>
    </w:p>
    <w:p w14:paraId="298FACA7" w14:textId="77777777" w:rsidR="003C6941" w:rsidRDefault="00D11478" w:rsidP="003C6941">
      <w:pPr>
        <w:spacing w:line="240" w:lineRule="auto"/>
        <w:rPr>
          <w:rFonts w:ascii="Arial" w:hAnsi="Arial" w:cs="Arial"/>
          <w:b/>
          <w:bCs/>
          <w:sz w:val="22"/>
          <w:szCs w:val="22"/>
          <w:u w:val="single"/>
          <w:lang w:val="en-US"/>
        </w:rPr>
      </w:pPr>
      <w:r w:rsidRPr="003C6941">
        <w:rPr>
          <w:rFonts w:ascii="Arial" w:hAnsi="Arial" w:cs="Arial"/>
          <w:sz w:val="22"/>
          <w:szCs w:val="22"/>
          <w:lang w:val="en-US"/>
        </w:rPr>
        <w:t xml:space="preserve">The studies reviewed highlighted workforce pressures in conjunction with rising patient demand as a significant theme. The results indicated that general practices were facing a surge in appointment requests while concurrently dealing with workforce capacity constraints. Chappel et al. </w:t>
      </w:r>
      <w:r w:rsidRPr="00A8544D">
        <w:rPr>
          <w:rFonts w:ascii="Arial" w:hAnsi="Arial" w:cs="Arial"/>
          <w:b/>
          <w:bCs/>
          <w:sz w:val="22"/>
          <w:szCs w:val="22"/>
          <w:lang w:val="en-US"/>
        </w:rPr>
        <w:t>(2023)</w:t>
      </w:r>
      <w:r w:rsidRPr="003C6941">
        <w:rPr>
          <w:rFonts w:ascii="Arial" w:hAnsi="Arial" w:cs="Arial"/>
          <w:sz w:val="22"/>
          <w:szCs w:val="22"/>
          <w:lang w:val="en-US"/>
        </w:rPr>
        <w:t xml:space="preserve"> noted a considerable increase in patient-initiated demand from 2019 to 2022, prompting the implementation of changes to access systems to handle the growing number of appointment requests. Nevertheless, the persistent rise in demand continued to exert pressure on general practice services.</w:t>
      </w:r>
    </w:p>
    <w:p w14:paraId="357BA378" w14:textId="77777777" w:rsidR="003C6941" w:rsidRDefault="00D11478" w:rsidP="003C6941">
      <w:pPr>
        <w:spacing w:line="240" w:lineRule="auto"/>
        <w:rPr>
          <w:rFonts w:ascii="Arial" w:hAnsi="Arial" w:cs="Arial"/>
          <w:b/>
          <w:bCs/>
          <w:sz w:val="22"/>
          <w:szCs w:val="22"/>
          <w:u w:val="single"/>
          <w:lang w:val="en-US"/>
        </w:rPr>
      </w:pPr>
      <w:r w:rsidRPr="003C6941">
        <w:rPr>
          <w:rFonts w:ascii="Arial" w:hAnsi="Arial" w:cs="Arial"/>
          <w:sz w:val="22"/>
          <w:szCs w:val="22"/>
          <w:lang w:val="en-US"/>
        </w:rPr>
        <w:t xml:space="preserve">Pettigrew et al. </w:t>
      </w:r>
      <w:r w:rsidRPr="00A8544D">
        <w:rPr>
          <w:rFonts w:ascii="Arial" w:hAnsi="Arial" w:cs="Arial"/>
          <w:b/>
          <w:bCs/>
          <w:sz w:val="22"/>
          <w:szCs w:val="22"/>
          <w:lang w:val="en-US"/>
        </w:rPr>
        <w:t>(2024)</w:t>
      </w:r>
      <w:r w:rsidRPr="003C6941">
        <w:rPr>
          <w:rFonts w:ascii="Arial" w:hAnsi="Arial" w:cs="Arial"/>
          <w:sz w:val="22"/>
          <w:szCs w:val="22"/>
          <w:lang w:val="en-US"/>
        </w:rPr>
        <w:t xml:space="preserve"> similarly observed that the volume of GP appointments rose despite existing workforce shortages, leading to heightened workload pressures within practices. The research emphasized that while practices managed to offer more appointments, this was set against a backdrop of diminished workforce capacity, which hindered the services' ability to respond effectively to patient requirements.</w:t>
      </w:r>
    </w:p>
    <w:p w14:paraId="3B1EA331" w14:textId="77777777" w:rsidR="003C6941" w:rsidRDefault="00185EE9" w:rsidP="003C6941">
      <w:pPr>
        <w:spacing w:line="240" w:lineRule="auto"/>
        <w:rPr>
          <w:rFonts w:ascii="Arial" w:hAnsi="Arial" w:cs="Arial"/>
          <w:b/>
          <w:bCs/>
          <w:sz w:val="22"/>
          <w:szCs w:val="22"/>
          <w:u w:val="single"/>
          <w:lang w:val="en-US"/>
        </w:rPr>
      </w:pPr>
      <w:r w:rsidRPr="003C6941">
        <w:rPr>
          <w:rFonts w:ascii="Arial" w:hAnsi="Arial" w:cs="Arial"/>
          <w:sz w:val="22"/>
          <w:szCs w:val="22"/>
          <w:lang w:val="en-US"/>
        </w:rPr>
        <w:t xml:space="preserve">The capacity of the workforce was recognized as a significant element affecting the efficiency of appointment systems. Eccles et al. </w:t>
      </w:r>
      <w:r w:rsidRPr="00A8544D">
        <w:rPr>
          <w:rFonts w:ascii="Arial" w:hAnsi="Arial" w:cs="Arial"/>
          <w:b/>
          <w:bCs/>
          <w:sz w:val="22"/>
          <w:szCs w:val="22"/>
          <w:lang w:val="en-US"/>
        </w:rPr>
        <w:t>(2024)</w:t>
      </w:r>
      <w:r w:rsidRPr="003C6941">
        <w:rPr>
          <w:rFonts w:ascii="Arial" w:hAnsi="Arial" w:cs="Arial"/>
          <w:sz w:val="22"/>
          <w:szCs w:val="22"/>
          <w:lang w:val="en-US"/>
        </w:rPr>
        <w:t xml:space="preserve"> discovered that no singular access system consistently enhanced access to general practice, as workforce availability and organizational factors played a role in the variations of outcomes. These results suggested that merely improving appointment processes may not resolve access challenges when practices are still facing staffing limitations.</w:t>
      </w:r>
    </w:p>
    <w:p w14:paraId="79AD8A1A" w14:textId="77777777" w:rsidR="003C6941" w:rsidRDefault="00185EE9" w:rsidP="003C6941">
      <w:pPr>
        <w:spacing w:line="240" w:lineRule="auto"/>
        <w:rPr>
          <w:rFonts w:ascii="Arial" w:hAnsi="Arial" w:cs="Arial"/>
          <w:b/>
          <w:bCs/>
          <w:sz w:val="22"/>
          <w:szCs w:val="22"/>
          <w:u w:val="single"/>
          <w:lang w:val="en-US"/>
        </w:rPr>
      </w:pPr>
      <w:r w:rsidRPr="003C6941">
        <w:rPr>
          <w:rFonts w:ascii="Arial" w:hAnsi="Arial" w:cs="Arial"/>
          <w:sz w:val="22"/>
          <w:szCs w:val="22"/>
          <w:lang w:val="en-US"/>
        </w:rPr>
        <w:t>In the studies reviewed, workforce shortages and the growing demand from patients were therefore interrelated factors impacting access to general practice. The evidence indicated that the increase in patient requests, coupled with restricted workforce capacity, heightened the strain on primary care services and affected the ability of practices to provide timely access for patients.</w:t>
      </w:r>
    </w:p>
    <w:p w14:paraId="0DB6EC32" w14:textId="77777777" w:rsidR="003C6941" w:rsidRDefault="003C6941" w:rsidP="003C6941">
      <w:pPr>
        <w:spacing w:line="240" w:lineRule="auto"/>
        <w:rPr>
          <w:rFonts w:ascii="Arial" w:hAnsi="Arial" w:cs="Arial"/>
          <w:b/>
          <w:bCs/>
          <w:sz w:val="22"/>
          <w:szCs w:val="22"/>
          <w:u w:val="single"/>
          <w:lang w:val="en-US"/>
        </w:rPr>
      </w:pPr>
    </w:p>
    <w:p w14:paraId="11AD0239" w14:textId="77777777" w:rsidR="003C6941" w:rsidRDefault="007D5722" w:rsidP="003C6941">
      <w:pPr>
        <w:spacing w:line="240" w:lineRule="auto"/>
        <w:rPr>
          <w:rFonts w:ascii="Arial" w:hAnsi="Arial" w:cs="Arial"/>
          <w:b/>
          <w:bCs/>
          <w:sz w:val="22"/>
          <w:szCs w:val="22"/>
          <w:u w:val="single"/>
          <w:lang w:val="en-US"/>
        </w:rPr>
      </w:pPr>
      <w:r w:rsidRPr="003C6941">
        <w:rPr>
          <w:rFonts w:ascii="Arial" w:hAnsi="Arial" w:cs="Arial"/>
          <w:b/>
          <w:bCs/>
          <w:sz w:val="22"/>
          <w:szCs w:val="22"/>
          <w:u w:val="single"/>
          <w:lang w:val="en-US"/>
        </w:rPr>
        <w:t xml:space="preserve">Theme 2: Factors Related to </w:t>
      </w:r>
      <w:r w:rsidR="003C6941" w:rsidRPr="003C6941">
        <w:rPr>
          <w:rFonts w:ascii="Arial" w:hAnsi="Arial" w:cs="Arial"/>
          <w:b/>
          <w:bCs/>
          <w:sz w:val="22"/>
          <w:szCs w:val="22"/>
          <w:u w:val="single"/>
          <w:lang w:val="en-US"/>
        </w:rPr>
        <w:t>Organizational</w:t>
      </w:r>
      <w:r w:rsidRPr="003C6941">
        <w:rPr>
          <w:rFonts w:ascii="Arial" w:hAnsi="Arial" w:cs="Arial"/>
          <w:b/>
          <w:bCs/>
          <w:sz w:val="22"/>
          <w:szCs w:val="22"/>
          <w:u w:val="single"/>
          <w:lang w:val="en-US"/>
        </w:rPr>
        <w:t xml:space="preserve"> Structure and Appointment Systems</w:t>
      </w:r>
      <w:r w:rsidR="003C6941">
        <w:rPr>
          <w:rFonts w:ascii="Arial" w:hAnsi="Arial" w:cs="Arial"/>
          <w:b/>
          <w:bCs/>
          <w:sz w:val="22"/>
          <w:szCs w:val="22"/>
          <w:u w:val="single"/>
          <w:lang w:val="en-US"/>
        </w:rPr>
        <w:t>:</w:t>
      </w:r>
    </w:p>
    <w:p w14:paraId="0E7DDDAC" w14:textId="77777777" w:rsidR="003C6941" w:rsidRDefault="003C6941" w:rsidP="003C6941">
      <w:pPr>
        <w:spacing w:line="240" w:lineRule="auto"/>
        <w:rPr>
          <w:rFonts w:ascii="Arial" w:hAnsi="Arial" w:cs="Arial"/>
          <w:b/>
          <w:bCs/>
          <w:sz w:val="22"/>
          <w:szCs w:val="22"/>
          <w:u w:val="single"/>
          <w:lang w:val="en-US"/>
        </w:rPr>
      </w:pPr>
      <w:r w:rsidRPr="003C6941">
        <w:rPr>
          <w:rFonts w:ascii="Arial" w:hAnsi="Arial" w:cs="Arial"/>
          <w:sz w:val="22"/>
          <w:szCs w:val="22"/>
          <w:lang w:val="en-US"/>
        </w:rPr>
        <w:t>Organizational</w:t>
      </w:r>
      <w:r w:rsidR="007D5722" w:rsidRPr="003C6941">
        <w:rPr>
          <w:rFonts w:ascii="Arial" w:hAnsi="Arial" w:cs="Arial"/>
          <w:sz w:val="22"/>
          <w:szCs w:val="22"/>
          <w:lang w:val="en-US"/>
        </w:rPr>
        <w:t xml:space="preserve"> structures and appointment systems have been recognized as significant elements affecting access to general practice in the studies reviewed. The results indicated that although various methods for managing appointments were adopted, their success depended on the manner in which they were executed within specific practices. Eccles et al. </w:t>
      </w:r>
      <w:r w:rsidR="007D5722" w:rsidRPr="00A8544D">
        <w:rPr>
          <w:rFonts w:ascii="Arial" w:hAnsi="Arial" w:cs="Arial"/>
          <w:b/>
          <w:bCs/>
          <w:sz w:val="22"/>
          <w:szCs w:val="22"/>
          <w:lang w:val="en-US"/>
        </w:rPr>
        <w:t>(2024)</w:t>
      </w:r>
      <w:r w:rsidR="007D5722" w:rsidRPr="003C6941">
        <w:rPr>
          <w:rFonts w:ascii="Arial" w:hAnsi="Arial" w:cs="Arial"/>
          <w:sz w:val="22"/>
          <w:szCs w:val="22"/>
          <w:lang w:val="en-US"/>
        </w:rPr>
        <w:t xml:space="preserve"> emphasized that no singular appointment system reliably enhanced access, implying that </w:t>
      </w:r>
      <w:r w:rsidRPr="003C6941">
        <w:rPr>
          <w:rFonts w:ascii="Arial" w:hAnsi="Arial" w:cs="Arial"/>
          <w:sz w:val="22"/>
          <w:szCs w:val="22"/>
          <w:lang w:val="en-US"/>
        </w:rPr>
        <w:t>organizational</w:t>
      </w:r>
      <w:r w:rsidR="007D5722" w:rsidRPr="003C6941">
        <w:rPr>
          <w:rFonts w:ascii="Arial" w:hAnsi="Arial" w:cs="Arial"/>
          <w:sz w:val="22"/>
          <w:szCs w:val="22"/>
          <w:lang w:val="en-US"/>
        </w:rPr>
        <w:t xml:space="preserve"> elements and the context of implementation played a crucial role in determining their overall success.</w:t>
      </w:r>
    </w:p>
    <w:p w14:paraId="41FBCA29" w14:textId="5C70DC4F" w:rsidR="0082315E" w:rsidRPr="003C6941" w:rsidRDefault="007D5722" w:rsidP="003C6941">
      <w:pPr>
        <w:spacing w:line="240" w:lineRule="auto"/>
        <w:rPr>
          <w:rFonts w:ascii="Arial" w:hAnsi="Arial" w:cs="Arial"/>
          <w:b/>
          <w:bCs/>
          <w:sz w:val="22"/>
          <w:szCs w:val="22"/>
          <w:u w:val="single"/>
          <w:lang w:val="en-US"/>
        </w:rPr>
      </w:pPr>
      <w:r w:rsidRPr="003C6941">
        <w:rPr>
          <w:rFonts w:ascii="Arial" w:hAnsi="Arial" w:cs="Arial"/>
          <w:sz w:val="22"/>
          <w:szCs w:val="22"/>
          <w:lang w:val="en-US"/>
        </w:rPr>
        <w:t xml:space="preserve">Chappel et al. </w:t>
      </w:r>
      <w:r w:rsidRPr="00A8544D">
        <w:rPr>
          <w:rFonts w:ascii="Arial" w:hAnsi="Arial" w:cs="Arial"/>
          <w:b/>
          <w:bCs/>
          <w:sz w:val="22"/>
          <w:szCs w:val="22"/>
          <w:lang w:val="en-US"/>
        </w:rPr>
        <w:t>(2023)</w:t>
      </w:r>
      <w:r w:rsidRPr="003C6941">
        <w:rPr>
          <w:rFonts w:ascii="Arial" w:hAnsi="Arial" w:cs="Arial"/>
          <w:sz w:val="22"/>
          <w:szCs w:val="22"/>
          <w:lang w:val="en-US"/>
        </w:rPr>
        <w:t xml:space="preserve"> noted that modifications to access systems were made in response to the growing demand from patients. These adjustments aided practices in handling appointment requests; however, they did not completely alleviate the ongoing strain caused </w:t>
      </w:r>
      <w:r w:rsidRPr="003C6941">
        <w:rPr>
          <w:rFonts w:ascii="Arial" w:hAnsi="Arial" w:cs="Arial"/>
          <w:sz w:val="22"/>
          <w:szCs w:val="22"/>
          <w:lang w:val="en-US"/>
        </w:rPr>
        <w:lastRenderedPageBreak/>
        <w:t xml:space="preserve">by the increasing demand. The results suggested that appointment </w:t>
      </w:r>
      <w:r w:rsidR="003C6941" w:rsidRPr="003C6941">
        <w:rPr>
          <w:rFonts w:ascii="Arial" w:hAnsi="Arial" w:cs="Arial"/>
          <w:sz w:val="22"/>
          <w:szCs w:val="22"/>
          <w:lang w:val="en-US"/>
        </w:rPr>
        <w:t>systems</w:t>
      </w:r>
      <w:r w:rsidRPr="003C6941">
        <w:rPr>
          <w:rFonts w:ascii="Arial" w:hAnsi="Arial" w:cs="Arial"/>
          <w:sz w:val="22"/>
          <w:szCs w:val="22"/>
          <w:lang w:val="en-US"/>
        </w:rPr>
        <w:t xml:space="preserve"> themselves were inadequate in addressing access issues when broader challenges within general practice persisted.</w:t>
      </w:r>
    </w:p>
    <w:p w14:paraId="0EE9E880" w14:textId="7ABF73D9" w:rsidR="003C6941" w:rsidRDefault="00590E2C" w:rsidP="003C6941">
      <w:pPr>
        <w:spacing w:line="240" w:lineRule="auto"/>
        <w:rPr>
          <w:rFonts w:ascii="Arial" w:hAnsi="Arial" w:cs="Arial"/>
          <w:sz w:val="22"/>
          <w:szCs w:val="22"/>
          <w:lang w:val="en-US"/>
        </w:rPr>
      </w:pPr>
      <w:r w:rsidRPr="003C6941">
        <w:rPr>
          <w:rFonts w:ascii="Arial" w:hAnsi="Arial" w:cs="Arial"/>
          <w:sz w:val="22"/>
          <w:szCs w:val="22"/>
          <w:lang w:val="en-US"/>
        </w:rPr>
        <w:t xml:space="preserve">The studies reviewed also revealed differences in the impact of access models on patient experiences. Murphy et al. </w:t>
      </w:r>
      <w:r w:rsidRPr="00A8544D">
        <w:rPr>
          <w:rFonts w:ascii="Arial" w:hAnsi="Arial" w:cs="Arial"/>
          <w:b/>
          <w:bCs/>
          <w:sz w:val="22"/>
          <w:szCs w:val="22"/>
          <w:lang w:val="en-US"/>
        </w:rPr>
        <w:t>(2021)</w:t>
      </w:r>
      <w:r w:rsidRPr="003C6941">
        <w:rPr>
          <w:rFonts w:ascii="Arial" w:hAnsi="Arial" w:cs="Arial"/>
          <w:sz w:val="22"/>
          <w:szCs w:val="22"/>
          <w:lang w:val="en-US"/>
        </w:rPr>
        <w:t xml:space="preserve"> discovered that remote consultations created new possibilities for enhancing accessibility for certain patients, especially by providing greater flexibility in the delivery of consultations. Nonetheless, the research also highlighted issues concerning the continuity of care and the organization of primary care services </w:t>
      </w:r>
      <w:r w:rsidR="00A8544D" w:rsidRPr="003C6941">
        <w:rPr>
          <w:rFonts w:ascii="Arial" w:hAnsi="Arial" w:cs="Arial"/>
          <w:sz w:val="22"/>
          <w:szCs w:val="22"/>
          <w:lang w:val="en-US"/>
        </w:rPr>
        <w:t>considering</w:t>
      </w:r>
      <w:r w:rsidRPr="003C6941">
        <w:rPr>
          <w:rFonts w:ascii="Arial" w:hAnsi="Arial" w:cs="Arial"/>
          <w:sz w:val="22"/>
          <w:szCs w:val="22"/>
          <w:lang w:val="en-US"/>
        </w:rPr>
        <w:t xml:space="preserve"> the changes in consultation methods.</w:t>
      </w:r>
    </w:p>
    <w:p w14:paraId="6972E9F9" w14:textId="77777777" w:rsidR="003C6941" w:rsidRDefault="00590E2C" w:rsidP="003C6941">
      <w:pPr>
        <w:spacing w:line="240" w:lineRule="auto"/>
        <w:rPr>
          <w:rFonts w:ascii="Arial" w:hAnsi="Arial" w:cs="Arial"/>
          <w:sz w:val="22"/>
          <w:szCs w:val="22"/>
          <w:lang w:val="en-US"/>
        </w:rPr>
      </w:pPr>
      <w:r w:rsidRPr="003C6941">
        <w:rPr>
          <w:rFonts w:ascii="Arial" w:hAnsi="Arial" w:cs="Arial"/>
          <w:sz w:val="22"/>
          <w:szCs w:val="22"/>
          <w:lang w:val="en-US"/>
        </w:rPr>
        <w:t>In summary, the results suggested that access to general practice was determined not only by the availability of appointments but also by the organizational frameworks that facilitated their provision. Appointment systems, remote consultation approaches, and practice-level procedures interacted with workforce capacity and demand pressures, influencing the effectiveness with which patients could access primary care services.</w:t>
      </w:r>
    </w:p>
    <w:p w14:paraId="68DC507C" w14:textId="77777777" w:rsidR="003C6941" w:rsidRDefault="003C6941" w:rsidP="003C6941">
      <w:pPr>
        <w:spacing w:line="240" w:lineRule="auto"/>
        <w:rPr>
          <w:rFonts w:ascii="Arial" w:hAnsi="Arial" w:cs="Arial"/>
          <w:sz w:val="22"/>
          <w:szCs w:val="22"/>
          <w:lang w:val="en-US"/>
        </w:rPr>
      </w:pPr>
    </w:p>
    <w:p w14:paraId="7134B8A9" w14:textId="77777777" w:rsidR="003C6941" w:rsidRDefault="001D1074" w:rsidP="003C6941">
      <w:pPr>
        <w:spacing w:line="240" w:lineRule="auto"/>
        <w:rPr>
          <w:rFonts w:ascii="Arial" w:hAnsi="Arial" w:cs="Arial"/>
          <w:b/>
          <w:bCs/>
          <w:sz w:val="22"/>
          <w:szCs w:val="22"/>
          <w:u w:val="single"/>
          <w:lang w:val="en-US"/>
        </w:rPr>
      </w:pPr>
      <w:r w:rsidRPr="003C6941">
        <w:rPr>
          <w:rFonts w:ascii="Arial" w:hAnsi="Arial" w:cs="Arial"/>
          <w:b/>
          <w:bCs/>
          <w:sz w:val="22"/>
          <w:szCs w:val="22"/>
          <w:u w:val="single"/>
          <w:lang w:val="en-US"/>
        </w:rPr>
        <w:t>Theme 3: The Impact of Prolonged Waiting Times on Patients and Healthcare Services</w:t>
      </w:r>
      <w:r w:rsidR="003C6941">
        <w:rPr>
          <w:rFonts w:ascii="Arial" w:hAnsi="Arial" w:cs="Arial"/>
          <w:b/>
          <w:bCs/>
          <w:sz w:val="22"/>
          <w:szCs w:val="22"/>
          <w:u w:val="single"/>
          <w:lang w:val="en-US"/>
        </w:rPr>
        <w:t>:</w:t>
      </w:r>
    </w:p>
    <w:p w14:paraId="30E44CB9" w14:textId="77777777" w:rsidR="003C6941" w:rsidRDefault="001D1074" w:rsidP="003C6941">
      <w:pPr>
        <w:spacing w:line="240" w:lineRule="auto"/>
        <w:rPr>
          <w:rFonts w:ascii="Arial" w:hAnsi="Arial" w:cs="Arial"/>
          <w:b/>
          <w:bCs/>
          <w:sz w:val="22"/>
          <w:szCs w:val="22"/>
          <w:u w:val="single"/>
          <w:lang w:val="en-US"/>
        </w:rPr>
      </w:pPr>
      <w:r w:rsidRPr="003C6941">
        <w:rPr>
          <w:rFonts w:ascii="Arial" w:hAnsi="Arial" w:cs="Arial"/>
          <w:sz w:val="22"/>
          <w:szCs w:val="22"/>
          <w:lang w:val="en-US"/>
        </w:rPr>
        <w:t xml:space="preserve">Prolonged waiting times have emerged as a significant theme affecting access to general practice and broader healthcare services. The studies reviewed underscored that delays within the healthcare system impacted both patient experiences and the decision-making processes of healthcare professionals. Hayes et al. </w:t>
      </w:r>
      <w:r w:rsidRPr="00A8544D">
        <w:rPr>
          <w:rFonts w:ascii="Arial" w:hAnsi="Arial" w:cs="Arial"/>
          <w:b/>
          <w:bCs/>
          <w:sz w:val="22"/>
          <w:szCs w:val="22"/>
          <w:lang w:val="en-US"/>
        </w:rPr>
        <w:t>(2024)</w:t>
      </w:r>
      <w:r w:rsidRPr="003C6941">
        <w:rPr>
          <w:rFonts w:ascii="Arial" w:hAnsi="Arial" w:cs="Arial"/>
          <w:sz w:val="22"/>
          <w:szCs w:val="22"/>
          <w:lang w:val="en-US"/>
        </w:rPr>
        <w:t xml:space="preserve"> noted that extended hospital waiting times influenced the referral decisions made by general practitioners, illustrating how </w:t>
      </w:r>
      <w:r w:rsidR="003C6941" w:rsidRPr="003C6941">
        <w:rPr>
          <w:rFonts w:ascii="Arial" w:hAnsi="Arial" w:cs="Arial"/>
          <w:sz w:val="22"/>
          <w:szCs w:val="22"/>
          <w:lang w:val="en-US"/>
        </w:rPr>
        <w:t>pressure</w:t>
      </w:r>
      <w:r w:rsidRPr="003C6941">
        <w:rPr>
          <w:rFonts w:ascii="Arial" w:hAnsi="Arial" w:cs="Arial"/>
          <w:sz w:val="22"/>
          <w:szCs w:val="22"/>
          <w:lang w:val="en-US"/>
        </w:rPr>
        <w:t xml:space="preserve"> outside of primary care can affect the provision of general practice services.</w:t>
      </w:r>
    </w:p>
    <w:p w14:paraId="03853DF9" w14:textId="77777777" w:rsidR="003C6941" w:rsidRDefault="001D1074" w:rsidP="003C6941">
      <w:pPr>
        <w:spacing w:line="240" w:lineRule="auto"/>
        <w:rPr>
          <w:rFonts w:ascii="Arial" w:hAnsi="Arial" w:cs="Arial"/>
          <w:b/>
          <w:bCs/>
          <w:sz w:val="22"/>
          <w:szCs w:val="22"/>
          <w:u w:val="single"/>
          <w:lang w:val="en-US"/>
        </w:rPr>
      </w:pPr>
      <w:r w:rsidRPr="003C6941">
        <w:rPr>
          <w:rFonts w:ascii="Arial" w:hAnsi="Arial" w:cs="Arial"/>
          <w:sz w:val="22"/>
          <w:szCs w:val="22"/>
          <w:lang w:val="en-US"/>
        </w:rPr>
        <w:t xml:space="preserve">The findings revealed that waiting times were not solely confined to challenges in securing GP appointments but were also linked to delays throughout the wider NHS system. Hayes et al. </w:t>
      </w:r>
      <w:r w:rsidRPr="00A8544D">
        <w:rPr>
          <w:rFonts w:ascii="Arial" w:hAnsi="Arial" w:cs="Arial"/>
          <w:b/>
          <w:bCs/>
          <w:sz w:val="22"/>
          <w:szCs w:val="22"/>
          <w:lang w:val="en-US"/>
        </w:rPr>
        <w:t>(2024)</w:t>
      </w:r>
      <w:r w:rsidRPr="003C6941">
        <w:rPr>
          <w:rFonts w:ascii="Arial" w:hAnsi="Arial" w:cs="Arial"/>
          <w:sz w:val="22"/>
          <w:szCs w:val="22"/>
          <w:lang w:val="en-US"/>
        </w:rPr>
        <w:t xml:space="preserve"> pointed out that prolonged waits for secondary care affected how GPs handled referrals, emphasizing the connection between pressures in various sectors of healthcare delivery.</w:t>
      </w:r>
    </w:p>
    <w:p w14:paraId="005DDE86" w14:textId="77777777" w:rsidR="003C6941" w:rsidRDefault="001D1074" w:rsidP="003C6941">
      <w:pPr>
        <w:spacing w:line="240" w:lineRule="auto"/>
        <w:rPr>
          <w:rFonts w:ascii="Arial" w:hAnsi="Arial" w:cs="Arial"/>
          <w:b/>
          <w:bCs/>
          <w:sz w:val="22"/>
          <w:szCs w:val="22"/>
          <w:u w:val="single"/>
          <w:lang w:val="en-US"/>
        </w:rPr>
      </w:pPr>
      <w:r w:rsidRPr="003C6941">
        <w:rPr>
          <w:rFonts w:ascii="Arial" w:hAnsi="Arial" w:cs="Arial"/>
          <w:sz w:val="22"/>
          <w:szCs w:val="22"/>
          <w:lang w:val="en-US"/>
        </w:rPr>
        <w:t xml:space="preserve">The repercussions of waiting times were also evident in patients' experiences of access. Parker et al. </w:t>
      </w:r>
      <w:r w:rsidRPr="00A8544D">
        <w:rPr>
          <w:rFonts w:ascii="Arial" w:hAnsi="Arial" w:cs="Arial"/>
          <w:b/>
          <w:bCs/>
          <w:sz w:val="22"/>
          <w:szCs w:val="22"/>
          <w:lang w:val="en-US"/>
        </w:rPr>
        <w:t>(2022)</w:t>
      </w:r>
      <w:r w:rsidRPr="003C6941">
        <w:rPr>
          <w:rFonts w:ascii="Arial" w:hAnsi="Arial" w:cs="Arial"/>
          <w:sz w:val="22"/>
          <w:szCs w:val="22"/>
          <w:lang w:val="en-US"/>
        </w:rPr>
        <w:t xml:space="preserve"> discovered that disparities in access to remote consultations posed additional obstacles for certain patient demographics, particularly older adults and those from socially disadvantaged backgrounds. These findings indicated that initiatives aimed at enhancing access could still lead to unequal experiences when patients encountered further barriers to engaging with healthcare services.</w:t>
      </w:r>
    </w:p>
    <w:p w14:paraId="48A75553" w14:textId="77777777" w:rsidR="003C6941" w:rsidRDefault="001D1074" w:rsidP="003C6941">
      <w:pPr>
        <w:spacing w:line="240" w:lineRule="auto"/>
        <w:rPr>
          <w:rFonts w:ascii="Arial" w:hAnsi="Arial" w:cs="Arial"/>
          <w:sz w:val="22"/>
          <w:szCs w:val="22"/>
          <w:lang w:val="en-US"/>
        </w:rPr>
      </w:pPr>
      <w:r w:rsidRPr="003C6941">
        <w:rPr>
          <w:rFonts w:ascii="Arial" w:hAnsi="Arial" w:cs="Arial"/>
          <w:sz w:val="22"/>
          <w:szCs w:val="22"/>
          <w:lang w:val="en-US"/>
        </w:rPr>
        <w:t>In summary, the evidence illustrated that prolonged waiting times constituted a multifaceted issue impacting both patients and healthcare providers. Delays within general practice and the broader healthcare system contributed to difficulties in ensuring timely access, while differences in patients' abilities to utilize various consultation methods affected the overall effectiveness of service access.</w:t>
      </w:r>
    </w:p>
    <w:p w14:paraId="3438A580" w14:textId="77777777" w:rsidR="003C6941" w:rsidRDefault="003C6941" w:rsidP="003C6941">
      <w:pPr>
        <w:spacing w:line="240" w:lineRule="auto"/>
        <w:rPr>
          <w:rFonts w:ascii="Arial" w:hAnsi="Arial" w:cs="Arial"/>
          <w:sz w:val="22"/>
          <w:szCs w:val="22"/>
          <w:lang w:val="en-US"/>
        </w:rPr>
      </w:pPr>
    </w:p>
    <w:p w14:paraId="538A0796" w14:textId="56812A17" w:rsidR="003C6941" w:rsidRPr="003C6941" w:rsidRDefault="00FF309C" w:rsidP="003C6941">
      <w:pPr>
        <w:spacing w:line="240" w:lineRule="auto"/>
        <w:rPr>
          <w:rFonts w:ascii="Arial" w:hAnsi="Arial" w:cs="Arial"/>
          <w:sz w:val="22"/>
          <w:szCs w:val="22"/>
          <w:lang w:val="en-US"/>
        </w:rPr>
      </w:pPr>
      <w:r w:rsidRPr="003C6941">
        <w:rPr>
          <w:rFonts w:ascii="Arial" w:hAnsi="Arial" w:cs="Arial"/>
          <w:b/>
          <w:bCs/>
          <w:sz w:val="22"/>
          <w:szCs w:val="22"/>
          <w:u w:val="single"/>
          <w:lang w:val="en-US"/>
        </w:rPr>
        <w:t>Theme 4: Strategies to Improve Access to General Practice</w:t>
      </w:r>
      <w:r w:rsidR="003C6941">
        <w:rPr>
          <w:rFonts w:ascii="Arial" w:hAnsi="Arial" w:cs="Arial"/>
          <w:b/>
          <w:bCs/>
          <w:sz w:val="22"/>
          <w:szCs w:val="22"/>
          <w:u w:val="single"/>
          <w:lang w:val="en-US"/>
        </w:rPr>
        <w:t>:</w:t>
      </w:r>
    </w:p>
    <w:p w14:paraId="1613E37F" w14:textId="77777777" w:rsidR="00D57D88" w:rsidRDefault="00FF309C" w:rsidP="003C6941">
      <w:pPr>
        <w:spacing w:line="240" w:lineRule="auto"/>
        <w:rPr>
          <w:rFonts w:ascii="Arial" w:hAnsi="Arial" w:cs="Arial"/>
          <w:b/>
          <w:bCs/>
          <w:sz w:val="22"/>
          <w:szCs w:val="22"/>
          <w:u w:val="single"/>
          <w:lang w:val="en-US"/>
        </w:rPr>
      </w:pPr>
      <w:r w:rsidRPr="003C6941">
        <w:rPr>
          <w:rFonts w:ascii="Arial" w:hAnsi="Arial" w:cs="Arial"/>
          <w:sz w:val="22"/>
          <w:szCs w:val="22"/>
          <w:lang w:val="en-US"/>
        </w:rPr>
        <w:t>The studies reviewed revealed various strategies aimed at enhancing access to general practice, though their effectiveness was affected by broader workforce and organizational factors. Key strategies identified included modifications to appointment systems, the implementation of remote consultations, and changes in service delivery to boost accessibility.</w:t>
      </w:r>
    </w:p>
    <w:p w14:paraId="544D4041" w14:textId="77777777" w:rsidR="00D57D88" w:rsidRDefault="00FF309C" w:rsidP="003C6941">
      <w:pPr>
        <w:spacing w:line="240" w:lineRule="auto"/>
        <w:rPr>
          <w:rFonts w:ascii="Arial" w:hAnsi="Arial" w:cs="Arial"/>
          <w:b/>
          <w:bCs/>
          <w:sz w:val="22"/>
          <w:szCs w:val="22"/>
          <w:u w:val="single"/>
          <w:lang w:val="en-US"/>
        </w:rPr>
      </w:pPr>
      <w:r w:rsidRPr="003C6941">
        <w:rPr>
          <w:rFonts w:ascii="Arial" w:hAnsi="Arial" w:cs="Arial"/>
          <w:sz w:val="22"/>
          <w:szCs w:val="22"/>
          <w:lang w:val="en-US"/>
        </w:rPr>
        <w:lastRenderedPageBreak/>
        <w:t xml:space="preserve">Murphy et al. </w:t>
      </w:r>
      <w:r w:rsidRPr="00A8544D">
        <w:rPr>
          <w:rFonts w:ascii="Arial" w:hAnsi="Arial" w:cs="Arial"/>
          <w:b/>
          <w:bCs/>
          <w:sz w:val="22"/>
          <w:szCs w:val="22"/>
          <w:lang w:val="en-US"/>
        </w:rPr>
        <w:t>(2021)</w:t>
      </w:r>
      <w:r w:rsidRPr="003C6941">
        <w:rPr>
          <w:rFonts w:ascii="Arial" w:hAnsi="Arial" w:cs="Arial"/>
          <w:sz w:val="22"/>
          <w:szCs w:val="22"/>
          <w:lang w:val="en-US"/>
        </w:rPr>
        <w:t xml:space="preserve"> emphasized that remote consultations offered greater flexibility and improved access for certain patients, particularly following the adaptations made during the COVID-19 pandemic. Nonetheless, the study also pointed out limitations, such as issues related to digital access and the challenge of maintaining continuity of care. In a similar vein, Parker et al. </w:t>
      </w:r>
      <w:r w:rsidRPr="00A8544D">
        <w:rPr>
          <w:rFonts w:ascii="Arial" w:hAnsi="Arial" w:cs="Arial"/>
          <w:b/>
          <w:bCs/>
          <w:sz w:val="22"/>
          <w:szCs w:val="22"/>
          <w:lang w:val="en-US"/>
        </w:rPr>
        <w:t>(2022)</w:t>
      </w:r>
      <w:r w:rsidRPr="003C6941">
        <w:rPr>
          <w:rFonts w:ascii="Arial" w:hAnsi="Arial" w:cs="Arial"/>
          <w:sz w:val="22"/>
          <w:szCs w:val="22"/>
          <w:lang w:val="en-US"/>
        </w:rPr>
        <w:t xml:space="preserve"> noted that remote consultation models did not provide equal benefits across all patient demographics, with older adults and socially disadvantaged groups facing more significant obstacles.</w:t>
      </w:r>
    </w:p>
    <w:p w14:paraId="4D3EB0B1" w14:textId="77777777" w:rsidR="00D57D88" w:rsidRDefault="00FF309C" w:rsidP="003C6941">
      <w:pPr>
        <w:spacing w:line="240" w:lineRule="auto"/>
        <w:rPr>
          <w:rFonts w:ascii="Arial" w:hAnsi="Arial" w:cs="Arial"/>
          <w:b/>
          <w:bCs/>
          <w:sz w:val="22"/>
          <w:szCs w:val="22"/>
          <w:u w:val="single"/>
          <w:lang w:val="en-US"/>
        </w:rPr>
      </w:pPr>
      <w:r w:rsidRPr="003C6941">
        <w:rPr>
          <w:rFonts w:ascii="Arial" w:hAnsi="Arial" w:cs="Arial"/>
          <w:sz w:val="22"/>
          <w:szCs w:val="22"/>
          <w:lang w:val="en-US"/>
        </w:rPr>
        <w:t xml:space="preserve">Eccles et al. </w:t>
      </w:r>
      <w:r w:rsidRPr="00A8544D">
        <w:rPr>
          <w:rFonts w:ascii="Arial" w:hAnsi="Arial" w:cs="Arial"/>
          <w:b/>
          <w:bCs/>
          <w:sz w:val="22"/>
          <w:szCs w:val="22"/>
          <w:lang w:val="en-US"/>
        </w:rPr>
        <w:t>(2024)</w:t>
      </w:r>
      <w:r w:rsidRPr="003C6941">
        <w:rPr>
          <w:rFonts w:ascii="Arial" w:hAnsi="Arial" w:cs="Arial"/>
          <w:sz w:val="22"/>
          <w:szCs w:val="22"/>
          <w:lang w:val="en-US"/>
        </w:rPr>
        <w:t xml:space="preserve"> concluded that no singular access system consistently enhanced access to general practice, suggesting that effective strategies were contingent upon factors like workforce availability, organizational frameworks, and the processes of implementation. The findings indicated that improving access necessitated a consideration of multiple interrelated factors rather than depending solely on one specific intervention.</w:t>
      </w:r>
    </w:p>
    <w:p w14:paraId="02A9BAB4" w14:textId="77777777" w:rsidR="00D57D88" w:rsidRDefault="00FF309C" w:rsidP="003C6941">
      <w:pPr>
        <w:spacing w:line="240" w:lineRule="auto"/>
        <w:rPr>
          <w:rFonts w:ascii="Arial" w:hAnsi="Arial" w:cs="Arial"/>
          <w:b/>
          <w:bCs/>
          <w:sz w:val="22"/>
          <w:szCs w:val="22"/>
          <w:u w:val="single"/>
          <w:lang w:val="en-US"/>
        </w:rPr>
      </w:pPr>
      <w:r w:rsidRPr="003C6941">
        <w:rPr>
          <w:rFonts w:ascii="Arial" w:hAnsi="Arial" w:cs="Arial"/>
          <w:sz w:val="22"/>
          <w:szCs w:val="22"/>
          <w:lang w:val="en-US"/>
        </w:rPr>
        <w:t>The approaches to enhancing access identified in the studies centered on increasing flexibility, refining appointment management, and modifying service delivery models. However, the evidence indicated that these strategies functioned within the broader context of workforce challenges and rising demand. Consequently, advancements in access were shaped not only by the introduction of new systems but also by the ability of practices to effectively implement and sustain these changes.</w:t>
      </w:r>
    </w:p>
    <w:p w14:paraId="09BCE4EB" w14:textId="77777777" w:rsidR="00D57D88" w:rsidRDefault="00D57D88" w:rsidP="003C6941">
      <w:pPr>
        <w:spacing w:line="240" w:lineRule="auto"/>
        <w:rPr>
          <w:rFonts w:ascii="Arial" w:hAnsi="Arial" w:cs="Arial"/>
          <w:b/>
          <w:bCs/>
          <w:sz w:val="22"/>
          <w:szCs w:val="22"/>
          <w:u w:val="single"/>
          <w:lang w:val="en-US"/>
        </w:rPr>
      </w:pPr>
    </w:p>
    <w:p w14:paraId="70D13267" w14:textId="77777777" w:rsidR="00D57D88" w:rsidRDefault="0012569B" w:rsidP="003C6941">
      <w:pPr>
        <w:spacing w:line="240" w:lineRule="auto"/>
        <w:rPr>
          <w:rFonts w:ascii="Arial" w:hAnsi="Arial" w:cs="Arial"/>
          <w:b/>
          <w:bCs/>
          <w:sz w:val="22"/>
          <w:szCs w:val="22"/>
          <w:u w:val="single"/>
          <w:lang w:val="en-US"/>
        </w:rPr>
      </w:pPr>
      <w:r w:rsidRPr="00D57D88">
        <w:rPr>
          <w:rFonts w:ascii="Arial" w:hAnsi="Arial" w:cs="Arial"/>
          <w:b/>
          <w:bCs/>
          <w:sz w:val="22"/>
          <w:szCs w:val="22"/>
          <w:u w:val="single"/>
          <w:lang w:val="en-US"/>
        </w:rPr>
        <w:t>Discussion</w:t>
      </w:r>
      <w:r w:rsidR="00D57D88">
        <w:rPr>
          <w:rFonts w:ascii="Arial" w:hAnsi="Arial" w:cs="Arial"/>
          <w:b/>
          <w:bCs/>
          <w:sz w:val="22"/>
          <w:szCs w:val="22"/>
          <w:u w:val="single"/>
          <w:lang w:val="en-US"/>
        </w:rPr>
        <w:t>:</w:t>
      </w:r>
    </w:p>
    <w:p w14:paraId="10C80876" w14:textId="77777777" w:rsidR="00D57D88" w:rsidRDefault="0012569B" w:rsidP="003C6941">
      <w:pPr>
        <w:spacing w:line="240" w:lineRule="auto"/>
        <w:rPr>
          <w:rFonts w:ascii="Arial" w:hAnsi="Arial" w:cs="Arial"/>
          <w:b/>
          <w:bCs/>
          <w:sz w:val="22"/>
          <w:szCs w:val="22"/>
          <w:u w:val="single"/>
          <w:lang w:val="en-US"/>
        </w:rPr>
      </w:pPr>
      <w:r w:rsidRPr="003C6941">
        <w:rPr>
          <w:rFonts w:ascii="Arial" w:hAnsi="Arial" w:cs="Arial"/>
          <w:sz w:val="22"/>
          <w:szCs w:val="22"/>
          <w:lang w:val="en-US"/>
        </w:rPr>
        <w:t>This scoping review examined the factors that affect access to general practice in the UK and identified four interrelated themes: workforce shortages coupled with rising patient demand, organizational structures and appointment systems, the effects of extended waiting times, and strategies to improve access. The results indicate that the challenges in accessing general practice are not attributable to a single cause but stem from the interplay of increasing demand, workforce capacity, service organization, and broader pressures within the healthcare system. Although modifications to appointment systems and the implementation of remote consultation models have provided opportunities to enhance accessibility, the evidence suggests that these methods alone cannot fully address the fundamental issues impacting primary care delivery.</w:t>
      </w:r>
    </w:p>
    <w:p w14:paraId="69EE5869" w14:textId="77777777" w:rsidR="00D57D88" w:rsidRDefault="0012569B" w:rsidP="003C6941">
      <w:pPr>
        <w:spacing w:line="240" w:lineRule="auto"/>
        <w:rPr>
          <w:rFonts w:ascii="Arial" w:hAnsi="Arial" w:cs="Arial"/>
          <w:b/>
          <w:bCs/>
          <w:sz w:val="22"/>
          <w:szCs w:val="22"/>
          <w:u w:val="single"/>
          <w:lang w:val="en-US"/>
        </w:rPr>
      </w:pPr>
      <w:r w:rsidRPr="003C6941">
        <w:rPr>
          <w:rFonts w:ascii="Arial" w:hAnsi="Arial" w:cs="Arial"/>
          <w:sz w:val="22"/>
          <w:szCs w:val="22"/>
          <w:lang w:val="en-US"/>
        </w:rPr>
        <w:t xml:space="preserve">The results underscore the critical importance of workforce capacity in shaping access to general practice. Chappel et al. </w:t>
      </w:r>
      <w:r w:rsidRPr="00A8544D">
        <w:rPr>
          <w:rFonts w:ascii="Arial" w:hAnsi="Arial" w:cs="Arial"/>
          <w:b/>
          <w:bCs/>
          <w:sz w:val="22"/>
          <w:szCs w:val="22"/>
          <w:lang w:val="en-US"/>
        </w:rPr>
        <w:t>(2023)</w:t>
      </w:r>
      <w:r w:rsidRPr="003C6941">
        <w:rPr>
          <w:rFonts w:ascii="Arial" w:hAnsi="Arial" w:cs="Arial"/>
          <w:sz w:val="22"/>
          <w:szCs w:val="22"/>
          <w:lang w:val="en-US"/>
        </w:rPr>
        <w:t xml:space="preserve"> and Pettigrew et al. </w:t>
      </w:r>
      <w:r w:rsidRPr="00A8544D">
        <w:rPr>
          <w:rFonts w:ascii="Arial" w:hAnsi="Arial" w:cs="Arial"/>
          <w:b/>
          <w:bCs/>
          <w:sz w:val="22"/>
          <w:szCs w:val="22"/>
          <w:lang w:val="en-US"/>
        </w:rPr>
        <w:t>(2024)</w:t>
      </w:r>
      <w:r w:rsidRPr="003C6941">
        <w:rPr>
          <w:rFonts w:ascii="Arial" w:hAnsi="Arial" w:cs="Arial"/>
          <w:sz w:val="22"/>
          <w:szCs w:val="22"/>
          <w:lang w:val="en-US"/>
        </w:rPr>
        <w:t xml:space="preserve"> have shown that the rise in patient demand and appointment numbers has coincided with persistent workforce pressures, thereby exerting additional stress on practices. This implies that improvements in access cannot be realized merely by increasing appointment availability without taking into account whether there is adequate workforce capacity to effectively provide these services. Eccles et al. </w:t>
      </w:r>
      <w:r w:rsidRPr="00A8544D">
        <w:rPr>
          <w:rFonts w:ascii="Arial" w:hAnsi="Arial" w:cs="Arial"/>
          <w:b/>
          <w:bCs/>
          <w:sz w:val="22"/>
          <w:szCs w:val="22"/>
          <w:lang w:val="en-US"/>
        </w:rPr>
        <w:t>(2024)</w:t>
      </w:r>
      <w:r w:rsidRPr="003C6941">
        <w:rPr>
          <w:rFonts w:ascii="Arial" w:hAnsi="Arial" w:cs="Arial"/>
          <w:sz w:val="22"/>
          <w:szCs w:val="22"/>
          <w:lang w:val="en-US"/>
        </w:rPr>
        <w:t xml:space="preserve"> further corroborates this view by highlighting workforce availability and organizational factors as significant determinants of the effectiveness of access systems. Consequently, access initiatives may yield limited results if broader workforce challenges are not addressed</w:t>
      </w:r>
    </w:p>
    <w:p w14:paraId="70D3ADA7" w14:textId="77777777" w:rsidR="00D57D88" w:rsidRDefault="00F96B84" w:rsidP="003C6941">
      <w:pPr>
        <w:spacing w:line="240" w:lineRule="auto"/>
        <w:rPr>
          <w:rFonts w:ascii="Arial" w:hAnsi="Arial" w:cs="Arial"/>
          <w:b/>
          <w:bCs/>
          <w:sz w:val="22"/>
          <w:szCs w:val="22"/>
          <w:u w:val="single"/>
          <w:lang w:val="en-US"/>
        </w:rPr>
      </w:pPr>
      <w:r w:rsidRPr="003C6941">
        <w:rPr>
          <w:rFonts w:ascii="Arial" w:hAnsi="Arial" w:cs="Arial"/>
          <w:sz w:val="22"/>
          <w:szCs w:val="22"/>
          <w:lang w:val="en-US"/>
        </w:rPr>
        <w:t xml:space="preserve">The review emphasizes the intricacies involved in the implementation of appointment systems and digital methodologies within general practice. While remote consultations have enhanced flexibility and offered alternative pathways to care, Murphy et al. </w:t>
      </w:r>
      <w:r w:rsidRPr="00A8544D">
        <w:rPr>
          <w:rFonts w:ascii="Arial" w:hAnsi="Arial" w:cs="Arial"/>
          <w:b/>
          <w:bCs/>
          <w:sz w:val="22"/>
          <w:szCs w:val="22"/>
          <w:lang w:val="en-US"/>
        </w:rPr>
        <w:t>(2021)</w:t>
      </w:r>
      <w:r w:rsidRPr="003C6941">
        <w:rPr>
          <w:rFonts w:ascii="Arial" w:hAnsi="Arial" w:cs="Arial"/>
          <w:sz w:val="22"/>
          <w:szCs w:val="22"/>
          <w:lang w:val="en-US"/>
        </w:rPr>
        <w:t xml:space="preserve"> raised concerns about continuity of care and the difficulties linked to altering consultation methods. In a similar vein, Parker et al. </w:t>
      </w:r>
      <w:r w:rsidRPr="00A8544D">
        <w:rPr>
          <w:rFonts w:ascii="Arial" w:hAnsi="Arial" w:cs="Arial"/>
          <w:b/>
          <w:bCs/>
          <w:sz w:val="22"/>
          <w:szCs w:val="22"/>
          <w:lang w:val="en-US"/>
        </w:rPr>
        <w:t>(2022)</w:t>
      </w:r>
      <w:r w:rsidRPr="003C6941">
        <w:rPr>
          <w:rFonts w:ascii="Arial" w:hAnsi="Arial" w:cs="Arial"/>
          <w:sz w:val="22"/>
          <w:szCs w:val="22"/>
          <w:lang w:val="en-US"/>
        </w:rPr>
        <w:t xml:space="preserve"> pointed out that digital solutions may not equally benefit all patient demographics, particularly those facing challenges related to age, social </w:t>
      </w:r>
      <w:r w:rsidR="00D57D88" w:rsidRPr="003C6941">
        <w:rPr>
          <w:rFonts w:ascii="Arial" w:hAnsi="Arial" w:cs="Arial"/>
          <w:sz w:val="22"/>
          <w:szCs w:val="22"/>
          <w:lang w:val="en-US"/>
        </w:rPr>
        <w:t>disadvantages</w:t>
      </w:r>
      <w:r w:rsidRPr="003C6941">
        <w:rPr>
          <w:rFonts w:ascii="Arial" w:hAnsi="Arial" w:cs="Arial"/>
          <w:sz w:val="22"/>
          <w:szCs w:val="22"/>
          <w:lang w:val="en-US"/>
        </w:rPr>
        <w:t>, or digital accessibility. These insights imply that enhancing access necessitates strategies that balance both efficiency and equity, ensuring that new care models do not inadvertently exacerbate inequalities.</w:t>
      </w:r>
    </w:p>
    <w:p w14:paraId="729A078E" w14:textId="77777777" w:rsidR="00D57D88" w:rsidRDefault="00F96B84" w:rsidP="003C6941">
      <w:pPr>
        <w:spacing w:line="240" w:lineRule="auto"/>
        <w:rPr>
          <w:rFonts w:ascii="Arial" w:hAnsi="Arial" w:cs="Arial"/>
          <w:b/>
          <w:bCs/>
          <w:sz w:val="22"/>
          <w:szCs w:val="22"/>
          <w:u w:val="single"/>
          <w:lang w:val="en-US"/>
        </w:rPr>
      </w:pPr>
      <w:r w:rsidRPr="003C6941">
        <w:rPr>
          <w:rFonts w:ascii="Arial" w:hAnsi="Arial" w:cs="Arial"/>
          <w:sz w:val="22"/>
          <w:szCs w:val="22"/>
          <w:lang w:val="en-US"/>
        </w:rPr>
        <w:lastRenderedPageBreak/>
        <w:t xml:space="preserve">Moreover, the effects of extended waiting times illustrate that access to general practice is affected by pressures that extend beyond primary care. Hayes et al. </w:t>
      </w:r>
      <w:r w:rsidRPr="00504013">
        <w:rPr>
          <w:rFonts w:ascii="Arial" w:hAnsi="Arial" w:cs="Arial"/>
          <w:b/>
          <w:bCs/>
          <w:sz w:val="22"/>
          <w:szCs w:val="22"/>
          <w:lang w:val="en-US"/>
        </w:rPr>
        <w:t>(2024)</w:t>
      </w:r>
      <w:r w:rsidRPr="003C6941">
        <w:rPr>
          <w:rFonts w:ascii="Arial" w:hAnsi="Arial" w:cs="Arial"/>
          <w:sz w:val="22"/>
          <w:szCs w:val="22"/>
          <w:lang w:val="en-US"/>
        </w:rPr>
        <w:t xml:space="preserve"> demonstrated that delays in broader healthcare services influenced GP referral decisions, suggesting that challenges across various sectors of the NHS can impact primary care operations. This underscores the interconnectedness of healthcare services and indicates that improving access requires an understanding of broader system pressures rather than solely concentrating on the availability of GP appointments.</w:t>
      </w:r>
    </w:p>
    <w:p w14:paraId="63F2B1FF" w14:textId="77777777" w:rsidR="00D57D88" w:rsidRDefault="00F96B84" w:rsidP="00D57D88">
      <w:pPr>
        <w:spacing w:line="240" w:lineRule="auto"/>
        <w:rPr>
          <w:rFonts w:ascii="Arial" w:hAnsi="Arial" w:cs="Arial"/>
          <w:sz w:val="22"/>
          <w:szCs w:val="22"/>
          <w:lang w:val="en-US"/>
        </w:rPr>
      </w:pPr>
      <w:r w:rsidRPr="003C6941">
        <w:rPr>
          <w:rFonts w:ascii="Arial" w:hAnsi="Arial" w:cs="Arial"/>
          <w:sz w:val="22"/>
          <w:szCs w:val="22"/>
          <w:lang w:val="en-US"/>
        </w:rPr>
        <w:t>In summary, the findings suggest that enhancing access to general practice necessitates a comprehensive approach that includes workforce planning, effective service organization, and an understanding of patient needs. Although innovations such as updated appointment systems and remote consultations may aid in improving accessibility, their effectiveness relies on the ability of practices to implement and maintain these changes within a demanding primary care context.</w:t>
      </w:r>
    </w:p>
    <w:p w14:paraId="4765560F" w14:textId="77777777" w:rsidR="00D57D88" w:rsidRDefault="00D57D88" w:rsidP="00D57D88">
      <w:pPr>
        <w:spacing w:line="240" w:lineRule="auto"/>
        <w:rPr>
          <w:rFonts w:ascii="Arial" w:hAnsi="Arial" w:cs="Arial"/>
          <w:sz w:val="22"/>
          <w:szCs w:val="22"/>
          <w:lang w:val="en-US"/>
        </w:rPr>
      </w:pPr>
    </w:p>
    <w:p w14:paraId="5B87A21D" w14:textId="77777777" w:rsidR="00D57D88" w:rsidRDefault="00B40492" w:rsidP="00D57D88">
      <w:pPr>
        <w:spacing w:line="240" w:lineRule="auto"/>
        <w:rPr>
          <w:rStyle w:val="s1"/>
          <w:rFonts w:ascii="Arial" w:hAnsi="Arial" w:cs="Arial"/>
          <w:b/>
          <w:bCs/>
          <w:sz w:val="22"/>
          <w:szCs w:val="22"/>
          <w:u w:val="single"/>
        </w:rPr>
      </w:pPr>
      <w:r w:rsidRPr="00D57D88">
        <w:rPr>
          <w:rStyle w:val="s1"/>
          <w:rFonts w:ascii="Arial" w:hAnsi="Arial" w:cs="Arial"/>
          <w:b/>
          <w:bCs/>
          <w:sz w:val="22"/>
          <w:szCs w:val="22"/>
          <w:u w:val="single"/>
        </w:rPr>
        <w:t>Strengths and Limitations of the Review</w:t>
      </w:r>
      <w:r w:rsidR="00D57D88">
        <w:rPr>
          <w:rStyle w:val="s1"/>
          <w:rFonts w:ascii="Arial" w:hAnsi="Arial" w:cs="Arial"/>
          <w:b/>
          <w:bCs/>
          <w:sz w:val="22"/>
          <w:szCs w:val="22"/>
          <w:u w:val="single"/>
        </w:rPr>
        <w:t>:</w:t>
      </w:r>
    </w:p>
    <w:p w14:paraId="4896BDEE" w14:textId="77777777" w:rsidR="00D57D88" w:rsidRDefault="00B40492" w:rsidP="00D57D88">
      <w:pPr>
        <w:spacing w:line="240" w:lineRule="auto"/>
        <w:rPr>
          <w:rStyle w:val="s1"/>
          <w:rFonts w:ascii="Arial" w:hAnsi="Arial" w:cs="Arial"/>
          <w:sz w:val="22"/>
          <w:szCs w:val="22"/>
        </w:rPr>
      </w:pPr>
      <w:r w:rsidRPr="003C6941">
        <w:rPr>
          <w:rStyle w:val="s1"/>
          <w:rFonts w:ascii="Arial" w:hAnsi="Arial" w:cs="Arial"/>
          <w:sz w:val="22"/>
          <w:szCs w:val="22"/>
        </w:rPr>
        <w:t>This scoping review possesses numerous strengths. It concentrated on recent evidence published from 2021 to 2024, thereby offering a contemporary understanding of the factors that influence access to general practice in the UK. The inclusion of studies employing various research methodologies facilitated a comprehensive exploration of access challenges, such as workforce pressures, appointment systems, patient experiences, and transformations in healthcare delivery. Moreover, the thematic analysis allowed for the identification of common patterns across the included studies, providing a structured comprehension of the factors that contribute to difficulties in accessing general practice.</w:t>
      </w:r>
    </w:p>
    <w:p w14:paraId="13BD10F5" w14:textId="77777777" w:rsidR="00D57D88" w:rsidRDefault="00B40492" w:rsidP="00D57D88">
      <w:pPr>
        <w:spacing w:line="240" w:lineRule="auto"/>
        <w:rPr>
          <w:rStyle w:val="s1"/>
          <w:rFonts w:ascii="Arial" w:hAnsi="Arial" w:cs="Arial"/>
          <w:sz w:val="22"/>
          <w:szCs w:val="22"/>
        </w:rPr>
      </w:pPr>
      <w:r w:rsidRPr="003C6941">
        <w:rPr>
          <w:rStyle w:val="s1"/>
          <w:rFonts w:ascii="Arial" w:hAnsi="Arial" w:cs="Arial"/>
          <w:sz w:val="22"/>
          <w:szCs w:val="22"/>
        </w:rPr>
        <w:t>Nevertheless, the review is not without its limitations. Only six studies fulfilled the inclusion criteria, which may have constrained the range of available evidence and diminished the capacity to capture all factors impacting access to general practice. Additionally, the diversity in study designs and methodologies complicated comparisons between findings. Since the review specifically targeted the UK healthcare system, the results may not be directly relevant to other countries with differing primary care delivery models. Furthermore, as a scoping review, this study aimed to identify and synthesize existing evidence rather than evaluate the effectiveness of specific interventions.</w:t>
      </w:r>
    </w:p>
    <w:p w14:paraId="54C0017C" w14:textId="77777777" w:rsidR="00D57D88" w:rsidRDefault="00D57D88" w:rsidP="00D57D88">
      <w:pPr>
        <w:spacing w:line="240" w:lineRule="auto"/>
        <w:rPr>
          <w:rStyle w:val="s1"/>
          <w:rFonts w:ascii="Arial" w:hAnsi="Arial" w:cs="Arial"/>
          <w:sz w:val="22"/>
          <w:szCs w:val="22"/>
        </w:rPr>
      </w:pPr>
    </w:p>
    <w:p w14:paraId="16154D70" w14:textId="77777777" w:rsidR="00D57D88" w:rsidRDefault="00AA6CD8" w:rsidP="00D57D88">
      <w:pPr>
        <w:spacing w:line="240" w:lineRule="auto"/>
        <w:rPr>
          <w:rFonts w:ascii="Arial" w:hAnsi="Arial" w:cs="Arial"/>
          <w:b/>
          <w:bCs/>
          <w:sz w:val="22"/>
          <w:szCs w:val="22"/>
          <w:u w:val="single"/>
        </w:rPr>
      </w:pPr>
      <w:r w:rsidRPr="00D57D88">
        <w:rPr>
          <w:rFonts w:ascii="Arial" w:hAnsi="Arial" w:cs="Arial"/>
          <w:b/>
          <w:bCs/>
          <w:sz w:val="22"/>
          <w:szCs w:val="22"/>
          <w:u w:val="single"/>
        </w:rPr>
        <w:t>Conclusion</w:t>
      </w:r>
      <w:r w:rsidR="00D57D88">
        <w:rPr>
          <w:rFonts w:ascii="Arial" w:hAnsi="Arial" w:cs="Arial"/>
          <w:b/>
          <w:bCs/>
          <w:sz w:val="22"/>
          <w:szCs w:val="22"/>
          <w:u w:val="single"/>
        </w:rPr>
        <w:t>:</w:t>
      </w:r>
    </w:p>
    <w:p w14:paraId="018CE49A" w14:textId="7696E67D" w:rsidR="00AA6CD8" w:rsidRPr="00D57D88" w:rsidRDefault="00AA6CD8" w:rsidP="00D57D88">
      <w:pPr>
        <w:spacing w:line="240" w:lineRule="auto"/>
        <w:rPr>
          <w:rFonts w:ascii="Arial" w:hAnsi="Arial" w:cs="Arial"/>
          <w:b/>
          <w:bCs/>
          <w:sz w:val="22"/>
          <w:szCs w:val="22"/>
          <w:u w:val="single"/>
          <w:lang w:val="en-US"/>
        </w:rPr>
      </w:pPr>
      <w:r w:rsidRPr="003C6941">
        <w:rPr>
          <w:rFonts w:ascii="Arial" w:hAnsi="Arial" w:cs="Arial"/>
          <w:sz w:val="22"/>
          <w:szCs w:val="22"/>
        </w:rPr>
        <w:t>This scoping review emphasizes that access to general practice in the UK is affected by a range of interconnected factors, such as workforce shortages, rising patient demand, organizational pressures, appointment system structures, and broader healthcare delays. The results indicate that challenges in accessing primary care cannot be resolved through a singular intervention, as access is influenced by the interplay of service capacity, organization, and patient requirements. While strategies like remote consultations and modified appointment systems have opened avenues for enhancing accessibility, they necessitate careful execution to ensure they promote equitable access for all patient demographics. Achieving sustainable improvements in access to general practice will demand attention to workforce planning, service design, and the overarching pressures impacting the NHS. In summary, enhancing access to general practice necessitates a coordinated and long-term strategy for developing primary care services that are timely, responsive, and accessible to the entire population.</w:t>
      </w:r>
    </w:p>
    <w:p w14:paraId="4E42BE99" w14:textId="77777777" w:rsidR="00D57D88" w:rsidRDefault="00D57D88" w:rsidP="009B5AEC">
      <w:pPr>
        <w:rPr>
          <w:rFonts w:ascii="Arial" w:hAnsi="Arial" w:cs="Arial"/>
          <w:b/>
          <w:bCs/>
          <w:sz w:val="22"/>
          <w:szCs w:val="22"/>
          <w:u w:val="single"/>
          <w:lang w:val="en-US"/>
        </w:rPr>
      </w:pPr>
    </w:p>
    <w:p w14:paraId="41CF1458" w14:textId="77777777" w:rsidR="00D57D88" w:rsidRDefault="00D57D88" w:rsidP="009B5AEC">
      <w:pPr>
        <w:rPr>
          <w:rFonts w:ascii="Arial" w:hAnsi="Arial" w:cs="Arial"/>
          <w:b/>
          <w:bCs/>
          <w:sz w:val="22"/>
          <w:szCs w:val="22"/>
          <w:u w:val="single"/>
          <w:lang w:val="en-US"/>
        </w:rPr>
      </w:pPr>
    </w:p>
    <w:p w14:paraId="3587AA3B" w14:textId="7196D0A4" w:rsidR="00083D83" w:rsidRDefault="0082315E" w:rsidP="009B5AEC">
      <w:pPr>
        <w:rPr>
          <w:rFonts w:ascii="Arial" w:hAnsi="Arial" w:cs="Arial"/>
          <w:b/>
          <w:bCs/>
          <w:sz w:val="22"/>
          <w:szCs w:val="22"/>
          <w:u w:val="single"/>
          <w:lang w:val="en-US"/>
        </w:rPr>
      </w:pPr>
      <w:r w:rsidRPr="00083D83">
        <w:rPr>
          <w:rFonts w:ascii="Arial" w:hAnsi="Arial" w:cs="Arial"/>
          <w:b/>
          <w:bCs/>
          <w:sz w:val="22"/>
          <w:szCs w:val="22"/>
          <w:u w:val="single"/>
          <w:lang w:val="en-US"/>
        </w:rPr>
        <w:lastRenderedPageBreak/>
        <w:t>References</w:t>
      </w:r>
      <w:r w:rsidR="00083D83">
        <w:rPr>
          <w:rFonts w:ascii="Arial" w:hAnsi="Arial" w:cs="Arial"/>
          <w:b/>
          <w:bCs/>
          <w:sz w:val="22"/>
          <w:szCs w:val="22"/>
          <w:u w:val="single"/>
          <w:lang w:val="en-US"/>
        </w:rPr>
        <w:t>:</w:t>
      </w:r>
    </w:p>
    <w:p w14:paraId="2DDB11E8" w14:textId="77777777" w:rsidR="00083D83" w:rsidRDefault="00083D83" w:rsidP="009B5AEC">
      <w:pPr>
        <w:rPr>
          <w:rFonts w:ascii="Arial" w:hAnsi="Arial" w:cs="Arial"/>
          <w:b/>
          <w:bCs/>
          <w:sz w:val="22"/>
          <w:szCs w:val="22"/>
          <w:u w:val="single"/>
          <w:lang w:val="en-US"/>
        </w:rPr>
      </w:pPr>
    </w:p>
    <w:p w14:paraId="519F1A62" w14:textId="484ACE58" w:rsidR="0082315E" w:rsidRDefault="0082315E" w:rsidP="009B5AEC">
      <w:pPr>
        <w:rPr>
          <w:rFonts w:ascii="Arial" w:hAnsi="Arial" w:cs="Arial"/>
          <w:b/>
          <w:bCs/>
          <w:sz w:val="22"/>
          <w:szCs w:val="22"/>
          <w:u w:val="single"/>
          <w:lang w:val="en-US"/>
        </w:rPr>
      </w:pPr>
      <w:r w:rsidRPr="00083D83">
        <w:rPr>
          <w:rFonts w:ascii="Arial" w:hAnsi="Arial" w:cs="Arial"/>
          <w:b/>
          <w:bCs/>
          <w:sz w:val="22"/>
          <w:szCs w:val="22"/>
          <w:u w:val="single"/>
          <w:lang w:val="en-US"/>
        </w:rPr>
        <w:t>Introduction</w:t>
      </w:r>
      <w:r w:rsidR="00083D83">
        <w:rPr>
          <w:rFonts w:ascii="Arial" w:hAnsi="Arial" w:cs="Arial"/>
          <w:b/>
          <w:bCs/>
          <w:sz w:val="22"/>
          <w:szCs w:val="22"/>
          <w:u w:val="single"/>
          <w:lang w:val="en-US"/>
        </w:rPr>
        <w:t>:</w:t>
      </w:r>
    </w:p>
    <w:p w14:paraId="6988160B" w14:textId="6B8308FD" w:rsidR="009C566A" w:rsidRPr="00AE4359" w:rsidRDefault="009C566A" w:rsidP="009C566A">
      <w:pPr>
        <w:pStyle w:val="ListParagraph"/>
        <w:numPr>
          <w:ilvl w:val="0"/>
          <w:numId w:val="6"/>
        </w:numPr>
        <w:spacing w:after="0" w:line="240" w:lineRule="auto"/>
        <w:rPr>
          <w:rFonts w:ascii="Arial" w:eastAsia="Times New Roman" w:hAnsi="Arial" w:cs="Arial"/>
          <w:kern w:val="0"/>
          <w:sz w:val="22"/>
          <w:szCs w:val="22"/>
          <w:lang w:eastAsia="en-GB"/>
          <w14:ligatures w14:val="none"/>
        </w:rPr>
      </w:pPr>
      <w:r w:rsidRPr="00AE4359">
        <w:rPr>
          <w:rFonts w:ascii="Arial" w:eastAsia="Times New Roman" w:hAnsi="Arial" w:cs="Arial"/>
          <w:kern w:val="0"/>
          <w:sz w:val="22"/>
          <w:szCs w:val="22"/>
          <w:lang w:eastAsia="en-GB"/>
          <w14:ligatures w14:val="none"/>
        </w:rPr>
        <w:t xml:space="preserve">Mahtani, K. R., &amp; Abrams, R. (2025). General practice must be the foundation of primary care reform. BMJ, 390, r1851. </w:t>
      </w:r>
      <w:hyperlink r:id="rId8" w:history="1">
        <w:r w:rsidR="00FA6095" w:rsidRPr="00AE4359">
          <w:rPr>
            <w:rStyle w:val="Hyperlink"/>
            <w:rFonts w:ascii="Arial" w:eastAsia="Times New Roman" w:hAnsi="Arial" w:cs="Arial"/>
            <w:kern w:val="0"/>
            <w:sz w:val="22"/>
            <w:szCs w:val="22"/>
            <w:lang w:eastAsia="en-GB"/>
            <w14:ligatures w14:val="none"/>
          </w:rPr>
          <w:t>https://doi.org/10.1136/bmj.r1851</w:t>
        </w:r>
      </w:hyperlink>
    </w:p>
    <w:p w14:paraId="305C05E5" w14:textId="77777777" w:rsidR="00FA6095" w:rsidRPr="00AE4359" w:rsidRDefault="00FA6095" w:rsidP="00FA6095">
      <w:pPr>
        <w:pStyle w:val="ListParagraph"/>
        <w:spacing w:after="0" w:line="240" w:lineRule="auto"/>
        <w:rPr>
          <w:rFonts w:ascii="Arial" w:eastAsia="Times New Roman" w:hAnsi="Arial" w:cs="Arial"/>
          <w:kern w:val="0"/>
          <w:sz w:val="22"/>
          <w:szCs w:val="22"/>
          <w:lang w:eastAsia="en-GB"/>
          <w14:ligatures w14:val="none"/>
        </w:rPr>
      </w:pPr>
    </w:p>
    <w:p w14:paraId="1EA44841" w14:textId="77E9E2E8" w:rsidR="00FA6095" w:rsidRPr="00AE4359" w:rsidRDefault="00FA6095" w:rsidP="00FA6095">
      <w:pPr>
        <w:pStyle w:val="ListParagraph"/>
        <w:numPr>
          <w:ilvl w:val="0"/>
          <w:numId w:val="6"/>
        </w:numPr>
        <w:spacing w:after="0" w:line="240" w:lineRule="auto"/>
        <w:rPr>
          <w:rFonts w:ascii="Arial" w:eastAsia="Times New Roman" w:hAnsi="Arial" w:cs="Arial"/>
          <w:kern w:val="0"/>
          <w:sz w:val="22"/>
          <w:szCs w:val="22"/>
          <w:lang w:eastAsia="en-GB"/>
          <w14:ligatures w14:val="none"/>
        </w:rPr>
      </w:pPr>
      <w:r w:rsidRPr="00AE4359">
        <w:rPr>
          <w:rFonts w:ascii="Arial" w:eastAsia="Times New Roman" w:hAnsi="Arial" w:cs="Arial"/>
          <w:kern w:val="0"/>
          <w:sz w:val="22"/>
          <w:szCs w:val="22"/>
          <w:lang w:eastAsia="en-GB"/>
          <w14:ligatures w14:val="none"/>
        </w:rPr>
        <w:t xml:space="preserve">Limiri, D. (2025, January 1). The impact of Long wait times on patient health outcomes: The growing NHS crisis. Premier Journal of Public Health. </w:t>
      </w:r>
      <w:hyperlink r:id="rId9" w:history="1">
        <w:r w:rsidRPr="00AE4359">
          <w:rPr>
            <w:rStyle w:val="Hyperlink"/>
            <w:rFonts w:ascii="Arial" w:eastAsia="Times New Roman" w:hAnsi="Arial" w:cs="Arial"/>
            <w:kern w:val="0"/>
            <w:sz w:val="22"/>
            <w:szCs w:val="22"/>
            <w:lang w:eastAsia="en-GB"/>
            <w14:ligatures w14:val="none"/>
          </w:rPr>
          <w:t>https://doi.org/10.70389/PJPH.100020</w:t>
        </w:r>
      </w:hyperlink>
    </w:p>
    <w:p w14:paraId="08838C6E" w14:textId="77777777" w:rsidR="00FA6095" w:rsidRPr="00AE4359" w:rsidRDefault="00FA6095" w:rsidP="00FA6095">
      <w:pPr>
        <w:pStyle w:val="ListParagraph"/>
        <w:spacing w:after="0" w:line="240" w:lineRule="auto"/>
        <w:rPr>
          <w:rFonts w:ascii="Arial" w:eastAsia="Times New Roman" w:hAnsi="Arial" w:cs="Arial"/>
          <w:kern w:val="0"/>
          <w:sz w:val="22"/>
          <w:szCs w:val="22"/>
          <w:lang w:eastAsia="en-GB"/>
          <w14:ligatures w14:val="none"/>
        </w:rPr>
      </w:pPr>
    </w:p>
    <w:p w14:paraId="515BFED7" w14:textId="5BCDEC1E" w:rsidR="00EE24B5" w:rsidRPr="00AE4359" w:rsidRDefault="00EE24B5" w:rsidP="00EE24B5">
      <w:pPr>
        <w:pStyle w:val="ListParagraph"/>
        <w:numPr>
          <w:ilvl w:val="0"/>
          <w:numId w:val="6"/>
        </w:numPr>
        <w:spacing w:after="0" w:line="240" w:lineRule="auto"/>
        <w:rPr>
          <w:rFonts w:ascii="Arial" w:eastAsia="Times New Roman" w:hAnsi="Arial" w:cs="Arial"/>
          <w:kern w:val="0"/>
          <w:sz w:val="22"/>
          <w:szCs w:val="22"/>
          <w:lang w:eastAsia="en-GB"/>
          <w14:ligatures w14:val="none"/>
        </w:rPr>
      </w:pPr>
      <w:r w:rsidRPr="00AE4359">
        <w:rPr>
          <w:rFonts w:ascii="Arial" w:eastAsia="Times New Roman" w:hAnsi="Arial" w:cs="Arial"/>
          <w:kern w:val="0"/>
          <w:sz w:val="22"/>
          <w:szCs w:val="22"/>
          <w:lang w:eastAsia="en-GB"/>
          <w14:ligatures w14:val="none"/>
        </w:rPr>
        <w:t>Gagliardi, A. R., Yip, C. Y. Y., Irish, J., Wright, F. C., Rubin, B., Ross, H., Green, R., Abbey, S., McAndrews, M. P., &amp; Stewart, D. E. (2021). The psychological burden of waiting for procedures and patient</w:t>
      </w:r>
      <w:r w:rsidRPr="00AE4359">
        <w:rPr>
          <w:rFonts w:ascii="Cambria Math" w:eastAsia="Times New Roman" w:hAnsi="Cambria Math" w:cs="Cambria Math"/>
          <w:kern w:val="0"/>
          <w:sz w:val="22"/>
          <w:szCs w:val="22"/>
          <w:lang w:eastAsia="en-GB"/>
          <w14:ligatures w14:val="none"/>
        </w:rPr>
        <w:t>‐</w:t>
      </w:r>
      <w:r w:rsidRPr="00AE4359">
        <w:rPr>
          <w:rFonts w:ascii="Arial" w:eastAsia="Times New Roman" w:hAnsi="Arial" w:cs="Arial"/>
          <w:kern w:val="0"/>
          <w:sz w:val="22"/>
          <w:szCs w:val="22"/>
          <w:lang w:eastAsia="en-GB"/>
          <w14:ligatures w14:val="none"/>
        </w:rPr>
        <w:t>centred strategies that could support the mental health of wait</w:t>
      </w:r>
      <w:r w:rsidRPr="00AE4359">
        <w:rPr>
          <w:rFonts w:ascii="Cambria Math" w:eastAsia="Times New Roman" w:hAnsi="Cambria Math" w:cs="Cambria Math"/>
          <w:kern w:val="0"/>
          <w:sz w:val="22"/>
          <w:szCs w:val="22"/>
          <w:lang w:eastAsia="en-GB"/>
          <w14:ligatures w14:val="none"/>
        </w:rPr>
        <w:t>‐</w:t>
      </w:r>
      <w:r w:rsidRPr="00AE4359">
        <w:rPr>
          <w:rFonts w:ascii="Arial" w:eastAsia="Times New Roman" w:hAnsi="Arial" w:cs="Arial"/>
          <w:kern w:val="0"/>
          <w:sz w:val="22"/>
          <w:szCs w:val="22"/>
          <w:lang w:eastAsia="en-GB"/>
          <w14:ligatures w14:val="none"/>
        </w:rPr>
        <w:t>listed patients and caregivers during the covid</w:t>
      </w:r>
      <w:r w:rsidRPr="00AE4359">
        <w:rPr>
          <w:rFonts w:ascii="Cambria Math" w:eastAsia="Times New Roman" w:hAnsi="Cambria Math" w:cs="Cambria Math"/>
          <w:kern w:val="0"/>
          <w:sz w:val="22"/>
          <w:szCs w:val="22"/>
          <w:lang w:eastAsia="en-GB"/>
          <w14:ligatures w14:val="none"/>
        </w:rPr>
        <w:t>‐</w:t>
      </w:r>
      <w:r w:rsidRPr="00AE4359">
        <w:rPr>
          <w:rFonts w:ascii="Arial" w:eastAsia="Times New Roman" w:hAnsi="Arial" w:cs="Arial"/>
          <w:kern w:val="0"/>
          <w:sz w:val="22"/>
          <w:szCs w:val="22"/>
          <w:lang w:eastAsia="en-GB"/>
          <w14:ligatures w14:val="none"/>
        </w:rPr>
        <w:t xml:space="preserve">19 pandemic: A scoping review. Health Expectations, 24(3), 978–990. </w:t>
      </w:r>
      <w:hyperlink r:id="rId10" w:history="1">
        <w:r w:rsidRPr="00AE4359">
          <w:rPr>
            <w:rStyle w:val="Hyperlink"/>
            <w:rFonts w:ascii="Arial" w:eastAsia="Times New Roman" w:hAnsi="Arial" w:cs="Arial"/>
            <w:kern w:val="0"/>
            <w:sz w:val="22"/>
            <w:szCs w:val="22"/>
            <w:lang w:eastAsia="en-GB"/>
            <w14:ligatures w14:val="none"/>
          </w:rPr>
          <w:t>https://doi.org/10.1111/hex.13241</w:t>
        </w:r>
      </w:hyperlink>
    </w:p>
    <w:p w14:paraId="58576CD4" w14:textId="77777777" w:rsidR="00EE24B5" w:rsidRPr="00AE4359" w:rsidRDefault="00EE24B5" w:rsidP="00B60793">
      <w:pPr>
        <w:pStyle w:val="ListParagraph"/>
        <w:spacing w:after="0" w:line="240" w:lineRule="auto"/>
        <w:rPr>
          <w:rFonts w:ascii="Arial" w:eastAsia="Times New Roman" w:hAnsi="Arial" w:cs="Arial"/>
          <w:kern w:val="0"/>
          <w:sz w:val="22"/>
          <w:szCs w:val="22"/>
          <w:lang w:eastAsia="en-GB"/>
          <w14:ligatures w14:val="none"/>
        </w:rPr>
      </w:pPr>
    </w:p>
    <w:p w14:paraId="26825801" w14:textId="47052660" w:rsidR="00A25E3D" w:rsidRPr="00AE4359" w:rsidRDefault="00A25E3D" w:rsidP="00A25E3D">
      <w:pPr>
        <w:pStyle w:val="ListParagraph"/>
        <w:numPr>
          <w:ilvl w:val="0"/>
          <w:numId w:val="6"/>
        </w:numPr>
        <w:spacing w:after="0" w:line="240" w:lineRule="auto"/>
        <w:rPr>
          <w:rFonts w:ascii="Arial" w:eastAsia="Times New Roman" w:hAnsi="Arial" w:cs="Arial"/>
          <w:kern w:val="0"/>
          <w:sz w:val="22"/>
          <w:szCs w:val="22"/>
          <w:lang w:eastAsia="en-GB"/>
          <w14:ligatures w14:val="none"/>
        </w:rPr>
      </w:pPr>
      <w:r w:rsidRPr="00AE4359">
        <w:rPr>
          <w:rFonts w:ascii="Arial" w:eastAsia="Times New Roman" w:hAnsi="Arial" w:cs="Arial"/>
          <w:kern w:val="0"/>
          <w:sz w:val="22"/>
          <w:szCs w:val="22"/>
          <w:lang w:eastAsia="en-GB"/>
          <w14:ligatures w14:val="none"/>
        </w:rPr>
        <w:t xml:space="preserve">British Medical Association. (2024). Covid-19: Impact of the pandemic on healthcare delivery. The British Medical Association. </w:t>
      </w:r>
      <w:hyperlink r:id="rId11" w:history="1">
        <w:r w:rsidRPr="00AE4359">
          <w:rPr>
            <w:rStyle w:val="Hyperlink"/>
            <w:rFonts w:ascii="Arial" w:eastAsia="Times New Roman" w:hAnsi="Arial" w:cs="Arial"/>
            <w:kern w:val="0"/>
            <w:sz w:val="22"/>
            <w:szCs w:val="22"/>
            <w:lang w:eastAsia="en-GB"/>
            <w14:ligatures w14:val="none"/>
          </w:rPr>
          <w:t>https://www.bma.org.uk/advice-and-support/covid-19/what-the-bma-is-doing/covid-19-impact-of-the-pandemic-on-healthcare-delivery</w:t>
        </w:r>
      </w:hyperlink>
    </w:p>
    <w:p w14:paraId="1F268715" w14:textId="77777777" w:rsidR="00A25E3D" w:rsidRPr="00AE4359" w:rsidRDefault="00A25E3D" w:rsidP="00A25E3D">
      <w:pPr>
        <w:spacing w:after="0" w:line="240" w:lineRule="auto"/>
        <w:rPr>
          <w:rFonts w:ascii="Arial" w:eastAsia="Times New Roman" w:hAnsi="Arial" w:cs="Arial"/>
          <w:kern w:val="0"/>
          <w:sz w:val="22"/>
          <w:szCs w:val="22"/>
          <w:lang w:eastAsia="en-GB"/>
          <w14:ligatures w14:val="none"/>
        </w:rPr>
      </w:pPr>
    </w:p>
    <w:p w14:paraId="45104D05" w14:textId="1C930B85" w:rsidR="0002568A" w:rsidRPr="00AE4359" w:rsidRDefault="0002568A" w:rsidP="0002568A">
      <w:pPr>
        <w:pStyle w:val="ListParagraph"/>
        <w:numPr>
          <w:ilvl w:val="0"/>
          <w:numId w:val="6"/>
        </w:numPr>
        <w:spacing w:after="0" w:line="240" w:lineRule="auto"/>
        <w:rPr>
          <w:rFonts w:ascii="Arial" w:hAnsi="Arial" w:cs="Arial"/>
          <w:b/>
          <w:bCs/>
          <w:sz w:val="22"/>
          <w:szCs w:val="22"/>
          <w:u w:val="single"/>
          <w:lang w:val="en-US"/>
        </w:rPr>
      </w:pPr>
      <w:r w:rsidRPr="00AE4359">
        <w:rPr>
          <w:rFonts w:ascii="Arial" w:eastAsia="Times New Roman" w:hAnsi="Arial" w:cs="Arial"/>
          <w:kern w:val="0"/>
          <w:sz w:val="22"/>
          <w:szCs w:val="22"/>
          <w:lang w:eastAsia="en-GB"/>
          <w14:ligatures w14:val="none"/>
        </w:rPr>
        <w:t xml:space="preserve">Tikhonova, E. V., &amp; Kosycheva, M. A. (2025). Efficient introduction to scoping review: From theoretical modeling to practical application. Science Editor and Publisher, 10(1), 6–31. </w:t>
      </w:r>
      <w:hyperlink r:id="rId12" w:history="1">
        <w:r w:rsidRPr="00AE4359">
          <w:rPr>
            <w:rStyle w:val="Hyperlink"/>
            <w:rFonts w:ascii="Arial" w:eastAsia="Times New Roman" w:hAnsi="Arial" w:cs="Arial"/>
            <w:kern w:val="0"/>
            <w:sz w:val="22"/>
            <w:szCs w:val="22"/>
            <w:lang w:eastAsia="en-GB"/>
            <w14:ligatures w14:val="none"/>
          </w:rPr>
          <w:t>https://doi.org/10.24069/sep-25-39</w:t>
        </w:r>
      </w:hyperlink>
    </w:p>
    <w:p w14:paraId="21EC34F9" w14:textId="77777777" w:rsidR="00C90DFD" w:rsidRPr="00AE4359" w:rsidRDefault="00C90DFD" w:rsidP="00C90DFD">
      <w:pPr>
        <w:spacing w:after="0" w:line="240" w:lineRule="auto"/>
        <w:rPr>
          <w:rFonts w:ascii="Arial" w:hAnsi="Arial" w:cs="Arial"/>
          <w:b/>
          <w:bCs/>
          <w:sz w:val="22"/>
          <w:szCs w:val="22"/>
          <w:u w:val="single"/>
          <w:lang w:val="en-US"/>
        </w:rPr>
      </w:pPr>
    </w:p>
    <w:p w14:paraId="3BC8B4ED" w14:textId="77777777" w:rsidR="00C90DFD" w:rsidRPr="00AE4359" w:rsidRDefault="00C90DFD" w:rsidP="00C90DFD">
      <w:pPr>
        <w:spacing w:after="0" w:line="240" w:lineRule="auto"/>
        <w:rPr>
          <w:rFonts w:ascii="Arial" w:hAnsi="Arial" w:cs="Arial"/>
          <w:b/>
          <w:bCs/>
          <w:sz w:val="22"/>
          <w:szCs w:val="22"/>
          <w:u w:val="single"/>
          <w:lang w:val="en-US"/>
        </w:rPr>
      </w:pPr>
    </w:p>
    <w:p w14:paraId="46C1EE18" w14:textId="7DB8F62A" w:rsidR="0082315E" w:rsidRPr="00AE4359" w:rsidRDefault="00F07CBC" w:rsidP="00C90DFD">
      <w:pPr>
        <w:spacing w:after="0" w:line="240" w:lineRule="auto"/>
        <w:rPr>
          <w:rFonts w:ascii="Arial" w:hAnsi="Arial" w:cs="Arial"/>
          <w:b/>
          <w:bCs/>
          <w:sz w:val="22"/>
          <w:szCs w:val="22"/>
          <w:u w:val="single"/>
          <w:lang w:val="en-US"/>
        </w:rPr>
      </w:pPr>
      <w:r w:rsidRPr="00AE4359">
        <w:rPr>
          <w:rFonts w:ascii="Arial" w:hAnsi="Arial" w:cs="Arial"/>
          <w:b/>
          <w:bCs/>
          <w:sz w:val="22"/>
          <w:szCs w:val="22"/>
          <w:u w:val="single"/>
          <w:lang w:val="en-US"/>
        </w:rPr>
        <w:t>Background</w:t>
      </w:r>
      <w:r w:rsidR="00083D83" w:rsidRPr="00AE4359">
        <w:rPr>
          <w:rFonts w:ascii="Arial" w:hAnsi="Arial" w:cs="Arial"/>
          <w:b/>
          <w:bCs/>
          <w:sz w:val="22"/>
          <w:szCs w:val="22"/>
          <w:u w:val="single"/>
          <w:lang w:val="en-US"/>
        </w:rPr>
        <w:t>:</w:t>
      </w:r>
    </w:p>
    <w:p w14:paraId="1A21A6A2" w14:textId="77777777" w:rsidR="006553D5" w:rsidRPr="00AE4359" w:rsidRDefault="006553D5" w:rsidP="00C90DFD">
      <w:pPr>
        <w:spacing w:after="0" w:line="240" w:lineRule="auto"/>
        <w:rPr>
          <w:rFonts w:ascii="Arial" w:hAnsi="Arial" w:cs="Arial"/>
          <w:b/>
          <w:bCs/>
          <w:sz w:val="22"/>
          <w:szCs w:val="22"/>
          <w:u w:val="single"/>
          <w:lang w:val="en-US"/>
        </w:rPr>
      </w:pPr>
    </w:p>
    <w:p w14:paraId="3A683D4E" w14:textId="14844C18" w:rsidR="006553D5" w:rsidRPr="00AE4359" w:rsidRDefault="006553D5" w:rsidP="006553D5">
      <w:pPr>
        <w:pStyle w:val="ListParagraph"/>
        <w:numPr>
          <w:ilvl w:val="0"/>
          <w:numId w:val="8"/>
        </w:numPr>
        <w:spacing w:after="0" w:line="240" w:lineRule="auto"/>
        <w:rPr>
          <w:rFonts w:ascii="Arial" w:eastAsia="Times New Roman" w:hAnsi="Arial" w:cs="Arial"/>
          <w:kern w:val="0"/>
          <w:sz w:val="22"/>
          <w:szCs w:val="22"/>
          <w:lang w:eastAsia="en-GB"/>
          <w14:ligatures w14:val="none"/>
        </w:rPr>
      </w:pPr>
      <w:r w:rsidRPr="00AE4359">
        <w:rPr>
          <w:rFonts w:ascii="Arial" w:eastAsia="Times New Roman" w:hAnsi="Arial" w:cs="Arial"/>
          <w:kern w:val="0"/>
          <w:sz w:val="22"/>
          <w:szCs w:val="22"/>
          <w:lang w:eastAsia="en-GB"/>
          <w14:ligatures w14:val="none"/>
        </w:rPr>
        <w:t xml:space="preserve">NHS England. (2024). NHS England » primary care patient safety strategy. England.Nhs.Uk. </w:t>
      </w:r>
      <w:hyperlink r:id="rId13" w:history="1">
        <w:r w:rsidRPr="00AE4359">
          <w:rPr>
            <w:rStyle w:val="Hyperlink"/>
            <w:rFonts w:ascii="Arial" w:eastAsia="Times New Roman" w:hAnsi="Arial" w:cs="Arial"/>
            <w:kern w:val="0"/>
            <w:sz w:val="22"/>
            <w:szCs w:val="22"/>
            <w:lang w:eastAsia="en-GB"/>
            <w14:ligatures w14:val="none"/>
          </w:rPr>
          <w:t>https://www.england.nhs.uk/long-read/primary-care-patient-safety-strategy/</w:t>
        </w:r>
      </w:hyperlink>
    </w:p>
    <w:p w14:paraId="45B5D47C" w14:textId="77777777" w:rsidR="006553D5" w:rsidRPr="00AE4359" w:rsidRDefault="006553D5" w:rsidP="006553D5">
      <w:pPr>
        <w:pStyle w:val="ListParagraph"/>
        <w:spacing w:after="0" w:line="240" w:lineRule="auto"/>
        <w:rPr>
          <w:rFonts w:ascii="Arial" w:eastAsia="Times New Roman" w:hAnsi="Arial" w:cs="Arial"/>
          <w:kern w:val="0"/>
          <w:sz w:val="22"/>
          <w:szCs w:val="22"/>
          <w:lang w:eastAsia="en-GB"/>
          <w14:ligatures w14:val="none"/>
        </w:rPr>
      </w:pPr>
    </w:p>
    <w:p w14:paraId="05C47F2E" w14:textId="2C5FA8C5" w:rsidR="00BC4D90" w:rsidRPr="00AE4359" w:rsidRDefault="00BC4D90" w:rsidP="00BC4D90">
      <w:pPr>
        <w:pStyle w:val="ListParagraph"/>
        <w:numPr>
          <w:ilvl w:val="0"/>
          <w:numId w:val="8"/>
        </w:numPr>
        <w:spacing w:after="0" w:line="240" w:lineRule="auto"/>
        <w:rPr>
          <w:rFonts w:ascii="Arial" w:eastAsia="Times New Roman" w:hAnsi="Arial" w:cs="Arial"/>
          <w:kern w:val="0"/>
          <w:sz w:val="22"/>
          <w:szCs w:val="22"/>
          <w:lang w:eastAsia="en-GB"/>
          <w14:ligatures w14:val="none"/>
        </w:rPr>
      </w:pPr>
      <w:r w:rsidRPr="00AE4359">
        <w:rPr>
          <w:rFonts w:ascii="Arial" w:eastAsia="Times New Roman" w:hAnsi="Arial" w:cs="Arial"/>
          <w:kern w:val="0"/>
          <w:sz w:val="22"/>
          <w:szCs w:val="22"/>
          <w:lang w:eastAsia="en-GB"/>
          <w14:ligatures w14:val="none"/>
        </w:rPr>
        <w:t xml:space="preserve">Parisi, R., Lau, Y.-S., Bower, P., Checkland, K., Rubery, J., Sutton, M., Giles, S., Esmail, A., Spooner, S., &amp; Evangelos Kontopantelis. (2024). GP working time and supply, and patient demand in England in 2015–2022: A retrospective study. British Journal of General Practice, 74(747), e666–e673. </w:t>
      </w:r>
      <w:hyperlink r:id="rId14" w:history="1">
        <w:r w:rsidRPr="00AE4359">
          <w:rPr>
            <w:rStyle w:val="Hyperlink"/>
            <w:rFonts w:ascii="Arial" w:eastAsia="Times New Roman" w:hAnsi="Arial" w:cs="Arial"/>
            <w:kern w:val="0"/>
            <w:sz w:val="22"/>
            <w:szCs w:val="22"/>
            <w:lang w:eastAsia="en-GB"/>
            <w14:ligatures w14:val="none"/>
          </w:rPr>
          <w:t>https://doi.org/10.3399/bjgp.2024.0075</w:t>
        </w:r>
      </w:hyperlink>
    </w:p>
    <w:p w14:paraId="4922E893" w14:textId="77777777" w:rsidR="00BC4D90" w:rsidRPr="00AE4359" w:rsidRDefault="00BC4D90" w:rsidP="00BC4D90">
      <w:pPr>
        <w:pStyle w:val="ListParagraph"/>
        <w:spacing w:after="0" w:line="240" w:lineRule="auto"/>
        <w:rPr>
          <w:rFonts w:ascii="Arial" w:eastAsia="Times New Roman" w:hAnsi="Arial" w:cs="Arial"/>
          <w:kern w:val="0"/>
          <w:sz w:val="22"/>
          <w:szCs w:val="22"/>
          <w:lang w:eastAsia="en-GB"/>
          <w14:ligatures w14:val="none"/>
        </w:rPr>
      </w:pPr>
    </w:p>
    <w:p w14:paraId="1429768F" w14:textId="344C9794" w:rsidR="00AC1548" w:rsidRPr="00AE4359" w:rsidRDefault="00AC1548" w:rsidP="00AC1548">
      <w:pPr>
        <w:pStyle w:val="ListParagraph"/>
        <w:numPr>
          <w:ilvl w:val="0"/>
          <w:numId w:val="8"/>
        </w:numPr>
        <w:spacing w:after="0" w:line="240" w:lineRule="auto"/>
        <w:rPr>
          <w:rFonts w:ascii="Arial" w:eastAsia="Times New Roman" w:hAnsi="Arial" w:cs="Arial"/>
          <w:kern w:val="0"/>
          <w:sz w:val="22"/>
          <w:szCs w:val="22"/>
          <w:lang w:eastAsia="en-GB"/>
          <w14:ligatures w14:val="none"/>
        </w:rPr>
      </w:pPr>
      <w:r w:rsidRPr="00AE4359">
        <w:rPr>
          <w:rFonts w:ascii="Arial" w:eastAsia="Times New Roman" w:hAnsi="Arial" w:cs="Arial"/>
          <w:kern w:val="0"/>
          <w:sz w:val="22"/>
          <w:szCs w:val="22"/>
          <w:lang w:eastAsia="en-GB"/>
          <w14:ligatures w14:val="none"/>
        </w:rPr>
        <w:t xml:space="preserve">Juraszek, P., Sobczyk, K., Działach, E., Krupa-Kotara, K., &amp; Grajek, M. (2025). The impact of the covid-19 pandemic on the demand for publicly funded mental health services in Poland (data report 2018–2023). Frontiers in Public Health, 13. </w:t>
      </w:r>
      <w:hyperlink r:id="rId15" w:history="1">
        <w:r w:rsidRPr="00AE4359">
          <w:rPr>
            <w:rStyle w:val="Hyperlink"/>
            <w:rFonts w:ascii="Arial" w:eastAsia="Times New Roman" w:hAnsi="Arial" w:cs="Arial"/>
            <w:kern w:val="0"/>
            <w:sz w:val="22"/>
            <w:szCs w:val="22"/>
            <w:lang w:eastAsia="en-GB"/>
            <w14:ligatures w14:val="none"/>
          </w:rPr>
          <w:t>https://doi.org/10.3389/fpubh.2025.1499628</w:t>
        </w:r>
      </w:hyperlink>
    </w:p>
    <w:p w14:paraId="6E1A32BE" w14:textId="77777777" w:rsidR="00226D76" w:rsidRPr="00AE4359" w:rsidRDefault="00226D76" w:rsidP="00226D76">
      <w:pPr>
        <w:spacing w:after="0" w:line="240" w:lineRule="auto"/>
        <w:rPr>
          <w:rFonts w:ascii="Arial" w:eastAsia="Times New Roman" w:hAnsi="Arial" w:cs="Arial"/>
          <w:kern w:val="0"/>
          <w:sz w:val="22"/>
          <w:szCs w:val="22"/>
          <w:lang w:eastAsia="en-GB"/>
          <w14:ligatures w14:val="none"/>
        </w:rPr>
      </w:pPr>
    </w:p>
    <w:p w14:paraId="497097BD" w14:textId="77777777" w:rsidR="00226D76" w:rsidRPr="00AE4359" w:rsidRDefault="00226D76" w:rsidP="00226D76">
      <w:pPr>
        <w:spacing w:after="0" w:line="240" w:lineRule="auto"/>
        <w:rPr>
          <w:rFonts w:ascii="Arial" w:eastAsia="Times New Roman" w:hAnsi="Arial" w:cs="Arial"/>
          <w:kern w:val="0"/>
          <w:sz w:val="22"/>
          <w:szCs w:val="22"/>
          <w:lang w:eastAsia="en-GB"/>
          <w14:ligatures w14:val="none"/>
        </w:rPr>
      </w:pPr>
    </w:p>
    <w:p w14:paraId="407D86A2" w14:textId="77777777" w:rsidR="00AC1548" w:rsidRPr="00AE4359" w:rsidRDefault="00AC1548" w:rsidP="00AC1548">
      <w:pPr>
        <w:pStyle w:val="ListParagraph"/>
        <w:spacing w:after="0" w:line="240" w:lineRule="auto"/>
        <w:rPr>
          <w:rFonts w:ascii="Arial" w:eastAsia="Times New Roman" w:hAnsi="Arial" w:cs="Arial"/>
          <w:kern w:val="0"/>
          <w:sz w:val="22"/>
          <w:szCs w:val="22"/>
          <w:lang w:eastAsia="en-GB"/>
          <w14:ligatures w14:val="none"/>
        </w:rPr>
      </w:pPr>
    </w:p>
    <w:p w14:paraId="5268F685" w14:textId="118D12E6" w:rsidR="00226D76" w:rsidRPr="00AE4359" w:rsidRDefault="00226D76" w:rsidP="00226D76">
      <w:pPr>
        <w:pStyle w:val="ListParagraph"/>
        <w:numPr>
          <w:ilvl w:val="0"/>
          <w:numId w:val="8"/>
        </w:numPr>
        <w:spacing w:after="0" w:line="240" w:lineRule="auto"/>
        <w:rPr>
          <w:rFonts w:ascii="Arial" w:eastAsia="Times New Roman" w:hAnsi="Arial" w:cs="Arial"/>
          <w:kern w:val="0"/>
          <w:sz w:val="22"/>
          <w:szCs w:val="22"/>
          <w:lang w:eastAsia="en-GB"/>
          <w14:ligatures w14:val="none"/>
        </w:rPr>
      </w:pPr>
      <w:r w:rsidRPr="00AE4359">
        <w:rPr>
          <w:rFonts w:ascii="Arial" w:eastAsia="Times New Roman" w:hAnsi="Arial" w:cs="Arial"/>
          <w:kern w:val="0"/>
          <w:sz w:val="22"/>
          <w:szCs w:val="22"/>
          <w:lang w:eastAsia="en-GB"/>
          <w14:ligatures w14:val="none"/>
        </w:rPr>
        <w:t xml:space="preserve">Dyson, M. (2020, September 8). Pressures in general practice. The British Medical Association Is the Trade Union and Professional Body for Doctors in the UK. </w:t>
      </w:r>
      <w:hyperlink r:id="rId16" w:history="1">
        <w:r w:rsidRPr="00AE4359">
          <w:rPr>
            <w:rStyle w:val="Hyperlink"/>
            <w:rFonts w:ascii="Arial" w:eastAsia="Times New Roman" w:hAnsi="Arial" w:cs="Arial"/>
            <w:kern w:val="0"/>
            <w:sz w:val="22"/>
            <w:szCs w:val="22"/>
            <w:lang w:eastAsia="en-GB"/>
            <w14:ligatures w14:val="none"/>
          </w:rPr>
          <w:t>https://www.bma.org.uk/advice-and-support/nhs-delivery-and-workforce/pressures/pressures-in-general-practice</w:t>
        </w:r>
      </w:hyperlink>
    </w:p>
    <w:p w14:paraId="099812FE" w14:textId="77777777" w:rsidR="00226D76" w:rsidRPr="00AE4359" w:rsidRDefault="00226D76" w:rsidP="00226D76">
      <w:pPr>
        <w:pStyle w:val="ListParagraph"/>
        <w:spacing w:after="0" w:line="240" w:lineRule="auto"/>
        <w:rPr>
          <w:rFonts w:ascii="Arial" w:eastAsia="Times New Roman" w:hAnsi="Arial" w:cs="Arial"/>
          <w:kern w:val="0"/>
          <w:sz w:val="22"/>
          <w:szCs w:val="22"/>
          <w:lang w:eastAsia="en-GB"/>
          <w14:ligatures w14:val="none"/>
        </w:rPr>
      </w:pPr>
    </w:p>
    <w:p w14:paraId="3BC3FD97" w14:textId="52BD3AEE" w:rsidR="00473C62" w:rsidRPr="00AE4359" w:rsidRDefault="00473C62" w:rsidP="00473C62">
      <w:pPr>
        <w:pStyle w:val="ListParagraph"/>
        <w:numPr>
          <w:ilvl w:val="0"/>
          <w:numId w:val="8"/>
        </w:numPr>
        <w:spacing w:after="0" w:line="240" w:lineRule="auto"/>
        <w:rPr>
          <w:rFonts w:ascii="Arial" w:eastAsia="Times New Roman" w:hAnsi="Arial" w:cs="Arial"/>
          <w:kern w:val="0"/>
          <w:sz w:val="22"/>
          <w:szCs w:val="22"/>
          <w:lang w:eastAsia="en-GB"/>
          <w14:ligatures w14:val="none"/>
        </w:rPr>
      </w:pPr>
      <w:r w:rsidRPr="00AE4359">
        <w:rPr>
          <w:rFonts w:ascii="Arial" w:eastAsia="Times New Roman" w:hAnsi="Arial" w:cs="Arial"/>
          <w:kern w:val="0"/>
          <w:sz w:val="22"/>
          <w:szCs w:val="22"/>
          <w:lang w:eastAsia="en-GB"/>
          <w14:ligatures w14:val="none"/>
        </w:rPr>
        <w:t xml:space="preserve">Gellert, G. A., Rasławska-Socha, J., Marcjasz, N., Price, T., Heyduk, A., Mlodawska, A., Kuszczyński, K., Jędruch, A., &amp; Orzechowski, P. (2023). The role of virtual triage </w:t>
      </w:r>
      <w:r w:rsidRPr="00AE4359">
        <w:rPr>
          <w:rFonts w:ascii="Arial" w:eastAsia="Times New Roman" w:hAnsi="Arial" w:cs="Arial"/>
          <w:kern w:val="0"/>
          <w:sz w:val="22"/>
          <w:szCs w:val="22"/>
          <w:lang w:eastAsia="en-GB"/>
          <w14:ligatures w14:val="none"/>
        </w:rPr>
        <w:lastRenderedPageBreak/>
        <w:t xml:space="preserve">in improving clinician experience and satisfaction: A narrative review. Telemedicine Reports, 4(1), 180–191. </w:t>
      </w:r>
      <w:hyperlink r:id="rId17" w:history="1">
        <w:r w:rsidRPr="00AE4359">
          <w:rPr>
            <w:rStyle w:val="Hyperlink"/>
            <w:rFonts w:ascii="Arial" w:eastAsia="Times New Roman" w:hAnsi="Arial" w:cs="Arial"/>
            <w:kern w:val="0"/>
            <w:sz w:val="22"/>
            <w:szCs w:val="22"/>
            <w:lang w:eastAsia="en-GB"/>
            <w14:ligatures w14:val="none"/>
          </w:rPr>
          <w:t>https://doi.org/10.1089/tmr.2023.0020</w:t>
        </w:r>
      </w:hyperlink>
    </w:p>
    <w:p w14:paraId="7AC5048F" w14:textId="77777777" w:rsidR="00473C62" w:rsidRPr="00AE4359" w:rsidRDefault="00473C62" w:rsidP="00473C62">
      <w:pPr>
        <w:pStyle w:val="ListParagraph"/>
        <w:spacing w:after="0" w:line="240" w:lineRule="auto"/>
        <w:rPr>
          <w:rFonts w:ascii="Arial" w:eastAsia="Times New Roman" w:hAnsi="Arial" w:cs="Arial"/>
          <w:kern w:val="0"/>
          <w:sz w:val="22"/>
          <w:szCs w:val="22"/>
          <w:lang w:eastAsia="en-GB"/>
          <w14:ligatures w14:val="none"/>
        </w:rPr>
      </w:pPr>
    </w:p>
    <w:p w14:paraId="12C6978D" w14:textId="002AAD71" w:rsidR="001B6B40" w:rsidRPr="00AE4359" w:rsidRDefault="001B6B40" w:rsidP="001B6B40">
      <w:pPr>
        <w:pStyle w:val="ListParagraph"/>
        <w:numPr>
          <w:ilvl w:val="0"/>
          <w:numId w:val="8"/>
        </w:numPr>
        <w:spacing w:after="0" w:line="240" w:lineRule="auto"/>
        <w:rPr>
          <w:rFonts w:ascii="Arial" w:eastAsia="Times New Roman" w:hAnsi="Arial" w:cs="Arial"/>
          <w:kern w:val="0"/>
          <w:sz w:val="22"/>
          <w:szCs w:val="22"/>
          <w:lang w:eastAsia="en-GB"/>
          <w14:ligatures w14:val="none"/>
        </w:rPr>
      </w:pPr>
      <w:r w:rsidRPr="00AE4359">
        <w:rPr>
          <w:rFonts w:ascii="Arial" w:eastAsia="Times New Roman" w:hAnsi="Arial" w:cs="Arial"/>
          <w:kern w:val="0"/>
          <w:sz w:val="22"/>
          <w:szCs w:val="22"/>
          <w:lang w:eastAsia="en-GB"/>
          <w14:ligatures w14:val="none"/>
        </w:rPr>
        <w:t xml:space="preserve">Mesiano, N., &amp; Santos, R. (2026). Impact of covid-19 on primary care consultation mode in England: An interrupted time series analysis. Health Policy (Amsterdam, Netherlands), 164, 105502. </w:t>
      </w:r>
      <w:hyperlink r:id="rId18" w:history="1">
        <w:r w:rsidRPr="00AE4359">
          <w:rPr>
            <w:rStyle w:val="Hyperlink"/>
            <w:rFonts w:ascii="Arial" w:eastAsia="Times New Roman" w:hAnsi="Arial" w:cs="Arial"/>
            <w:kern w:val="0"/>
            <w:sz w:val="22"/>
            <w:szCs w:val="22"/>
            <w:lang w:eastAsia="en-GB"/>
            <w14:ligatures w14:val="none"/>
          </w:rPr>
          <w:t>https://doi.org/10.1016/j.healthpol.2025.105502</w:t>
        </w:r>
      </w:hyperlink>
    </w:p>
    <w:p w14:paraId="52E91159" w14:textId="77777777" w:rsidR="0048070E" w:rsidRPr="00AE4359" w:rsidRDefault="0048070E" w:rsidP="0048070E">
      <w:pPr>
        <w:spacing w:after="0" w:line="240" w:lineRule="auto"/>
        <w:rPr>
          <w:rFonts w:ascii="Arial" w:hAnsi="Arial" w:cs="Arial"/>
          <w:b/>
          <w:bCs/>
          <w:sz w:val="22"/>
          <w:szCs w:val="22"/>
          <w:u w:val="single"/>
          <w:lang w:val="en-US"/>
        </w:rPr>
      </w:pPr>
    </w:p>
    <w:p w14:paraId="341F062B" w14:textId="77777777" w:rsidR="0048070E" w:rsidRPr="00AE4359" w:rsidRDefault="0048070E" w:rsidP="0048070E">
      <w:pPr>
        <w:spacing w:after="0" w:line="240" w:lineRule="auto"/>
        <w:rPr>
          <w:rFonts w:ascii="Arial" w:hAnsi="Arial" w:cs="Arial"/>
          <w:b/>
          <w:bCs/>
          <w:sz w:val="22"/>
          <w:szCs w:val="22"/>
          <w:u w:val="single"/>
          <w:lang w:val="en-US"/>
        </w:rPr>
      </w:pPr>
    </w:p>
    <w:p w14:paraId="72128759" w14:textId="524B76F2" w:rsidR="00F07CBC" w:rsidRPr="00AE4359" w:rsidRDefault="00F07CBC" w:rsidP="0048070E">
      <w:pPr>
        <w:spacing w:after="0" w:line="240" w:lineRule="auto"/>
        <w:rPr>
          <w:rFonts w:ascii="Arial" w:hAnsi="Arial" w:cs="Arial"/>
          <w:b/>
          <w:bCs/>
          <w:sz w:val="22"/>
          <w:szCs w:val="22"/>
          <w:u w:val="single"/>
          <w:lang w:val="en-US"/>
        </w:rPr>
      </w:pPr>
      <w:r w:rsidRPr="00AE4359">
        <w:rPr>
          <w:rFonts w:ascii="Arial" w:hAnsi="Arial" w:cs="Arial"/>
          <w:b/>
          <w:bCs/>
          <w:sz w:val="22"/>
          <w:szCs w:val="22"/>
          <w:u w:val="single"/>
          <w:lang w:val="en-US"/>
        </w:rPr>
        <w:t>Methods</w:t>
      </w:r>
      <w:r w:rsidR="00083D83" w:rsidRPr="00AE4359">
        <w:rPr>
          <w:rFonts w:ascii="Arial" w:hAnsi="Arial" w:cs="Arial"/>
          <w:b/>
          <w:bCs/>
          <w:sz w:val="22"/>
          <w:szCs w:val="22"/>
          <w:u w:val="single"/>
          <w:lang w:val="en-US"/>
        </w:rPr>
        <w:t>:</w:t>
      </w:r>
    </w:p>
    <w:p w14:paraId="778B052D" w14:textId="77777777" w:rsidR="00AE4359" w:rsidRPr="00AE4359" w:rsidRDefault="00AE4359" w:rsidP="0048070E">
      <w:pPr>
        <w:spacing w:after="0" w:line="240" w:lineRule="auto"/>
        <w:rPr>
          <w:rFonts w:ascii="Arial" w:hAnsi="Arial" w:cs="Arial"/>
          <w:b/>
          <w:bCs/>
          <w:sz w:val="22"/>
          <w:szCs w:val="22"/>
          <w:u w:val="single"/>
          <w:lang w:val="en-US"/>
        </w:rPr>
      </w:pPr>
    </w:p>
    <w:p w14:paraId="236CEE99" w14:textId="0CDC86CE" w:rsidR="00AE4359" w:rsidRPr="00AE4359" w:rsidRDefault="00AE4359" w:rsidP="00AE4359">
      <w:pPr>
        <w:pStyle w:val="ListParagraph"/>
        <w:numPr>
          <w:ilvl w:val="0"/>
          <w:numId w:val="9"/>
        </w:numPr>
        <w:spacing w:after="0" w:line="240" w:lineRule="auto"/>
        <w:rPr>
          <w:rFonts w:ascii="Arial" w:eastAsia="Times New Roman" w:hAnsi="Arial" w:cs="Arial"/>
          <w:kern w:val="0"/>
          <w:sz w:val="22"/>
          <w:szCs w:val="22"/>
          <w:lang w:eastAsia="en-GB"/>
          <w14:ligatures w14:val="none"/>
        </w:rPr>
      </w:pPr>
      <w:r w:rsidRPr="00AE4359">
        <w:rPr>
          <w:rFonts w:ascii="Arial" w:eastAsia="Times New Roman" w:hAnsi="Arial" w:cs="Arial"/>
          <w:kern w:val="0"/>
          <w:sz w:val="22"/>
          <w:szCs w:val="22"/>
          <w:lang w:eastAsia="en-GB"/>
          <w14:ligatures w14:val="none"/>
        </w:rPr>
        <w:t xml:space="preserve">Khalil, H., Jia, R., Moraes, E. B., Munn, Z., Alexander, L., Peters, M., Asran, A., Godfrey, C., Tricco, A., Pollock, D., &amp; Evans, C. (2025). Scoping reviews and their role in identifying research priorities. Journal of Clinical Epidemiology, 181, 111712. </w:t>
      </w:r>
      <w:hyperlink r:id="rId19" w:history="1">
        <w:r w:rsidRPr="00AE4359">
          <w:rPr>
            <w:rStyle w:val="Hyperlink"/>
            <w:rFonts w:ascii="Arial" w:eastAsia="Times New Roman" w:hAnsi="Arial" w:cs="Arial"/>
            <w:kern w:val="0"/>
            <w:sz w:val="22"/>
            <w:szCs w:val="22"/>
            <w:lang w:eastAsia="en-GB"/>
            <w14:ligatures w14:val="none"/>
          </w:rPr>
          <w:t>https://doi.org/10.1016/j.jclinepi.2025.111712</w:t>
        </w:r>
      </w:hyperlink>
    </w:p>
    <w:p w14:paraId="1D5B14D3" w14:textId="77777777" w:rsidR="00AE4359" w:rsidRPr="00AE4359" w:rsidRDefault="00AE4359" w:rsidP="00AE4359">
      <w:pPr>
        <w:pStyle w:val="ListParagraph"/>
        <w:spacing w:after="0" w:line="240" w:lineRule="auto"/>
        <w:rPr>
          <w:rFonts w:ascii="Arial" w:eastAsia="Times New Roman" w:hAnsi="Arial" w:cs="Arial"/>
          <w:kern w:val="0"/>
          <w:sz w:val="22"/>
          <w:szCs w:val="22"/>
          <w:lang w:eastAsia="en-GB"/>
          <w14:ligatures w14:val="none"/>
        </w:rPr>
      </w:pPr>
    </w:p>
    <w:p w14:paraId="1C403337" w14:textId="3EC44135" w:rsidR="0048070E" w:rsidRDefault="00780EE5" w:rsidP="00780EE5">
      <w:pPr>
        <w:pStyle w:val="ListParagraph"/>
        <w:numPr>
          <w:ilvl w:val="0"/>
          <w:numId w:val="9"/>
        </w:numPr>
        <w:spacing w:after="0" w:line="240" w:lineRule="auto"/>
        <w:rPr>
          <w:rFonts w:ascii="Arial" w:eastAsia="Times New Roman" w:hAnsi="Arial" w:cs="Arial"/>
          <w:kern w:val="0"/>
          <w:sz w:val="22"/>
          <w:szCs w:val="22"/>
          <w:lang w:eastAsia="en-GB"/>
          <w14:ligatures w14:val="none"/>
        </w:rPr>
      </w:pPr>
      <w:r w:rsidRPr="00780EE5">
        <w:rPr>
          <w:rFonts w:ascii="Arial" w:eastAsia="Times New Roman" w:hAnsi="Arial" w:cs="Arial"/>
          <w:kern w:val="0"/>
          <w:sz w:val="22"/>
          <w:szCs w:val="22"/>
          <w:lang w:eastAsia="en-GB"/>
          <w14:ligatures w14:val="none"/>
        </w:rPr>
        <w:t xml:space="preserve">Tricco, A. C., Lillie, E., Zarin, W., O’Brien, K. K., Colquhoun, H., Levac, D., Moher, D., Peters, M. D. J., Horsley, T., Weeks, L., Hempel, S., Akl, E. A., Chang, C., McGowan, J., Stewart, L., Hartling, L., Aldcroft, A., Wilson, M. G., Garritty, C., … Straus, S. E. (2018). Prisma extension for Scoping reviews (PRISMA-ScR): Checklist and explanation. Annals of Internal Medicine, 169(7), 467–473. </w:t>
      </w:r>
      <w:hyperlink r:id="rId20" w:history="1">
        <w:r w:rsidRPr="005D201D">
          <w:rPr>
            <w:rStyle w:val="Hyperlink"/>
            <w:rFonts w:ascii="Arial" w:eastAsia="Times New Roman" w:hAnsi="Arial" w:cs="Arial"/>
            <w:kern w:val="0"/>
            <w:sz w:val="22"/>
            <w:szCs w:val="22"/>
            <w:lang w:eastAsia="en-GB"/>
            <w14:ligatures w14:val="none"/>
          </w:rPr>
          <w:t>https://doi.org/10.7326/M18-0850</w:t>
        </w:r>
      </w:hyperlink>
    </w:p>
    <w:p w14:paraId="7CD5D816" w14:textId="77777777" w:rsidR="008D59D0" w:rsidRDefault="008D59D0" w:rsidP="009B5AEC">
      <w:pPr>
        <w:rPr>
          <w:rFonts w:ascii="Arial" w:hAnsi="Arial" w:cs="Arial"/>
          <w:b/>
          <w:bCs/>
          <w:sz w:val="22"/>
          <w:szCs w:val="22"/>
          <w:u w:val="single"/>
          <w:lang w:val="en-US"/>
        </w:rPr>
      </w:pPr>
    </w:p>
    <w:p w14:paraId="646AA928" w14:textId="77777777" w:rsidR="008D59D0" w:rsidRDefault="008D59D0" w:rsidP="009B5AEC">
      <w:pPr>
        <w:rPr>
          <w:rFonts w:ascii="Arial" w:hAnsi="Arial" w:cs="Arial"/>
          <w:b/>
          <w:bCs/>
          <w:sz w:val="22"/>
          <w:szCs w:val="22"/>
          <w:u w:val="single"/>
          <w:lang w:val="en-US"/>
        </w:rPr>
      </w:pPr>
    </w:p>
    <w:p w14:paraId="5F74C9A4" w14:textId="32CFAE9E" w:rsidR="00F07CBC" w:rsidRPr="00083D83" w:rsidRDefault="00F07CBC" w:rsidP="009B5AEC">
      <w:pPr>
        <w:rPr>
          <w:rFonts w:ascii="Arial" w:hAnsi="Arial" w:cs="Arial"/>
          <w:b/>
          <w:bCs/>
          <w:sz w:val="22"/>
          <w:szCs w:val="22"/>
          <w:u w:val="single"/>
          <w:lang w:val="en-US"/>
        </w:rPr>
      </w:pPr>
      <w:r w:rsidRPr="00083D83">
        <w:rPr>
          <w:rFonts w:ascii="Arial" w:hAnsi="Arial" w:cs="Arial"/>
          <w:b/>
          <w:bCs/>
          <w:sz w:val="22"/>
          <w:szCs w:val="22"/>
          <w:u w:val="single"/>
          <w:lang w:val="en-US"/>
        </w:rPr>
        <w:t>Results</w:t>
      </w:r>
      <w:r w:rsidR="00083D83">
        <w:rPr>
          <w:rFonts w:ascii="Arial" w:hAnsi="Arial" w:cs="Arial"/>
          <w:b/>
          <w:bCs/>
          <w:sz w:val="22"/>
          <w:szCs w:val="22"/>
          <w:u w:val="single"/>
          <w:lang w:val="en-US"/>
        </w:rPr>
        <w:t>:</w:t>
      </w:r>
    </w:p>
    <w:p w14:paraId="6C3AC8DD" w14:textId="4A04CE92" w:rsidR="00F07CBC" w:rsidRPr="00F664CF" w:rsidRDefault="00E20C9E" w:rsidP="009B5AEC">
      <w:pPr>
        <w:rPr>
          <w:rFonts w:ascii="Arial" w:hAnsi="Arial" w:cs="Arial"/>
          <w:b/>
          <w:sz w:val="22"/>
          <w:szCs w:val="22"/>
          <w:u w:val="single"/>
          <w:lang w:val="en-US"/>
        </w:rPr>
      </w:pPr>
      <w:r w:rsidRPr="00F664CF">
        <w:rPr>
          <w:rFonts w:ascii="Arial" w:hAnsi="Arial" w:cs="Arial"/>
          <w:b/>
          <w:sz w:val="22"/>
          <w:szCs w:val="22"/>
          <w:u w:val="single"/>
          <w:lang w:val="en-US"/>
        </w:rPr>
        <w:t>Table 1 references</w:t>
      </w:r>
      <w:r w:rsidR="00B24C2C">
        <w:rPr>
          <w:rFonts w:ascii="Arial" w:hAnsi="Arial" w:cs="Arial"/>
          <w:b/>
          <w:sz w:val="22"/>
          <w:szCs w:val="22"/>
          <w:u w:val="single"/>
          <w:lang w:val="en-US"/>
        </w:rPr>
        <w:t xml:space="preserve"> and </w:t>
      </w:r>
      <w:r w:rsidR="00A8544D">
        <w:rPr>
          <w:rFonts w:ascii="Arial" w:hAnsi="Arial" w:cs="Arial"/>
          <w:b/>
          <w:sz w:val="22"/>
          <w:szCs w:val="22"/>
          <w:u w:val="single"/>
          <w:lang w:val="en-US"/>
        </w:rPr>
        <w:t>T</w:t>
      </w:r>
      <w:r w:rsidR="00B24C2C">
        <w:rPr>
          <w:rFonts w:ascii="Arial" w:hAnsi="Arial" w:cs="Arial"/>
          <w:b/>
          <w:sz w:val="22"/>
          <w:szCs w:val="22"/>
          <w:u w:val="single"/>
          <w:lang w:val="en-US"/>
        </w:rPr>
        <w:t>hemes 1,2,3 and 4 and Discussion:</w:t>
      </w:r>
    </w:p>
    <w:p w14:paraId="6CB2D476" w14:textId="416BD6AF" w:rsidR="00F664CF" w:rsidRPr="009C566A" w:rsidRDefault="008C26E9" w:rsidP="009C566A">
      <w:pPr>
        <w:pStyle w:val="ListParagraph"/>
        <w:numPr>
          <w:ilvl w:val="0"/>
          <w:numId w:val="7"/>
        </w:numPr>
        <w:spacing w:line="240" w:lineRule="auto"/>
        <w:rPr>
          <w:rFonts w:ascii="Arial" w:hAnsi="Arial" w:cs="Arial"/>
          <w:sz w:val="22"/>
          <w:szCs w:val="22"/>
        </w:rPr>
      </w:pPr>
      <w:r w:rsidRPr="009C566A">
        <w:rPr>
          <w:rFonts w:ascii="Arial" w:hAnsi="Arial" w:cs="Arial"/>
          <w:sz w:val="22"/>
          <w:szCs w:val="22"/>
        </w:rPr>
        <w:t xml:space="preserve">Chappell, P., Dias, A., Bakhai, M., Ledger, J., &amp; Clarke, G. M. (2023). How is primary care access changing? A retrospective, repeated cross-sectional study of patient-initiated demand at general practices in England using a modern access model, 2019–2022. </w:t>
      </w:r>
      <w:r w:rsidRPr="009C566A">
        <w:rPr>
          <w:rFonts w:ascii="Arial" w:hAnsi="Arial" w:cs="Arial"/>
          <w:i/>
          <w:iCs/>
          <w:sz w:val="22"/>
          <w:szCs w:val="22"/>
        </w:rPr>
        <w:t>BMJ Open</w:t>
      </w:r>
      <w:r w:rsidRPr="009C566A">
        <w:rPr>
          <w:rFonts w:ascii="Arial" w:hAnsi="Arial" w:cs="Arial"/>
          <w:sz w:val="22"/>
          <w:szCs w:val="22"/>
        </w:rPr>
        <w:t xml:space="preserve">, </w:t>
      </w:r>
      <w:r w:rsidRPr="009C566A">
        <w:rPr>
          <w:rFonts w:ascii="Arial" w:hAnsi="Arial" w:cs="Arial"/>
          <w:i/>
          <w:iCs/>
          <w:sz w:val="22"/>
          <w:szCs w:val="22"/>
        </w:rPr>
        <w:t>13</w:t>
      </w:r>
      <w:r w:rsidRPr="009C566A">
        <w:rPr>
          <w:rFonts w:ascii="Arial" w:hAnsi="Arial" w:cs="Arial"/>
          <w:sz w:val="22"/>
          <w:szCs w:val="22"/>
        </w:rPr>
        <w:t xml:space="preserve">(8), e072944. </w:t>
      </w:r>
      <w:hyperlink r:id="rId21" w:history="1">
        <w:r w:rsidR="00F664CF" w:rsidRPr="009C566A">
          <w:rPr>
            <w:rStyle w:val="Hyperlink"/>
            <w:rFonts w:ascii="Arial" w:hAnsi="Arial" w:cs="Arial"/>
            <w:sz w:val="22"/>
            <w:szCs w:val="22"/>
          </w:rPr>
          <w:t>https://doi.org/10.1136/bmjopen-2023-072944</w:t>
        </w:r>
      </w:hyperlink>
    </w:p>
    <w:p w14:paraId="13F9B381" w14:textId="77777777" w:rsidR="00F664CF" w:rsidRPr="006C5917" w:rsidRDefault="00F664CF" w:rsidP="009C566A">
      <w:pPr>
        <w:pStyle w:val="ListParagraph"/>
        <w:spacing w:line="240" w:lineRule="auto"/>
        <w:rPr>
          <w:rFonts w:ascii="Arial" w:hAnsi="Arial" w:cs="Arial"/>
          <w:sz w:val="22"/>
          <w:szCs w:val="22"/>
        </w:rPr>
      </w:pPr>
    </w:p>
    <w:p w14:paraId="6102FC4D" w14:textId="1BF087E4" w:rsidR="00F664CF" w:rsidRPr="009C566A" w:rsidRDefault="00F664CF" w:rsidP="009C566A">
      <w:pPr>
        <w:pStyle w:val="ListParagraph"/>
        <w:numPr>
          <w:ilvl w:val="0"/>
          <w:numId w:val="7"/>
        </w:numPr>
        <w:spacing w:after="0" w:line="240" w:lineRule="auto"/>
        <w:rPr>
          <w:rFonts w:ascii="Arial" w:eastAsia="Times New Roman" w:hAnsi="Arial" w:cs="Arial"/>
          <w:kern w:val="0"/>
          <w:sz w:val="22"/>
          <w:szCs w:val="22"/>
          <w:lang w:eastAsia="en-GB"/>
          <w14:ligatures w14:val="none"/>
        </w:rPr>
      </w:pPr>
      <w:r w:rsidRPr="009C566A">
        <w:rPr>
          <w:rFonts w:ascii="Arial" w:eastAsia="Times New Roman" w:hAnsi="Arial" w:cs="Arial"/>
          <w:kern w:val="0"/>
          <w:sz w:val="22"/>
          <w:szCs w:val="22"/>
          <w:lang w:eastAsia="en-GB"/>
          <w14:ligatures w14:val="none"/>
        </w:rPr>
        <w:t xml:space="preserve">Eccles, A., Bryce, C., Driessen, A., Pope, C., MacLellan, J., Christine, A., Nicholson, B. D, Ziebland, S., &amp; Atherton, H. (2024). Evidence for Access: Systematic scoping review of Access systems in General practice. </w:t>
      </w:r>
      <w:r w:rsidRPr="009C566A">
        <w:rPr>
          <w:rFonts w:ascii="Arial" w:eastAsia="Times New Roman" w:hAnsi="Arial" w:cs="Arial"/>
          <w:i/>
          <w:iCs/>
          <w:kern w:val="0"/>
          <w:sz w:val="22"/>
          <w:szCs w:val="22"/>
          <w:lang w:eastAsia="en-GB"/>
          <w14:ligatures w14:val="none"/>
        </w:rPr>
        <w:t>British Journal of General Practice</w:t>
      </w:r>
      <w:r w:rsidRPr="009C566A">
        <w:rPr>
          <w:rFonts w:ascii="Arial" w:eastAsia="Times New Roman" w:hAnsi="Arial" w:cs="Arial"/>
          <w:kern w:val="0"/>
          <w:sz w:val="22"/>
          <w:szCs w:val="22"/>
          <w:lang w:eastAsia="en-GB"/>
          <w14:ligatures w14:val="none"/>
        </w:rPr>
        <w:t xml:space="preserve">, BJGP.2023.0149–BJGP.2023.0149. </w:t>
      </w:r>
      <w:hyperlink r:id="rId22" w:history="1">
        <w:r w:rsidRPr="009C566A">
          <w:rPr>
            <w:rStyle w:val="Hyperlink"/>
            <w:rFonts w:ascii="Arial" w:eastAsia="Times New Roman" w:hAnsi="Arial" w:cs="Arial"/>
            <w:kern w:val="0"/>
            <w:sz w:val="22"/>
            <w:szCs w:val="22"/>
            <w:lang w:eastAsia="en-GB"/>
            <w14:ligatures w14:val="none"/>
          </w:rPr>
          <w:t>https://doi.org/10.3399/bjgp.2023.0149</w:t>
        </w:r>
      </w:hyperlink>
    </w:p>
    <w:p w14:paraId="4DEA59B7" w14:textId="77777777" w:rsidR="00F664CF" w:rsidRPr="006C5917" w:rsidRDefault="00F664CF" w:rsidP="009C566A">
      <w:pPr>
        <w:pStyle w:val="ListParagraph"/>
        <w:spacing w:after="0" w:line="240" w:lineRule="auto"/>
        <w:rPr>
          <w:rFonts w:ascii="Arial" w:eastAsia="Times New Roman" w:hAnsi="Arial" w:cs="Arial"/>
          <w:kern w:val="0"/>
          <w:sz w:val="22"/>
          <w:szCs w:val="22"/>
          <w:lang w:eastAsia="en-GB"/>
          <w14:ligatures w14:val="none"/>
        </w:rPr>
      </w:pPr>
    </w:p>
    <w:p w14:paraId="2C17E836" w14:textId="0CD35779" w:rsidR="00601C0A" w:rsidRPr="009C566A" w:rsidRDefault="00601C0A" w:rsidP="009C566A">
      <w:pPr>
        <w:pStyle w:val="ListParagraph"/>
        <w:numPr>
          <w:ilvl w:val="0"/>
          <w:numId w:val="7"/>
        </w:numPr>
        <w:spacing w:after="0" w:line="240" w:lineRule="auto"/>
        <w:rPr>
          <w:rFonts w:ascii="Arial" w:eastAsia="Times New Roman" w:hAnsi="Arial" w:cs="Arial"/>
          <w:kern w:val="0"/>
          <w:sz w:val="22"/>
          <w:szCs w:val="22"/>
          <w:lang w:eastAsia="en-GB"/>
          <w14:ligatures w14:val="none"/>
        </w:rPr>
      </w:pPr>
      <w:r w:rsidRPr="009C566A">
        <w:rPr>
          <w:rFonts w:ascii="Arial" w:eastAsia="Times New Roman" w:hAnsi="Arial" w:cs="Arial"/>
          <w:kern w:val="0"/>
          <w:sz w:val="22"/>
          <w:szCs w:val="22"/>
          <w:lang w:eastAsia="en-GB"/>
          <w14:ligatures w14:val="none"/>
        </w:rPr>
        <w:t xml:space="preserve">Murphy, M., Scott, L. J., Salisbury, C., Turner, A., Scott, A., Denholm, R., Iyer, G., Lewis, R., MacLeod, J., &amp; Horwood, J. (2021). The implementation of remote consulting in UK primary care following the covid-19 pandemic: A mixed-methods longitudinal study. </w:t>
      </w:r>
      <w:r w:rsidRPr="009C566A">
        <w:rPr>
          <w:rFonts w:ascii="Arial" w:eastAsia="Times New Roman" w:hAnsi="Arial" w:cs="Arial"/>
          <w:i/>
          <w:iCs/>
          <w:kern w:val="0"/>
          <w:sz w:val="22"/>
          <w:szCs w:val="22"/>
          <w:lang w:eastAsia="en-GB"/>
          <w14:ligatures w14:val="none"/>
        </w:rPr>
        <w:t>British Journal of General Practice</w:t>
      </w:r>
      <w:r w:rsidRPr="009C566A">
        <w:rPr>
          <w:rFonts w:ascii="Arial" w:eastAsia="Times New Roman" w:hAnsi="Arial" w:cs="Arial"/>
          <w:kern w:val="0"/>
          <w:sz w:val="22"/>
          <w:szCs w:val="22"/>
          <w:lang w:eastAsia="en-GB"/>
          <w14:ligatures w14:val="none"/>
        </w:rPr>
        <w:t xml:space="preserve">, </w:t>
      </w:r>
      <w:r w:rsidRPr="009C566A">
        <w:rPr>
          <w:rFonts w:ascii="Arial" w:eastAsia="Times New Roman" w:hAnsi="Arial" w:cs="Arial"/>
          <w:i/>
          <w:iCs/>
          <w:kern w:val="0"/>
          <w:sz w:val="22"/>
          <w:szCs w:val="22"/>
          <w:lang w:eastAsia="en-GB"/>
          <w14:ligatures w14:val="none"/>
        </w:rPr>
        <w:t>71</w:t>
      </w:r>
      <w:r w:rsidRPr="009C566A">
        <w:rPr>
          <w:rFonts w:ascii="Arial" w:eastAsia="Times New Roman" w:hAnsi="Arial" w:cs="Arial"/>
          <w:kern w:val="0"/>
          <w:sz w:val="22"/>
          <w:szCs w:val="22"/>
          <w:lang w:eastAsia="en-GB"/>
          <w14:ligatures w14:val="none"/>
        </w:rPr>
        <w:t xml:space="preserve">(704), BJGP.2020.0948. </w:t>
      </w:r>
      <w:hyperlink r:id="rId23" w:history="1">
        <w:r w:rsidRPr="009C566A">
          <w:rPr>
            <w:rStyle w:val="Hyperlink"/>
            <w:rFonts w:ascii="Arial" w:eastAsia="Times New Roman" w:hAnsi="Arial" w:cs="Arial"/>
            <w:kern w:val="0"/>
            <w:sz w:val="22"/>
            <w:szCs w:val="22"/>
            <w:lang w:eastAsia="en-GB"/>
            <w14:ligatures w14:val="none"/>
          </w:rPr>
          <w:t>https://doi.org/10.3399/bjgp.2020.0948</w:t>
        </w:r>
      </w:hyperlink>
    </w:p>
    <w:p w14:paraId="6982B3ED" w14:textId="77777777" w:rsidR="00601C0A" w:rsidRPr="006C5917" w:rsidRDefault="00601C0A" w:rsidP="009C566A">
      <w:pPr>
        <w:pStyle w:val="ListParagraph"/>
        <w:spacing w:after="0" w:line="240" w:lineRule="auto"/>
        <w:rPr>
          <w:rFonts w:ascii="Arial" w:eastAsia="Times New Roman" w:hAnsi="Arial" w:cs="Arial"/>
          <w:kern w:val="0"/>
          <w:sz w:val="22"/>
          <w:szCs w:val="22"/>
          <w:lang w:eastAsia="en-GB"/>
          <w14:ligatures w14:val="none"/>
        </w:rPr>
      </w:pPr>
    </w:p>
    <w:p w14:paraId="5006A487" w14:textId="7E3C72A2" w:rsidR="00FA78FE" w:rsidRPr="009C566A" w:rsidRDefault="00FA78FE" w:rsidP="009C566A">
      <w:pPr>
        <w:pStyle w:val="ListParagraph"/>
        <w:numPr>
          <w:ilvl w:val="0"/>
          <w:numId w:val="7"/>
        </w:numPr>
        <w:spacing w:after="0" w:line="240" w:lineRule="auto"/>
        <w:rPr>
          <w:rFonts w:ascii="Arial" w:eastAsia="Times New Roman" w:hAnsi="Arial" w:cs="Arial"/>
          <w:kern w:val="0"/>
          <w:sz w:val="22"/>
          <w:szCs w:val="22"/>
          <w:lang w:eastAsia="en-GB"/>
          <w14:ligatures w14:val="none"/>
        </w:rPr>
      </w:pPr>
      <w:r w:rsidRPr="009C566A">
        <w:rPr>
          <w:rFonts w:ascii="Arial" w:eastAsia="Times New Roman" w:hAnsi="Arial" w:cs="Arial"/>
          <w:kern w:val="0"/>
          <w:sz w:val="22"/>
          <w:szCs w:val="22"/>
          <w:lang w:eastAsia="en-GB"/>
          <w14:ligatures w14:val="none"/>
        </w:rPr>
        <w:t xml:space="preserve">Parker, R. F., Figures, E. L., Paddison, C. A., Matheson, J. I., Blane, D. N., &amp; Ford, J. A. (2021). Inequalities in General practice remote consultations: A systematic review. </w:t>
      </w:r>
      <w:r w:rsidRPr="009C566A">
        <w:rPr>
          <w:rFonts w:ascii="Arial" w:eastAsia="Times New Roman" w:hAnsi="Arial" w:cs="Arial"/>
          <w:i/>
          <w:iCs/>
          <w:kern w:val="0"/>
          <w:sz w:val="22"/>
          <w:szCs w:val="22"/>
          <w:lang w:eastAsia="en-GB"/>
          <w14:ligatures w14:val="none"/>
        </w:rPr>
        <w:t>BJGP Open</w:t>
      </w:r>
      <w:r w:rsidRPr="009C566A">
        <w:rPr>
          <w:rFonts w:ascii="Arial" w:eastAsia="Times New Roman" w:hAnsi="Arial" w:cs="Arial"/>
          <w:kern w:val="0"/>
          <w:sz w:val="22"/>
          <w:szCs w:val="22"/>
          <w:lang w:eastAsia="en-GB"/>
          <w14:ligatures w14:val="none"/>
        </w:rPr>
        <w:t xml:space="preserve">, </w:t>
      </w:r>
      <w:r w:rsidRPr="009C566A">
        <w:rPr>
          <w:rFonts w:ascii="Arial" w:eastAsia="Times New Roman" w:hAnsi="Arial" w:cs="Arial"/>
          <w:i/>
          <w:iCs/>
          <w:kern w:val="0"/>
          <w:sz w:val="22"/>
          <w:szCs w:val="22"/>
          <w:lang w:eastAsia="en-GB"/>
          <w14:ligatures w14:val="none"/>
        </w:rPr>
        <w:t>5</w:t>
      </w:r>
      <w:r w:rsidRPr="009C566A">
        <w:rPr>
          <w:rFonts w:ascii="Arial" w:eastAsia="Times New Roman" w:hAnsi="Arial" w:cs="Arial"/>
          <w:kern w:val="0"/>
          <w:sz w:val="22"/>
          <w:szCs w:val="22"/>
          <w:lang w:eastAsia="en-GB"/>
          <w14:ligatures w14:val="none"/>
        </w:rPr>
        <w:t xml:space="preserve">(3), BJGPO.2021.0040. </w:t>
      </w:r>
      <w:hyperlink r:id="rId24" w:history="1">
        <w:r w:rsidRPr="009C566A">
          <w:rPr>
            <w:rStyle w:val="Hyperlink"/>
            <w:rFonts w:ascii="Arial" w:eastAsia="Times New Roman" w:hAnsi="Arial" w:cs="Arial"/>
            <w:kern w:val="0"/>
            <w:sz w:val="22"/>
            <w:szCs w:val="22"/>
            <w:lang w:eastAsia="en-GB"/>
            <w14:ligatures w14:val="none"/>
          </w:rPr>
          <w:t>https://doi.org/10.3399/bjgpo.2021.0040</w:t>
        </w:r>
      </w:hyperlink>
    </w:p>
    <w:p w14:paraId="18128DF8" w14:textId="77777777" w:rsidR="00FA78FE" w:rsidRPr="006C5917" w:rsidRDefault="00FA78FE" w:rsidP="009C566A">
      <w:pPr>
        <w:pStyle w:val="ListParagraph"/>
        <w:spacing w:after="0" w:line="240" w:lineRule="auto"/>
        <w:rPr>
          <w:rFonts w:ascii="Arial" w:eastAsia="Times New Roman" w:hAnsi="Arial" w:cs="Arial"/>
          <w:kern w:val="0"/>
          <w:sz w:val="22"/>
          <w:szCs w:val="22"/>
          <w:lang w:eastAsia="en-GB"/>
          <w14:ligatures w14:val="none"/>
        </w:rPr>
      </w:pPr>
    </w:p>
    <w:p w14:paraId="3181399D" w14:textId="0A53178C" w:rsidR="002F6C78" w:rsidRPr="009C566A" w:rsidRDefault="002F6C78" w:rsidP="009C566A">
      <w:pPr>
        <w:pStyle w:val="ListParagraph"/>
        <w:numPr>
          <w:ilvl w:val="0"/>
          <w:numId w:val="7"/>
        </w:numPr>
        <w:spacing w:after="0" w:line="240" w:lineRule="auto"/>
        <w:rPr>
          <w:rFonts w:ascii="Arial" w:eastAsia="Times New Roman" w:hAnsi="Arial" w:cs="Arial"/>
          <w:kern w:val="0"/>
          <w:sz w:val="22"/>
          <w:szCs w:val="22"/>
          <w:lang w:eastAsia="en-GB"/>
          <w14:ligatures w14:val="none"/>
        </w:rPr>
      </w:pPr>
      <w:r w:rsidRPr="009C566A">
        <w:rPr>
          <w:rFonts w:ascii="Arial" w:eastAsia="Times New Roman" w:hAnsi="Arial" w:cs="Arial"/>
          <w:kern w:val="0"/>
          <w:sz w:val="22"/>
          <w:szCs w:val="22"/>
          <w:lang w:eastAsia="en-GB"/>
          <w14:ligatures w14:val="none"/>
        </w:rPr>
        <w:t xml:space="preserve">Pettigrew, L. M., Petersen, I., Mays, N., &amp; Cromwell, D. (2024). The changing shape of English general practice: A retrospective longitudinal study using national datasets describing trends in organisational structure, workforce and recorded appointments. </w:t>
      </w:r>
      <w:r w:rsidRPr="009C566A">
        <w:rPr>
          <w:rFonts w:ascii="Arial" w:eastAsia="Times New Roman" w:hAnsi="Arial" w:cs="Arial"/>
          <w:i/>
          <w:iCs/>
          <w:kern w:val="0"/>
          <w:sz w:val="22"/>
          <w:szCs w:val="22"/>
          <w:lang w:eastAsia="en-GB"/>
          <w14:ligatures w14:val="none"/>
        </w:rPr>
        <w:t>BMJ Open</w:t>
      </w:r>
      <w:r w:rsidRPr="009C566A">
        <w:rPr>
          <w:rFonts w:ascii="Arial" w:eastAsia="Times New Roman" w:hAnsi="Arial" w:cs="Arial"/>
          <w:kern w:val="0"/>
          <w:sz w:val="22"/>
          <w:szCs w:val="22"/>
          <w:lang w:eastAsia="en-GB"/>
          <w14:ligatures w14:val="none"/>
        </w:rPr>
        <w:t xml:space="preserve">, </w:t>
      </w:r>
      <w:r w:rsidRPr="009C566A">
        <w:rPr>
          <w:rFonts w:ascii="Arial" w:eastAsia="Times New Roman" w:hAnsi="Arial" w:cs="Arial"/>
          <w:i/>
          <w:iCs/>
          <w:kern w:val="0"/>
          <w:sz w:val="22"/>
          <w:szCs w:val="22"/>
          <w:lang w:eastAsia="en-GB"/>
          <w14:ligatures w14:val="none"/>
        </w:rPr>
        <w:t>14</w:t>
      </w:r>
      <w:r w:rsidRPr="009C566A">
        <w:rPr>
          <w:rFonts w:ascii="Arial" w:eastAsia="Times New Roman" w:hAnsi="Arial" w:cs="Arial"/>
          <w:kern w:val="0"/>
          <w:sz w:val="22"/>
          <w:szCs w:val="22"/>
          <w:lang w:eastAsia="en-GB"/>
          <w14:ligatures w14:val="none"/>
        </w:rPr>
        <w:t xml:space="preserve">(8), e081535. </w:t>
      </w:r>
      <w:hyperlink r:id="rId25" w:history="1">
        <w:r w:rsidRPr="009C566A">
          <w:rPr>
            <w:rStyle w:val="Hyperlink"/>
            <w:rFonts w:ascii="Arial" w:eastAsia="Times New Roman" w:hAnsi="Arial" w:cs="Arial"/>
            <w:kern w:val="0"/>
            <w:sz w:val="22"/>
            <w:szCs w:val="22"/>
            <w:lang w:eastAsia="en-GB"/>
            <w14:ligatures w14:val="none"/>
          </w:rPr>
          <w:t>https://doi.org/10.1136/bmjopen-2023-081535</w:t>
        </w:r>
      </w:hyperlink>
    </w:p>
    <w:p w14:paraId="07E2191B" w14:textId="77777777" w:rsidR="002F6C78" w:rsidRPr="006C5917" w:rsidRDefault="002F6C78" w:rsidP="009C566A">
      <w:pPr>
        <w:spacing w:after="0" w:line="240" w:lineRule="auto"/>
        <w:rPr>
          <w:rFonts w:ascii="Arial" w:eastAsia="Times New Roman" w:hAnsi="Arial" w:cs="Arial"/>
          <w:kern w:val="0"/>
          <w:sz w:val="22"/>
          <w:szCs w:val="22"/>
          <w:lang w:eastAsia="en-GB"/>
          <w14:ligatures w14:val="none"/>
        </w:rPr>
      </w:pPr>
    </w:p>
    <w:p w14:paraId="606ACDB8" w14:textId="77777777" w:rsidR="000312B5" w:rsidRPr="000312B5" w:rsidRDefault="004B35B9" w:rsidP="000312B5">
      <w:pPr>
        <w:pStyle w:val="ListParagraph"/>
        <w:numPr>
          <w:ilvl w:val="0"/>
          <w:numId w:val="7"/>
        </w:numPr>
        <w:spacing w:after="0" w:line="240" w:lineRule="auto"/>
        <w:rPr>
          <w:rFonts w:ascii="Arial" w:eastAsia="Times New Roman" w:hAnsi="Arial" w:cs="Arial"/>
          <w:kern w:val="0"/>
          <w:sz w:val="22"/>
          <w:szCs w:val="22"/>
          <w:lang w:eastAsia="en-GB"/>
          <w14:ligatures w14:val="none"/>
        </w:rPr>
      </w:pPr>
      <w:r w:rsidRPr="009C566A">
        <w:rPr>
          <w:rFonts w:ascii="Arial" w:eastAsia="Times New Roman" w:hAnsi="Arial" w:cs="Arial"/>
          <w:kern w:val="0"/>
          <w:sz w:val="22"/>
          <w:szCs w:val="22"/>
          <w:lang w:eastAsia="en-GB"/>
          <w14:ligatures w14:val="none"/>
        </w:rPr>
        <w:lastRenderedPageBreak/>
        <w:t xml:space="preserve">Hayes, H., Meacock, R., Stokes, J., &amp; Sutton, M. (2024). The effect of local hospital waiting times on GP referrals for suspected cancer. </w:t>
      </w:r>
      <w:r w:rsidRPr="009C566A">
        <w:rPr>
          <w:rFonts w:ascii="Arial" w:eastAsia="Times New Roman" w:hAnsi="Arial" w:cs="Arial"/>
          <w:i/>
          <w:iCs/>
          <w:kern w:val="0"/>
          <w:sz w:val="22"/>
          <w:szCs w:val="22"/>
          <w:lang w:eastAsia="en-GB"/>
          <w14:ligatures w14:val="none"/>
        </w:rPr>
        <w:t>PloS One</w:t>
      </w:r>
      <w:r w:rsidRPr="009C566A">
        <w:rPr>
          <w:rFonts w:ascii="Arial" w:eastAsia="Times New Roman" w:hAnsi="Arial" w:cs="Arial"/>
          <w:kern w:val="0"/>
          <w:sz w:val="22"/>
          <w:szCs w:val="22"/>
          <w:lang w:eastAsia="en-GB"/>
          <w14:ligatures w14:val="none"/>
        </w:rPr>
        <w:t xml:space="preserve">, </w:t>
      </w:r>
      <w:r w:rsidRPr="009C566A">
        <w:rPr>
          <w:rFonts w:ascii="Arial" w:eastAsia="Times New Roman" w:hAnsi="Arial" w:cs="Arial"/>
          <w:i/>
          <w:iCs/>
          <w:kern w:val="0"/>
          <w:sz w:val="22"/>
          <w:szCs w:val="22"/>
          <w:lang w:eastAsia="en-GB"/>
          <w14:ligatures w14:val="none"/>
        </w:rPr>
        <w:t>19</w:t>
      </w:r>
      <w:r w:rsidRPr="009C566A">
        <w:rPr>
          <w:rFonts w:ascii="Arial" w:eastAsia="Times New Roman" w:hAnsi="Arial" w:cs="Arial"/>
          <w:kern w:val="0"/>
          <w:sz w:val="22"/>
          <w:szCs w:val="22"/>
          <w:lang w:eastAsia="en-GB"/>
          <w14:ligatures w14:val="none"/>
        </w:rPr>
        <w:t xml:space="preserve">(5), e0294061–e0294061. </w:t>
      </w:r>
      <w:hyperlink r:id="rId26" w:history="1">
        <w:r w:rsidRPr="009C566A">
          <w:rPr>
            <w:rStyle w:val="Hyperlink"/>
            <w:rFonts w:ascii="Arial" w:eastAsia="Times New Roman" w:hAnsi="Arial" w:cs="Arial"/>
            <w:kern w:val="0"/>
            <w:sz w:val="22"/>
            <w:szCs w:val="22"/>
            <w:lang w:eastAsia="en-GB"/>
            <w14:ligatures w14:val="none"/>
          </w:rPr>
          <w:t>https://doi.org/10.1371/journal.pone.0294061</w:t>
        </w:r>
      </w:hyperlink>
    </w:p>
    <w:p w14:paraId="79293B35" w14:textId="77777777" w:rsidR="000312B5" w:rsidRPr="000312B5" w:rsidRDefault="000312B5" w:rsidP="000312B5">
      <w:pPr>
        <w:pStyle w:val="ListParagraph"/>
        <w:spacing w:after="0" w:line="240" w:lineRule="auto"/>
        <w:rPr>
          <w:rFonts w:ascii="Arial" w:eastAsia="Times New Roman" w:hAnsi="Arial" w:cs="Arial"/>
          <w:kern w:val="0"/>
          <w:sz w:val="22"/>
          <w:szCs w:val="22"/>
          <w:lang w:eastAsia="en-GB"/>
          <w14:ligatures w14:val="none"/>
        </w:rPr>
      </w:pPr>
    </w:p>
    <w:p w14:paraId="44C38937" w14:textId="6B6E14EB" w:rsidR="004B35B9" w:rsidRDefault="000312B5" w:rsidP="00780EE5">
      <w:pPr>
        <w:pStyle w:val="ListParagraph"/>
        <w:numPr>
          <w:ilvl w:val="0"/>
          <w:numId w:val="7"/>
        </w:numPr>
        <w:spacing w:after="0" w:line="240" w:lineRule="auto"/>
        <w:rPr>
          <w:rFonts w:ascii="Arial" w:eastAsia="Times New Roman" w:hAnsi="Arial" w:cs="Arial"/>
          <w:kern w:val="0"/>
          <w:sz w:val="22"/>
          <w:szCs w:val="22"/>
          <w:lang w:eastAsia="en-GB"/>
          <w14:ligatures w14:val="none"/>
        </w:rPr>
      </w:pPr>
      <w:r w:rsidRPr="000312B5">
        <w:rPr>
          <w:rFonts w:ascii="Arial" w:eastAsia="Times New Roman" w:hAnsi="Arial" w:cs="Arial"/>
          <w:kern w:val="0"/>
          <w:sz w:val="22"/>
          <w:szCs w:val="22"/>
          <w:lang w:eastAsia="en-GB"/>
          <w14:ligatures w14:val="none"/>
        </w:rPr>
        <w:t xml:space="preserve">Limiri, D. M. (2025). The impact of Long wait times on patient health outcomes: The growing NHS crisis. </w:t>
      </w:r>
      <w:r w:rsidRPr="000312B5">
        <w:rPr>
          <w:rFonts w:ascii="Arial" w:eastAsia="Times New Roman" w:hAnsi="Arial" w:cs="Arial"/>
          <w:i/>
          <w:iCs/>
          <w:kern w:val="0"/>
          <w:sz w:val="22"/>
          <w:szCs w:val="22"/>
          <w:lang w:eastAsia="en-GB"/>
          <w14:ligatures w14:val="none"/>
        </w:rPr>
        <w:t>Premier Journal of Public Health</w:t>
      </w:r>
      <w:r w:rsidRPr="000312B5">
        <w:rPr>
          <w:rFonts w:ascii="Arial" w:eastAsia="Times New Roman" w:hAnsi="Arial" w:cs="Arial"/>
          <w:kern w:val="0"/>
          <w:sz w:val="22"/>
          <w:szCs w:val="22"/>
          <w:lang w:eastAsia="en-GB"/>
          <w14:ligatures w14:val="none"/>
        </w:rPr>
        <w:t xml:space="preserve">, </w:t>
      </w:r>
      <w:r w:rsidRPr="000312B5">
        <w:rPr>
          <w:rFonts w:ascii="Arial" w:eastAsia="Times New Roman" w:hAnsi="Arial" w:cs="Arial"/>
          <w:i/>
          <w:iCs/>
          <w:kern w:val="0"/>
          <w:sz w:val="22"/>
          <w:szCs w:val="22"/>
          <w:lang w:eastAsia="en-GB"/>
          <w14:ligatures w14:val="none"/>
        </w:rPr>
        <w:t>3</w:t>
      </w:r>
      <w:r w:rsidRPr="000312B5">
        <w:rPr>
          <w:rFonts w:ascii="Arial" w:eastAsia="Times New Roman" w:hAnsi="Arial" w:cs="Arial"/>
          <w:kern w:val="0"/>
          <w:sz w:val="22"/>
          <w:szCs w:val="22"/>
          <w:lang w:eastAsia="en-GB"/>
          <w14:ligatures w14:val="none"/>
        </w:rPr>
        <w:t xml:space="preserve">(1). </w:t>
      </w:r>
      <w:hyperlink r:id="rId27" w:history="1">
        <w:r w:rsidRPr="005D201D">
          <w:rPr>
            <w:rStyle w:val="Hyperlink"/>
            <w:rFonts w:ascii="Arial" w:eastAsia="Times New Roman" w:hAnsi="Arial" w:cs="Arial"/>
            <w:kern w:val="0"/>
            <w:sz w:val="22"/>
            <w:szCs w:val="22"/>
            <w:lang w:eastAsia="en-GB"/>
            <w14:ligatures w14:val="none"/>
          </w:rPr>
          <w:t>https://doi.org/10.70389/PJPH.2025.100020</w:t>
        </w:r>
      </w:hyperlink>
    </w:p>
    <w:p w14:paraId="2B116A09" w14:textId="2115B6AD" w:rsidR="00780EE5" w:rsidRDefault="00780EE5" w:rsidP="00780EE5">
      <w:pPr>
        <w:pStyle w:val="ListParagraph"/>
        <w:spacing w:after="0" w:line="240" w:lineRule="auto"/>
        <w:rPr>
          <w:rFonts w:ascii="Arial" w:eastAsia="Times New Roman" w:hAnsi="Arial" w:cs="Arial"/>
          <w:kern w:val="0"/>
          <w:sz w:val="22"/>
          <w:szCs w:val="22"/>
          <w:lang w:eastAsia="en-GB"/>
          <w14:ligatures w14:val="none"/>
        </w:rPr>
      </w:pPr>
    </w:p>
    <w:p w14:paraId="6AFD3357" w14:textId="77777777" w:rsidR="00F664CF" w:rsidRPr="00780EE5" w:rsidRDefault="00F664CF" w:rsidP="00780EE5">
      <w:pPr>
        <w:spacing w:after="0" w:line="240" w:lineRule="auto"/>
        <w:rPr>
          <w:rFonts w:ascii="Arial" w:eastAsia="Times New Roman" w:hAnsi="Arial" w:cs="Arial"/>
          <w:kern w:val="0"/>
          <w:sz w:val="22"/>
          <w:szCs w:val="22"/>
          <w:lang w:eastAsia="en-GB"/>
          <w14:ligatures w14:val="none"/>
        </w:rPr>
      </w:pPr>
    </w:p>
    <w:p w14:paraId="24861089" w14:textId="016F1BD0" w:rsidR="00143C97" w:rsidRPr="006C5917" w:rsidRDefault="00143C97" w:rsidP="006C5917">
      <w:pPr>
        <w:spacing w:line="240" w:lineRule="auto"/>
        <w:rPr>
          <w:rFonts w:ascii="Arial" w:hAnsi="Arial" w:cs="Arial"/>
          <w:sz w:val="22"/>
          <w:szCs w:val="22"/>
          <w:lang w:val="en-US"/>
        </w:rPr>
      </w:pPr>
    </w:p>
    <w:p w14:paraId="3DC713D3" w14:textId="77777777" w:rsidR="00BB422A" w:rsidRPr="006C5917" w:rsidRDefault="00BB422A" w:rsidP="006C5917">
      <w:pPr>
        <w:spacing w:line="240" w:lineRule="auto"/>
        <w:rPr>
          <w:rFonts w:ascii="Arial" w:hAnsi="Arial" w:cs="Arial"/>
          <w:sz w:val="22"/>
          <w:szCs w:val="22"/>
          <w:lang w:val="en-US"/>
        </w:rPr>
      </w:pPr>
    </w:p>
    <w:sectPr w:rsidR="00BB422A" w:rsidRPr="006C59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621A5"/>
    <w:multiLevelType w:val="hybridMultilevel"/>
    <w:tmpl w:val="D53A98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E93CBA"/>
    <w:multiLevelType w:val="hybridMultilevel"/>
    <w:tmpl w:val="B4780A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066D79"/>
    <w:multiLevelType w:val="hybridMultilevel"/>
    <w:tmpl w:val="F34C34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8BD5C3F"/>
    <w:multiLevelType w:val="hybridMultilevel"/>
    <w:tmpl w:val="6D40B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C2597E"/>
    <w:multiLevelType w:val="hybridMultilevel"/>
    <w:tmpl w:val="256E71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1D513D0"/>
    <w:multiLevelType w:val="hybridMultilevel"/>
    <w:tmpl w:val="BD84FE0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5EF0098"/>
    <w:multiLevelType w:val="hybridMultilevel"/>
    <w:tmpl w:val="DBD870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722423F"/>
    <w:multiLevelType w:val="hybridMultilevel"/>
    <w:tmpl w:val="10062B96"/>
    <w:lvl w:ilvl="0" w:tplc="749872DE">
      <w:numFmt w:val="bullet"/>
      <w:lvlText w:val="•"/>
      <w:lvlJc w:val="left"/>
      <w:pPr>
        <w:ind w:left="1440" w:hanging="72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718A0ACA"/>
    <w:multiLevelType w:val="hybridMultilevel"/>
    <w:tmpl w:val="32B6FAD2"/>
    <w:lvl w:ilvl="0" w:tplc="749872DE">
      <w:numFmt w:val="bullet"/>
      <w:lvlText w:val="•"/>
      <w:lvlJc w:val="left"/>
      <w:pPr>
        <w:ind w:left="2160" w:hanging="72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392313188">
    <w:abstractNumId w:val="3"/>
  </w:num>
  <w:num w:numId="2" w16cid:durableId="1805273470">
    <w:abstractNumId w:val="7"/>
  </w:num>
  <w:num w:numId="3" w16cid:durableId="404499444">
    <w:abstractNumId w:val="8"/>
  </w:num>
  <w:num w:numId="4" w16cid:durableId="242566763">
    <w:abstractNumId w:val="4"/>
  </w:num>
  <w:num w:numId="5" w16cid:durableId="1737968693">
    <w:abstractNumId w:val="5"/>
  </w:num>
  <w:num w:numId="6" w16cid:durableId="1621230029">
    <w:abstractNumId w:val="6"/>
  </w:num>
  <w:num w:numId="7" w16cid:durableId="1193500174">
    <w:abstractNumId w:val="0"/>
  </w:num>
  <w:num w:numId="8" w16cid:durableId="1079600058">
    <w:abstractNumId w:val="1"/>
  </w:num>
  <w:num w:numId="9" w16cid:durableId="17091363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FEB"/>
    <w:rsid w:val="00000F06"/>
    <w:rsid w:val="00001168"/>
    <w:rsid w:val="000019B9"/>
    <w:rsid w:val="00001BDC"/>
    <w:rsid w:val="00004FDF"/>
    <w:rsid w:val="000061FD"/>
    <w:rsid w:val="00006973"/>
    <w:rsid w:val="0000721B"/>
    <w:rsid w:val="00015734"/>
    <w:rsid w:val="00016102"/>
    <w:rsid w:val="0002514C"/>
    <w:rsid w:val="0002568A"/>
    <w:rsid w:val="00027658"/>
    <w:rsid w:val="000277E5"/>
    <w:rsid w:val="000312B5"/>
    <w:rsid w:val="00061806"/>
    <w:rsid w:val="00062266"/>
    <w:rsid w:val="00067139"/>
    <w:rsid w:val="000775AD"/>
    <w:rsid w:val="00083D83"/>
    <w:rsid w:val="00083EBF"/>
    <w:rsid w:val="00083F25"/>
    <w:rsid w:val="00091B30"/>
    <w:rsid w:val="000A43DB"/>
    <w:rsid w:val="000A477F"/>
    <w:rsid w:val="000B2F45"/>
    <w:rsid w:val="000B7EA1"/>
    <w:rsid w:val="000C3B4E"/>
    <w:rsid w:val="000D0239"/>
    <w:rsid w:val="000D1F58"/>
    <w:rsid w:val="000D4608"/>
    <w:rsid w:val="000D4A56"/>
    <w:rsid w:val="000D59D7"/>
    <w:rsid w:val="000D69E1"/>
    <w:rsid w:val="000E365E"/>
    <w:rsid w:val="000F48DD"/>
    <w:rsid w:val="000F784B"/>
    <w:rsid w:val="0010136E"/>
    <w:rsid w:val="001111E2"/>
    <w:rsid w:val="0011709B"/>
    <w:rsid w:val="0012569B"/>
    <w:rsid w:val="00127150"/>
    <w:rsid w:val="0013345E"/>
    <w:rsid w:val="00135F88"/>
    <w:rsid w:val="001419B7"/>
    <w:rsid w:val="00143C97"/>
    <w:rsid w:val="001508F6"/>
    <w:rsid w:val="0015192F"/>
    <w:rsid w:val="0015388F"/>
    <w:rsid w:val="00154552"/>
    <w:rsid w:val="00157527"/>
    <w:rsid w:val="001657D2"/>
    <w:rsid w:val="0016584E"/>
    <w:rsid w:val="00175A15"/>
    <w:rsid w:val="00185EE9"/>
    <w:rsid w:val="0018623B"/>
    <w:rsid w:val="00196650"/>
    <w:rsid w:val="001A3E06"/>
    <w:rsid w:val="001A6F1F"/>
    <w:rsid w:val="001B6790"/>
    <w:rsid w:val="001B6B40"/>
    <w:rsid w:val="001B7BA9"/>
    <w:rsid w:val="001C50C7"/>
    <w:rsid w:val="001C60CB"/>
    <w:rsid w:val="001D1074"/>
    <w:rsid w:val="001D3993"/>
    <w:rsid w:val="001D5915"/>
    <w:rsid w:val="001E71F0"/>
    <w:rsid w:val="001F1DB2"/>
    <w:rsid w:val="001F40F5"/>
    <w:rsid w:val="00201423"/>
    <w:rsid w:val="0020502E"/>
    <w:rsid w:val="00206044"/>
    <w:rsid w:val="0021050B"/>
    <w:rsid w:val="0021382E"/>
    <w:rsid w:val="00224EB5"/>
    <w:rsid w:val="00226D76"/>
    <w:rsid w:val="0023348E"/>
    <w:rsid w:val="00240DDD"/>
    <w:rsid w:val="002471F9"/>
    <w:rsid w:val="00261476"/>
    <w:rsid w:val="00265035"/>
    <w:rsid w:val="00265057"/>
    <w:rsid w:val="0026566D"/>
    <w:rsid w:val="00282645"/>
    <w:rsid w:val="00296AFD"/>
    <w:rsid w:val="002A4C6A"/>
    <w:rsid w:val="002A61CB"/>
    <w:rsid w:val="002B796A"/>
    <w:rsid w:val="002B7CC2"/>
    <w:rsid w:val="002D0CEF"/>
    <w:rsid w:val="002D1C8C"/>
    <w:rsid w:val="002D2EA4"/>
    <w:rsid w:val="002D706B"/>
    <w:rsid w:val="002E7D84"/>
    <w:rsid w:val="002F6C78"/>
    <w:rsid w:val="002F6D16"/>
    <w:rsid w:val="003001BD"/>
    <w:rsid w:val="003048E5"/>
    <w:rsid w:val="00315113"/>
    <w:rsid w:val="00324E6C"/>
    <w:rsid w:val="0032742D"/>
    <w:rsid w:val="00327E27"/>
    <w:rsid w:val="00330918"/>
    <w:rsid w:val="00330AF6"/>
    <w:rsid w:val="00337100"/>
    <w:rsid w:val="00341BF7"/>
    <w:rsid w:val="00347EF4"/>
    <w:rsid w:val="003510AF"/>
    <w:rsid w:val="0036092F"/>
    <w:rsid w:val="00365D7F"/>
    <w:rsid w:val="00392FF0"/>
    <w:rsid w:val="003941B9"/>
    <w:rsid w:val="003B0348"/>
    <w:rsid w:val="003B414B"/>
    <w:rsid w:val="003B61D0"/>
    <w:rsid w:val="003C6941"/>
    <w:rsid w:val="003C6C32"/>
    <w:rsid w:val="003E4CE5"/>
    <w:rsid w:val="003F2ECC"/>
    <w:rsid w:val="003F3606"/>
    <w:rsid w:val="003F508C"/>
    <w:rsid w:val="003F58B8"/>
    <w:rsid w:val="004001F4"/>
    <w:rsid w:val="00403A89"/>
    <w:rsid w:val="004159DA"/>
    <w:rsid w:val="004237FE"/>
    <w:rsid w:val="00427D9B"/>
    <w:rsid w:val="00434D8C"/>
    <w:rsid w:val="00441881"/>
    <w:rsid w:val="004512F9"/>
    <w:rsid w:val="00456B4F"/>
    <w:rsid w:val="00466E24"/>
    <w:rsid w:val="00470033"/>
    <w:rsid w:val="00473C62"/>
    <w:rsid w:val="00480456"/>
    <w:rsid w:val="0048070E"/>
    <w:rsid w:val="00482688"/>
    <w:rsid w:val="004915D8"/>
    <w:rsid w:val="00492393"/>
    <w:rsid w:val="004B35B9"/>
    <w:rsid w:val="004B472C"/>
    <w:rsid w:val="004B5A71"/>
    <w:rsid w:val="004B5C26"/>
    <w:rsid w:val="004C34A2"/>
    <w:rsid w:val="004D4978"/>
    <w:rsid w:val="004D70CC"/>
    <w:rsid w:val="004E2332"/>
    <w:rsid w:val="004F2714"/>
    <w:rsid w:val="004F2A3C"/>
    <w:rsid w:val="004F56F0"/>
    <w:rsid w:val="004F621E"/>
    <w:rsid w:val="004F7219"/>
    <w:rsid w:val="004F7FBE"/>
    <w:rsid w:val="00501D89"/>
    <w:rsid w:val="00504013"/>
    <w:rsid w:val="005050BD"/>
    <w:rsid w:val="00511061"/>
    <w:rsid w:val="00512BB2"/>
    <w:rsid w:val="00514916"/>
    <w:rsid w:val="00515086"/>
    <w:rsid w:val="00524439"/>
    <w:rsid w:val="0053167D"/>
    <w:rsid w:val="00537697"/>
    <w:rsid w:val="00546154"/>
    <w:rsid w:val="00546F58"/>
    <w:rsid w:val="00560429"/>
    <w:rsid w:val="005616A4"/>
    <w:rsid w:val="00564992"/>
    <w:rsid w:val="00586CFF"/>
    <w:rsid w:val="005871DF"/>
    <w:rsid w:val="005901E0"/>
    <w:rsid w:val="005901E8"/>
    <w:rsid w:val="00590E2C"/>
    <w:rsid w:val="005A0132"/>
    <w:rsid w:val="005B10BE"/>
    <w:rsid w:val="005B31FC"/>
    <w:rsid w:val="005C3A06"/>
    <w:rsid w:val="005C6737"/>
    <w:rsid w:val="005D07C2"/>
    <w:rsid w:val="005D50F3"/>
    <w:rsid w:val="005F3178"/>
    <w:rsid w:val="00600BFE"/>
    <w:rsid w:val="00601C0A"/>
    <w:rsid w:val="00602984"/>
    <w:rsid w:val="00607E4D"/>
    <w:rsid w:val="006116EE"/>
    <w:rsid w:val="00614AF4"/>
    <w:rsid w:val="00622E5C"/>
    <w:rsid w:val="00642A64"/>
    <w:rsid w:val="00644483"/>
    <w:rsid w:val="00644BBC"/>
    <w:rsid w:val="00646D3E"/>
    <w:rsid w:val="006553D5"/>
    <w:rsid w:val="006656CB"/>
    <w:rsid w:val="006672B8"/>
    <w:rsid w:val="00676985"/>
    <w:rsid w:val="00683168"/>
    <w:rsid w:val="00687136"/>
    <w:rsid w:val="00687592"/>
    <w:rsid w:val="0069177D"/>
    <w:rsid w:val="00694FF2"/>
    <w:rsid w:val="006A3082"/>
    <w:rsid w:val="006B2731"/>
    <w:rsid w:val="006B49D1"/>
    <w:rsid w:val="006C5917"/>
    <w:rsid w:val="006D238C"/>
    <w:rsid w:val="006D6436"/>
    <w:rsid w:val="006D77C8"/>
    <w:rsid w:val="006E34C6"/>
    <w:rsid w:val="006E4685"/>
    <w:rsid w:val="00701C05"/>
    <w:rsid w:val="00707223"/>
    <w:rsid w:val="007074AC"/>
    <w:rsid w:val="0071473C"/>
    <w:rsid w:val="00715CB4"/>
    <w:rsid w:val="00722099"/>
    <w:rsid w:val="00725B5D"/>
    <w:rsid w:val="00740AC2"/>
    <w:rsid w:val="00744A9C"/>
    <w:rsid w:val="00754A25"/>
    <w:rsid w:val="00764F39"/>
    <w:rsid w:val="00771509"/>
    <w:rsid w:val="00776B27"/>
    <w:rsid w:val="0078067B"/>
    <w:rsid w:val="00780EE5"/>
    <w:rsid w:val="00783587"/>
    <w:rsid w:val="0078409B"/>
    <w:rsid w:val="007971CC"/>
    <w:rsid w:val="00797662"/>
    <w:rsid w:val="007A4565"/>
    <w:rsid w:val="007A5A35"/>
    <w:rsid w:val="007A5C43"/>
    <w:rsid w:val="007A6338"/>
    <w:rsid w:val="007A68BD"/>
    <w:rsid w:val="007B021A"/>
    <w:rsid w:val="007B1446"/>
    <w:rsid w:val="007B26F8"/>
    <w:rsid w:val="007B7DB1"/>
    <w:rsid w:val="007C3616"/>
    <w:rsid w:val="007D1626"/>
    <w:rsid w:val="007D5722"/>
    <w:rsid w:val="007D7980"/>
    <w:rsid w:val="007E412D"/>
    <w:rsid w:val="007E541C"/>
    <w:rsid w:val="007E7B0A"/>
    <w:rsid w:val="0080673E"/>
    <w:rsid w:val="00811D12"/>
    <w:rsid w:val="008173F8"/>
    <w:rsid w:val="0082315A"/>
    <w:rsid w:val="0082315E"/>
    <w:rsid w:val="008268CD"/>
    <w:rsid w:val="0084513D"/>
    <w:rsid w:val="00851BB4"/>
    <w:rsid w:val="00852369"/>
    <w:rsid w:val="00853E96"/>
    <w:rsid w:val="00861155"/>
    <w:rsid w:val="0086645C"/>
    <w:rsid w:val="00871447"/>
    <w:rsid w:val="0088076C"/>
    <w:rsid w:val="00884060"/>
    <w:rsid w:val="00886179"/>
    <w:rsid w:val="00897D1E"/>
    <w:rsid w:val="008A2652"/>
    <w:rsid w:val="008A3B7D"/>
    <w:rsid w:val="008A5A7E"/>
    <w:rsid w:val="008C1ABB"/>
    <w:rsid w:val="008C26E9"/>
    <w:rsid w:val="008C5699"/>
    <w:rsid w:val="008D03FE"/>
    <w:rsid w:val="008D59D0"/>
    <w:rsid w:val="008D68A3"/>
    <w:rsid w:val="008E66AD"/>
    <w:rsid w:val="008F0ABB"/>
    <w:rsid w:val="009030B1"/>
    <w:rsid w:val="0090546C"/>
    <w:rsid w:val="009129F8"/>
    <w:rsid w:val="00915A6F"/>
    <w:rsid w:val="00921863"/>
    <w:rsid w:val="009278CF"/>
    <w:rsid w:val="00930918"/>
    <w:rsid w:val="00933742"/>
    <w:rsid w:val="0093429F"/>
    <w:rsid w:val="00936757"/>
    <w:rsid w:val="00940C2B"/>
    <w:rsid w:val="00941498"/>
    <w:rsid w:val="0094424D"/>
    <w:rsid w:val="0095565B"/>
    <w:rsid w:val="0095640E"/>
    <w:rsid w:val="00964C07"/>
    <w:rsid w:val="00975940"/>
    <w:rsid w:val="00975BC3"/>
    <w:rsid w:val="009801EF"/>
    <w:rsid w:val="00981FAB"/>
    <w:rsid w:val="009845AF"/>
    <w:rsid w:val="0098523B"/>
    <w:rsid w:val="00997EB9"/>
    <w:rsid w:val="009A19AB"/>
    <w:rsid w:val="009A19F7"/>
    <w:rsid w:val="009A2743"/>
    <w:rsid w:val="009A5B7F"/>
    <w:rsid w:val="009B0FFB"/>
    <w:rsid w:val="009B3F51"/>
    <w:rsid w:val="009B5AEC"/>
    <w:rsid w:val="009C06A3"/>
    <w:rsid w:val="009C1D7C"/>
    <w:rsid w:val="009C566A"/>
    <w:rsid w:val="009D0575"/>
    <w:rsid w:val="009D11D1"/>
    <w:rsid w:val="009E26B5"/>
    <w:rsid w:val="009E6321"/>
    <w:rsid w:val="009E7052"/>
    <w:rsid w:val="009F5983"/>
    <w:rsid w:val="00A0660A"/>
    <w:rsid w:val="00A11F77"/>
    <w:rsid w:val="00A141A1"/>
    <w:rsid w:val="00A25E3D"/>
    <w:rsid w:val="00A30ED0"/>
    <w:rsid w:val="00A32D01"/>
    <w:rsid w:val="00A42240"/>
    <w:rsid w:val="00A53197"/>
    <w:rsid w:val="00A60632"/>
    <w:rsid w:val="00A61AE5"/>
    <w:rsid w:val="00A80A0A"/>
    <w:rsid w:val="00A8526D"/>
    <w:rsid w:val="00A8544D"/>
    <w:rsid w:val="00A9489F"/>
    <w:rsid w:val="00AA1487"/>
    <w:rsid w:val="00AA2494"/>
    <w:rsid w:val="00AA6CD8"/>
    <w:rsid w:val="00AB059B"/>
    <w:rsid w:val="00AC1548"/>
    <w:rsid w:val="00AC48BB"/>
    <w:rsid w:val="00AC5C85"/>
    <w:rsid w:val="00AD388D"/>
    <w:rsid w:val="00AD3B67"/>
    <w:rsid w:val="00AD492D"/>
    <w:rsid w:val="00AD4C35"/>
    <w:rsid w:val="00AD5F0D"/>
    <w:rsid w:val="00AE21DD"/>
    <w:rsid w:val="00AE4359"/>
    <w:rsid w:val="00AF797D"/>
    <w:rsid w:val="00B02123"/>
    <w:rsid w:val="00B152D9"/>
    <w:rsid w:val="00B16EAB"/>
    <w:rsid w:val="00B22E06"/>
    <w:rsid w:val="00B24C2C"/>
    <w:rsid w:val="00B26485"/>
    <w:rsid w:val="00B402A5"/>
    <w:rsid w:val="00B40492"/>
    <w:rsid w:val="00B5134D"/>
    <w:rsid w:val="00B52A6F"/>
    <w:rsid w:val="00B57D50"/>
    <w:rsid w:val="00B60793"/>
    <w:rsid w:val="00B62C66"/>
    <w:rsid w:val="00B72016"/>
    <w:rsid w:val="00B726A6"/>
    <w:rsid w:val="00B73109"/>
    <w:rsid w:val="00B74E3C"/>
    <w:rsid w:val="00B77395"/>
    <w:rsid w:val="00BA0981"/>
    <w:rsid w:val="00BB3CAC"/>
    <w:rsid w:val="00BB422A"/>
    <w:rsid w:val="00BC33BF"/>
    <w:rsid w:val="00BC479B"/>
    <w:rsid w:val="00BC4D90"/>
    <w:rsid w:val="00BD0AEF"/>
    <w:rsid w:val="00BD1F60"/>
    <w:rsid w:val="00BE5789"/>
    <w:rsid w:val="00BE5C73"/>
    <w:rsid w:val="00BF4374"/>
    <w:rsid w:val="00BF7627"/>
    <w:rsid w:val="00C17A4C"/>
    <w:rsid w:val="00C24A4F"/>
    <w:rsid w:val="00C36BF9"/>
    <w:rsid w:val="00C46BE6"/>
    <w:rsid w:val="00C506F7"/>
    <w:rsid w:val="00C51CCF"/>
    <w:rsid w:val="00C51E6C"/>
    <w:rsid w:val="00C52717"/>
    <w:rsid w:val="00C53AF9"/>
    <w:rsid w:val="00C6319A"/>
    <w:rsid w:val="00C64F76"/>
    <w:rsid w:val="00C64FF5"/>
    <w:rsid w:val="00C665BC"/>
    <w:rsid w:val="00C90DFD"/>
    <w:rsid w:val="00C917B9"/>
    <w:rsid w:val="00C93667"/>
    <w:rsid w:val="00CA3130"/>
    <w:rsid w:val="00CB45ED"/>
    <w:rsid w:val="00CB5A4B"/>
    <w:rsid w:val="00CC5090"/>
    <w:rsid w:val="00CD29D2"/>
    <w:rsid w:val="00CE5930"/>
    <w:rsid w:val="00CE7612"/>
    <w:rsid w:val="00CF1F43"/>
    <w:rsid w:val="00CF247B"/>
    <w:rsid w:val="00D00F6E"/>
    <w:rsid w:val="00D01B49"/>
    <w:rsid w:val="00D11019"/>
    <w:rsid w:val="00D11478"/>
    <w:rsid w:val="00D14E81"/>
    <w:rsid w:val="00D16FF5"/>
    <w:rsid w:val="00D20D90"/>
    <w:rsid w:val="00D37356"/>
    <w:rsid w:val="00D45767"/>
    <w:rsid w:val="00D57D88"/>
    <w:rsid w:val="00D709B5"/>
    <w:rsid w:val="00D91AF8"/>
    <w:rsid w:val="00DA2ACD"/>
    <w:rsid w:val="00DA4DB7"/>
    <w:rsid w:val="00DA63BC"/>
    <w:rsid w:val="00DB5C48"/>
    <w:rsid w:val="00DC25B3"/>
    <w:rsid w:val="00DC5A6D"/>
    <w:rsid w:val="00DD73D3"/>
    <w:rsid w:val="00DE62BF"/>
    <w:rsid w:val="00DE66AD"/>
    <w:rsid w:val="00DF5FF8"/>
    <w:rsid w:val="00DF6C98"/>
    <w:rsid w:val="00E01C88"/>
    <w:rsid w:val="00E12FF5"/>
    <w:rsid w:val="00E20C9E"/>
    <w:rsid w:val="00E26741"/>
    <w:rsid w:val="00E30BBE"/>
    <w:rsid w:val="00E53C69"/>
    <w:rsid w:val="00E54C77"/>
    <w:rsid w:val="00E622A9"/>
    <w:rsid w:val="00E66294"/>
    <w:rsid w:val="00E7290C"/>
    <w:rsid w:val="00E91CBD"/>
    <w:rsid w:val="00E92BA7"/>
    <w:rsid w:val="00EA1E9A"/>
    <w:rsid w:val="00EB406F"/>
    <w:rsid w:val="00EB5216"/>
    <w:rsid w:val="00EB583C"/>
    <w:rsid w:val="00EB5FC6"/>
    <w:rsid w:val="00EC3BB7"/>
    <w:rsid w:val="00ED0364"/>
    <w:rsid w:val="00EE24B5"/>
    <w:rsid w:val="00EE508E"/>
    <w:rsid w:val="00EE785B"/>
    <w:rsid w:val="00EF43CD"/>
    <w:rsid w:val="00EF61D3"/>
    <w:rsid w:val="00F04C66"/>
    <w:rsid w:val="00F05AF1"/>
    <w:rsid w:val="00F07CBC"/>
    <w:rsid w:val="00F07E33"/>
    <w:rsid w:val="00F11BFC"/>
    <w:rsid w:val="00F15480"/>
    <w:rsid w:val="00F24C7C"/>
    <w:rsid w:val="00F27F7F"/>
    <w:rsid w:val="00F44FEB"/>
    <w:rsid w:val="00F46A83"/>
    <w:rsid w:val="00F53BE3"/>
    <w:rsid w:val="00F63AC4"/>
    <w:rsid w:val="00F65C56"/>
    <w:rsid w:val="00F664CF"/>
    <w:rsid w:val="00F751F0"/>
    <w:rsid w:val="00F76B1C"/>
    <w:rsid w:val="00F8701A"/>
    <w:rsid w:val="00F91FA2"/>
    <w:rsid w:val="00F92DC7"/>
    <w:rsid w:val="00F96A39"/>
    <w:rsid w:val="00F96B84"/>
    <w:rsid w:val="00FA525C"/>
    <w:rsid w:val="00FA6095"/>
    <w:rsid w:val="00FA78FE"/>
    <w:rsid w:val="00FB6A53"/>
    <w:rsid w:val="00FC23CB"/>
    <w:rsid w:val="00FD2488"/>
    <w:rsid w:val="00FE5D16"/>
    <w:rsid w:val="00FE5FDA"/>
    <w:rsid w:val="00FF309C"/>
    <w:rsid w:val="00FF33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DF45A"/>
  <w15:chartTrackingRefBased/>
  <w15:docId w15:val="{3D60A816-4F73-4852-B346-3BE384C7E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4F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44F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44F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44F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44F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44F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4F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4F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4F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4F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44F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44F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44F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44F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44F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4F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4F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4FEB"/>
    <w:rPr>
      <w:rFonts w:eastAsiaTheme="majorEastAsia" w:cstheme="majorBidi"/>
      <w:color w:val="272727" w:themeColor="text1" w:themeTint="D8"/>
    </w:rPr>
  </w:style>
  <w:style w:type="paragraph" w:styleId="Title">
    <w:name w:val="Title"/>
    <w:basedOn w:val="Normal"/>
    <w:next w:val="Normal"/>
    <w:link w:val="TitleChar"/>
    <w:uiPriority w:val="10"/>
    <w:qFormat/>
    <w:rsid w:val="00F44F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4F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4F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4F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4FEB"/>
    <w:pPr>
      <w:spacing w:before="160"/>
      <w:jc w:val="center"/>
    </w:pPr>
    <w:rPr>
      <w:i/>
      <w:iCs/>
      <w:color w:val="404040" w:themeColor="text1" w:themeTint="BF"/>
    </w:rPr>
  </w:style>
  <w:style w:type="character" w:customStyle="1" w:styleId="QuoteChar">
    <w:name w:val="Quote Char"/>
    <w:basedOn w:val="DefaultParagraphFont"/>
    <w:link w:val="Quote"/>
    <w:uiPriority w:val="29"/>
    <w:rsid w:val="00F44FEB"/>
    <w:rPr>
      <w:i/>
      <w:iCs/>
      <w:color w:val="404040" w:themeColor="text1" w:themeTint="BF"/>
    </w:rPr>
  </w:style>
  <w:style w:type="paragraph" w:styleId="ListParagraph">
    <w:name w:val="List Paragraph"/>
    <w:basedOn w:val="Normal"/>
    <w:uiPriority w:val="34"/>
    <w:qFormat/>
    <w:rsid w:val="00F44FEB"/>
    <w:pPr>
      <w:ind w:left="720"/>
      <w:contextualSpacing/>
    </w:pPr>
  </w:style>
  <w:style w:type="character" w:styleId="IntenseEmphasis">
    <w:name w:val="Intense Emphasis"/>
    <w:basedOn w:val="DefaultParagraphFont"/>
    <w:uiPriority w:val="21"/>
    <w:qFormat/>
    <w:rsid w:val="00F44FEB"/>
    <w:rPr>
      <w:i/>
      <w:iCs/>
      <w:color w:val="0F4761" w:themeColor="accent1" w:themeShade="BF"/>
    </w:rPr>
  </w:style>
  <w:style w:type="paragraph" w:styleId="IntenseQuote">
    <w:name w:val="Intense Quote"/>
    <w:basedOn w:val="Normal"/>
    <w:next w:val="Normal"/>
    <w:link w:val="IntenseQuoteChar"/>
    <w:uiPriority w:val="30"/>
    <w:qFormat/>
    <w:rsid w:val="00F44F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44FEB"/>
    <w:rPr>
      <w:i/>
      <w:iCs/>
      <w:color w:val="0F4761" w:themeColor="accent1" w:themeShade="BF"/>
    </w:rPr>
  </w:style>
  <w:style w:type="character" w:styleId="IntenseReference">
    <w:name w:val="Intense Reference"/>
    <w:basedOn w:val="DefaultParagraphFont"/>
    <w:uiPriority w:val="32"/>
    <w:qFormat/>
    <w:rsid w:val="00F44FEB"/>
    <w:rPr>
      <w:b/>
      <w:bCs/>
      <w:smallCaps/>
      <w:color w:val="0F4761" w:themeColor="accent1" w:themeShade="BF"/>
      <w:spacing w:val="5"/>
    </w:rPr>
  </w:style>
  <w:style w:type="paragraph" w:customStyle="1" w:styleId="p1">
    <w:name w:val="p1"/>
    <w:basedOn w:val="Normal"/>
    <w:rsid w:val="00C506F7"/>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character" w:customStyle="1" w:styleId="s1">
    <w:name w:val="s1"/>
    <w:basedOn w:val="DefaultParagraphFont"/>
    <w:rsid w:val="00C506F7"/>
  </w:style>
  <w:style w:type="character" w:customStyle="1" w:styleId="s2">
    <w:name w:val="s2"/>
    <w:basedOn w:val="DefaultParagraphFont"/>
    <w:rsid w:val="00C506F7"/>
  </w:style>
  <w:style w:type="character" w:customStyle="1" w:styleId="s3">
    <w:name w:val="s3"/>
    <w:basedOn w:val="DefaultParagraphFont"/>
    <w:rsid w:val="00C506F7"/>
  </w:style>
  <w:style w:type="paragraph" w:customStyle="1" w:styleId="p2">
    <w:name w:val="p2"/>
    <w:basedOn w:val="Normal"/>
    <w:rsid w:val="00492393"/>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paragraph" w:customStyle="1" w:styleId="p3">
    <w:name w:val="p3"/>
    <w:basedOn w:val="Normal"/>
    <w:rsid w:val="00492393"/>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character" w:styleId="Hyperlink">
    <w:name w:val="Hyperlink"/>
    <w:basedOn w:val="DefaultParagraphFont"/>
    <w:uiPriority w:val="99"/>
    <w:unhideWhenUsed/>
    <w:rsid w:val="00492393"/>
    <w:rPr>
      <w:color w:val="0000FF"/>
      <w:u w:val="single"/>
    </w:rPr>
  </w:style>
  <w:style w:type="paragraph" w:styleId="NormalWeb">
    <w:name w:val="Normal (Web)"/>
    <w:basedOn w:val="Normal"/>
    <w:uiPriority w:val="99"/>
    <w:semiHidden/>
    <w:unhideWhenUsed/>
    <w:rsid w:val="00997EB9"/>
    <w:rPr>
      <w:rFonts w:ascii="Times New Roman" w:hAnsi="Times New Roman" w:cs="Times New Roman"/>
    </w:rPr>
  </w:style>
  <w:style w:type="character" w:styleId="UnresolvedMention">
    <w:name w:val="Unresolved Mention"/>
    <w:basedOn w:val="DefaultParagraphFont"/>
    <w:uiPriority w:val="99"/>
    <w:semiHidden/>
    <w:unhideWhenUsed/>
    <w:rsid w:val="00997EB9"/>
    <w:rPr>
      <w:color w:val="605E5C"/>
      <w:shd w:val="clear" w:color="auto" w:fill="E1DFDD"/>
    </w:rPr>
  </w:style>
  <w:style w:type="table" w:styleId="TableGrid">
    <w:name w:val="Table Grid"/>
    <w:basedOn w:val="TableNormal"/>
    <w:uiPriority w:val="39"/>
    <w:rsid w:val="0099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36/bmj.r1851" TargetMode="External"/><Relationship Id="rId13" Type="http://schemas.openxmlformats.org/officeDocument/2006/relationships/hyperlink" Target="https://www.england.nhs.uk/long-read/primary-care-patient-safety-strategy/" TargetMode="External"/><Relationship Id="rId18" Type="http://schemas.openxmlformats.org/officeDocument/2006/relationships/hyperlink" Target="https://doi.org/10.1016/j.healthpol.2025.105502" TargetMode="External"/><Relationship Id="rId26" Type="http://schemas.openxmlformats.org/officeDocument/2006/relationships/hyperlink" Target="https://doi.org/10.1371/journal.pone.0294061" TargetMode="External"/><Relationship Id="rId3" Type="http://schemas.openxmlformats.org/officeDocument/2006/relationships/customXml" Target="../customXml/item3.xml"/><Relationship Id="rId21" Type="http://schemas.openxmlformats.org/officeDocument/2006/relationships/hyperlink" Target="https://doi.org/10.1136/bmjopen-2023-072944" TargetMode="External"/><Relationship Id="rId7" Type="http://schemas.openxmlformats.org/officeDocument/2006/relationships/webSettings" Target="webSettings.xml"/><Relationship Id="rId12" Type="http://schemas.openxmlformats.org/officeDocument/2006/relationships/hyperlink" Target="https://doi.org/10.24069/sep-25-39" TargetMode="External"/><Relationship Id="rId17" Type="http://schemas.openxmlformats.org/officeDocument/2006/relationships/hyperlink" Target="https://doi.org/10.1089/tmr.2023.0020" TargetMode="External"/><Relationship Id="rId25" Type="http://schemas.openxmlformats.org/officeDocument/2006/relationships/hyperlink" Target="https://doi.org/10.1136/bmjopen-2023-081535" TargetMode="External"/><Relationship Id="rId2" Type="http://schemas.openxmlformats.org/officeDocument/2006/relationships/customXml" Target="../customXml/item2.xml"/><Relationship Id="rId16" Type="http://schemas.openxmlformats.org/officeDocument/2006/relationships/hyperlink" Target="https://www.bma.org.uk/advice-and-support/nhs-delivery-and-workforce/pressures/pressures-in-general-practice" TargetMode="External"/><Relationship Id="rId20" Type="http://schemas.openxmlformats.org/officeDocument/2006/relationships/hyperlink" Target="https://doi.org/10.7326/M18-0850"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ma.org.uk/advice-and-support/covid-19/what-the-bma-is-doing/covid-19-impact-of-the-pandemic-on-healthcare-delivery" TargetMode="External"/><Relationship Id="rId24" Type="http://schemas.openxmlformats.org/officeDocument/2006/relationships/hyperlink" Target="https://doi.org/10.3399/bjgpo.2021.0040" TargetMode="External"/><Relationship Id="rId5" Type="http://schemas.openxmlformats.org/officeDocument/2006/relationships/styles" Target="styles.xml"/><Relationship Id="rId15" Type="http://schemas.openxmlformats.org/officeDocument/2006/relationships/hyperlink" Target="https://doi.org/10.3389/fpubh.2025.1499628" TargetMode="External"/><Relationship Id="rId23" Type="http://schemas.openxmlformats.org/officeDocument/2006/relationships/hyperlink" Target="https://doi.org/10.3399/bjgp.2020.0948" TargetMode="External"/><Relationship Id="rId28" Type="http://schemas.openxmlformats.org/officeDocument/2006/relationships/fontTable" Target="fontTable.xml"/><Relationship Id="rId10" Type="http://schemas.openxmlformats.org/officeDocument/2006/relationships/hyperlink" Target="https://doi.org/10.1111/hex.13241" TargetMode="External"/><Relationship Id="rId19" Type="http://schemas.openxmlformats.org/officeDocument/2006/relationships/hyperlink" Target="https://doi.org/10.1016/j.jclinepi.2025.111712" TargetMode="External"/><Relationship Id="rId4" Type="http://schemas.openxmlformats.org/officeDocument/2006/relationships/numbering" Target="numbering.xml"/><Relationship Id="rId9" Type="http://schemas.openxmlformats.org/officeDocument/2006/relationships/hyperlink" Target="https://doi.org/10.70389/PJPH.100020" TargetMode="External"/><Relationship Id="rId14" Type="http://schemas.openxmlformats.org/officeDocument/2006/relationships/hyperlink" Target="https://doi.org/10.3399/bjgp.2024.0075" TargetMode="External"/><Relationship Id="rId22" Type="http://schemas.openxmlformats.org/officeDocument/2006/relationships/hyperlink" Target="https://doi.org/10.3399/bjgp.2023.0149" TargetMode="External"/><Relationship Id="rId27" Type="http://schemas.openxmlformats.org/officeDocument/2006/relationships/hyperlink" Target="https://doi.org/10.70389/PJPH.2025.100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73ab4567087c82f936f8743290327ae3">
  <xsd:schema xmlns:xsd="http://www.w3.org/2001/XMLSchema" xmlns:xs="http://www.w3.org/2001/XMLSchema" xmlns:p="http://schemas.microsoft.com/office/2006/metadata/properties" xmlns:ns3="0085e1a2-9cbf-4b92-866b-21f3c89040b6" targetNamespace="http://schemas.microsoft.com/office/2006/metadata/properties" ma:root="true" ma:fieldsID="a6e7bae33b2d7fb73904cda023eccab8" ns3:_="">
    <xsd:import namespace="0085e1a2-9cbf-4b92-866b-21f3c89040b6"/>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935F09-A91C-4EA6-9D9A-8485029F8F48}">
  <ds:schemaRefs>
    <ds:schemaRef ds:uri="http://schemas.microsoft.com/office/2006/metadata/properties"/>
    <ds:schemaRef ds:uri="http://schemas.microsoft.com/office/infopath/2007/PartnerControls"/>
    <ds:schemaRef ds:uri="0085e1a2-9cbf-4b92-866b-21f3c89040b6"/>
  </ds:schemaRefs>
</ds:datastoreItem>
</file>

<file path=customXml/itemProps2.xml><?xml version="1.0" encoding="utf-8"?>
<ds:datastoreItem xmlns:ds="http://schemas.openxmlformats.org/officeDocument/2006/customXml" ds:itemID="{24E2698E-9541-41CB-B5E5-81AF497B6181}">
  <ds:schemaRefs>
    <ds:schemaRef ds:uri="http://schemas.microsoft.com/sharepoint/v3/contenttype/forms"/>
  </ds:schemaRefs>
</ds:datastoreItem>
</file>

<file path=customXml/itemProps3.xml><?xml version="1.0" encoding="utf-8"?>
<ds:datastoreItem xmlns:ds="http://schemas.openxmlformats.org/officeDocument/2006/customXml" ds:itemID="{71E139F0-8C30-4E5B-8A05-4CBFF78B99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13</Pages>
  <Words>5437</Words>
  <Characters>30992</Characters>
  <Application>Microsoft Office Word</Application>
  <DocSecurity>0</DocSecurity>
  <Lines>258</Lines>
  <Paragraphs>72</Paragraphs>
  <ScaleCrop>false</ScaleCrop>
  <Company/>
  <LinksUpToDate>false</LinksUpToDate>
  <CharactersWithSpaces>36357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Areeba Kauser (2412108)</dc:creator>
  <cp:keywords/>
  <dc:description/>
  <cp:lastModifiedBy>Areeba Kauser (2412108)</cp:lastModifiedBy>
  <cp:revision>124</cp:revision>
  <dcterms:created xsi:type="dcterms:W3CDTF">2026-07-18T18:15:00Z</dcterms:created>
  <dcterms:modified xsi:type="dcterms:W3CDTF">2026-07-19T05:37:00Z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