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DD90D" w14:textId="0A911AD7" w:rsidR="003C1ADD" w:rsidRPr="003C1ADD" w:rsidRDefault="00DA716F" w:rsidP="003C1ADD">
      <w:pPr>
        <w:jc w:val="both"/>
        <w:rPr>
          <w:rFonts w:ascii="Calibri" w:eastAsiaTheme="minorEastAsia"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" fillcolor="#4472c4 [3204]" stroked="f" strokeweight="1pt"/>
            </w:pict>
          </mc:Fallback>
        </mc:AlternateContent>
      </w:r>
    </w:p>
    <w:p w14:paraId="56E67076" w14:textId="77777777" w:rsidR="002772B7" w:rsidRDefault="001C20A4" w:rsidP="00DA716F">
      <w:pPr>
        <w:jc w:val="both"/>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left:0;text-align:left;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r w:rsidR="003C1ADD">
        <w:rPr>
          <w:rFonts w:ascii="Calibri" w:hAnsi="Calibri" w:cs="Calibri"/>
          <w:noProof/>
          <w:sz w:val="24"/>
          <w:szCs w:val="24"/>
        </w:rPr>
        <mc:AlternateContent>
          <mc:Choice Requires="wps">
            <w:drawing>
              <wp:anchor distT="0" distB="0" distL="114300" distR="114300" simplePos="0" relativeHeight="251659264" behindDoc="1" locked="0" layoutInCell="1" allowOverlap="1" wp14:anchorId="374DA2A1" wp14:editId="29C74FC1">
                <wp:simplePos x="0" y="0"/>
                <wp:positionH relativeFrom="column">
                  <wp:posOffset>12700</wp:posOffset>
                </wp:positionH>
                <wp:positionV relativeFrom="paragraph">
                  <wp:posOffset>1045210</wp:posOffset>
                </wp:positionV>
                <wp:extent cx="6858000" cy="31115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115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50753" w14:textId="63B68754" w:rsidR="001C20A4" w:rsidRPr="00DA716F" w:rsidRDefault="001C20A4" w:rsidP="003C1ADD">
                            <w:pPr>
                              <w:pStyle w:val="PersonalName"/>
                              <w:rPr>
                                <w:rStyle w:val="BookTitle"/>
                                <w:rFonts w:ascii="Times" w:hAnsi="Times"/>
                                <w:sz w:val="72"/>
                                <w:szCs w:val="72"/>
                              </w:rPr>
                            </w:pPr>
                            <w:r w:rsidRPr="00DA716F">
                              <w:rPr>
                                <w:rStyle w:val="BookTitle"/>
                                <w:rFonts w:ascii="Times" w:hAnsi="Times"/>
                                <w:sz w:val="72"/>
                                <w:szCs w:val="72"/>
                              </w:rPr>
                              <w:t xml:space="preserve">HPHI4903 –                     'Pathways </w:t>
                            </w:r>
                            <w:r w:rsidR="00A62AAC" w:rsidRPr="00DA716F">
                              <w:rPr>
                                <w:rStyle w:val="BookTitle"/>
                                <w:rFonts w:ascii="Times" w:hAnsi="Times"/>
                                <w:sz w:val="72"/>
                                <w:szCs w:val="72"/>
                              </w:rPr>
                              <w:t>to</w:t>
                            </w:r>
                            <w:r w:rsidRPr="00DA716F">
                              <w:rPr>
                                <w:rStyle w:val="BookTitle"/>
                                <w:rFonts w:ascii="Times" w:hAnsi="Times"/>
                                <w:sz w:val="72"/>
                                <w:szCs w:val="72"/>
                              </w:rPr>
                              <w:t xml:space="preserve"> Evil': Genocide - History, Theory </w:t>
                            </w:r>
                            <w:r w:rsidR="00A62AAC" w:rsidRPr="00DA716F">
                              <w:rPr>
                                <w:rStyle w:val="BookTitle"/>
                                <w:rFonts w:ascii="Times" w:hAnsi="Times"/>
                                <w:sz w:val="72"/>
                                <w:szCs w:val="72"/>
                              </w:rPr>
                              <w:t>and</w:t>
                            </w:r>
                            <w:r w:rsidRPr="00DA716F">
                              <w:rPr>
                                <w:rStyle w:val="BookTitle"/>
                                <w:rFonts w:ascii="Times" w:hAnsi="Times"/>
                                <w:sz w:val="72"/>
                                <w:szCs w:val="72"/>
                              </w:rPr>
                              <w:t xml:space="preserve"> Denial</w:t>
                            </w:r>
                          </w:p>
                          <w:p w14:paraId="4EE87B19" w14:textId="77777777" w:rsidR="001C20A4" w:rsidRPr="00DA716F" w:rsidRDefault="001C20A4" w:rsidP="003C1ADD">
                            <w:pPr>
                              <w:pStyle w:val="PersonalName"/>
                              <w:rPr>
                                <w:rStyle w:val="BookTitle"/>
                                <w:rFonts w:ascii="Times" w:hAnsi="Times"/>
                                <w:sz w:val="72"/>
                                <w:szCs w:val="72"/>
                              </w:rPr>
                            </w:pPr>
                          </w:p>
                          <w:p w14:paraId="7E8691F2" w14:textId="265F1115"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D659EF" w:rsidRPr="00DA716F">
                              <w:rPr>
                                <w:rStyle w:val="BookTitle"/>
                                <w:rFonts w:ascii="Times" w:hAnsi="Times"/>
                                <w:sz w:val="52"/>
                                <w:szCs w:val="52"/>
                              </w:rPr>
                              <w:t>One</w:t>
                            </w: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left:0;text-align:left;margin-left:1pt;margin-top:82.3pt;width:540pt;height:24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" fillcolor="white [3212]" stroked="f" strokeweight=".5pt">
                <v:textbox inset="36pt,7.2pt,36pt,7.2pt">
                  <w:txbxContent>
                    <w:p w14:paraId="22B50753" w14:textId="63B68754" w:rsidR="001C20A4" w:rsidRPr="00DA716F" w:rsidRDefault="001C20A4" w:rsidP="003C1ADD">
                      <w:pPr>
                        <w:pStyle w:val="PersonalName"/>
                        <w:rPr>
                          <w:rStyle w:val="BookTitle"/>
                          <w:rFonts w:ascii="Times" w:hAnsi="Times"/>
                          <w:sz w:val="72"/>
                          <w:szCs w:val="72"/>
                        </w:rPr>
                      </w:pPr>
                      <w:r w:rsidRPr="00DA716F">
                        <w:rPr>
                          <w:rStyle w:val="BookTitle"/>
                          <w:rFonts w:ascii="Times" w:hAnsi="Times"/>
                          <w:sz w:val="72"/>
                          <w:szCs w:val="72"/>
                        </w:rPr>
                        <w:t xml:space="preserve">HPHI4903 –                     'Pathways </w:t>
                      </w:r>
                      <w:r w:rsidR="00A62AAC" w:rsidRPr="00DA716F">
                        <w:rPr>
                          <w:rStyle w:val="BookTitle"/>
                          <w:rFonts w:ascii="Times" w:hAnsi="Times"/>
                          <w:sz w:val="72"/>
                          <w:szCs w:val="72"/>
                        </w:rPr>
                        <w:t>to</w:t>
                      </w:r>
                      <w:r w:rsidRPr="00DA716F">
                        <w:rPr>
                          <w:rStyle w:val="BookTitle"/>
                          <w:rFonts w:ascii="Times" w:hAnsi="Times"/>
                          <w:sz w:val="72"/>
                          <w:szCs w:val="72"/>
                        </w:rPr>
                        <w:t xml:space="preserve"> Evil': Genocide - History, Theory </w:t>
                      </w:r>
                      <w:r w:rsidR="00A62AAC" w:rsidRPr="00DA716F">
                        <w:rPr>
                          <w:rStyle w:val="BookTitle"/>
                          <w:rFonts w:ascii="Times" w:hAnsi="Times"/>
                          <w:sz w:val="72"/>
                          <w:szCs w:val="72"/>
                        </w:rPr>
                        <w:t>and</w:t>
                      </w:r>
                      <w:r w:rsidRPr="00DA716F">
                        <w:rPr>
                          <w:rStyle w:val="BookTitle"/>
                          <w:rFonts w:ascii="Times" w:hAnsi="Times"/>
                          <w:sz w:val="72"/>
                          <w:szCs w:val="72"/>
                        </w:rPr>
                        <w:t xml:space="preserve"> Denial</w:t>
                      </w:r>
                    </w:p>
                    <w:p w14:paraId="4EE87B19" w14:textId="77777777" w:rsidR="001C20A4" w:rsidRPr="00DA716F" w:rsidRDefault="001C20A4" w:rsidP="003C1ADD">
                      <w:pPr>
                        <w:pStyle w:val="PersonalName"/>
                        <w:rPr>
                          <w:rStyle w:val="BookTitle"/>
                          <w:rFonts w:ascii="Times" w:hAnsi="Times"/>
                          <w:sz w:val="72"/>
                          <w:szCs w:val="72"/>
                        </w:rPr>
                      </w:pPr>
                    </w:p>
                    <w:p w14:paraId="7E8691F2" w14:textId="265F1115"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D659EF" w:rsidRPr="00DA716F">
                        <w:rPr>
                          <w:rStyle w:val="BookTitle"/>
                          <w:rFonts w:ascii="Times" w:hAnsi="Times"/>
                          <w:sz w:val="52"/>
                          <w:szCs w:val="52"/>
                        </w:rPr>
                        <w:t>One</w:t>
                      </w:r>
                      <w:r w:rsidRPr="00DA716F">
                        <w:rPr>
                          <w:rStyle w:val="BookTitle"/>
                          <w:rFonts w:ascii="Times" w:hAnsi="Times"/>
                          <w:sz w:val="52"/>
                          <w:szCs w:val="52"/>
                        </w:rPr>
                        <w:t xml:space="preserve">                                    </w:t>
                      </w:r>
                    </w:p>
                  </w:txbxContent>
                </v:textbox>
              </v:shape>
            </w:pict>
          </mc:Fallback>
        </mc:AlternateContent>
      </w:r>
    </w:p>
    <w:p w14:paraId="6A241CE1" w14:textId="77777777" w:rsidR="002772B7" w:rsidRDefault="002772B7" w:rsidP="00DA716F">
      <w:pPr>
        <w:jc w:val="both"/>
        <w:rPr>
          <w:rFonts w:ascii="Calibri" w:hAnsi="Calibri" w:cs="Calibri"/>
          <w:sz w:val="24"/>
          <w:szCs w:val="24"/>
        </w:rPr>
      </w:pPr>
    </w:p>
    <w:p w14:paraId="4ADE22CE" w14:textId="77777777" w:rsidR="002772B7" w:rsidRDefault="002772B7" w:rsidP="00DA716F">
      <w:pPr>
        <w:jc w:val="both"/>
        <w:rPr>
          <w:rFonts w:ascii="Calibri" w:hAnsi="Calibri" w:cs="Calibri"/>
          <w:sz w:val="24"/>
          <w:szCs w:val="24"/>
        </w:rPr>
      </w:pPr>
    </w:p>
    <w:p w14:paraId="1B4BBA80" w14:textId="77777777" w:rsidR="002772B7" w:rsidRDefault="002772B7" w:rsidP="00DA716F">
      <w:pPr>
        <w:jc w:val="both"/>
        <w:rPr>
          <w:rFonts w:ascii="Calibri" w:hAnsi="Calibri" w:cs="Calibri"/>
          <w:sz w:val="24"/>
          <w:szCs w:val="24"/>
        </w:rPr>
      </w:pPr>
    </w:p>
    <w:p w14:paraId="4D7E34CB" w14:textId="77777777" w:rsidR="002772B7" w:rsidRDefault="002772B7" w:rsidP="00DA716F">
      <w:pPr>
        <w:jc w:val="both"/>
        <w:rPr>
          <w:rFonts w:ascii="Calibri" w:hAnsi="Calibri" w:cs="Calibri"/>
          <w:sz w:val="24"/>
          <w:szCs w:val="24"/>
        </w:rPr>
      </w:pPr>
    </w:p>
    <w:p w14:paraId="38D5F72C" w14:textId="77777777" w:rsidR="002772B7" w:rsidRDefault="002772B7" w:rsidP="00DA716F">
      <w:pPr>
        <w:jc w:val="both"/>
        <w:rPr>
          <w:rFonts w:ascii="Calibri" w:hAnsi="Calibri" w:cs="Calibri"/>
          <w:sz w:val="24"/>
          <w:szCs w:val="24"/>
        </w:rPr>
      </w:pPr>
    </w:p>
    <w:p w14:paraId="30E71428" w14:textId="77777777" w:rsidR="002772B7" w:rsidRDefault="002772B7" w:rsidP="00DA716F">
      <w:pPr>
        <w:jc w:val="both"/>
        <w:rPr>
          <w:rFonts w:ascii="Calibri" w:hAnsi="Calibri" w:cs="Calibri"/>
          <w:sz w:val="24"/>
          <w:szCs w:val="24"/>
        </w:rPr>
      </w:pPr>
    </w:p>
    <w:p w14:paraId="28A37545" w14:textId="77777777" w:rsidR="002772B7" w:rsidRDefault="002772B7" w:rsidP="00DA716F">
      <w:pPr>
        <w:jc w:val="both"/>
        <w:rPr>
          <w:rFonts w:ascii="Calibri" w:hAnsi="Calibri" w:cs="Calibri"/>
          <w:sz w:val="24"/>
          <w:szCs w:val="24"/>
        </w:rPr>
      </w:pPr>
    </w:p>
    <w:p w14:paraId="43E9E929" w14:textId="77777777" w:rsidR="002772B7" w:rsidRDefault="002772B7" w:rsidP="00DA716F">
      <w:pPr>
        <w:jc w:val="both"/>
        <w:rPr>
          <w:rFonts w:ascii="Calibri" w:hAnsi="Calibri" w:cs="Calibri"/>
          <w:sz w:val="24"/>
          <w:szCs w:val="24"/>
        </w:rPr>
      </w:pPr>
    </w:p>
    <w:p w14:paraId="1E44EB67" w14:textId="77777777" w:rsidR="002772B7" w:rsidRDefault="002772B7" w:rsidP="00DA716F">
      <w:pPr>
        <w:jc w:val="both"/>
        <w:rPr>
          <w:rFonts w:ascii="Calibri" w:hAnsi="Calibri" w:cs="Calibri"/>
          <w:sz w:val="24"/>
          <w:szCs w:val="24"/>
        </w:rPr>
      </w:pPr>
    </w:p>
    <w:p w14:paraId="1C487D47" w14:textId="77777777" w:rsidR="002772B7" w:rsidRDefault="002772B7" w:rsidP="00DA716F">
      <w:pPr>
        <w:jc w:val="both"/>
        <w:rPr>
          <w:rFonts w:ascii="Calibri" w:hAnsi="Calibri" w:cs="Calibri"/>
          <w:sz w:val="24"/>
          <w:szCs w:val="24"/>
        </w:rPr>
      </w:pPr>
    </w:p>
    <w:p w14:paraId="6A82F120" w14:textId="77777777" w:rsidR="002772B7" w:rsidRDefault="002772B7" w:rsidP="00DA716F">
      <w:pPr>
        <w:jc w:val="both"/>
        <w:rPr>
          <w:rFonts w:ascii="Calibri" w:hAnsi="Calibri" w:cs="Calibri"/>
          <w:sz w:val="24"/>
          <w:szCs w:val="24"/>
        </w:rPr>
      </w:pPr>
    </w:p>
    <w:p w14:paraId="2F569C24" w14:textId="77777777" w:rsidR="002772B7" w:rsidRDefault="002772B7" w:rsidP="00DA716F">
      <w:pPr>
        <w:jc w:val="both"/>
        <w:rPr>
          <w:rFonts w:ascii="Calibri" w:hAnsi="Calibri" w:cs="Calibri"/>
          <w:sz w:val="24"/>
          <w:szCs w:val="24"/>
        </w:rPr>
      </w:pPr>
    </w:p>
    <w:p w14:paraId="215D02A8" w14:textId="77777777" w:rsidR="002772B7" w:rsidRDefault="002772B7" w:rsidP="00DA716F">
      <w:pPr>
        <w:jc w:val="both"/>
        <w:rPr>
          <w:rFonts w:ascii="Calibri" w:hAnsi="Calibri" w:cs="Calibri"/>
          <w:sz w:val="24"/>
          <w:szCs w:val="24"/>
        </w:rPr>
      </w:pPr>
    </w:p>
    <w:p w14:paraId="72ABB2FF" w14:textId="77777777" w:rsidR="002772B7" w:rsidRDefault="002772B7" w:rsidP="00DA716F">
      <w:pPr>
        <w:jc w:val="both"/>
        <w:rPr>
          <w:rFonts w:ascii="Calibri" w:hAnsi="Calibri" w:cs="Calibri"/>
          <w:sz w:val="24"/>
          <w:szCs w:val="24"/>
        </w:rPr>
      </w:pPr>
    </w:p>
    <w:p w14:paraId="309FA2DF" w14:textId="77777777" w:rsidR="002772B7" w:rsidRDefault="002772B7" w:rsidP="00DA716F">
      <w:pPr>
        <w:jc w:val="both"/>
        <w:rPr>
          <w:rFonts w:ascii="Calibri" w:hAnsi="Calibri" w:cs="Calibri"/>
          <w:sz w:val="24"/>
          <w:szCs w:val="24"/>
        </w:rPr>
      </w:pPr>
    </w:p>
    <w:p w14:paraId="3B63ECA4" w14:textId="77777777" w:rsidR="002772B7" w:rsidRDefault="002772B7" w:rsidP="00DA716F">
      <w:pPr>
        <w:jc w:val="both"/>
        <w:rPr>
          <w:rFonts w:ascii="Calibri" w:hAnsi="Calibri" w:cs="Calibri"/>
          <w:sz w:val="24"/>
          <w:szCs w:val="24"/>
        </w:rPr>
      </w:pPr>
    </w:p>
    <w:p w14:paraId="7EC7D43B" w14:textId="77777777" w:rsidR="002772B7" w:rsidRDefault="002772B7" w:rsidP="00DA716F">
      <w:pPr>
        <w:jc w:val="both"/>
        <w:rPr>
          <w:rFonts w:ascii="Calibri" w:hAnsi="Calibri" w:cs="Calibri"/>
          <w:sz w:val="24"/>
          <w:szCs w:val="24"/>
        </w:rPr>
      </w:pPr>
    </w:p>
    <w:p w14:paraId="6F6A8252" w14:textId="77777777" w:rsidR="002772B7" w:rsidRDefault="002772B7" w:rsidP="00DA716F">
      <w:pPr>
        <w:jc w:val="both"/>
        <w:rPr>
          <w:rFonts w:ascii="Calibri" w:hAnsi="Calibri" w:cs="Calibri"/>
          <w:sz w:val="24"/>
          <w:szCs w:val="24"/>
        </w:rPr>
      </w:pPr>
    </w:p>
    <w:p w14:paraId="4BF579EC" w14:textId="77777777" w:rsidR="002772B7" w:rsidRDefault="002772B7" w:rsidP="00DA716F">
      <w:pPr>
        <w:jc w:val="both"/>
        <w:rPr>
          <w:rFonts w:ascii="Calibri" w:hAnsi="Calibri" w:cs="Calibri"/>
          <w:sz w:val="24"/>
          <w:szCs w:val="24"/>
        </w:rPr>
      </w:pPr>
    </w:p>
    <w:p w14:paraId="4B125BDB" w14:textId="77777777" w:rsidR="002772B7" w:rsidRDefault="002772B7" w:rsidP="00DA716F">
      <w:pPr>
        <w:jc w:val="both"/>
        <w:rPr>
          <w:rFonts w:ascii="Calibri" w:hAnsi="Calibri" w:cs="Calibri"/>
          <w:sz w:val="24"/>
          <w:szCs w:val="24"/>
        </w:rPr>
      </w:pPr>
    </w:p>
    <w:p w14:paraId="25EA0A03" w14:textId="77777777" w:rsidR="002772B7" w:rsidRDefault="002772B7" w:rsidP="00DA716F">
      <w:pPr>
        <w:jc w:val="both"/>
        <w:rPr>
          <w:rFonts w:ascii="Calibri" w:hAnsi="Calibri" w:cs="Calibri"/>
          <w:sz w:val="24"/>
          <w:szCs w:val="24"/>
        </w:rPr>
      </w:pPr>
    </w:p>
    <w:p w14:paraId="6AE723D9" w14:textId="77777777" w:rsidR="002772B7" w:rsidRDefault="002772B7" w:rsidP="00DA716F">
      <w:pPr>
        <w:jc w:val="both"/>
        <w:rPr>
          <w:rFonts w:ascii="Calibri" w:hAnsi="Calibri" w:cs="Calibri"/>
          <w:sz w:val="24"/>
          <w:szCs w:val="24"/>
        </w:rPr>
      </w:pPr>
    </w:p>
    <w:p w14:paraId="6BF4EA78" w14:textId="77777777" w:rsidR="002772B7" w:rsidRDefault="002772B7" w:rsidP="00DA716F">
      <w:pPr>
        <w:jc w:val="both"/>
        <w:rPr>
          <w:rFonts w:ascii="Calibri" w:hAnsi="Calibri" w:cs="Calibri"/>
          <w:sz w:val="24"/>
          <w:szCs w:val="24"/>
        </w:rPr>
      </w:pPr>
    </w:p>
    <w:p w14:paraId="3430214F" w14:textId="77777777" w:rsidR="002772B7" w:rsidRDefault="002772B7" w:rsidP="00DA716F">
      <w:pPr>
        <w:jc w:val="both"/>
        <w:rPr>
          <w:rFonts w:ascii="Calibri" w:hAnsi="Calibri" w:cs="Calibri"/>
          <w:sz w:val="24"/>
          <w:szCs w:val="24"/>
        </w:rPr>
      </w:pPr>
    </w:p>
    <w:p w14:paraId="3D8E823F" w14:textId="77777777" w:rsidR="002772B7" w:rsidRDefault="002772B7" w:rsidP="00DA716F">
      <w:pPr>
        <w:jc w:val="both"/>
        <w:rPr>
          <w:rFonts w:ascii="Calibri" w:hAnsi="Calibri" w:cs="Calibri"/>
          <w:sz w:val="24"/>
          <w:szCs w:val="24"/>
        </w:rPr>
      </w:pPr>
    </w:p>
    <w:p w14:paraId="5002E197" w14:textId="77777777" w:rsidR="002772B7" w:rsidRDefault="002772B7" w:rsidP="00DA716F">
      <w:pPr>
        <w:jc w:val="both"/>
        <w:rPr>
          <w:rFonts w:ascii="Calibri" w:hAnsi="Calibri" w:cs="Calibri"/>
          <w:sz w:val="24"/>
          <w:szCs w:val="24"/>
        </w:rPr>
      </w:pPr>
    </w:p>
    <w:p w14:paraId="743708C6" w14:textId="27B1186D" w:rsidR="00A66227" w:rsidRPr="00A66227" w:rsidRDefault="00A66227" w:rsidP="00DA716F">
      <w:pPr>
        <w:jc w:val="both"/>
        <w:rPr>
          <w:rFonts w:ascii="Calibri" w:hAnsi="Calibri" w:cs="Calibri"/>
          <w:sz w:val="24"/>
          <w:szCs w:val="24"/>
        </w:rPr>
      </w:pPr>
      <w:r w:rsidRPr="00A66227">
        <w:rPr>
          <w:rFonts w:ascii="Times New Roman" w:eastAsia="Times New Roman" w:hAnsi="Times New Roman" w:cs="Times New Roman"/>
          <w:b/>
          <w:bCs/>
          <w:color w:val="0E101A"/>
          <w:sz w:val="24"/>
          <w:szCs w:val="24"/>
          <w:u w:val="single"/>
          <w:lang w:eastAsia="en-GB"/>
        </w:rPr>
        <w:lastRenderedPageBreak/>
        <w:t>Review One:</w:t>
      </w:r>
    </w:p>
    <w:p w14:paraId="7E5886B7"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Welch, Susan, 'Gender and Selection During the Holocaust: Transports of Western European Jews to the East', </w:t>
      </w:r>
      <w:r w:rsidRPr="00A66227">
        <w:rPr>
          <w:rFonts w:ascii="Times New Roman" w:eastAsia="Times New Roman" w:hAnsi="Times New Roman" w:cs="Times New Roman"/>
          <w:i/>
          <w:iCs/>
          <w:color w:val="0E101A"/>
          <w:sz w:val="24"/>
          <w:szCs w:val="24"/>
          <w:lang w:eastAsia="en-GB"/>
        </w:rPr>
        <w:t>Journal of Genocide Research</w:t>
      </w:r>
      <w:r w:rsidRPr="00A66227">
        <w:rPr>
          <w:rFonts w:ascii="Times New Roman" w:eastAsia="Times New Roman" w:hAnsi="Times New Roman" w:cs="Times New Roman"/>
          <w:color w:val="0E101A"/>
          <w:sz w:val="24"/>
          <w:szCs w:val="24"/>
          <w:lang w:eastAsia="en-GB"/>
        </w:rPr>
        <w:t>, VOL. 22 NO. 4, (2020) peg 459–478, &lt;DOI: 10.1080/14623528.2020.1764743&gt;</w:t>
      </w:r>
    </w:p>
    <w:p w14:paraId="2535252D"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 </w:t>
      </w:r>
    </w:p>
    <w:p w14:paraId="02DFEB38"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Susan Welch examines how gender affected West European Jews over extensive territories, focusing on deported Jews, their treatment at extermination camps and their survival. </w:t>
      </w:r>
    </w:p>
    <w:p w14:paraId="634F7BD6"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7B4EBF4C"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Welch discusses how West European Jewish women became highly vulnerable in the Holocaust, developed the lowest survival rate, and became the most transported gender. Yad Vashem's data supports her theory. This example shows this; 'data including more than 200,000 people, I found that the survival rate among men (4.3 per cent) was significantly higher than for women (2.7 per cent)'.</w:t>
      </w:r>
    </w:p>
    <w:p w14:paraId="170DAF70"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031013AA"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 xml:space="preserve">Welch introduces bold statements and supports this with statistics, diagrams, and quotations from other scholars. An example of her work that stands out: 'Gender differences in the Holocaust were not as striking or as consistent as in some other genocides, but, as </w:t>
      </w:r>
      <w:proofErr w:type="spellStart"/>
      <w:r w:rsidRPr="00A66227">
        <w:rPr>
          <w:rFonts w:ascii="Times New Roman" w:eastAsia="Times New Roman" w:hAnsi="Times New Roman" w:cs="Times New Roman"/>
          <w:color w:val="0E101A"/>
          <w:sz w:val="24"/>
          <w:szCs w:val="24"/>
          <w:lang w:eastAsia="en-GB"/>
        </w:rPr>
        <w:t>Nechama</w:t>
      </w:r>
      <w:proofErr w:type="spellEnd"/>
      <w:r w:rsidRPr="00A66227">
        <w:rPr>
          <w:rFonts w:ascii="Times New Roman" w:eastAsia="Times New Roman" w:hAnsi="Times New Roman" w:cs="Times New Roman"/>
          <w:color w:val="0E101A"/>
          <w:sz w:val="24"/>
          <w:szCs w:val="24"/>
          <w:lang w:eastAsia="en-GB"/>
        </w:rPr>
        <w:t xml:space="preserve"> Tec has written, "[E]</w:t>
      </w:r>
      <w:proofErr w:type="spellStart"/>
      <w:r w:rsidRPr="00A66227">
        <w:rPr>
          <w:rFonts w:ascii="Times New Roman" w:eastAsia="Times New Roman" w:hAnsi="Times New Roman" w:cs="Times New Roman"/>
          <w:color w:val="0E101A"/>
          <w:sz w:val="24"/>
          <w:szCs w:val="24"/>
          <w:lang w:eastAsia="en-GB"/>
        </w:rPr>
        <w:t>ven</w:t>
      </w:r>
      <w:proofErr w:type="spellEnd"/>
      <w:r w:rsidRPr="00A66227">
        <w:rPr>
          <w:rFonts w:ascii="Times New Roman" w:eastAsia="Times New Roman" w:hAnsi="Times New Roman" w:cs="Times New Roman"/>
          <w:color w:val="0E101A"/>
          <w:sz w:val="24"/>
          <w:szCs w:val="24"/>
          <w:lang w:eastAsia="en-GB"/>
        </w:rPr>
        <w:t xml:space="preserve"> though the Germans were committed to sending all Jews to their deaths, for a variety of reasons women and men travelled toward that destination on distinct roads.'</w:t>
      </w:r>
    </w:p>
    <w:p w14:paraId="1ACF082C"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1379484C"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Welch has a passion for the topic, shown through the language she has chosen to use. It allows the reader to read along with the article as it flows, regardless of their ability. </w:t>
      </w:r>
    </w:p>
    <w:p w14:paraId="2ED73A97"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11EF886D"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Welch's footnotes are rather long due to comments on each source. An example is in footnote 9, where she references the source but follows with comments, contributing to 6.5 lines long. To ensure sources are noticed, re-reading is required.</w:t>
      </w:r>
    </w:p>
    <w:p w14:paraId="2D5181B5"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2AE9DADE"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Welch's article will benefit research because of the extensive statistics and numerous sources she referenced; this will significantly assist with research and contribute to research in the future.</w:t>
      </w:r>
    </w:p>
    <w:p w14:paraId="687E2F84"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1495C3DB"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754FA684"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12FFD988"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141BF675"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6CBB2A3F"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28555DBA"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15F8FFBF"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7056BA02"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66E2C2CC"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5C7EFD0A"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39ABC8F1" w14:textId="0EBE6039" w:rsidR="002772B7" w:rsidRPr="00A66227" w:rsidRDefault="00A66227" w:rsidP="002772B7">
      <w:pPr>
        <w:spacing w:after="200" w:line="276" w:lineRule="auto"/>
        <w:rPr>
          <w:rFonts w:ascii="Times New Roman" w:eastAsia="Times New Roman" w:hAnsi="Times New Roman" w:cs="Times New Roman"/>
          <w:b/>
          <w:bCs/>
          <w:color w:val="0E101A"/>
          <w:sz w:val="24"/>
          <w:szCs w:val="24"/>
          <w:u w:val="single"/>
          <w:lang w:eastAsia="en-GB"/>
        </w:rPr>
      </w:pPr>
      <w:r w:rsidRPr="00A66227">
        <w:rPr>
          <w:rFonts w:ascii="Times New Roman" w:eastAsia="Times New Roman" w:hAnsi="Times New Roman" w:cs="Times New Roman"/>
          <w:b/>
          <w:bCs/>
          <w:color w:val="0E101A"/>
          <w:sz w:val="24"/>
          <w:szCs w:val="24"/>
          <w:u w:val="single"/>
          <w:lang w:eastAsia="en-GB"/>
        </w:rPr>
        <w:lastRenderedPageBreak/>
        <w:t>Review Two:</w:t>
      </w:r>
    </w:p>
    <w:p w14:paraId="17AB0821"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Balint, Barnabas, 'Coming of Age During the Holocaust: The Adult Roles and Responsibilities of Young Hungarian Jews in Auschwitz-Birkenau', </w:t>
      </w:r>
      <w:r w:rsidRPr="00A66227">
        <w:rPr>
          <w:rFonts w:ascii="Times New Roman" w:eastAsia="Times New Roman" w:hAnsi="Times New Roman" w:cs="Times New Roman"/>
          <w:i/>
          <w:iCs/>
          <w:color w:val="0E101A"/>
          <w:sz w:val="24"/>
          <w:szCs w:val="24"/>
          <w:lang w:eastAsia="en-GB"/>
        </w:rPr>
        <w:t>Journal of Genocide Research</w:t>
      </w:r>
      <w:r w:rsidRPr="00A66227">
        <w:rPr>
          <w:rFonts w:ascii="Times New Roman" w:eastAsia="Times New Roman" w:hAnsi="Times New Roman" w:cs="Times New Roman"/>
          <w:color w:val="0E101A"/>
          <w:sz w:val="24"/>
          <w:szCs w:val="24"/>
          <w:lang w:eastAsia="en-GB"/>
        </w:rPr>
        <w:t>, VOL. 35NO. 1, (2021) pg. 20–40 &lt;DOI: 10.1080/25785648.2020.1863637&gt;</w:t>
      </w:r>
    </w:p>
    <w:p w14:paraId="17639CD4"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63842563"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Barnabas Balint's article explores theories on how young Hungarian Jewish people survived Auschwitz-Birkenau and persecution by the Nazis. He analyses first-hand accounts of Hungarians who adapted, fought for survival, and faced adulthood head-on. Despite how physically and mentally damaging challenges became, every experience differed. Balint introduces a subjective perspective that combines a true-to-life and accurate interpretation of their survived trauma.</w:t>
      </w:r>
    </w:p>
    <w:p w14:paraId="5F9B45E4"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62D5307D"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 xml:space="preserve">Balint focuses on arguments that show a range of adult behaviours and how they worked hand in hand to help young Jews. A standout example of this: 'At thirteen, </w:t>
      </w:r>
      <w:proofErr w:type="spellStart"/>
      <w:r w:rsidRPr="00A66227">
        <w:rPr>
          <w:rFonts w:ascii="Times New Roman" w:eastAsia="Times New Roman" w:hAnsi="Times New Roman" w:cs="Times New Roman"/>
          <w:color w:val="0E101A"/>
          <w:sz w:val="24"/>
          <w:szCs w:val="24"/>
          <w:lang w:eastAsia="en-GB"/>
        </w:rPr>
        <w:t>Citrom</w:t>
      </w:r>
      <w:proofErr w:type="spellEnd"/>
      <w:r w:rsidRPr="00A66227">
        <w:rPr>
          <w:rFonts w:ascii="Times New Roman" w:eastAsia="Times New Roman" w:hAnsi="Times New Roman" w:cs="Times New Roman"/>
          <w:color w:val="0E101A"/>
          <w:sz w:val="24"/>
          <w:szCs w:val="24"/>
          <w:lang w:eastAsia="en-GB"/>
        </w:rPr>
        <w:t xml:space="preserve"> was clearly well under the official age to be deemed fit for work. His appearance, however, was enough to save him from the gas chambers'. </w:t>
      </w:r>
    </w:p>
    <w:p w14:paraId="27B2247F"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782EE3FD"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 xml:space="preserve">In addition, Balint includes arguments between historians on why they believe certain behaviours materialised. This gives exciting perspectives on the situation. I found this example interesting: 'psychiatrists Judith </w:t>
      </w:r>
      <w:proofErr w:type="spellStart"/>
      <w:r w:rsidRPr="00A66227">
        <w:rPr>
          <w:rFonts w:ascii="Times New Roman" w:eastAsia="Times New Roman" w:hAnsi="Times New Roman" w:cs="Times New Roman"/>
          <w:color w:val="0E101A"/>
          <w:sz w:val="24"/>
          <w:szCs w:val="24"/>
          <w:lang w:eastAsia="en-GB"/>
        </w:rPr>
        <w:t>Kestenberg</w:t>
      </w:r>
      <w:proofErr w:type="spellEnd"/>
      <w:r w:rsidRPr="00A66227">
        <w:rPr>
          <w:rFonts w:ascii="Times New Roman" w:eastAsia="Times New Roman" w:hAnsi="Times New Roman" w:cs="Times New Roman"/>
          <w:color w:val="0E101A"/>
          <w:sz w:val="24"/>
          <w:szCs w:val="24"/>
          <w:lang w:eastAsia="en-GB"/>
        </w:rPr>
        <w:t xml:space="preserve"> and Ira Brenner argued that 'adolescents could work harder and deal with hunger better and more creatively' than adults.' </w:t>
      </w:r>
    </w:p>
    <w:p w14:paraId="39ED6888"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63CFFA8D"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In the article, I noticed that Balint includes comments in his footnotes without sources. Footnotes 1, 13 and 14 have this. Therefore, looking for referenced sources became difficult. </w:t>
      </w:r>
    </w:p>
    <w:p w14:paraId="3CCBE890"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75A5A105"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Despite a well-structured and detailed article, Balint mentions individuals present at the time and scholars researching the topic, so remembering who is who can occasionally become confusing. </w:t>
      </w:r>
    </w:p>
    <w:p w14:paraId="6E1F2C4F"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3CF3B754"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As this article is factual and statistic-based, the research and testimonies referenced will continue to give readers and scholars a further understanding of these experiences.</w:t>
      </w:r>
    </w:p>
    <w:p w14:paraId="6CCCE941"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3ECFB25B"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55041622"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4CC6CDA1"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785E694B"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15D3FEBB"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304163AF"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48ABA2EB"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414DA9B6"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211A714C"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546A21BC" w14:textId="77777777" w:rsidR="002772B7" w:rsidRDefault="002772B7" w:rsidP="002772B7">
      <w:pPr>
        <w:spacing w:after="200" w:line="276" w:lineRule="auto"/>
        <w:rPr>
          <w:rFonts w:ascii="Times New Roman" w:eastAsia="Times New Roman" w:hAnsi="Times New Roman" w:cs="Times New Roman"/>
          <w:b/>
          <w:bCs/>
          <w:color w:val="0E101A"/>
          <w:sz w:val="24"/>
          <w:szCs w:val="24"/>
          <w:u w:val="single"/>
          <w:lang w:eastAsia="en-GB"/>
        </w:rPr>
      </w:pPr>
    </w:p>
    <w:p w14:paraId="41E9419C" w14:textId="069D18B8" w:rsidR="00DA716F" w:rsidRPr="00A66227" w:rsidRDefault="00A66227" w:rsidP="002772B7">
      <w:pPr>
        <w:spacing w:after="200" w:line="276" w:lineRule="auto"/>
        <w:rPr>
          <w:rFonts w:ascii="Times New Roman" w:eastAsia="Times New Roman" w:hAnsi="Times New Roman" w:cs="Times New Roman"/>
          <w:b/>
          <w:bCs/>
          <w:color w:val="0E101A"/>
          <w:sz w:val="24"/>
          <w:szCs w:val="24"/>
          <w:u w:val="single"/>
          <w:lang w:eastAsia="en-GB"/>
        </w:rPr>
      </w:pPr>
      <w:r w:rsidRPr="00A66227">
        <w:rPr>
          <w:rFonts w:ascii="Times New Roman" w:eastAsia="Times New Roman" w:hAnsi="Times New Roman" w:cs="Times New Roman"/>
          <w:b/>
          <w:bCs/>
          <w:color w:val="0E101A"/>
          <w:sz w:val="24"/>
          <w:szCs w:val="24"/>
          <w:u w:val="single"/>
          <w:lang w:eastAsia="en-GB"/>
        </w:rPr>
        <w:lastRenderedPageBreak/>
        <w:t>Review Three</w:t>
      </w:r>
    </w:p>
    <w:p w14:paraId="5CACF188"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 xml:space="preserve">Oster, Sharon B, 'The Female </w:t>
      </w:r>
      <w:proofErr w:type="spellStart"/>
      <w:r w:rsidRPr="00A66227">
        <w:rPr>
          <w:rFonts w:ascii="Times New Roman" w:eastAsia="Times New Roman" w:hAnsi="Times New Roman" w:cs="Times New Roman"/>
          <w:color w:val="0E101A"/>
          <w:sz w:val="24"/>
          <w:szCs w:val="24"/>
          <w:lang w:eastAsia="en-GB"/>
        </w:rPr>
        <w:t>Muselmann</w:t>
      </w:r>
      <w:proofErr w:type="spellEnd"/>
      <w:r w:rsidRPr="00A66227">
        <w:rPr>
          <w:rFonts w:ascii="Times New Roman" w:eastAsia="Times New Roman" w:hAnsi="Times New Roman" w:cs="Times New Roman"/>
          <w:color w:val="0E101A"/>
          <w:sz w:val="24"/>
          <w:szCs w:val="24"/>
          <w:lang w:eastAsia="en-GB"/>
        </w:rPr>
        <w:t xml:space="preserve"> in Nazi Concentration Camp Discourse', </w:t>
      </w:r>
      <w:r w:rsidRPr="00A66227">
        <w:rPr>
          <w:rFonts w:ascii="Times New Roman" w:eastAsia="Times New Roman" w:hAnsi="Times New Roman" w:cs="Times New Roman"/>
          <w:i/>
          <w:iCs/>
          <w:color w:val="0E101A"/>
          <w:sz w:val="24"/>
          <w:szCs w:val="24"/>
          <w:lang w:eastAsia="en-GB"/>
        </w:rPr>
        <w:t>Journal of Genocide Research</w:t>
      </w:r>
      <w:r w:rsidRPr="00A66227">
        <w:rPr>
          <w:rFonts w:ascii="Times New Roman" w:eastAsia="Times New Roman" w:hAnsi="Times New Roman" w:cs="Times New Roman"/>
          <w:color w:val="0E101A"/>
          <w:sz w:val="24"/>
          <w:szCs w:val="24"/>
          <w:lang w:eastAsia="en-GB"/>
        </w:rPr>
        <w:t> VOL. 34, NO. 3, (2020) pg. 198–219, &lt;DOI:10.1080/25785648.2020.1779502&gt;</w:t>
      </w:r>
    </w:p>
    <w:p w14:paraId="71BAE670"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2A275671"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Sharon Oster's focus of the article is to raise awareness of the Nazi genocidal persecution and sexual violence towards women and Jewish women while residing in the concentration camps. The details are very graphic, making it a hard-hitting read as Oster uses accounts from female camp survivors to support her reasoning that this study is overdue.</w:t>
      </w:r>
    </w:p>
    <w:p w14:paraId="422BFB5A"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2C567E6B"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 xml:space="preserve">First, Oster goes in depth about 'female </w:t>
      </w:r>
      <w:proofErr w:type="spellStart"/>
      <w:r w:rsidRPr="00A66227">
        <w:rPr>
          <w:rFonts w:ascii="Times New Roman" w:eastAsia="Times New Roman" w:hAnsi="Times New Roman" w:cs="Times New Roman"/>
          <w:color w:val="0E101A"/>
          <w:sz w:val="24"/>
          <w:szCs w:val="24"/>
          <w:lang w:eastAsia="en-GB"/>
        </w:rPr>
        <w:t>Muselmann</w:t>
      </w:r>
      <w:proofErr w:type="spellEnd"/>
      <w:r w:rsidRPr="00A66227">
        <w:rPr>
          <w:rFonts w:ascii="Times New Roman" w:eastAsia="Times New Roman" w:hAnsi="Times New Roman" w:cs="Times New Roman"/>
          <w:color w:val="0E101A"/>
          <w:sz w:val="24"/>
          <w:szCs w:val="24"/>
          <w:lang w:eastAsia="en-GB"/>
        </w:rPr>
        <w:t xml:space="preserve">'. In the article, </w:t>
      </w:r>
      <w:proofErr w:type="spellStart"/>
      <w:r w:rsidRPr="00A66227">
        <w:rPr>
          <w:rFonts w:ascii="Times New Roman" w:eastAsia="Times New Roman" w:hAnsi="Times New Roman" w:cs="Times New Roman"/>
          <w:color w:val="0E101A"/>
          <w:sz w:val="24"/>
          <w:szCs w:val="24"/>
          <w:lang w:eastAsia="en-GB"/>
        </w:rPr>
        <w:t>Muselmänner</w:t>
      </w:r>
      <w:proofErr w:type="spellEnd"/>
      <w:r w:rsidRPr="00A66227">
        <w:rPr>
          <w:rFonts w:ascii="Times New Roman" w:eastAsia="Times New Roman" w:hAnsi="Times New Roman" w:cs="Times New Roman"/>
          <w:color w:val="0E101A"/>
          <w:sz w:val="24"/>
          <w:szCs w:val="24"/>
          <w:lang w:eastAsia="en-GB"/>
        </w:rPr>
        <w:t xml:space="preserve"> refers to individuals close to death caused by inhumane ways forced on them by the Nazis. Referred to as the 'living dead', individuals were the lowest of the pecking order and whose future was death by gas or other means. Abbreviations and origins of </w:t>
      </w:r>
      <w:proofErr w:type="spellStart"/>
      <w:r w:rsidRPr="00A66227">
        <w:rPr>
          <w:rFonts w:ascii="Times New Roman" w:eastAsia="Times New Roman" w:hAnsi="Times New Roman" w:cs="Times New Roman"/>
          <w:color w:val="0E101A"/>
          <w:sz w:val="24"/>
          <w:szCs w:val="24"/>
          <w:lang w:eastAsia="en-GB"/>
        </w:rPr>
        <w:t>Muselmänner</w:t>
      </w:r>
      <w:proofErr w:type="spellEnd"/>
      <w:r w:rsidRPr="00A66227">
        <w:rPr>
          <w:rFonts w:ascii="Times New Roman" w:eastAsia="Times New Roman" w:hAnsi="Times New Roman" w:cs="Times New Roman"/>
          <w:color w:val="0E101A"/>
          <w:sz w:val="24"/>
          <w:szCs w:val="24"/>
          <w:lang w:eastAsia="en-GB"/>
        </w:rPr>
        <w:t xml:space="preserve"> vary throughout.</w:t>
      </w:r>
    </w:p>
    <w:p w14:paraId="0D3C96BB"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686F3ED3"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Oster uses a range of German words with translations to help the reader understand without translating themselves. These phrases or words that have were used throughout that time. 'Judenrein or free of Jews.' is an example that Oster uses.</w:t>
      </w:r>
    </w:p>
    <w:p w14:paraId="0ECA1C04"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7AA1867D"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The layout of her article is very thought out. Introducing indentations for extensive quotations allows them to stand out and create further impact. An excellent example is on page 215, where she quotes, 'They were surrounded by a group of SS men and women, who amused themselves by giving these helpless creatures a taste of hell, after which death was a welcome friend. They were beaten with clubs and whips, torn by dogs, dragged around by the hair and kicked in the stomach with heavy German boots. Then, when they collapsed, they were thrown into the crematory—alive'.</w:t>
      </w:r>
    </w:p>
    <w:p w14:paraId="21B15CBA"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2C3F1407"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Throughout, there are various sentences which are 3 to 5 lines long. If shorter, these could help with the flow of the article and help the reader to continue to follow without losing focus. Examples of this can be seen on page 216.</w:t>
      </w:r>
    </w:p>
    <w:p w14:paraId="0AF01CD3"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388E7AAF"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Oster's article will benefit future research as it is based deeply on survivor accounts and shares every detail regardless of how crude or graphic.</w:t>
      </w:r>
    </w:p>
    <w:p w14:paraId="65993D8A"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603BF325"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4E1CCB36"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1892CED6"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7E1BCE95"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71F5D4C3"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5F20DAD0"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1A44BFB7"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2B6C41CF" w14:textId="77777777" w:rsidR="002772B7" w:rsidRDefault="002772B7" w:rsidP="002772B7">
      <w:pPr>
        <w:spacing w:after="200" w:line="276" w:lineRule="auto"/>
        <w:rPr>
          <w:rFonts w:ascii="Times New Roman" w:eastAsia="Times New Roman" w:hAnsi="Times New Roman" w:cs="Times New Roman"/>
          <w:color w:val="0E101A"/>
          <w:sz w:val="24"/>
          <w:szCs w:val="24"/>
          <w:lang w:eastAsia="en-GB"/>
        </w:rPr>
      </w:pPr>
    </w:p>
    <w:p w14:paraId="0C47B0CE" w14:textId="7C999814" w:rsidR="00A66227" w:rsidRPr="00A66227" w:rsidRDefault="00A66227" w:rsidP="002772B7">
      <w:pPr>
        <w:spacing w:after="200" w:line="276" w:lineRule="auto"/>
        <w:rPr>
          <w:rFonts w:ascii="Times New Roman" w:eastAsia="Times New Roman" w:hAnsi="Times New Roman" w:cs="Times New Roman"/>
          <w:b/>
          <w:bCs/>
          <w:color w:val="0E101A"/>
          <w:sz w:val="24"/>
          <w:szCs w:val="24"/>
          <w:u w:val="single"/>
          <w:lang w:eastAsia="en-GB"/>
        </w:rPr>
      </w:pPr>
      <w:r w:rsidRPr="00A66227">
        <w:rPr>
          <w:rFonts w:ascii="Times New Roman" w:eastAsia="Times New Roman" w:hAnsi="Times New Roman" w:cs="Times New Roman"/>
          <w:b/>
          <w:bCs/>
          <w:color w:val="0E101A"/>
          <w:sz w:val="24"/>
          <w:szCs w:val="24"/>
          <w:u w:val="single"/>
          <w:lang w:eastAsia="en-GB"/>
        </w:rPr>
        <w:lastRenderedPageBreak/>
        <w:t>R</w:t>
      </w:r>
      <w:r w:rsidR="002772B7">
        <w:rPr>
          <w:rFonts w:ascii="Times New Roman" w:eastAsia="Times New Roman" w:hAnsi="Times New Roman" w:cs="Times New Roman"/>
          <w:b/>
          <w:bCs/>
          <w:color w:val="0E101A"/>
          <w:sz w:val="24"/>
          <w:szCs w:val="24"/>
          <w:u w:val="single"/>
          <w:lang w:eastAsia="en-GB"/>
        </w:rPr>
        <w:t>e</w:t>
      </w:r>
      <w:r w:rsidRPr="00A66227">
        <w:rPr>
          <w:rFonts w:ascii="Times New Roman" w:eastAsia="Times New Roman" w:hAnsi="Times New Roman" w:cs="Times New Roman"/>
          <w:b/>
          <w:bCs/>
          <w:color w:val="0E101A"/>
          <w:sz w:val="24"/>
          <w:szCs w:val="24"/>
          <w:u w:val="single"/>
          <w:lang w:eastAsia="en-GB"/>
        </w:rPr>
        <w:t>view Four:</w:t>
      </w:r>
    </w:p>
    <w:p w14:paraId="2CFC10EB"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roofErr w:type="spellStart"/>
      <w:r w:rsidRPr="00A66227">
        <w:rPr>
          <w:rFonts w:ascii="Times New Roman" w:eastAsia="Times New Roman" w:hAnsi="Times New Roman" w:cs="Times New Roman"/>
          <w:color w:val="0E101A"/>
          <w:sz w:val="24"/>
          <w:szCs w:val="24"/>
          <w:lang w:eastAsia="en-GB"/>
        </w:rPr>
        <w:t>Westerman</w:t>
      </w:r>
      <w:proofErr w:type="spellEnd"/>
      <w:r w:rsidRPr="00A66227">
        <w:rPr>
          <w:rFonts w:ascii="Times New Roman" w:eastAsia="Times New Roman" w:hAnsi="Times New Roman" w:cs="Times New Roman"/>
          <w:color w:val="0E101A"/>
          <w:sz w:val="24"/>
          <w:szCs w:val="24"/>
          <w:lang w:eastAsia="en-GB"/>
        </w:rPr>
        <w:t>, Edward B, 'Stone-Cold Killers or Drunk with Murder? Alcohol and Atrocity during the Holocaust', </w:t>
      </w:r>
      <w:r w:rsidRPr="00A66227">
        <w:rPr>
          <w:rFonts w:ascii="Times New Roman" w:eastAsia="Times New Roman" w:hAnsi="Times New Roman" w:cs="Times New Roman"/>
          <w:i/>
          <w:iCs/>
          <w:color w:val="0E101A"/>
          <w:sz w:val="24"/>
          <w:szCs w:val="24"/>
          <w:lang w:eastAsia="en-GB"/>
        </w:rPr>
        <w:t>Holocaust and Genocide Studies, </w:t>
      </w:r>
      <w:r w:rsidRPr="00A66227">
        <w:rPr>
          <w:rFonts w:ascii="Times New Roman" w:eastAsia="Times New Roman" w:hAnsi="Times New Roman" w:cs="Times New Roman"/>
          <w:color w:val="0E101A"/>
          <w:sz w:val="24"/>
          <w:szCs w:val="24"/>
          <w:lang w:eastAsia="en-GB"/>
        </w:rPr>
        <w:t>VOL 30, NO. 1 (2016): pg. 1–19 &lt;DOI:10.1093/</w:t>
      </w:r>
      <w:proofErr w:type="spellStart"/>
      <w:r w:rsidRPr="00A66227">
        <w:rPr>
          <w:rFonts w:ascii="Times New Roman" w:eastAsia="Times New Roman" w:hAnsi="Times New Roman" w:cs="Times New Roman"/>
          <w:color w:val="0E101A"/>
          <w:sz w:val="24"/>
          <w:szCs w:val="24"/>
          <w:lang w:eastAsia="en-GB"/>
        </w:rPr>
        <w:t>hgs</w:t>
      </w:r>
      <w:proofErr w:type="spellEnd"/>
      <w:r w:rsidRPr="00A66227">
        <w:rPr>
          <w:rFonts w:ascii="Times New Roman" w:eastAsia="Times New Roman" w:hAnsi="Times New Roman" w:cs="Times New Roman"/>
          <w:color w:val="0E101A"/>
          <w:sz w:val="24"/>
          <w:szCs w:val="24"/>
          <w:lang w:eastAsia="en-GB"/>
        </w:rPr>
        <w:t>/dcw003&gt;</w:t>
      </w:r>
    </w:p>
    <w:p w14:paraId="5D21DBAA"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76F4EFDB" w14:textId="0276713B"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Edward Westermann examines how the Nazis' abused alcohol and how this contributed to the mass execution</w:t>
      </w:r>
      <w:r>
        <w:rPr>
          <w:rFonts w:ascii="Times New Roman" w:eastAsia="Times New Roman" w:hAnsi="Times New Roman" w:cs="Times New Roman"/>
          <w:color w:val="0E101A"/>
          <w:sz w:val="24"/>
          <w:szCs w:val="24"/>
          <w:lang w:eastAsia="en-GB"/>
        </w:rPr>
        <w:t xml:space="preserve"> </w:t>
      </w:r>
      <w:r w:rsidRPr="00A66227">
        <w:rPr>
          <w:rFonts w:ascii="Times New Roman" w:eastAsia="Times New Roman" w:hAnsi="Times New Roman" w:cs="Times New Roman"/>
          <w:color w:val="0E101A"/>
          <w:sz w:val="24"/>
          <w:szCs w:val="24"/>
          <w:lang w:eastAsia="en-GB"/>
        </w:rPr>
        <w:t>of Jews in the Eastern territories. The article includes accounts made by perpetrators and witnesses and other historical examples which mention the use of alcohol and how it contributed to causing countless deaths. </w:t>
      </w:r>
    </w:p>
    <w:p w14:paraId="2DA2A25D"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533BA2B9"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However, according to Westermann, there needs to be more analysis of this subject. </w:t>
      </w:r>
    </w:p>
    <w:p w14:paraId="31DE845A"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40882ED0"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 xml:space="preserve">Numerous historical sources are mentioned in the article, with the use of statistics helps to give context to the areas mentioned. An example from the article which stands out is when members of the Schutzstaffel (SS) at </w:t>
      </w:r>
      <w:proofErr w:type="spellStart"/>
      <w:r w:rsidRPr="00A66227">
        <w:rPr>
          <w:rFonts w:ascii="Times New Roman" w:eastAsia="Times New Roman" w:hAnsi="Times New Roman" w:cs="Times New Roman"/>
          <w:color w:val="0E101A"/>
          <w:sz w:val="24"/>
          <w:szCs w:val="24"/>
          <w:lang w:eastAsia="en-GB"/>
        </w:rPr>
        <w:t>Majdanek</w:t>
      </w:r>
      <w:proofErr w:type="spellEnd"/>
      <w:r w:rsidRPr="00A66227">
        <w:rPr>
          <w:rFonts w:ascii="Times New Roman" w:eastAsia="Times New Roman" w:hAnsi="Times New Roman" w:cs="Times New Roman"/>
          <w:color w:val="0E101A"/>
          <w:sz w:val="24"/>
          <w:szCs w:val="24"/>
          <w:lang w:eastAsia="en-GB"/>
        </w:rPr>
        <w:t xml:space="preserve"> in November 1943 glorified the execution of 8,000 Jews by throwing a 'wild party' where vodka was extensively consumed. As mentioned, some individuals "did not even bother to wash off the blood from their boots before they reached for the bottle." </w:t>
      </w:r>
    </w:p>
    <w:p w14:paraId="4378AB4B"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07502BE6"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The weakness that stands out is that all the footnotes are referenced at the end of the article. As a result, finding the source becomes complex, as you must go back and forth! </w:t>
      </w:r>
    </w:p>
    <w:p w14:paraId="29B0CD41"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p>
    <w:p w14:paraId="7EBF0103" w14:textId="77777777" w:rsidR="00A66227" w:rsidRPr="00A66227" w:rsidRDefault="00A66227" w:rsidP="00A66227">
      <w:pPr>
        <w:spacing w:after="0" w:line="240" w:lineRule="auto"/>
        <w:rPr>
          <w:rFonts w:ascii="Times New Roman" w:eastAsia="Times New Roman" w:hAnsi="Times New Roman" w:cs="Times New Roman"/>
          <w:color w:val="0E101A"/>
          <w:sz w:val="24"/>
          <w:szCs w:val="24"/>
          <w:lang w:eastAsia="en-GB"/>
        </w:rPr>
      </w:pPr>
      <w:r w:rsidRPr="00A66227">
        <w:rPr>
          <w:rFonts w:ascii="Times New Roman" w:eastAsia="Times New Roman" w:hAnsi="Times New Roman" w:cs="Times New Roman"/>
          <w:color w:val="0E101A"/>
          <w:sz w:val="24"/>
          <w:szCs w:val="24"/>
          <w:lang w:eastAsia="en-GB"/>
        </w:rPr>
        <w:t>Research can be significantly benefitted due to the quality and range of sources mentioned and the use of extensive detail quoted from them. </w:t>
      </w:r>
    </w:p>
    <w:p w14:paraId="24B5715D" w14:textId="1D8E16F3" w:rsidR="00CE49C8" w:rsidRPr="003C1ADD" w:rsidRDefault="00CE49C8" w:rsidP="00817374">
      <w:pPr>
        <w:jc w:val="both"/>
        <w:rPr>
          <w:rFonts w:ascii="Calibri" w:eastAsia="Times New Roman" w:hAnsi="Calibri" w:cs="Calibri"/>
          <w:color w:val="0E101A"/>
          <w:sz w:val="24"/>
          <w:szCs w:val="24"/>
          <w:lang w:eastAsia="en-GB"/>
        </w:rPr>
      </w:pPr>
    </w:p>
    <w:sectPr w:rsidR="00CE49C8" w:rsidRPr="003C1ADD" w:rsidSect="00DA716F">
      <w:headerReference w:type="default" r:id="rId8"/>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56C03" w14:textId="77777777" w:rsidR="00CE50BD" w:rsidRDefault="00CE50BD" w:rsidP="00A06369">
      <w:r>
        <w:separator/>
      </w:r>
    </w:p>
  </w:endnote>
  <w:endnote w:type="continuationSeparator" w:id="0">
    <w:p w14:paraId="60D5A2AB" w14:textId="77777777" w:rsidR="00CE50BD" w:rsidRDefault="00CE50BD"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panose1 w:val="0200050000000000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862BB" w14:textId="77777777" w:rsidR="00CE50BD" w:rsidRDefault="00CE50BD" w:rsidP="00A06369">
      <w:r>
        <w:separator/>
      </w:r>
    </w:p>
  </w:footnote>
  <w:footnote w:type="continuationSeparator" w:id="0">
    <w:p w14:paraId="191D7183" w14:textId="77777777" w:rsidR="00CE50BD" w:rsidRDefault="00CE50BD" w:rsidP="00A06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4"/>
  </w:num>
  <w:num w:numId="2" w16cid:durableId="1305429172">
    <w:abstractNumId w:val="3"/>
  </w:num>
  <w:num w:numId="3" w16cid:durableId="1391031915">
    <w:abstractNumId w:val="2"/>
  </w:num>
  <w:num w:numId="4" w16cid:durableId="1183589917">
    <w:abstractNumId w:val="0"/>
  </w:num>
  <w:num w:numId="5" w16cid:durableId="2010719388">
    <w:abstractNumId w:val="1"/>
  </w:num>
  <w:num w:numId="6" w16cid:durableId="267006981">
    <w:abstractNumId w:val="5"/>
  </w:num>
  <w:num w:numId="7" w16cid:durableId="702290374">
    <w:abstractNumId w:val="5"/>
  </w:num>
  <w:num w:numId="8" w16cid:durableId="458759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25B76"/>
    <w:rsid w:val="000340C6"/>
    <w:rsid w:val="000348D5"/>
    <w:rsid w:val="000355AD"/>
    <w:rsid w:val="00053509"/>
    <w:rsid w:val="00060B44"/>
    <w:rsid w:val="000632C1"/>
    <w:rsid w:val="00063334"/>
    <w:rsid w:val="00067567"/>
    <w:rsid w:val="00070412"/>
    <w:rsid w:val="0007133D"/>
    <w:rsid w:val="00073C10"/>
    <w:rsid w:val="00082307"/>
    <w:rsid w:val="00096F73"/>
    <w:rsid w:val="000B1AF7"/>
    <w:rsid w:val="000B30F0"/>
    <w:rsid w:val="000B623D"/>
    <w:rsid w:val="000D0A2D"/>
    <w:rsid w:val="000F1B51"/>
    <w:rsid w:val="000F4483"/>
    <w:rsid w:val="001006E8"/>
    <w:rsid w:val="00113262"/>
    <w:rsid w:val="001145D0"/>
    <w:rsid w:val="0012391C"/>
    <w:rsid w:val="00161EBF"/>
    <w:rsid w:val="001816D7"/>
    <w:rsid w:val="0018426F"/>
    <w:rsid w:val="00184B8E"/>
    <w:rsid w:val="001A655F"/>
    <w:rsid w:val="001B0094"/>
    <w:rsid w:val="001B019D"/>
    <w:rsid w:val="001B2060"/>
    <w:rsid w:val="001B50F4"/>
    <w:rsid w:val="001B737D"/>
    <w:rsid w:val="001B7486"/>
    <w:rsid w:val="001B7A45"/>
    <w:rsid w:val="001C20A4"/>
    <w:rsid w:val="001C4D30"/>
    <w:rsid w:val="001E6550"/>
    <w:rsid w:val="001F5727"/>
    <w:rsid w:val="00200317"/>
    <w:rsid w:val="002067F1"/>
    <w:rsid w:val="002072DB"/>
    <w:rsid w:val="00212A12"/>
    <w:rsid w:val="00234827"/>
    <w:rsid w:val="0024423E"/>
    <w:rsid w:val="002504D1"/>
    <w:rsid w:val="00256B31"/>
    <w:rsid w:val="002607BB"/>
    <w:rsid w:val="00265B4A"/>
    <w:rsid w:val="00266922"/>
    <w:rsid w:val="002745E1"/>
    <w:rsid w:val="002772B7"/>
    <w:rsid w:val="002A39C9"/>
    <w:rsid w:val="002B5E13"/>
    <w:rsid w:val="002D000C"/>
    <w:rsid w:val="002E7C73"/>
    <w:rsid w:val="002F3E91"/>
    <w:rsid w:val="002F58CF"/>
    <w:rsid w:val="00302469"/>
    <w:rsid w:val="0030599D"/>
    <w:rsid w:val="00332421"/>
    <w:rsid w:val="0033536B"/>
    <w:rsid w:val="0034020D"/>
    <w:rsid w:val="00342C55"/>
    <w:rsid w:val="00343D94"/>
    <w:rsid w:val="00345FC7"/>
    <w:rsid w:val="003530B1"/>
    <w:rsid w:val="00367546"/>
    <w:rsid w:val="003707FD"/>
    <w:rsid w:val="003811FD"/>
    <w:rsid w:val="00383724"/>
    <w:rsid w:val="00383DC5"/>
    <w:rsid w:val="00391070"/>
    <w:rsid w:val="003A0B65"/>
    <w:rsid w:val="003C1ADD"/>
    <w:rsid w:val="003C51CF"/>
    <w:rsid w:val="003F1F80"/>
    <w:rsid w:val="003F6609"/>
    <w:rsid w:val="00427DC7"/>
    <w:rsid w:val="00463A8C"/>
    <w:rsid w:val="00472EB6"/>
    <w:rsid w:val="00484EEB"/>
    <w:rsid w:val="004863A9"/>
    <w:rsid w:val="004B4907"/>
    <w:rsid w:val="004C2D1A"/>
    <w:rsid w:val="004E4DB7"/>
    <w:rsid w:val="004E7B73"/>
    <w:rsid w:val="004E7D6F"/>
    <w:rsid w:val="00501CCA"/>
    <w:rsid w:val="005027B3"/>
    <w:rsid w:val="00503B8A"/>
    <w:rsid w:val="005045E5"/>
    <w:rsid w:val="005049DA"/>
    <w:rsid w:val="005200CD"/>
    <w:rsid w:val="00535D71"/>
    <w:rsid w:val="00550267"/>
    <w:rsid w:val="00563035"/>
    <w:rsid w:val="00576C76"/>
    <w:rsid w:val="0058626C"/>
    <w:rsid w:val="005A40A8"/>
    <w:rsid w:val="005A634F"/>
    <w:rsid w:val="005B055C"/>
    <w:rsid w:val="005C1115"/>
    <w:rsid w:val="005C7921"/>
    <w:rsid w:val="005C7ACA"/>
    <w:rsid w:val="005E1AFE"/>
    <w:rsid w:val="006014D8"/>
    <w:rsid w:val="00606A7D"/>
    <w:rsid w:val="0061026F"/>
    <w:rsid w:val="006233FD"/>
    <w:rsid w:val="00625291"/>
    <w:rsid w:val="006318A4"/>
    <w:rsid w:val="00636668"/>
    <w:rsid w:val="00641133"/>
    <w:rsid w:val="006508AC"/>
    <w:rsid w:val="00656CC4"/>
    <w:rsid w:val="00677152"/>
    <w:rsid w:val="006A4EC7"/>
    <w:rsid w:val="006B4260"/>
    <w:rsid w:val="006B569C"/>
    <w:rsid w:val="006B5D0A"/>
    <w:rsid w:val="006B6B79"/>
    <w:rsid w:val="006C2493"/>
    <w:rsid w:val="006C65CB"/>
    <w:rsid w:val="006D6A31"/>
    <w:rsid w:val="006D7443"/>
    <w:rsid w:val="006E6A8C"/>
    <w:rsid w:val="00731194"/>
    <w:rsid w:val="0073636D"/>
    <w:rsid w:val="0077660F"/>
    <w:rsid w:val="007863F8"/>
    <w:rsid w:val="007B4E6E"/>
    <w:rsid w:val="007C2478"/>
    <w:rsid w:val="007C5DBF"/>
    <w:rsid w:val="007E090B"/>
    <w:rsid w:val="007E34A9"/>
    <w:rsid w:val="007F0A1B"/>
    <w:rsid w:val="007F130B"/>
    <w:rsid w:val="007F7E11"/>
    <w:rsid w:val="00804094"/>
    <w:rsid w:val="008070A1"/>
    <w:rsid w:val="00812C55"/>
    <w:rsid w:val="00817374"/>
    <w:rsid w:val="00823716"/>
    <w:rsid w:val="00826CAA"/>
    <w:rsid w:val="00844FF0"/>
    <w:rsid w:val="00846A87"/>
    <w:rsid w:val="008604CC"/>
    <w:rsid w:val="00875059"/>
    <w:rsid w:val="008A0908"/>
    <w:rsid w:val="008B500D"/>
    <w:rsid w:val="008C1AC7"/>
    <w:rsid w:val="008C22F6"/>
    <w:rsid w:val="008C5E28"/>
    <w:rsid w:val="008D4B5A"/>
    <w:rsid w:val="008D6460"/>
    <w:rsid w:val="00905499"/>
    <w:rsid w:val="0092059D"/>
    <w:rsid w:val="00922485"/>
    <w:rsid w:val="00924658"/>
    <w:rsid w:val="00930303"/>
    <w:rsid w:val="0094243D"/>
    <w:rsid w:val="00942751"/>
    <w:rsid w:val="009437A3"/>
    <w:rsid w:val="00951628"/>
    <w:rsid w:val="009621E4"/>
    <w:rsid w:val="0097455D"/>
    <w:rsid w:val="00977459"/>
    <w:rsid w:val="009815F2"/>
    <w:rsid w:val="009857CC"/>
    <w:rsid w:val="009C15F3"/>
    <w:rsid w:val="009C2976"/>
    <w:rsid w:val="009C2BB7"/>
    <w:rsid w:val="009C4311"/>
    <w:rsid w:val="009E15B9"/>
    <w:rsid w:val="00A06369"/>
    <w:rsid w:val="00A06459"/>
    <w:rsid w:val="00A41B9C"/>
    <w:rsid w:val="00A41D4A"/>
    <w:rsid w:val="00A50318"/>
    <w:rsid w:val="00A62AAC"/>
    <w:rsid w:val="00A640ED"/>
    <w:rsid w:val="00A66227"/>
    <w:rsid w:val="00A67424"/>
    <w:rsid w:val="00A70A65"/>
    <w:rsid w:val="00A75E16"/>
    <w:rsid w:val="00A806E2"/>
    <w:rsid w:val="00A83E00"/>
    <w:rsid w:val="00A83EDF"/>
    <w:rsid w:val="00A85670"/>
    <w:rsid w:val="00A86D74"/>
    <w:rsid w:val="00A922BE"/>
    <w:rsid w:val="00AA1D20"/>
    <w:rsid w:val="00AA4E59"/>
    <w:rsid w:val="00AA6CE4"/>
    <w:rsid w:val="00AC3822"/>
    <w:rsid w:val="00AD04FD"/>
    <w:rsid w:val="00B06A31"/>
    <w:rsid w:val="00B103DC"/>
    <w:rsid w:val="00B26789"/>
    <w:rsid w:val="00B349E9"/>
    <w:rsid w:val="00B46B3A"/>
    <w:rsid w:val="00B477B2"/>
    <w:rsid w:val="00B51A25"/>
    <w:rsid w:val="00B7049F"/>
    <w:rsid w:val="00B84F3A"/>
    <w:rsid w:val="00B8758A"/>
    <w:rsid w:val="00BA5D8B"/>
    <w:rsid w:val="00BB11CF"/>
    <w:rsid w:val="00BB7E20"/>
    <w:rsid w:val="00BE3268"/>
    <w:rsid w:val="00BF1CF3"/>
    <w:rsid w:val="00BF7DB2"/>
    <w:rsid w:val="00C12784"/>
    <w:rsid w:val="00C357AB"/>
    <w:rsid w:val="00C5794C"/>
    <w:rsid w:val="00C65FCC"/>
    <w:rsid w:val="00C86D2C"/>
    <w:rsid w:val="00C9415B"/>
    <w:rsid w:val="00CA0310"/>
    <w:rsid w:val="00CA5BDD"/>
    <w:rsid w:val="00CC3222"/>
    <w:rsid w:val="00CC33AF"/>
    <w:rsid w:val="00CD675B"/>
    <w:rsid w:val="00CE49C8"/>
    <w:rsid w:val="00CE50BD"/>
    <w:rsid w:val="00D013F0"/>
    <w:rsid w:val="00D07098"/>
    <w:rsid w:val="00D11C40"/>
    <w:rsid w:val="00D146B3"/>
    <w:rsid w:val="00D2053D"/>
    <w:rsid w:val="00D3166A"/>
    <w:rsid w:val="00D35E7B"/>
    <w:rsid w:val="00D37AD4"/>
    <w:rsid w:val="00D43640"/>
    <w:rsid w:val="00D5678F"/>
    <w:rsid w:val="00D578F1"/>
    <w:rsid w:val="00D61A89"/>
    <w:rsid w:val="00D643EC"/>
    <w:rsid w:val="00D659EF"/>
    <w:rsid w:val="00D80B7D"/>
    <w:rsid w:val="00D97E21"/>
    <w:rsid w:val="00DA668D"/>
    <w:rsid w:val="00DA716F"/>
    <w:rsid w:val="00DC24E2"/>
    <w:rsid w:val="00DC377A"/>
    <w:rsid w:val="00DC4C53"/>
    <w:rsid w:val="00DC60A8"/>
    <w:rsid w:val="00DD066E"/>
    <w:rsid w:val="00E03E8E"/>
    <w:rsid w:val="00E04CEB"/>
    <w:rsid w:val="00E10B26"/>
    <w:rsid w:val="00E1533D"/>
    <w:rsid w:val="00E16986"/>
    <w:rsid w:val="00E16B47"/>
    <w:rsid w:val="00E172BF"/>
    <w:rsid w:val="00E274C7"/>
    <w:rsid w:val="00E30F18"/>
    <w:rsid w:val="00E5650C"/>
    <w:rsid w:val="00E56B39"/>
    <w:rsid w:val="00E6002E"/>
    <w:rsid w:val="00E84B56"/>
    <w:rsid w:val="00E87A30"/>
    <w:rsid w:val="00EA2D26"/>
    <w:rsid w:val="00EC32A9"/>
    <w:rsid w:val="00EE5241"/>
    <w:rsid w:val="00EF1606"/>
    <w:rsid w:val="00EF7514"/>
    <w:rsid w:val="00F06247"/>
    <w:rsid w:val="00F12712"/>
    <w:rsid w:val="00F4052B"/>
    <w:rsid w:val="00F65181"/>
    <w:rsid w:val="00F67F8C"/>
    <w:rsid w:val="00F7105E"/>
    <w:rsid w:val="00F77215"/>
    <w:rsid w:val="00F8158F"/>
    <w:rsid w:val="00F863ED"/>
    <w:rsid w:val="00F87E4C"/>
    <w:rsid w:val="00FA141A"/>
    <w:rsid w:val="00FA1B35"/>
    <w:rsid w:val="00FA5416"/>
    <w:rsid w:val="00FB27C2"/>
    <w:rsid w:val="00FC239B"/>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5</Pages>
  <Words>1103</Words>
  <Characters>6288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 EBGC</cp:lastModifiedBy>
  <cp:revision>159</cp:revision>
  <dcterms:created xsi:type="dcterms:W3CDTF">2022-12-23T15:45:00Z</dcterms:created>
  <dcterms:modified xsi:type="dcterms:W3CDTF">2023-02-24T15:51:00Z</dcterms:modified>
</cp:coreProperties>
</file>