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B7990" w:rsidRDefault="00DB7990"/>
    <w:p w14:paraId="00000002" w14:textId="77777777" w:rsidR="00DB7990" w:rsidRDefault="00000000">
      <w:pPr>
        <w:jc w:val="center"/>
        <w:rPr>
          <w:b/>
          <w:u w:val="single"/>
        </w:rPr>
      </w:pPr>
      <w:r>
        <w:rPr>
          <w:b/>
          <w:u w:val="single"/>
        </w:rPr>
        <w:t>A Critical Comparison of Two JSTOR Papers</w:t>
      </w:r>
    </w:p>
    <w:p w14:paraId="00000003" w14:textId="77777777" w:rsidR="00DB7990" w:rsidRDefault="00DB7990">
      <w:pPr>
        <w:jc w:val="center"/>
        <w:rPr>
          <w:b/>
          <w:u w:val="single"/>
        </w:rPr>
      </w:pPr>
    </w:p>
    <w:p w14:paraId="00000004" w14:textId="77777777" w:rsidR="00DB7990" w:rsidRDefault="00000000">
      <w:r>
        <w:tab/>
        <w:t xml:space="preserve">This essay is a critical comparison of the JSTOR Papers; </w:t>
      </w:r>
      <w:r>
        <w:rPr>
          <w:i/>
        </w:rPr>
        <w:t xml:space="preserve">The Nahua Myth of the Suns: History and Cosmology in Pre-Hispanic Mexican Religions </w:t>
      </w:r>
      <w:r>
        <w:t xml:space="preserve">by Wayne </w:t>
      </w:r>
      <w:proofErr w:type="spellStart"/>
      <w:r>
        <w:t>Elzey</w:t>
      </w:r>
      <w:proofErr w:type="spellEnd"/>
      <w:r>
        <w:rPr>
          <w:vertAlign w:val="superscript"/>
        </w:rPr>
        <w:footnoteReference w:id="1"/>
      </w:r>
      <w:r>
        <w:t xml:space="preserve"> and </w:t>
      </w:r>
      <w:r>
        <w:rPr>
          <w:i/>
        </w:rPr>
        <w:t xml:space="preserve">How the Dog Got Its Days: A </w:t>
      </w:r>
      <w:proofErr w:type="spellStart"/>
      <w:r>
        <w:rPr>
          <w:i/>
        </w:rPr>
        <w:t>Skeptical</w:t>
      </w:r>
      <w:proofErr w:type="spellEnd"/>
      <w:r>
        <w:rPr>
          <w:i/>
        </w:rPr>
        <w:t xml:space="preserve"> Inquiry into Traditional Star and Weather Lore</w:t>
      </w:r>
      <w:r>
        <w:t xml:space="preserve"> by Eleanor R. Long </w:t>
      </w:r>
      <w:r>
        <w:rPr>
          <w:vertAlign w:val="superscript"/>
        </w:rPr>
        <w:footnoteReference w:id="2"/>
      </w:r>
      <w:r>
        <w:t xml:space="preserve">. </w:t>
      </w:r>
      <w:r>
        <w:rPr>
          <w:i/>
        </w:rPr>
        <w:t xml:space="preserve"> </w:t>
      </w:r>
      <w:r>
        <w:t xml:space="preserve">Both these studies focus on cosmologies, handling the subject matter from contrasting approaches. This analysis seeks to look at their approaches, influences, contents, and their incorporation of cosmologies. Long’s study outlines multiple hypotheses for a myth- leaving some open-ended questions. Whereas </w:t>
      </w:r>
      <w:proofErr w:type="spellStart"/>
      <w:r>
        <w:t>Elzey</w:t>
      </w:r>
      <w:proofErr w:type="spellEnd"/>
      <w:r>
        <w:t xml:space="preserve"> provides a more detailed account of the myth he reports. However, both provide studies aligned with their respective philosophies.</w:t>
      </w:r>
    </w:p>
    <w:p w14:paraId="00000005" w14:textId="29A13A2B" w:rsidR="00DB7990" w:rsidRDefault="00000000">
      <w:pPr>
        <w:ind w:firstLine="720"/>
      </w:pPr>
      <w:r>
        <w:rPr>
          <w:i/>
        </w:rPr>
        <w:t xml:space="preserve">How the Dog Got Its Days:  A </w:t>
      </w:r>
      <w:proofErr w:type="spellStart"/>
      <w:r>
        <w:rPr>
          <w:i/>
        </w:rPr>
        <w:t>Skeptical</w:t>
      </w:r>
      <w:proofErr w:type="spellEnd"/>
      <w:r>
        <w:rPr>
          <w:i/>
        </w:rPr>
        <w:t xml:space="preserve"> Inquiry </w:t>
      </w:r>
      <w:proofErr w:type="gramStart"/>
      <w:r>
        <w:rPr>
          <w:i/>
        </w:rPr>
        <w:t>Into</w:t>
      </w:r>
      <w:proofErr w:type="gramEnd"/>
      <w:r>
        <w:rPr>
          <w:i/>
        </w:rPr>
        <w:t xml:space="preserve"> Traditional Star and Weather Lore</w:t>
      </w:r>
      <w:r>
        <w:rPr>
          <w:i/>
          <w:vertAlign w:val="superscript"/>
        </w:rPr>
        <w:footnoteReference w:id="3"/>
      </w:r>
      <w:r>
        <w:t xml:space="preserve"> was originally compiled to be read at an “annual meeting of the California Folklore Society at Fort Mason in San </w:t>
      </w:r>
      <w:r w:rsidR="00E3044B">
        <w:t>Francisco”</w:t>
      </w:r>
      <w:r>
        <w:rPr>
          <w:vertAlign w:val="superscript"/>
        </w:rPr>
        <w:footnoteReference w:id="4"/>
      </w:r>
      <w:r>
        <w:t xml:space="preserve"> in 1964. Intended to target other scholars of the field, Long employs her 16-year teaching experience in Folklore; exploring the traditional origins of this phrase and posing many hypotheses on the core meaning of the idiom “dog days”</w:t>
      </w:r>
      <w:r>
        <w:rPr>
          <w:vertAlign w:val="superscript"/>
        </w:rPr>
        <w:footnoteReference w:id="5"/>
      </w:r>
      <w:r>
        <w:t>; while looking at a range of cultures and myths to conclude. Long talks about the modern implication of “dog days”- attributing it to a particularly awful time for humanity. She quickly links the phrase to the rise of the “dog star</w:t>
      </w:r>
      <w:r w:rsidR="00E3044B">
        <w:t>”;</w:t>
      </w:r>
      <w:r>
        <w:t xml:space="preserve"> Sirius, which becomes the central theme of the study.  She concludes that “dog days” and the negative connotations associated with them are commonly assumed to be due to the correlation between the rising of Sirius and the “hottest time of the year”</w:t>
      </w:r>
      <w:r>
        <w:rPr>
          <w:vertAlign w:val="superscript"/>
        </w:rPr>
        <w:footnoteReference w:id="6"/>
      </w:r>
      <w:r>
        <w:t xml:space="preserve">. Despite popular assumptions, she continues to outline opposing theories of how the annual dread of the “dog days” came to be. Long seems to grapple between conflicting theories, unable to synthesise her ideas into one cohesive argument. She seems to follow in her advisor; </w:t>
      </w:r>
      <w:proofErr w:type="spellStart"/>
      <w:r>
        <w:t>Puhvel’s</w:t>
      </w:r>
      <w:proofErr w:type="spellEnd"/>
      <w:r>
        <w:t xml:space="preserve"> ideologies of </w:t>
      </w:r>
      <w:r w:rsidR="00E3044B">
        <w:t>being “</w:t>
      </w:r>
      <w:r>
        <w:t xml:space="preserve">mindful of the fluidity of the subject” </w:t>
      </w:r>
      <w:r>
        <w:rPr>
          <w:vertAlign w:val="superscript"/>
        </w:rPr>
        <w:footnoteReference w:id="7"/>
      </w:r>
      <w:r>
        <w:rPr>
          <w:i/>
        </w:rPr>
        <w:t xml:space="preserve"> </w:t>
      </w:r>
      <w:r>
        <w:t>by displaying her ability to explore multiple different ideas and present those clearly. However, once one point is made, it quickly falls by the wayside to pick up another point- leaving some inconclusive.</w:t>
      </w:r>
    </w:p>
    <w:p w14:paraId="00000006" w14:textId="522542ED" w:rsidR="00DB7990" w:rsidRDefault="00000000">
      <w:pPr>
        <w:ind w:firstLine="720"/>
      </w:pPr>
      <w:r>
        <w:t xml:space="preserve">On the other hand, </w:t>
      </w:r>
      <w:r>
        <w:rPr>
          <w:i/>
        </w:rPr>
        <w:t>The Nahua Myth of the Suns: History and Cosmology in Pre-Hispanic Mexican Religions</w:t>
      </w:r>
      <w:r>
        <w:rPr>
          <w:i/>
          <w:vertAlign w:val="superscript"/>
        </w:rPr>
        <w:footnoteReference w:id="8"/>
      </w:r>
      <w:r>
        <w:rPr>
          <w:i/>
        </w:rPr>
        <w:t>,</w:t>
      </w:r>
      <w:r>
        <w:rPr>
          <w:i/>
          <w:vertAlign w:val="superscript"/>
        </w:rPr>
        <w:footnoteReference w:id="9"/>
      </w:r>
      <w:r>
        <w:rPr>
          <w:i/>
        </w:rPr>
        <w:t xml:space="preserve"> </w:t>
      </w:r>
      <w:r>
        <w:t xml:space="preserve">was written 6 years into his academic post at the </w:t>
      </w:r>
      <w:r w:rsidR="00E3044B">
        <w:t>University</w:t>
      </w:r>
      <w:r>
        <w:t xml:space="preserve"> of Miami for the 23rd Volume of the </w:t>
      </w:r>
      <w:r>
        <w:rPr>
          <w:i/>
        </w:rPr>
        <w:t xml:space="preserve">Numen International Review for the History of Religions; </w:t>
      </w:r>
      <w:r>
        <w:t xml:space="preserve">printed in </w:t>
      </w:r>
      <w:r>
        <w:rPr>
          <w:sz w:val="21"/>
          <w:szCs w:val="21"/>
        </w:rPr>
        <w:t>August of 1976</w:t>
      </w:r>
      <w:r>
        <w:t xml:space="preserve">. Through the submission to this journal, it is evident that </w:t>
      </w:r>
      <w:proofErr w:type="spellStart"/>
      <w:r>
        <w:t>Elzey's</w:t>
      </w:r>
      <w:proofErr w:type="spellEnd"/>
      <w:r>
        <w:t xml:space="preserve"> intended audience was other scholars of religion. This journal is a compilation of </w:t>
      </w:r>
      <w:r>
        <w:lastRenderedPageBreak/>
        <w:t>“scholarship in all areas of the history of religions”</w:t>
      </w:r>
      <w:r>
        <w:rPr>
          <w:vertAlign w:val="superscript"/>
        </w:rPr>
        <w:footnoteReference w:id="10"/>
      </w:r>
      <w:r>
        <w:t>, highlighting authorship prioritising “empirical, source-based research”</w:t>
      </w:r>
      <w:r>
        <w:rPr>
          <w:vertAlign w:val="superscript"/>
        </w:rPr>
        <w:footnoteReference w:id="11"/>
      </w:r>
      <w:r>
        <w:t xml:space="preserve">.  </w:t>
      </w:r>
      <w:proofErr w:type="spellStart"/>
      <w:r>
        <w:t>Elzey</w:t>
      </w:r>
      <w:proofErr w:type="spellEnd"/>
      <w:r>
        <w:t xml:space="preserve"> introduces the aims of the piece very clearly. He states he aims to: showcase how the “myth of the Suns” has a central role in outlining the “organisation of space, time, the cosmology, the calendars, ritual activity” </w:t>
      </w:r>
      <w:r>
        <w:rPr>
          <w:vertAlign w:val="superscript"/>
        </w:rPr>
        <w:footnoteReference w:id="12"/>
      </w:r>
      <w:r>
        <w:t xml:space="preserve"> and its relevance to the belief of the conception of the world, to communicate the unique nature of the myths and its specificity to Mexican culture, and argues that the cycle system used by the Nahua is similar to a religious system that can be used comparatively.</w:t>
      </w:r>
      <w:r>
        <w:rPr>
          <w:vertAlign w:val="superscript"/>
        </w:rPr>
        <w:footnoteReference w:id="13"/>
      </w:r>
      <w:r>
        <w:t xml:space="preserve"> He achieves all of these aims.  </w:t>
      </w:r>
    </w:p>
    <w:p w14:paraId="00000007" w14:textId="77777777" w:rsidR="00DB7990" w:rsidRDefault="00000000">
      <w:pPr>
        <w:rPr>
          <w:highlight w:val="red"/>
        </w:rPr>
      </w:pPr>
      <w:r>
        <w:t xml:space="preserve">He presents a concrete account of the myth with the support of multiple primary sources, unlike Long’s study of </w:t>
      </w:r>
      <w:r>
        <w:rPr>
          <w:i/>
        </w:rPr>
        <w:t>a dog’s day.</w:t>
      </w:r>
    </w:p>
    <w:p w14:paraId="00000008" w14:textId="77777777" w:rsidR="00DB7990" w:rsidRDefault="00DB7990">
      <w:pPr>
        <w:ind w:firstLine="720"/>
        <w:rPr>
          <w:highlight w:val="red"/>
        </w:rPr>
      </w:pPr>
    </w:p>
    <w:p w14:paraId="00000009" w14:textId="77777777" w:rsidR="00DB7990" w:rsidRDefault="00000000">
      <w:pPr>
        <w:ind w:firstLine="720"/>
        <w:jc w:val="center"/>
        <w:rPr>
          <w:b/>
          <w:u w:val="single"/>
        </w:rPr>
      </w:pPr>
      <w:r>
        <w:rPr>
          <w:b/>
          <w:u w:val="single"/>
        </w:rPr>
        <w:t>The Authors and Their Approach</w:t>
      </w:r>
    </w:p>
    <w:p w14:paraId="0000000A" w14:textId="77777777" w:rsidR="00DB7990" w:rsidRDefault="00DB7990"/>
    <w:p w14:paraId="0000000B" w14:textId="77777777" w:rsidR="00DB7990" w:rsidRDefault="00000000">
      <w:pPr>
        <w:ind w:firstLine="720"/>
      </w:pPr>
      <w:r>
        <w:t xml:space="preserve">Eleanor R. Long was a "Folklore and balladry scholar" </w:t>
      </w:r>
      <w:r>
        <w:rPr>
          <w:vertAlign w:val="superscript"/>
        </w:rPr>
        <w:footnoteReference w:id="14"/>
      </w:r>
      <w:r>
        <w:t>, born in 1923 in Seattle. After securing her PhD in English literature and Folklore from the University of California at Los Angeles, she jumped into professional academia. She became a professor of “folklore, comparative mythology, and Medieval literature at Santa Clara University, the University of Saskatchewan, the University of California at Los Angeles, and California State University at Long Beach”.</w:t>
      </w:r>
      <w:r>
        <w:rPr>
          <w:vertAlign w:val="superscript"/>
        </w:rPr>
        <w:footnoteReference w:id="15"/>
      </w:r>
      <w:r>
        <w:t xml:space="preserve"> </w:t>
      </w:r>
    </w:p>
    <w:p w14:paraId="0000000C" w14:textId="16FDD6A9" w:rsidR="00DB7990" w:rsidRDefault="00000000">
      <w:pPr>
        <w:ind w:firstLine="720"/>
      </w:pPr>
      <w:r>
        <w:t xml:space="preserve">Alternately, Wayne D. </w:t>
      </w:r>
      <w:proofErr w:type="spellStart"/>
      <w:r>
        <w:t>Elzey</w:t>
      </w:r>
      <w:proofErr w:type="spellEnd"/>
      <w:r>
        <w:t xml:space="preserve"> was a </w:t>
      </w:r>
      <w:r w:rsidR="00E3044B">
        <w:t>professor</w:t>
      </w:r>
      <w:r>
        <w:t xml:space="preserve"> and enthusiast of Comparative Religions. He was born in Ionia, Michigan, in 1941. He earned his PhD in History of Religion from the University of Chicago; then moved on to become a professor at The University of Miami- holding his post from 1970 to 2002</w:t>
      </w:r>
      <w:r>
        <w:rPr>
          <w:vertAlign w:val="superscript"/>
        </w:rPr>
        <w:footnoteReference w:id="16"/>
      </w:r>
      <w:r>
        <w:t xml:space="preserve">. He was an “expert in prehistoric Meso-American cultures, making numerous research trips to Mexico and Central America.” </w:t>
      </w:r>
      <w:r>
        <w:rPr>
          <w:vertAlign w:val="superscript"/>
        </w:rPr>
        <w:footnoteReference w:id="17"/>
      </w:r>
      <w:r>
        <w:t xml:space="preserve"> He published multiple pieces on Mayan and Aztec cultures, including </w:t>
      </w:r>
      <w:r>
        <w:rPr>
          <w:i/>
        </w:rPr>
        <w:t>A Hill on a Land Surrounded by Water: An Aztec Story of Origin and Destiny (</w:t>
      </w:r>
      <w:r>
        <w:t>1991)</w:t>
      </w:r>
      <w:r>
        <w:rPr>
          <w:i/>
        </w:rPr>
        <w:t xml:space="preserve"> </w:t>
      </w:r>
      <w:r>
        <w:t>and</w:t>
      </w:r>
      <w:r>
        <w:rPr>
          <w:i/>
        </w:rPr>
        <w:t xml:space="preserve"> Some Remarks on The Space and Time of the “</w:t>
      </w:r>
      <w:proofErr w:type="spellStart"/>
      <w:r>
        <w:rPr>
          <w:i/>
        </w:rPr>
        <w:t>Center</w:t>
      </w:r>
      <w:proofErr w:type="spellEnd"/>
      <w:r>
        <w:rPr>
          <w:i/>
        </w:rPr>
        <w:t>” in Aztec Religion (</w:t>
      </w:r>
      <w:r>
        <w:t>1976</w:t>
      </w:r>
      <w:r>
        <w:rPr>
          <w:i/>
        </w:rPr>
        <w:t xml:space="preserve">).  </w:t>
      </w:r>
      <w:r>
        <w:t xml:space="preserve">His </w:t>
      </w:r>
      <w:r w:rsidR="00E3044B">
        <w:t>co-worker</w:t>
      </w:r>
      <w:r>
        <w:t xml:space="preserve"> Liz Wilson described his dissertation as “one of the best studies ever written anywhere on the royal mythology of the Aztec state” </w:t>
      </w:r>
      <w:r>
        <w:rPr>
          <w:vertAlign w:val="superscript"/>
        </w:rPr>
        <w:footnoteReference w:id="18"/>
      </w:r>
      <w:r>
        <w:t>.</w:t>
      </w:r>
    </w:p>
    <w:p w14:paraId="0000000D" w14:textId="77777777" w:rsidR="00DB7990" w:rsidRDefault="00000000">
      <w:pPr>
        <w:ind w:firstLine="720"/>
      </w:pPr>
      <w:r>
        <w:t xml:space="preserve">Both Authors display a close following to the style of their respective schools of study; Long shows expertise in the approach of comparative mythology and folklore, whereas </w:t>
      </w:r>
      <w:proofErr w:type="spellStart"/>
      <w:r>
        <w:t>Elzey</w:t>
      </w:r>
      <w:proofErr w:type="spellEnd"/>
      <w:r>
        <w:t xml:space="preserve"> displays a style congruent to his background in religious history.  In an </w:t>
      </w:r>
      <w:r>
        <w:lastRenderedPageBreak/>
        <w:t xml:space="preserve">interview with </w:t>
      </w:r>
      <w:proofErr w:type="spellStart"/>
      <w:r>
        <w:rPr>
          <w:i/>
        </w:rPr>
        <w:t>Eesti</w:t>
      </w:r>
      <w:proofErr w:type="spellEnd"/>
      <w:r>
        <w:rPr>
          <w:i/>
        </w:rPr>
        <w:t xml:space="preserve"> </w:t>
      </w:r>
      <w:proofErr w:type="spellStart"/>
      <w:r>
        <w:rPr>
          <w:i/>
        </w:rPr>
        <w:t>Päevaleht</w:t>
      </w:r>
      <w:proofErr w:type="spellEnd"/>
      <w:r>
        <w:t xml:space="preserve"> newspaper, </w:t>
      </w:r>
      <w:proofErr w:type="spellStart"/>
      <w:r>
        <w:t>Puhvel</w:t>
      </w:r>
      <w:proofErr w:type="spellEnd"/>
      <w:r>
        <w:t xml:space="preserve"> describes, “comparative religious history is a bit more comprehensive”. </w:t>
      </w:r>
      <w:r>
        <w:rPr>
          <w:vertAlign w:val="superscript"/>
        </w:rPr>
        <w:footnoteReference w:id="19"/>
      </w:r>
      <w:r>
        <w:t xml:space="preserve"> </w:t>
      </w:r>
      <w:proofErr w:type="gramStart"/>
      <w:r>
        <w:t>Additionally,  Mythology</w:t>
      </w:r>
      <w:proofErr w:type="gramEnd"/>
      <w:r>
        <w:t xml:space="preserve"> “is part of the study of lore in a broad secular sense, encompassing disciplines in the humanities and social sciences from languages, literature and history to archaeology and anthropology, including other parts of the science of thought.”</w:t>
      </w:r>
      <w:r>
        <w:rPr>
          <w:vertAlign w:val="superscript"/>
        </w:rPr>
        <w:footnoteReference w:id="20"/>
      </w:r>
      <w:r>
        <w:t xml:space="preserve"> From this comparison posed by </w:t>
      </w:r>
      <w:proofErr w:type="spellStart"/>
      <w:r>
        <w:t>Puhvel</w:t>
      </w:r>
      <w:proofErr w:type="spellEnd"/>
      <w:r>
        <w:t xml:space="preserve">, it is clear why Long and </w:t>
      </w:r>
      <w:proofErr w:type="spellStart"/>
      <w:r>
        <w:t>Elzey's</w:t>
      </w:r>
      <w:proofErr w:type="spellEnd"/>
      <w:r>
        <w:t xml:space="preserve"> approaches are so different. </w:t>
      </w:r>
      <w:proofErr w:type="spellStart"/>
      <w:r>
        <w:t>Elzey</w:t>
      </w:r>
      <w:proofErr w:type="spellEnd"/>
      <w:r>
        <w:t xml:space="preserve"> draws from multiple first-hand accounts such as </w:t>
      </w:r>
      <w:proofErr w:type="spellStart"/>
      <w:r>
        <w:rPr>
          <w:i/>
        </w:rPr>
        <w:t>Histoyre</w:t>
      </w:r>
      <w:proofErr w:type="spellEnd"/>
      <w:r>
        <w:rPr>
          <w:i/>
        </w:rPr>
        <w:t xml:space="preserve"> </w:t>
      </w:r>
      <w:proofErr w:type="spellStart"/>
      <w:r>
        <w:rPr>
          <w:i/>
        </w:rPr>
        <w:t>dy</w:t>
      </w:r>
      <w:proofErr w:type="spellEnd"/>
      <w:r>
        <w:rPr>
          <w:i/>
        </w:rPr>
        <w:t xml:space="preserve"> </w:t>
      </w:r>
      <w:proofErr w:type="spellStart"/>
      <w:r>
        <w:rPr>
          <w:i/>
        </w:rPr>
        <w:t>Mexique</w:t>
      </w:r>
      <w:proofErr w:type="spellEnd"/>
      <w:r>
        <w:rPr>
          <w:i/>
        </w:rPr>
        <w:t xml:space="preserve">, the </w:t>
      </w:r>
      <w:proofErr w:type="spellStart"/>
      <w:r>
        <w:rPr>
          <w:i/>
        </w:rPr>
        <w:t>Leyenda</w:t>
      </w:r>
      <w:proofErr w:type="spellEnd"/>
      <w:r>
        <w:rPr>
          <w:i/>
        </w:rPr>
        <w:t xml:space="preserve"> de </w:t>
      </w:r>
      <w:proofErr w:type="spellStart"/>
      <w:r>
        <w:rPr>
          <w:i/>
        </w:rPr>
        <w:t>los</w:t>
      </w:r>
      <w:proofErr w:type="spellEnd"/>
      <w:r>
        <w:rPr>
          <w:i/>
        </w:rPr>
        <w:t xml:space="preserve"> Soles, </w:t>
      </w:r>
      <w:proofErr w:type="spellStart"/>
      <w:r>
        <w:rPr>
          <w:i/>
        </w:rPr>
        <w:t>Popol</w:t>
      </w:r>
      <w:proofErr w:type="spellEnd"/>
      <w:r>
        <w:rPr>
          <w:i/>
        </w:rPr>
        <w:t xml:space="preserve"> Vuh, Historia de las </w:t>
      </w:r>
      <w:proofErr w:type="spellStart"/>
      <w:r>
        <w:rPr>
          <w:i/>
        </w:rPr>
        <w:t>indias</w:t>
      </w:r>
      <w:proofErr w:type="spellEnd"/>
      <w:r>
        <w:rPr>
          <w:i/>
        </w:rPr>
        <w:t xml:space="preserve"> de Nueva </w:t>
      </w:r>
      <w:proofErr w:type="spellStart"/>
      <w:r>
        <w:rPr>
          <w:i/>
        </w:rPr>
        <w:t>España</w:t>
      </w:r>
      <w:proofErr w:type="spellEnd"/>
      <w:r>
        <w:rPr>
          <w:i/>
        </w:rPr>
        <w:t xml:space="preserve"> e </w:t>
      </w:r>
      <w:proofErr w:type="spellStart"/>
      <w:r>
        <w:rPr>
          <w:i/>
        </w:rPr>
        <w:t>islas</w:t>
      </w:r>
      <w:proofErr w:type="spellEnd"/>
      <w:r>
        <w:rPr>
          <w:i/>
        </w:rPr>
        <w:t xml:space="preserve"> de las tierra </w:t>
      </w:r>
      <w:proofErr w:type="spellStart"/>
      <w:r>
        <w:rPr>
          <w:i/>
        </w:rPr>
        <w:t>firme</w:t>
      </w:r>
      <w:proofErr w:type="spellEnd"/>
      <w:r>
        <w:rPr>
          <w:i/>
        </w:rPr>
        <w:t xml:space="preserve">, and Florentine Codex, </w:t>
      </w:r>
      <w:r>
        <w:t xml:space="preserve">among many others. His use of primary accounts is extensive and shows a well-researched account of the myth he explains. He also uses the ideas of other scholars in his field to expand his account- displaying a more comprehensive approach to his study in comparison to Long who provides a significant lack of primary sources and provides a much less supported account of the myth she explores. Unlike Long, </w:t>
      </w:r>
      <w:proofErr w:type="spellStart"/>
      <w:r>
        <w:t>Elzey</w:t>
      </w:r>
      <w:proofErr w:type="spellEnd"/>
      <w:r>
        <w:t xml:space="preserve"> outlines the Myth of the Suns by comparing multiple (or in some cases, mentioning the lack thereof) sources and makes conclusions to conglomerate the myth into a cohesive piece. He provides extensive footnotes on contradictory accounts but narrows down an account of this myth given by a select </w:t>
      </w:r>
      <w:proofErr w:type="gramStart"/>
      <w:r>
        <w:t>amount</w:t>
      </w:r>
      <w:proofErr w:type="gramEnd"/>
      <w:r>
        <w:t xml:space="preserve"> of sources consciously. He speaks on the levels of reliability of the accounts provided by the Spanish “six-teeth century chroniclers” </w:t>
      </w:r>
      <w:r>
        <w:rPr>
          <w:vertAlign w:val="superscript"/>
        </w:rPr>
        <w:footnoteReference w:id="21"/>
      </w:r>
      <w:r>
        <w:t xml:space="preserve">, outlining their weaknesses and putting them in context as biased; based on their nationalism and opposing religion. In this way, he also shows similarities to Long, providing differing information and analysing them. However, </w:t>
      </w:r>
      <w:proofErr w:type="spellStart"/>
      <w:r>
        <w:t>Elzey</w:t>
      </w:r>
      <w:proofErr w:type="spellEnd"/>
      <w:r>
        <w:t xml:space="preserve"> successfully definitively concludes after comparing sources where Long comes up short in this regard. </w:t>
      </w:r>
    </w:p>
    <w:p w14:paraId="0000000E" w14:textId="3BFF473E" w:rsidR="00DB7990" w:rsidRDefault="00000000">
      <w:pPr>
        <w:ind w:firstLine="720"/>
      </w:pPr>
      <w:r>
        <w:t xml:space="preserve">In addition, both Long and </w:t>
      </w:r>
      <w:proofErr w:type="spellStart"/>
      <w:r>
        <w:t>Elzey</w:t>
      </w:r>
      <w:proofErr w:type="spellEnd"/>
      <w:r>
        <w:t xml:space="preserve"> have continued the study styles of their professors while studying for their PhD programs. Long came from an educational background in Folklore and was influenced by comparative mythology that encompasses reductionism. In contrast, </w:t>
      </w:r>
      <w:proofErr w:type="spellStart"/>
      <w:r>
        <w:t>Elzey</w:t>
      </w:r>
      <w:proofErr w:type="spellEnd"/>
      <w:r>
        <w:t xml:space="preserve"> has a background in </w:t>
      </w:r>
      <w:r w:rsidR="00E3044B">
        <w:t>religious</w:t>
      </w:r>
      <w:r>
        <w:t xml:space="preserve"> history and is prone to anti-reductionism. This contrast is noticeable in the studies that the two have produced. Long notes that </w:t>
      </w:r>
      <w:proofErr w:type="spellStart"/>
      <w:r>
        <w:t>Jaan</w:t>
      </w:r>
      <w:proofErr w:type="spellEnd"/>
      <w:r>
        <w:t xml:space="preserve"> </w:t>
      </w:r>
      <w:proofErr w:type="spellStart"/>
      <w:r>
        <w:t>Puhvel</w:t>
      </w:r>
      <w:proofErr w:type="spellEnd"/>
      <w:r>
        <w:t xml:space="preserve"> played a major role in the development of this publication </w:t>
      </w:r>
      <w:r>
        <w:rPr>
          <w:vertAlign w:val="superscript"/>
        </w:rPr>
        <w:footnoteReference w:id="22"/>
      </w:r>
      <w:r>
        <w:t>. Not only a coordinator on this piece but potentially a former professor and college of Long’s at UCLA</w:t>
      </w:r>
      <w:r>
        <w:rPr>
          <w:vertAlign w:val="superscript"/>
        </w:rPr>
        <w:footnoteReference w:id="23"/>
      </w:r>
      <w:r>
        <w:t>, his influence is made very clear regarding her writing and investigative style. Firstly, Long attempts to prove the presence of monogenesis, “tracing the mythical matter of disparate societies back to a common ancestry”</w:t>
      </w:r>
      <w:r>
        <w:rPr>
          <w:vertAlign w:val="superscript"/>
        </w:rPr>
        <w:footnoteReference w:id="24"/>
      </w:r>
      <w:r>
        <w:t xml:space="preserve"> with the lore of “dog days”. </w:t>
      </w:r>
      <w:proofErr w:type="spellStart"/>
      <w:r>
        <w:t>Puhvel</w:t>
      </w:r>
      <w:proofErr w:type="spellEnd"/>
      <w:r>
        <w:t xml:space="preserve"> states, "such an approach, to be fruitful, needs width and depth in several dimensions and enough similarity and variety to allow positive conclusions and negative controls”</w:t>
      </w:r>
      <w:r>
        <w:rPr>
          <w:vertAlign w:val="superscript"/>
        </w:rPr>
        <w:footnoteReference w:id="25"/>
      </w:r>
      <w:r>
        <w:t xml:space="preserve">.  While </w:t>
      </w:r>
      <w:proofErr w:type="gramStart"/>
      <w:r>
        <w:t>Long</w:t>
      </w:r>
      <w:proofErr w:type="gramEnd"/>
      <w:r>
        <w:t xml:space="preserve"> succeeded in providing a wide range and multi-dimensions to this myth, she failed in nailing down a definitive common ancestor of this myth. Secondly, Long also investigates the modern connotation associated with dog days by investigating the etymology of associated terms; an </w:t>
      </w:r>
      <w:r>
        <w:lastRenderedPageBreak/>
        <w:t xml:space="preserve">approach that </w:t>
      </w:r>
      <w:proofErr w:type="spellStart"/>
      <w:r>
        <w:t>Puhvel</w:t>
      </w:r>
      <w:proofErr w:type="spellEnd"/>
      <w:r>
        <w:t xml:space="preserve"> uses this method in his work</w:t>
      </w:r>
      <w:r>
        <w:rPr>
          <w:vertAlign w:val="superscript"/>
        </w:rPr>
        <w:footnoteReference w:id="26"/>
      </w:r>
      <w:r>
        <w:t xml:space="preserve">. The connection between Long and </w:t>
      </w:r>
      <w:proofErr w:type="spellStart"/>
      <w:r>
        <w:t>Puhvel</w:t>
      </w:r>
      <w:proofErr w:type="spellEnd"/>
      <w:r>
        <w:t xml:space="preserve"> is also evident in her mention of the “Myths of gods and heroes” </w:t>
      </w:r>
      <w:r>
        <w:rPr>
          <w:vertAlign w:val="superscript"/>
        </w:rPr>
        <w:footnoteReference w:id="27"/>
      </w:r>
      <w:r>
        <w:t xml:space="preserve">- which is very similar to the title of chapter 13 in </w:t>
      </w:r>
      <w:proofErr w:type="spellStart"/>
      <w:r>
        <w:t>Puhvel’s</w:t>
      </w:r>
      <w:proofErr w:type="spellEnd"/>
      <w:r>
        <w:t xml:space="preserve"> </w:t>
      </w:r>
      <w:r>
        <w:rPr>
          <w:i/>
        </w:rPr>
        <w:t>Comparative Religion</w:t>
      </w:r>
      <w:r>
        <w:t xml:space="preserve">, entitled “God and Warrior” </w:t>
      </w:r>
      <w:r>
        <w:rPr>
          <w:vertAlign w:val="superscript"/>
        </w:rPr>
        <w:footnoteReference w:id="28"/>
      </w:r>
      <w:r>
        <w:t xml:space="preserve">. Comparatively, </w:t>
      </w:r>
      <w:proofErr w:type="spellStart"/>
      <w:r>
        <w:t>Elzey</w:t>
      </w:r>
      <w:proofErr w:type="spellEnd"/>
      <w:r>
        <w:t xml:space="preserve"> put himself through graduate school at the University of Chicago Divinity School, where he studied for his PhD under Mircea Eliade, who had an influential role in his future scholarship. </w:t>
      </w:r>
      <w:proofErr w:type="spellStart"/>
      <w:r>
        <w:t>Elzey</w:t>
      </w:r>
      <w:proofErr w:type="spellEnd"/>
      <w:r>
        <w:t xml:space="preserve"> says of Eliade; “his theory of religion is not simply</w:t>
      </w:r>
      <w:r>
        <w:rPr>
          <w:i/>
        </w:rPr>
        <w:t xml:space="preserve"> non</w:t>
      </w:r>
      <w:r>
        <w:t xml:space="preserve">-reductionistic. It is overtly </w:t>
      </w:r>
      <w:r>
        <w:rPr>
          <w:i/>
        </w:rPr>
        <w:t>anti-</w:t>
      </w:r>
      <w:r>
        <w:t xml:space="preserve">reductionistic.” </w:t>
      </w:r>
      <w:r>
        <w:rPr>
          <w:vertAlign w:val="superscript"/>
        </w:rPr>
        <w:footnoteReference w:id="29"/>
      </w:r>
      <w:r>
        <w:t xml:space="preserve"> While introducing Eliade’s work </w:t>
      </w:r>
      <w:r>
        <w:rPr>
          <w:i/>
        </w:rPr>
        <w:t xml:space="preserve">Patterns in Comparative Religion, </w:t>
      </w:r>
      <w:r>
        <w:t xml:space="preserve">Holt says of Eliade, he “never tired of arguing that religion must be described and understood on its own terms or within its own planes of reference” </w:t>
      </w:r>
      <w:r>
        <w:rPr>
          <w:vertAlign w:val="superscript"/>
        </w:rPr>
        <w:footnoteReference w:id="30"/>
      </w:r>
      <w:r>
        <w:t xml:space="preserve"> “ Similarly, A former college of </w:t>
      </w:r>
      <w:proofErr w:type="spellStart"/>
      <w:r>
        <w:t>Elzey</w:t>
      </w:r>
      <w:proofErr w:type="spellEnd"/>
      <w:r>
        <w:t xml:space="preserve"> says; “In Wayne’s view one cannot critique what one does not truly understand” </w:t>
      </w:r>
      <w:r>
        <w:rPr>
          <w:vertAlign w:val="superscript"/>
        </w:rPr>
        <w:footnoteReference w:id="31"/>
      </w:r>
      <w:r>
        <w:t xml:space="preserve">and this anti-reductionistic approach is evident in his approach to analysing the Nahua Sun myths for this study. Even within the study, he writes “We have no intention of trying to reduce the complexities of the central Mexican eschatological beliefs to the almost formal logic of the system of world periods'' </w:t>
      </w:r>
      <w:r>
        <w:rPr>
          <w:vertAlign w:val="superscript"/>
        </w:rPr>
        <w:footnoteReference w:id="32"/>
      </w:r>
      <w:r>
        <w:t xml:space="preserve">- further showing his non-reductionistic approach to authorship. </w:t>
      </w:r>
    </w:p>
    <w:p w14:paraId="0000000F" w14:textId="77777777" w:rsidR="00DB7990" w:rsidRDefault="00DB7990">
      <w:pPr>
        <w:ind w:firstLine="720"/>
      </w:pPr>
    </w:p>
    <w:p w14:paraId="00000010" w14:textId="77777777" w:rsidR="00DB7990" w:rsidRDefault="00000000">
      <w:pPr>
        <w:jc w:val="center"/>
        <w:rPr>
          <w:b/>
        </w:rPr>
      </w:pPr>
      <w:r>
        <w:rPr>
          <w:b/>
          <w:u w:val="single"/>
        </w:rPr>
        <w:t>Cosmology</w:t>
      </w:r>
    </w:p>
    <w:p w14:paraId="00000011" w14:textId="77777777" w:rsidR="00DB7990" w:rsidRDefault="00000000">
      <w:pPr>
        <w:ind w:firstLine="720"/>
      </w:pPr>
      <w:r>
        <w:t xml:space="preserve">Both Long and </w:t>
      </w:r>
      <w:proofErr w:type="spellStart"/>
      <w:r>
        <w:t>Elzey</w:t>
      </w:r>
      <w:proofErr w:type="spellEnd"/>
      <w:r>
        <w:t xml:space="preserve"> centre their studies on cosmology. Dr Nicholas Campion defines cosmology as “ a conception of the cosmos, a thought that takes us back to the notion of cosmos not of something that encompasses us but as an idea that we create.”</w:t>
      </w:r>
      <w:r>
        <w:rPr>
          <w:vertAlign w:val="superscript"/>
        </w:rPr>
        <w:footnoteReference w:id="33"/>
      </w:r>
      <w:r>
        <w:t xml:space="preserve">  He recognises that different cosmologies “may have common features but that are all the products of their own cultures”</w:t>
      </w:r>
      <w:r>
        <w:rPr>
          <w:vertAlign w:val="superscript"/>
        </w:rPr>
        <w:footnoteReference w:id="34"/>
      </w:r>
      <w:r>
        <w:t xml:space="preserve"> He includes that cosmology is “not just of exploring the far reaches of the universe but of recognising that we are an integral part of it and that our environments… are part of the cosmos”</w:t>
      </w:r>
      <w:r>
        <w:rPr>
          <w:vertAlign w:val="superscript"/>
        </w:rPr>
        <w:footnoteReference w:id="35"/>
      </w:r>
      <w:r>
        <w:t xml:space="preserve"> From this working definition of cosmology, evidently both Long and </w:t>
      </w:r>
      <w:proofErr w:type="spellStart"/>
      <w:r>
        <w:t>Elzey</w:t>
      </w:r>
      <w:proofErr w:type="spellEnd"/>
      <w:r>
        <w:t xml:space="preserve"> discuss cosmology in their studies-even more specifically; stellarcentric</w:t>
      </w:r>
      <w:r>
        <w:rPr>
          <w:vertAlign w:val="superscript"/>
        </w:rPr>
        <w:footnoteReference w:id="36"/>
      </w:r>
      <w:r>
        <w:t xml:space="preserve"> cosmologies. While </w:t>
      </w:r>
      <w:proofErr w:type="gramStart"/>
      <w:r>
        <w:t>Long</w:t>
      </w:r>
      <w:proofErr w:type="gramEnd"/>
      <w:r>
        <w:t xml:space="preserve"> doesn’t directly mention the word “cosmology” or include any notion of the concept, </w:t>
      </w:r>
      <w:proofErr w:type="spellStart"/>
      <w:r>
        <w:t>Elzey</w:t>
      </w:r>
      <w:proofErr w:type="spellEnd"/>
      <w:r>
        <w:t xml:space="preserve"> is very direct in his inclusion of cosmology- even utilising the term in the title of his study. In </w:t>
      </w:r>
      <w:r>
        <w:rPr>
          <w:i/>
        </w:rPr>
        <w:t xml:space="preserve">The Nahua Sun Myth, </w:t>
      </w:r>
      <w:r>
        <w:t xml:space="preserve">he recognises the observation of the cosmos by the Nahua people and how they recognise that “the structures of time and space antedate "human” time” </w:t>
      </w:r>
      <w:r>
        <w:rPr>
          <w:vertAlign w:val="superscript"/>
        </w:rPr>
        <w:footnoteReference w:id="37"/>
      </w:r>
      <w:r>
        <w:t xml:space="preserve">. He also outlines rituals and ceremonies and their relation to cosmologically aligned times. Comparatively, Long discusses the conception of Sirius by multiple cultures and the earthly correlations that they associate with the star. </w:t>
      </w:r>
    </w:p>
    <w:p w14:paraId="00000012" w14:textId="77777777" w:rsidR="00DB7990" w:rsidRDefault="00DB7990">
      <w:pPr>
        <w:ind w:firstLine="720"/>
        <w:jc w:val="center"/>
        <w:rPr>
          <w:b/>
          <w:u w:val="single"/>
        </w:rPr>
      </w:pPr>
    </w:p>
    <w:p w14:paraId="00000013" w14:textId="77777777" w:rsidR="00DB7990" w:rsidRDefault="00000000">
      <w:pPr>
        <w:ind w:firstLine="720"/>
        <w:jc w:val="center"/>
        <w:rPr>
          <w:b/>
          <w:u w:val="single"/>
        </w:rPr>
      </w:pPr>
      <w:r>
        <w:rPr>
          <w:b/>
          <w:u w:val="single"/>
        </w:rPr>
        <w:lastRenderedPageBreak/>
        <w:t>Conclusion</w:t>
      </w:r>
    </w:p>
    <w:p w14:paraId="00000014" w14:textId="77777777" w:rsidR="00DB7990" w:rsidRDefault="00DB7990">
      <w:pPr>
        <w:ind w:firstLine="720"/>
        <w:jc w:val="center"/>
        <w:rPr>
          <w:b/>
          <w:u w:val="single"/>
        </w:rPr>
      </w:pPr>
    </w:p>
    <w:p w14:paraId="00000015" w14:textId="54882BB1" w:rsidR="00DB7990" w:rsidRDefault="00000000">
      <w:r>
        <w:tab/>
        <w:t xml:space="preserve">In conclusion, </w:t>
      </w:r>
      <w:r>
        <w:rPr>
          <w:i/>
        </w:rPr>
        <w:t xml:space="preserve">The Nahua Myth of the Suns: History and Cosmology in Pre-Hispanic Mexican Religions </w:t>
      </w:r>
      <w:r>
        <w:t xml:space="preserve">by Wayne </w:t>
      </w:r>
      <w:proofErr w:type="spellStart"/>
      <w:r>
        <w:t>Elzey</w:t>
      </w:r>
      <w:proofErr w:type="spellEnd"/>
      <w:r>
        <w:rPr>
          <w:vertAlign w:val="superscript"/>
        </w:rPr>
        <w:footnoteReference w:id="38"/>
      </w:r>
      <w:r>
        <w:t xml:space="preserve"> and </w:t>
      </w:r>
      <w:r>
        <w:rPr>
          <w:i/>
        </w:rPr>
        <w:t xml:space="preserve">How the Dog Got Its Days: A </w:t>
      </w:r>
      <w:proofErr w:type="spellStart"/>
      <w:r>
        <w:rPr>
          <w:i/>
        </w:rPr>
        <w:t>Skeptical</w:t>
      </w:r>
      <w:proofErr w:type="spellEnd"/>
      <w:r>
        <w:rPr>
          <w:i/>
        </w:rPr>
        <w:t xml:space="preserve"> Inquiry into Traditional Star and Weather Lore</w:t>
      </w:r>
      <w:r>
        <w:t xml:space="preserve"> by Eleanor R. Long </w:t>
      </w:r>
      <w:r>
        <w:rPr>
          <w:vertAlign w:val="superscript"/>
        </w:rPr>
        <w:footnoteReference w:id="39"/>
      </w:r>
      <w:r>
        <w:t xml:space="preserve"> are both studies with the intended audience of other scholars of their fields- written by PhD Qualified Professors of their discipline.  The </w:t>
      </w:r>
      <w:r>
        <w:rPr>
          <w:i/>
        </w:rPr>
        <w:t xml:space="preserve">Nahua Sun Myth </w:t>
      </w:r>
      <w:r>
        <w:t xml:space="preserve">focuses on the Nahua people’s myths of five suns, </w:t>
      </w:r>
      <w:r w:rsidR="00E3044B">
        <w:t xml:space="preserve">whereas </w:t>
      </w:r>
      <w:r w:rsidR="00E3044B">
        <w:rPr>
          <w:i/>
        </w:rPr>
        <w:t>A</w:t>
      </w:r>
      <w:r>
        <w:rPr>
          <w:i/>
        </w:rPr>
        <w:t xml:space="preserve"> dog’s day </w:t>
      </w:r>
      <w:r>
        <w:t xml:space="preserve">explores the origins of the term “a dog’s day” and its association with the star Sirius. Both attacking studies based on cosmology; approach their studies in a way natural to their schools of thought. However, </w:t>
      </w:r>
      <w:proofErr w:type="spellStart"/>
      <w:r>
        <w:t>Elzey</w:t>
      </w:r>
      <w:proofErr w:type="spellEnd"/>
      <w:r>
        <w:t xml:space="preserve"> can nail down more comprehensive accounts during his study than </w:t>
      </w:r>
      <w:proofErr w:type="gramStart"/>
      <w:r>
        <w:t>Long</w:t>
      </w:r>
      <w:proofErr w:type="gramEnd"/>
      <w:r>
        <w:t xml:space="preserve">. </w:t>
      </w:r>
    </w:p>
    <w:p w14:paraId="00000016" w14:textId="77777777" w:rsidR="00DB7990" w:rsidRDefault="00DB7990">
      <w:pPr>
        <w:ind w:firstLine="720"/>
      </w:pPr>
    </w:p>
    <w:p w14:paraId="00000017" w14:textId="77777777" w:rsidR="00DB7990" w:rsidRDefault="00DB7990"/>
    <w:p w14:paraId="00000018" w14:textId="77777777" w:rsidR="00DB7990" w:rsidRDefault="00DB7990"/>
    <w:p w14:paraId="00000019" w14:textId="77777777" w:rsidR="00DB7990" w:rsidRDefault="00DB7990"/>
    <w:p w14:paraId="0000001A" w14:textId="77777777" w:rsidR="00DB7990" w:rsidRDefault="00DB7990"/>
    <w:p w14:paraId="0000001B" w14:textId="77777777" w:rsidR="00DB7990" w:rsidRDefault="00DB7990"/>
    <w:p w14:paraId="0000001C" w14:textId="77777777" w:rsidR="00DB7990" w:rsidRDefault="00DB7990"/>
    <w:p w14:paraId="0D7AF390" w14:textId="77777777" w:rsidR="00E3044B" w:rsidRDefault="00E3044B">
      <w:pPr>
        <w:jc w:val="center"/>
        <w:rPr>
          <w:b/>
          <w:u w:val="single"/>
        </w:rPr>
      </w:pPr>
    </w:p>
    <w:p w14:paraId="35048DF6" w14:textId="77777777" w:rsidR="00E3044B" w:rsidRDefault="00E3044B">
      <w:pPr>
        <w:jc w:val="center"/>
        <w:rPr>
          <w:b/>
          <w:u w:val="single"/>
        </w:rPr>
      </w:pPr>
    </w:p>
    <w:p w14:paraId="0B7BA421" w14:textId="77777777" w:rsidR="00E3044B" w:rsidRDefault="00E3044B">
      <w:pPr>
        <w:jc w:val="center"/>
        <w:rPr>
          <w:b/>
          <w:u w:val="single"/>
        </w:rPr>
      </w:pPr>
    </w:p>
    <w:p w14:paraId="38C2A9AB" w14:textId="77777777" w:rsidR="00E3044B" w:rsidRDefault="00E3044B">
      <w:pPr>
        <w:jc w:val="center"/>
        <w:rPr>
          <w:b/>
          <w:u w:val="single"/>
        </w:rPr>
      </w:pPr>
    </w:p>
    <w:p w14:paraId="0BD47F85" w14:textId="77777777" w:rsidR="00E3044B" w:rsidRDefault="00E3044B">
      <w:pPr>
        <w:jc w:val="center"/>
        <w:rPr>
          <w:b/>
          <w:u w:val="single"/>
        </w:rPr>
      </w:pPr>
    </w:p>
    <w:p w14:paraId="38BD65FB" w14:textId="77777777" w:rsidR="00E3044B" w:rsidRDefault="00E3044B">
      <w:pPr>
        <w:jc w:val="center"/>
        <w:rPr>
          <w:b/>
          <w:u w:val="single"/>
        </w:rPr>
      </w:pPr>
    </w:p>
    <w:p w14:paraId="35B9BB32" w14:textId="77777777" w:rsidR="00E3044B" w:rsidRDefault="00E3044B">
      <w:pPr>
        <w:jc w:val="center"/>
        <w:rPr>
          <w:b/>
          <w:u w:val="single"/>
        </w:rPr>
      </w:pPr>
    </w:p>
    <w:p w14:paraId="4A15FB04" w14:textId="77777777" w:rsidR="00E3044B" w:rsidRDefault="00E3044B">
      <w:pPr>
        <w:jc w:val="center"/>
        <w:rPr>
          <w:b/>
          <w:u w:val="single"/>
        </w:rPr>
      </w:pPr>
    </w:p>
    <w:p w14:paraId="1A80D332" w14:textId="77777777" w:rsidR="00E3044B" w:rsidRDefault="00E3044B">
      <w:pPr>
        <w:jc w:val="center"/>
        <w:rPr>
          <w:b/>
          <w:u w:val="single"/>
        </w:rPr>
      </w:pPr>
    </w:p>
    <w:p w14:paraId="4857A121" w14:textId="77777777" w:rsidR="00E3044B" w:rsidRDefault="00E3044B">
      <w:pPr>
        <w:jc w:val="center"/>
        <w:rPr>
          <w:b/>
          <w:u w:val="single"/>
        </w:rPr>
      </w:pPr>
    </w:p>
    <w:p w14:paraId="33A630B9" w14:textId="77777777" w:rsidR="00E3044B" w:rsidRDefault="00E3044B">
      <w:pPr>
        <w:jc w:val="center"/>
        <w:rPr>
          <w:b/>
          <w:u w:val="single"/>
        </w:rPr>
      </w:pPr>
    </w:p>
    <w:p w14:paraId="0A031DA5" w14:textId="77777777" w:rsidR="00E3044B" w:rsidRDefault="00E3044B">
      <w:pPr>
        <w:jc w:val="center"/>
        <w:rPr>
          <w:b/>
          <w:u w:val="single"/>
        </w:rPr>
      </w:pPr>
    </w:p>
    <w:p w14:paraId="50204B2A" w14:textId="77777777" w:rsidR="00E3044B" w:rsidRDefault="00E3044B">
      <w:pPr>
        <w:jc w:val="center"/>
        <w:rPr>
          <w:b/>
          <w:u w:val="single"/>
        </w:rPr>
      </w:pPr>
    </w:p>
    <w:p w14:paraId="00DD867F" w14:textId="77777777" w:rsidR="00E3044B" w:rsidRDefault="00E3044B">
      <w:pPr>
        <w:jc w:val="center"/>
        <w:rPr>
          <w:b/>
          <w:u w:val="single"/>
        </w:rPr>
      </w:pPr>
    </w:p>
    <w:p w14:paraId="5E6F1E88" w14:textId="77777777" w:rsidR="00E3044B" w:rsidRDefault="00E3044B">
      <w:pPr>
        <w:jc w:val="center"/>
        <w:rPr>
          <w:b/>
          <w:u w:val="single"/>
        </w:rPr>
      </w:pPr>
    </w:p>
    <w:p w14:paraId="77B663E1" w14:textId="77777777" w:rsidR="00E3044B" w:rsidRDefault="00E3044B">
      <w:pPr>
        <w:jc w:val="center"/>
        <w:rPr>
          <w:b/>
          <w:u w:val="single"/>
        </w:rPr>
      </w:pPr>
    </w:p>
    <w:p w14:paraId="6C9E254C" w14:textId="77777777" w:rsidR="00E3044B" w:rsidRDefault="00E3044B">
      <w:pPr>
        <w:jc w:val="center"/>
        <w:rPr>
          <w:b/>
          <w:u w:val="single"/>
        </w:rPr>
      </w:pPr>
    </w:p>
    <w:p w14:paraId="31705859" w14:textId="77777777" w:rsidR="00E3044B" w:rsidRDefault="00E3044B">
      <w:pPr>
        <w:jc w:val="center"/>
        <w:rPr>
          <w:b/>
          <w:u w:val="single"/>
        </w:rPr>
      </w:pPr>
    </w:p>
    <w:p w14:paraId="40EC9145" w14:textId="77777777" w:rsidR="00E3044B" w:rsidRDefault="00E3044B">
      <w:pPr>
        <w:jc w:val="center"/>
        <w:rPr>
          <w:b/>
          <w:u w:val="single"/>
        </w:rPr>
      </w:pPr>
    </w:p>
    <w:p w14:paraId="319B5512" w14:textId="77777777" w:rsidR="00E3044B" w:rsidRDefault="00E3044B">
      <w:pPr>
        <w:jc w:val="center"/>
        <w:rPr>
          <w:b/>
          <w:u w:val="single"/>
        </w:rPr>
      </w:pPr>
    </w:p>
    <w:p w14:paraId="468E3E75" w14:textId="77777777" w:rsidR="00E3044B" w:rsidRDefault="00E3044B">
      <w:pPr>
        <w:jc w:val="center"/>
        <w:rPr>
          <w:b/>
          <w:u w:val="single"/>
        </w:rPr>
      </w:pPr>
    </w:p>
    <w:p w14:paraId="250A13C9" w14:textId="77777777" w:rsidR="00E3044B" w:rsidRDefault="00E3044B">
      <w:pPr>
        <w:jc w:val="center"/>
        <w:rPr>
          <w:b/>
          <w:u w:val="single"/>
        </w:rPr>
      </w:pPr>
    </w:p>
    <w:p w14:paraId="0B957797" w14:textId="77777777" w:rsidR="00E3044B" w:rsidRDefault="00E3044B">
      <w:pPr>
        <w:jc w:val="center"/>
        <w:rPr>
          <w:b/>
          <w:u w:val="single"/>
        </w:rPr>
      </w:pPr>
    </w:p>
    <w:p w14:paraId="704BD9A9" w14:textId="77777777" w:rsidR="00E3044B" w:rsidRDefault="00E3044B">
      <w:pPr>
        <w:jc w:val="center"/>
        <w:rPr>
          <w:b/>
          <w:u w:val="single"/>
        </w:rPr>
      </w:pPr>
    </w:p>
    <w:p w14:paraId="36E59A6B" w14:textId="77777777" w:rsidR="00E3044B" w:rsidRDefault="00E3044B">
      <w:pPr>
        <w:jc w:val="center"/>
        <w:rPr>
          <w:b/>
          <w:u w:val="single"/>
        </w:rPr>
      </w:pPr>
    </w:p>
    <w:p w14:paraId="3E081FDF" w14:textId="77777777" w:rsidR="00E3044B" w:rsidRDefault="00E3044B">
      <w:pPr>
        <w:jc w:val="center"/>
        <w:rPr>
          <w:b/>
          <w:u w:val="single"/>
        </w:rPr>
      </w:pPr>
    </w:p>
    <w:p w14:paraId="2D1B2A96" w14:textId="77777777" w:rsidR="00E3044B" w:rsidRDefault="00E3044B">
      <w:pPr>
        <w:jc w:val="center"/>
        <w:rPr>
          <w:b/>
          <w:u w:val="single"/>
        </w:rPr>
      </w:pPr>
    </w:p>
    <w:p w14:paraId="0000001D" w14:textId="07010FA1" w:rsidR="00DB7990" w:rsidRDefault="00000000">
      <w:pPr>
        <w:jc w:val="center"/>
        <w:rPr>
          <w:b/>
          <w:u w:val="single"/>
        </w:rPr>
      </w:pPr>
      <w:r>
        <w:rPr>
          <w:b/>
          <w:u w:val="single"/>
        </w:rPr>
        <w:lastRenderedPageBreak/>
        <w:t>Bibliography</w:t>
      </w:r>
    </w:p>
    <w:p w14:paraId="4EC13D4C" w14:textId="77777777" w:rsidR="00E3044B" w:rsidRDefault="00E3044B">
      <w:pPr>
        <w:jc w:val="center"/>
        <w:rPr>
          <w:b/>
          <w:u w:val="single"/>
        </w:rPr>
      </w:pPr>
    </w:p>
    <w:p w14:paraId="0000001E" w14:textId="77777777" w:rsidR="00DB7990" w:rsidRDefault="00000000">
      <w:pPr>
        <w:widowControl w:val="0"/>
        <w:pBdr>
          <w:top w:val="nil"/>
          <w:left w:val="nil"/>
          <w:bottom w:val="nil"/>
          <w:right w:val="nil"/>
          <w:between w:val="nil"/>
        </w:pBdr>
        <w:spacing w:line="480" w:lineRule="auto"/>
        <w:ind w:left="200" w:hanging="200"/>
      </w:pPr>
      <w:r>
        <w:t xml:space="preserve">Brill, </w:t>
      </w:r>
      <w:r>
        <w:rPr>
          <w:i/>
        </w:rPr>
        <w:t xml:space="preserve">Numen: International Review for the History of Religions, </w:t>
      </w:r>
      <w:r>
        <w:t xml:space="preserve">https://brill.com/view/journals/nu/nu-overview.xml </w:t>
      </w:r>
      <w:proofErr w:type="spellStart"/>
      <w:r>
        <w:t>edn</w:t>
      </w:r>
      <w:proofErr w:type="spellEnd"/>
      <w:r>
        <w:t>, 2022 vols () &lt;https://brill.com/view/journals/nu/nu-overview.xml&gt; [accessed 9/6/2022]</w:t>
      </w:r>
    </w:p>
    <w:p w14:paraId="0000001F" w14:textId="77777777" w:rsidR="00DB7990" w:rsidRDefault="00000000">
      <w:pPr>
        <w:widowControl w:val="0"/>
        <w:pBdr>
          <w:top w:val="nil"/>
          <w:left w:val="nil"/>
          <w:bottom w:val="nil"/>
          <w:right w:val="nil"/>
          <w:between w:val="nil"/>
        </w:pBdr>
        <w:spacing w:line="480" w:lineRule="auto"/>
        <w:ind w:left="200" w:hanging="200"/>
      </w:pPr>
      <w:r>
        <w:t xml:space="preserve">Campion, Nicholas, </w:t>
      </w:r>
      <w:r>
        <w:rPr>
          <w:i/>
        </w:rPr>
        <w:t>Astrology and Cosmology in the World's Religions</w:t>
      </w:r>
      <w:r>
        <w:t xml:space="preserve"> (New York: New York University Press, 2012)</w:t>
      </w:r>
    </w:p>
    <w:p w14:paraId="00000020" w14:textId="77777777" w:rsidR="00DB7990" w:rsidRDefault="00000000">
      <w:pPr>
        <w:widowControl w:val="0"/>
        <w:pBdr>
          <w:top w:val="nil"/>
          <w:left w:val="nil"/>
          <w:bottom w:val="nil"/>
          <w:right w:val="nil"/>
          <w:between w:val="nil"/>
        </w:pBdr>
        <w:spacing w:line="480" w:lineRule="auto"/>
        <w:ind w:left="200" w:hanging="200"/>
      </w:pPr>
      <w:r>
        <w:t>Cohen, Norm, 'Eleanor R. Long-</w:t>
      </w:r>
      <w:proofErr w:type="spellStart"/>
      <w:r>
        <w:t>Wilgus</w:t>
      </w:r>
      <w:proofErr w:type="spellEnd"/>
      <w:r>
        <w:t xml:space="preserve"> (1923–2005)', </w:t>
      </w:r>
      <w:r>
        <w:rPr>
          <w:i/>
        </w:rPr>
        <w:t xml:space="preserve">Journal of American Folklore, </w:t>
      </w:r>
      <w:r>
        <w:t>119 (2006), 236-237 &lt;https://muse.jhu.edu/article/196929&gt; [accessed 27th October 2022]</w:t>
      </w:r>
    </w:p>
    <w:p w14:paraId="00000021" w14:textId="77777777" w:rsidR="00DB7990" w:rsidRDefault="00000000">
      <w:pPr>
        <w:widowControl w:val="0"/>
        <w:pBdr>
          <w:top w:val="nil"/>
          <w:left w:val="nil"/>
          <w:bottom w:val="nil"/>
          <w:right w:val="nil"/>
          <w:between w:val="nil"/>
        </w:pBdr>
        <w:spacing w:line="480" w:lineRule="auto"/>
        <w:ind w:left="200" w:hanging="200"/>
      </w:pPr>
      <w:r>
        <w:t xml:space="preserve">Eliade, M. and R. </w:t>
      </w:r>
      <w:proofErr w:type="spellStart"/>
      <w:r>
        <w:t>Sheed</w:t>
      </w:r>
      <w:proofErr w:type="spellEnd"/>
      <w:r>
        <w:t xml:space="preserve">, </w:t>
      </w:r>
      <w:r>
        <w:rPr>
          <w:i/>
        </w:rPr>
        <w:t>Patterns in Comparative Religion</w:t>
      </w:r>
      <w:r>
        <w:t xml:space="preserve"> (University of Nebraska Press, 1996) &lt;https://books.google.com/books?id=KxliotWdzXIC&gt;</w:t>
      </w:r>
    </w:p>
    <w:p w14:paraId="00000022" w14:textId="77777777" w:rsidR="00DB7990" w:rsidRDefault="00000000">
      <w:pPr>
        <w:widowControl w:val="0"/>
        <w:pBdr>
          <w:top w:val="nil"/>
          <w:left w:val="nil"/>
          <w:bottom w:val="nil"/>
          <w:right w:val="nil"/>
          <w:between w:val="nil"/>
        </w:pBdr>
        <w:spacing w:line="480" w:lineRule="auto"/>
        <w:ind w:left="200" w:hanging="200"/>
      </w:pPr>
      <w:proofErr w:type="spellStart"/>
      <w:r>
        <w:t>Elzey</w:t>
      </w:r>
      <w:proofErr w:type="spellEnd"/>
      <w:r>
        <w:t xml:space="preserve">, Wayne, 'Mircea Eliade and the Battle Against Reductionism', in </w:t>
      </w:r>
      <w:r>
        <w:rPr>
          <w:i/>
        </w:rPr>
        <w:t>Religion and Reductionism: Essays on Eliade, Segal, and the Challenge of the Social Sciences for the Study of Religion</w:t>
      </w:r>
      <w:r>
        <w:t xml:space="preserve">, ed. by Edward A. </w:t>
      </w:r>
      <w:proofErr w:type="spellStart"/>
      <w:r>
        <w:t>Yonan</w:t>
      </w:r>
      <w:proofErr w:type="spellEnd"/>
      <w:r>
        <w:t xml:space="preserve"> and Thomas A. </w:t>
      </w:r>
      <w:proofErr w:type="spellStart"/>
      <w:r>
        <w:t>Idinopulos</w:t>
      </w:r>
      <w:proofErr w:type="spellEnd"/>
      <w:r>
        <w:t>, 62 vols (Brill, 2018), pp. 82-94 &lt;https://books.google.com/books?id=WqSODwAAQBAJ&gt;</w:t>
      </w:r>
    </w:p>
    <w:p w14:paraId="00000023" w14:textId="77777777" w:rsidR="00DB7990" w:rsidRDefault="00000000">
      <w:pPr>
        <w:widowControl w:val="0"/>
        <w:pBdr>
          <w:top w:val="nil"/>
          <w:left w:val="nil"/>
          <w:bottom w:val="nil"/>
          <w:right w:val="nil"/>
          <w:between w:val="nil"/>
        </w:pBdr>
        <w:spacing w:line="480" w:lineRule="auto"/>
        <w:ind w:left="200" w:hanging="200"/>
      </w:pPr>
      <w:r>
        <w:t xml:space="preserve">---'The Nahua Myth of the Suns: History and Cosmology in Pre-Hispanic Mexican Religions', </w:t>
      </w:r>
      <w:r>
        <w:rPr>
          <w:i/>
        </w:rPr>
        <w:t xml:space="preserve">Numen, </w:t>
      </w:r>
      <w:r>
        <w:t>23 (1976), 114-135</w:t>
      </w:r>
      <w:r>
        <w:rPr>
          <w:i/>
        </w:rPr>
        <w:t>, in JSTOR</w:t>
      </w:r>
      <w:r>
        <w:t xml:space="preserve"> &lt;http://www.jstor.org/stable/3269663&gt;</w:t>
      </w:r>
    </w:p>
    <w:p w14:paraId="00000024" w14:textId="77777777" w:rsidR="00DB7990" w:rsidRDefault="00000000">
      <w:pPr>
        <w:widowControl w:val="0"/>
        <w:pBdr>
          <w:top w:val="nil"/>
          <w:left w:val="nil"/>
          <w:bottom w:val="nil"/>
          <w:right w:val="nil"/>
          <w:between w:val="nil"/>
        </w:pBdr>
        <w:spacing w:line="480" w:lineRule="auto"/>
        <w:ind w:left="200" w:hanging="200"/>
      </w:pPr>
      <w:proofErr w:type="spellStart"/>
      <w:r>
        <w:t>Kressa</w:t>
      </w:r>
      <w:proofErr w:type="spellEnd"/>
      <w:r>
        <w:t xml:space="preserve">, </w:t>
      </w:r>
      <w:proofErr w:type="spellStart"/>
      <w:r>
        <w:t>Kaarel</w:t>
      </w:r>
      <w:proofErr w:type="spellEnd"/>
      <w:r>
        <w:t xml:space="preserve">, </w:t>
      </w:r>
      <w:r>
        <w:rPr>
          <w:i/>
        </w:rPr>
        <w:t>'</w:t>
      </w:r>
      <w:proofErr w:type="spellStart"/>
      <w:r>
        <w:rPr>
          <w:i/>
        </w:rPr>
        <w:t>Jaan</w:t>
      </w:r>
      <w:proofErr w:type="spellEnd"/>
      <w:r>
        <w:rPr>
          <w:i/>
        </w:rPr>
        <w:t xml:space="preserve"> </w:t>
      </w:r>
      <w:proofErr w:type="spellStart"/>
      <w:r>
        <w:rPr>
          <w:i/>
        </w:rPr>
        <w:t>Puhvel</w:t>
      </w:r>
      <w:proofErr w:type="spellEnd"/>
      <w:r>
        <w:rPr>
          <w:i/>
        </w:rPr>
        <w:t xml:space="preserve"> </w:t>
      </w:r>
      <w:proofErr w:type="spellStart"/>
      <w:r>
        <w:rPr>
          <w:i/>
        </w:rPr>
        <w:t>Otsib</w:t>
      </w:r>
      <w:proofErr w:type="spellEnd"/>
      <w:r>
        <w:rPr>
          <w:i/>
        </w:rPr>
        <w:t xml:space="preserve"> </w:t>
      </w:r>
      <w:proofErr w:type="spellStart"/>
      <w:r>
        <w:rPr>
          <w:i/>
        </w:rPr>
        <w:t>Kiilkirjast</w:t>
      </w:r>
      <w:proofErr w:type="spellEnd"/>
      <w:r>
        <w:rPr>
          <w:i/>
        </w:rPr>
        <w:t xml:space="preserve"> </w:t>
      </w:r>
      <w:proofErr w:type="spellStart"/>
      <w:r>
        <w:rPr>
          <w:i/>
        </w:rPr>
        <w:t>Indoeuroopa</w:t>
      </w:r>
      <w:proofErr w:type="spellEnd"/>
      <w:r>
        <w:rPr>
          <w:i/>
        </w:rPr>
        <w:t xml:space="preserve"> </w:t>
      </w:r>
      <w:proofErr w:type="spellStart"/>
      <w:r>
        <w:rPr>
          <w:i/>
        </w:rPr>
        <w:t>Keelepuu</w:t>
      </w:r>
      <w:proofErr w:type="spellEnd"/>
      <w:r>
        <w:rPr>
          <w:i/>
        </w:rPr>
        <w:t xml:space="preserve"> </w:t>
      </w:r>
      <w:proofErr w:type="spellStart"/>
      <w:r>
        <w:rPr>
          <w:i/>
        </w:rPr>
        <w:t>Juuri</w:t>
      </w:r>
      <w:proofErr w:type="spellEnd"/>
      <w:r>
        <w:rPr>
          <w:i/>
        </w:rPr>
        <w:t xml:space="preserve"> ', </w:t>
      </w:r>
      <w:proofErr w:type="spellStart"/>
      <w:r>
        <w:rPr>
          <w:i/>
        </w:rPr>
        <w:t>Eesti</w:t>
      </w:r>
      <w:proofErr w:type="spellEnd"/>
      <w:r>
        <w:rPr>
          <w:i/>
        </w:rPr>
        <w:t xml:space="preserve"> </w:t>
      </w:r>
      <w:proofErr w:type="spellStart"/>
      <w:r>
        <w:rPr>
          <w:i/>
        </w:rPr>
        <w:t>Päevaleht</w:t>
      </w:r>
      <w:proofErr w:type="spellEnd"/>
      <w:r>
        <w:rPr>
          <w:i/>
        </w:rPr>
        <w:t xml:space="preserve">, </w:t>
      </w:r>
      <w:r>
        <w:t>(21/03/ 2008) &lt;https://epl.delfi.ee/artikkel/51123768/jaan-puhvel-otsib-kiilkirjast-indoeuroopa-keelepuu-juuri&gt;</w:t>
      </w:r>
    </w:p>
    <w:p w14:paraId="00000025" w14:textId="77777777" w:rsidR="00DB7990" w:rsidRDefault="00000000">
      <w:pPr>
        <w:widowControl w:val="0"/>
        <w:pBdr>
          <w:top w:val="nil"/>
          <w:left w:val="nil"/>
          <w:bottom w:val="nil"/>
          <w:right w:val="nil"/>
          <w:between w:val="nil"/>
        </w:pBdr>
        <w:spacing w:line="480" w:lineRule="auto"/>
        <w:ind w:left="200" w:hanging="200"/>
      </w:pPr>
      <w:r>
        <w:t xml:space="preserve">Long, Eleanor R., 'How the Dog Got its Days: A </w:t>
      </w:r>
      <w:proofErr w:type="spellStart"/>
      <w:r>
        <w:t>Skeptical</w:t>
      </w:r>
      <w:proofErr w:type="spellEnd"/>
      <w:r>
        <w:t xml:space="preserve"> Inquiry into Traditional Star and Weather Lore', </w:t>
      </w:r>
      <w:r>
        <w:rPr>
          <w:i/>
        </w:rPr>
        <w:t xml:space="preserve">Western Folklore, </w:t>
      </w:r>
      <w:r>
        <w:t>43 (1984), 256-264</w:t>
      </w:r>
      <w:r>
        <w:rPr>
          <w:i/>
        </w:rPr>
        <w:t>, in JSTOR</w:t>
      </w:r>
      <w:r>
        <w:t xml:space="preserve"> &lt;http://www.jstor.org/stable/1500109&gt;</w:t>
      </w:r>
    </w:p>
    <w:p w14:paraId="00000026" w14:textId="77777777" w:rsidR="00DB7990" w:rsidRDefault="00000000">
      <w:pPr>
        <w:widowControl w:val="0"/>
        <w:pBdr>
          <w:top w:val="nil"/>
          <w:left w:val="nil"/>
          <w:bottom w:val="nil"/>
          <w:right w:val="nil"/>
          <w:between w:val="nil"/>
        </w:pBdr>
        <w:spacing w:line="480" w:lineRule="auto"/>
        <w:ind w:left="200" w:hanging="200"/>
      </w:pPr>
      <w:r>
        <w:t xml:space="preserve">McKenna, Bill and others, </w:t>
      </w:r>
      <w:r>
        <w:rPr>
          <w:i/>
        </w:rPr>
        <w:t xml:space="preserve">Wayne D. </w:t>
      </w:r>
      <w:proofErr w:type="spellStart"/>
      <w:r>
        <w:rPr>
          <w:i/>
        </w:rPr>
        <w:t>Elzey</w:t>
      </w:r>
      <w:proofErr w:type="spellEnd"/>
      <w:r>
        <w:rPr>
          <w:i/>
        </w:rPr>
        <w:t xml:space="preserve">, </w:t>
      </w:r>
      <w:r>
        <w:t xml:space="preserve">https://digital.lib.miamioh.edu/digital/collection/facmem/id/390 </w:t>
      </w:r>
      <w:proofErr w:type="spellStart"/>
      <w:r>
        <w:t>edn</w:t>
      </w:r>
      <w:proofErr w:type="spellEnd"/>
      <w:r>
        <w:t>, 2022 vols (2013) &lt;https://digital.lib.miamioh.edu/digital/collection/facmem/id/390&gt; [accessed 27th October 2022]</w:t>
      </w:r>
    </w:p>
    <w:p w14:paraId="00000027" w14:textId="77777777" w:rsidR="00DB7990" w:rsidRDefault="00000000">
      <w:pPr>
        <w:widowControl w:val="0"/>
        <w:pBdr>
          <w:top w:val="nil"/>
          <w:left w:val="nil"/>
          <w:bottom w:val="nil"/>
          <w:right w:val="nil"/>
          <w:between w:val="nil"/>
        </w:pBdr>
        <w:spacing w:line="480" w:lineRule="auto"/>
        <w:ind w:left="200" w:hanging="200"/>
      </w:pPr>
      <w:proofErr w:type="spellStart"/>
      <w:r>
        <w:t>Puhvel</w:t>
      </w:r>
      <w:proofErr w:type="spellEnd"/>
      <w:r>
        <w:t xml:space="preserve">, </w:t>
      </w:r>
      <w:proofErr w:type="spellStart"/>
      <w:r>
        <w:t>Jaan</w:t>
      </w:r>
      <w:proofErr w:type="spellEnd"/>
      <w:r>
        <w:t xml:space="preserve">, </w:t>
      </w:r>
      <w:r>
        <w:rPr>
          <w:i/>
        </w:rPr>
        <w:t xml:space="preserve">Comparative </w:t>
      </w:r>
      <w:proofErr w:type="gramStart"/>
      <w:r>
        <w:rPr>
          <w:i/>
        </w:rPr>
        <w:t>Mythology </w:t>
      </w:r>
      <w:r>
        <w:t xml:space="preserve"> (</w:t>
      </w:r>
      <w:proofErr w:type="gramEnd"/>
      <w:r>
        <w:t xml:space="preserve">Baltimore and London: Johns Hopkins University </w:t>
      </w:r>
      <w:r>
        <w:lastRenderedPageBreak/>
        <w:t>Press, 1987) &lt;https://archive.org/details/comparativemytho0000puhv/&gt;</w:t>
      </w:r>
    </w:p>
    <w:p w14:paraId="00000028" w14:textId="77777777" w:rsidR="00DB7990" w:rsidRDefault="00000000">
      <w:pPr>
        <w:widowControl w:val="0"/>
        <w:pBdr>
          <w:top w:val="nil"/>
          <w:left w:val="nil"/>
          <w:bottom w:val="nil"/>
          <w:right w:val="nil"/>
          <w:between w:val="nil"/>
        </w:pBdr>
        <w:spacing w:line="480" w:lineRule="auto"/>
        <w:ind w:left="200" w:hanging="200"/>
      </w:pPr>
      <w:r>
        <w:t xml:space="preserve">unknown, </w:t>
      </w:r>
      <w:r>
        <w:rPr>
          <w:i/>
        </w:rPr>
        <w:t xml:space="preserve">Wayne </w:t>
      </w:r>
      <w:proofErr w:type="spellStart"/>
      <w:r>
        <w:rPr>
          <w:i/>
        </w:rPr>
        <w:t>Elzey</w:t>
      </w:r>
      <w:proofErr w:type="spellEnd"/>
      <w:r>
        <w:rPr>
          <w:i/>
        </w:rPr>
        <w:t xml:space="preserve"> Obituary, </w:t>
      </w:r>
      <w:r>
        <w:t xml:space="preserve">https://www.legacy.com/us/obituaries/hamilton/name/wayne-elzey-obituary?id=24044697 </w:t>
      </w:r>
      <w:proofErr w:type="spellStart"/>
      <w:r>
        <w:t>edn</w:t>
      </w:r>
      <w:proofErr w:type="spellEnd"/>
      <w:r>
        <w:t>, 2022 vols () &lt;https://www.legacy.com/us/obituaries/hamilton/name/wayne-elzey-obituary?id=24044697&gt; [accessed 25th October 2022]</w:t>
      </w:r>
    </w:p>
    <w:sectPr w:rsidR="00DB7990">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F5B98" w14:textId="77777777" w:rsidR="004C257A" w:rsidRDefault="004C257A">
      <w:pPr>
        <w:spacing w:line="240" w:lineRule="auto"/>
      </w:pPr>
      <w:r>
        <w:separator/>
      </w:r>
    </w:p>
  </w:endnote>
  <w:endnote w:type="continuationSeparator" w:id="0">
    <w:p w14:paraId="7214268D" w14:textId="77777777" w:rsidR="004C257A" w:rsidRDefault="004C25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F8601" w14:textId="77777777" w:rsidR="004C257A" w:rsidRDefault="004C257A">
      <w:pPr>
        <w:spacing w:line="240" w:lineRule="auto"/>
      </w:pPr>
      <w:r>
        <w:separator/>
      </w:r>
    </w:p>
  </w:footnote>
  <w:footnote w:type="continuationSeparator" w:id="0">
    <w:p w14:paraId="0D0FD0B4" w14:textId="77777777" w:rsidR="004C257A" w:rsidRDefault="004C257A">
      <w:pPr>
        <w:spacing w:line="240" w:lineRule="auto"/>
      </w:pPr>
      <w:r>
        <w:continuationSeparator/>
      </w:r>
    </w:p>
  </w:footnote>
  <w:footnote w:id="1">
    <w:p w14:paraId="00000029" w14:textId="77777777" w:rsidR="00DB7990" w:rsidRDefault="00000000">
      <w:pPr>
        <w:spacing w:line="240" w:lineRule="auto"/>
        <w:rPr>
          <w:sz w:val="20"/>
          <w:szCs w:val="20"/>
        </w:rPr>
      </w:pPr>
      <w:r>
        <w:rPr>
          <w:vertAlign w:val="superscript"/>
        </w:rPr>
        <w:footnoteRef/>
      </w:r>
      <w:r>
        <w:rPr>
          <w:sz w:val="20"/>
          <w:szCs w:val="20"/>
        </w:rPr>
        <w:t xml:space="preserve"> Wayne </w:t>
      </w:r>
      <w:proofErr w:type="spellStart"/>
      <w:r>
        <w:rPr>
          <w:sz w:val="20"/>
          <w:szCs w:val="20"/>
        </w:rPr>
        <w:t>Elzey</w:t>
      </w:r>
      <w:proofErr w:type="spellEnd"/>
      <w:r>
        <w:rPr>
          <w:sz w:val="20"/>
          <w:szCs w:val="20"/>
        </w:rPr>
        <w:t xml:space="preserve">, 'The Nahua Myth of the Suns: History and Cosmology in Pre-Hispanic Mexican Religions', </w:t>
      </w:r>
      <w:r>
        <w:rPr>
          <w:i/>
          <w:sz w:val="20"/>
          <w:szCs w:val="20"/>
        </w:rPr>
        <w:t xml:space="preserve">Numen, </w:t>
      </w:r>
      <w:r>
        <w:rPr>
          <w:sz w:val="20"/>
          <w:szCs w:val="20"/>
        </w:rPr>
        <w:t>23 (1976), 114-135</w:t>
      </w:r>
      <w:r>
        <w:rPr>
          <w:i/>
          <w:sz w:val="20"/>
          <w:szCs w:val="20"/>
        </w:rPr>
        <w:t>, in JSTOR</w:t>
      </w:r>
      <w:r>
        <w:rPr>
          <w:sz w:val="20"/>
          <w:szCs w:val="20"/>
        </w:rPr>
        <w:t xml:space="preserve"> &lt;http://www.jstor.org/stable/3269663&gt;. </w:t>
      </w:r>
    </w:p>
  </w:footnote>
  <w:footnote w:id="2">
    <w:p w14:paraId="0000002A" w14:textId="77777777" w:rsidR="00DB7990" w:rsidRDefault="00000000">
      <w:pPr>
        <w:spacing w:line="240" w:lineRule="auto"/>
        <w:rPr>
          <w:sz w:val="20"/>
          <w:szCs w:val="20"/>
        </w:rPr>
      </w:pPr>
      <w:r>
        <w:rPr>
          <w:vertAlign w:val="superscript"/>
        </w:rPr>
        <w:footnoteRef/>
      </w:r>
      <w:r>
        <w:rPr>
          <w:sz w:val="20"/>
          <w:szCs w:val="20"/>
        </w:rPr>
        <w:t xml:space="preserve"> Eleanor R. Long, 'How the Dog Got its Days: A </w:t>
      </w:r>
      <w:proofErr w:type="spellStart"/>
      <w:r>
        <w:rPr>
          <w:sz w:val="20"/>
          <w:szCs w:val="20"/>
        </w:rPr>
        <w:t>Skeptical</w:t>
      </w:r>
      <w:proofErr w:type="spellEnd"/>
      <w:r>
        <w:rPr>
          <w:sz w:val="20"/>
          <w:szCs w:val="20"/>
        </w:rPr>
        <w:t xml:space="preserve"> Inquiry into Traditional Star and Weather Lore', </w:t>
      </w:r>
      <w:r>
        <w:rPr>
          <w:i/>
          <w:sz w:val="20"/>
          <w:szCs w:val="20"/>
        </w:rPr>
        <w:t xml:space="preserve">Western Folklore, </w:t>
      </w:r>
      <w:r>
        <w:rPr>
          <w:sz w:val="20"/>
          <w:szCs w:val="20"/>
        </w:rPr>
        <w:t>43 (1984), 256-264</w:t>
      </w:r>
      <w:r>
        <w:rPr>
          <w:i/>
          <w:sz w:val="20"/>
          <w:szCs w:val="20"/>
        </w:rPr>
        <w:t>, in JSTOR</w:t>
      </w:r>
      <w:r>
        <w:rPr>
          <w:sz w:val="20"/>
          <w:szCs w:val="20"/>
        </w:rPr>
        <w:t xml:space="preserve"> &lt;http://www.jstor.org/stable/1500109&gt;. </w:t>
      </w:r>
    </w:p>
  </w:footnote>
  <w:footnote w:id="3">
    <w:p w14:paraId="0000002B" w14:textId="77777777" w:rsidR="00DB7990" w:rsidRDefault="00000000">
      <w:pPr>
        <w:spacing w:line="240" w:lineRule="auto"/>
        <w:rPr>
          <w:sz w:val="20"/>
          <w:szCs w:val="20"/>
        </w:rPr>
      </w:pPr>
      <w:r>
        <w:rPr>
          <w:vertAlign w:val="superscript"/>
        </w:rPr>
        <w:footnoteRef/>
      </w:r>
      <w:r>
        <w:rPr>
          <w:sz w:val="20"/>
          <w:szCs w:val="20"/>
        </w:rPr>
        <w:t xml:space="preserve"> Will be shortened to “a dog’s day” for the purpose of this essay.</w:t>
      </w:r>
    </w:p>
  </w:footnote>
  <w:footnote w:id="4">
    <w:p w14:paraId="0000002C" w14:textId="70645CED" w:rsidR="00DB7990" w:rsidRDefault="00000000">
      <w:pPr>
        <w:spacing w:line="240" w:lineRule="auto"/>
        <w:rPr>
          <w:sz w:val="20"/>
          <w:szCs w:val="20"/>
        </w:rPr>
      </w:pPr>
      <w:r>
        <w:rPr>
          <w:vertAlign w:val="superscript"/>
        </w:rPr>
        <w:footnoteRef/>
      </w:r>
      <w:r>
        <w:rPr>
          <w:sz w:val="20"/>
          <w:szCs w:val="20"/>
        </w:rPr>
        <w:t xml:space="preserve"> Eleanor R. Long, </w:t>
      </w:r>
      <w:r w:rsidR="00E3044B">
        <w:rPr>
          <w:sz w:val="20"/>
          <w:szCs w:val="20"/>
        </w:rPr>
        <w:t>19</w:t>
      </w:r>
      <w:r w:rsidR="00E3044B">
        <w:rPr>
          <w:sz w:val="20"/>
          <w:szCs w:val="20"/>
        </w:rPr>
        <w:t>84</w:t>
      </w:r>
      <w:r>
        <w:rPr>
          <w:sz w:val="20"/>
          <w:szCs w:val="20"/>
        </w:rPr>
        <w:t>, 256- footnotes.</w:t>
      </w:r>
    </w:p>
  </w:footnote>
  <w:footnote w:id="5">
    <w:p w14:paraId="0000002D" w14:textId="61362CBC" w:rsidR="00DB7990" w:rsidRDefault="00000000">
      <w:pPr>
        <w:spacing w:line="240" w:lineRule="auto"/>
        <w:rPr>
          <w:sz w:val="20"/>
          <w:szCs w:val="20"/>
        </w:rPr>
      </w:pPr>
      <w:r>
        <w:rPr>
          <w:vertAlign w:val="superscript"/>
        </w:rPr>
        <w:footnoteRef/>
      </w:r>
      <w:r>
        <w:rPr>
          <w:sz w:val="20"/>
          <w:szCs w:val="20"/>
        </w:rPr>
        <w:t xml:space="preserve"> Eleanor R. Long, </w:t>
      </w:r>
      <w:r w:rsidR="00E3044B">
        <w:rPr>
          <w:sz w:val="20"/>
          <w:szCs w:val="20"/>
        </w:rPr>
        <w:t>1984</w:t>
      </w:r>
      <w:r>
        <w:rPr>
          <w:sz w:val="20"/>
          <w:szCs w:val="20"/>
        </w:rPr>
        <w:t xml:space="preserve">, 256-7. </w:t>
      </w:r>
    </w:p>
  </w:footnote>
  <w:footnote w:id="6">
    <w:p w14:paraId="00000030" w14:textId="3BDC07B9" w:rsidR="00DB7990" w:rsidRDefault="00000000">
      <w:pPr>
        <w:spacing w:line="240" w:lineRule="auto"/>
        <w:rPr>
          <w:sz w:val="20"/>
          <w:szCs w:val="20"/>
        </w:rPr>
      </w:pPr>
      <w:r>
        <w:rPr>
          <w:vertAlign w:val="superscript"/>
        </w:rPr>
        <w:footnoteRef/>
      </w:r>
      <w:r>
        <w:rPr>
          <w:sz w:val="20"/>
          <w:szCs w:val="20"/>
        </w:rPr>
        <w:t xml:space="preserve"> Eleanor R. Long,</w:t>
      </w:r>
      <w:r w:rsidR="00E3044B" w:rsidRPr="00E3044B">
        <w:rPr>
          <w:sz w:val="20"/>
          <w:szCs w:val="20"/>
        </w:rPr>
        <w:t xml:space="preserve"> </w:t>
      </w:r>
      <w:r>
        <w:rPr>
          <w:sz w:val="20"/>
          <w:szCs w:val="20"/>
        </w:rPr>
        <w:t>1984, 257.</w:t>
      </w:r>
    </w:p>
  </w:footnote>
  <w:footnote w:id="7">
    <w:p w14:paraId="00000031" w14:textId="2A597809" w:rsidR="00DB7990" w:rsidRDefault="00000000">
      <w:pPr>
        <w:spacing w:line="240" w:lineRule="auto"/>
        <w:rPr>
          <w:i/>
          <w:sz w:val="20"/>
          <w:szCs w:val="20"/>
        </w:rPr>
      </w:pPr>
      <w:r>
        <w:rPr>
          <w:vertAlign w:val="superscript"/>
        </w:rPr>
        <w:footnoteRef/>
      </w:r>
      <w:r>
        <w:rPr>
          <w:sz w:val="20"/>
          <w:szCs w:val="20"/>
        </w:rPr>
        <w:t xml:space="preserve"> </w:t>
      </w:r>
      <w:proofErr w:type="spellStart"/>
      <w:r>
        <w:rPr>
          <w:sz w:val="20"/>
          <w:szCs w:val="20"/>
        </w:rPr>
        <w:t>Jaan</w:t>
      </w:r>
      <w:proofErr w:type="spellEnd"/>
      <w:r>
        <w:rPr>
          <w:sz w:val="20"/>
          <w:szCs w:val="20"/>
        </w:rPr>
        <w:t xml:space="preserve"> </w:t>
      </w:r>
      <w:proofErr w:type="spellStart"/>
      <w:r>
        <w:rPr>
          <w:sz w:val="20"/>
          <w:szCs w:val="20"/>
        </w:rPr>
        <w:t>Puhvel</w:t>
      </w:r>
      <w:proofErr w:type="spellEnd"/>
      <w:r>
        <w:rPr>
          <w:sz w:val="20"/>
          <w:szCs w:val="20"/>
        </w:rPr>
        <w:t xml:space="preserve">, </w:t>
      </w:r>
      <w:r>
        <w:rPr>
          <w:i/>
          <w:sz w:val="20"/>
          <w:szCs w:val="20"/>
        </w:rPr>
        <w:t xml:space="preserve">Comparative </w:t>
      </w:r>
      <w:r w:rsidR="00E3044B">
        <w:rPr>
          <w:i/>
          <w:sz w:val="20"/>
          <w:szCs w:val="20"/>
        </w:rPr>
        <w:t>Mythology (</w:t>
      </w:r>
      <w:r>
        <w:rPr>
          <w:sz w:val="20"/>
          <w:szCs w:val="20"/>
        </w:rPr>
        <w:t xml:space="preserve">Baltimore and London: Johns Hopkins University Press, 1987) &lt;https://archive.org/details/comparativemytho0000puhv/&gt;. Pg. </w:t>
      </w:r>
      <w:r>
        <w:rPr>
          <w:i/>
          <w:sz w:val="20"/>
          <w:szCs w:val="20"/>
        </w:rPr>
        <w:t>ix.</w:t>
      </w:r>
    </w:p>
  </w:footnote>
  <w:footnote w:id="8">
    <w:p w14:paraId="0000002E" w14:textId="60F3BCBA" w:rsidR="00DB7990" w:rsidRDefault="00000000">
      <w:pPr>
        <w:spacing w:line="240" w:lineRule="auto"/>
        <w:rPr>
          <w:sz w:val="20"/>
          <w:szCs w:val="20"/>
        </w:rPr>
      </w:pPr>
      <w:r>
        <w:rPr>
          <w:vertAlign w:val="superscript"/>
        </w:rPr>
        <w:footnoteRef/>
      </w:r>
      <w:r>
        <w:rPr>
          <w:sz w:val="20"/>
          <w:szCs w:val="20"/>
        </w:rPr>
        <w:t xml:space="preserve"> Wayne </w:t>
      </w:r>
      <w:proofErr w:type="spellStart"/>
      <w:r>
        <w:rPr>
          <w:sz w:val="20"/>
          <w:szCs w:val="20"/>
        </w:rPr>
        <w:t>Elzey</w:t>
      </w:r>
      <w:proofErr w:type="spellEnd"/>
      <w:r>
        <w:rPr>
          <w:sz w:val="20"/>
          <w:szCs w:val="20"/>
        </w:rPr>
        <w:t xml:space="preserve">, </w:t>
      </w:r>
      <w:r w:rsidR="00E3044B">
        <w:rPr>
          <w:sz w:val="20"/>
          <w:szCs w:val="20"/>
        </w:rPr>
        <w:t>1976</w:t>
      </w:r>
      <w:r>
        <w:rPr>
          <w:sz w:val="20"/>
          <w:szCs w:val="20"/>
        </w:rPr>
        <w:t>, 114-135.</w:t>
      </w:r>
    </w:p>
  </w:footnote>
  <w:footnote w:id="9">
    <w:p w14:paraId="0000002F" w14:textId="77777777" w:rsidR="00DB7990" w:rsidRDefault="00000000">
      <w:pPr>
        <w:spacing w:line="240" w:lineRule="auto"/>
        <w:rPr>
          <w:sz w:val="20"/>
          <w:szCs w:val="20"/>
        </w:rPr>
      </w:pPr>
      <w:r>
        <w:rPr>
          <w:vertAlign w:val="superscript"/>
        </w:rPr>
        <w:footnoteRef/>
      </w:r>
      <w:r>
        <w:rPr>
          <w:sz w:val="20"/>
          <w:szCs w:val="20"/>
        </w:rPr>
        <w:t xml:space="preserve"> Will be shortened to the “Nahua Sun Myth” for the purpose of this essay.</w:t>
      </w:r>
    </w:p>
  </w:footnote>
  <w:footnote w:id="10">
    <w:p w14:paraId="00000032" w14:textId="77777777" w:rsidR="00DB7990" w:rsidRDefault="00000000">
      <w:pPr>
        <w:spacing w:line="240" w:lineRule="auto"/>
        <w:rPr>
          <w:sz w:val="20"/>
          <w:szCs w:val="20"/>
        </w:rPr>
      </w:pPr>
      <w:r>
        <w:rPr>
          <w:vertAlign w:val="superscript"/>
        </w:rPr>
        <w:footnoteRef/>
      </w:r>
      <w:r>
        <w:rPr>
          <w:sz w:val="20"/>
          <w:szCs w:val="20"/>
        </w:rPr>
        <w:t xml:space="preserve"> Brill, </w:t>
      </w:r>
      <w:r>
        <w:rPr>
          <w:i/>
          <w:sz w:val="20"/>
          <w:szCs w:val="20"/>
        </w:rPr>
        <w:t xml:space="preserve">Numen: International Review for the History of Religions, </w:t>
      </w:r>
      <w:r>
        <w:rPr>
          <w:sz w:val="20"/>
          <w:szCs w:val="20"/>
        </w:rPr>
        <w:t xml:space="preserve">https://brill.com/view/journals/nu/nu-overview.xml </w:t>
      </w:r>
      <w:proofErr w:type="spellStart"/>
      <w:r>
        <w:rPr>
          <w:sz w:val="20"/>
          <w:szCs w:val="20"/>
        </w:rPr>
        <w:t>edn</w:t>
      </w:r>
      <w:proofErr w:type="spellEnd"/>
      <w:r>
        <w:rPr>
          <w:sz w:val="20"/>
          <w:szCs w:val="20"/>
        </w:rPr>
        <w:t xml:space="preserve">, 2022 vols () &lt;https://brill.com/view/journals/nu/nu-overview.xml&gt; [accessed 9/6/2022]. Pg 1. </w:t>
      </w:r>
    </w:p>
  </w:footnote>
  <w:footnote w:id="11">
    <w:p w14:paraId="00000033" w14:textId="77777777" w:rsidR="00DB7990" w:rsidRDefault="00000000">
      <w:pPr>
        <w:spacing w:line="240" w:lineRule="auto"/>
        <w:rPr>
          <w:sz w:val="20"/>
          <w:szCs w:val="20"/>
        </w:rPr>
      </w:pPr>
      <w:r>
        <w:rPr>
          <w:vertAlign w:val="superscript"/>
        </w:rPr>
        <w:footnoteRef/>
      </w:r>
      <w:r>
        <w:rPr>
          <w:sz w:val="20"/>
          <w:szCs w:val="20"/>
        </w:rPr>
        <w:t xml:space="preserve"> </w:t>
      </w:r>
      <w:proofErr w:type="gramStart"/>
      <w:r>
        <w:rPr>
          <w:sz w:val="20"/>
          <w:szCs w:val="20"/>
        </w:rPr>
        <w:t xml:space="preserve">Brill,  </w:t>
      </w:r>
      <w:proofErr w:type="spellStart"/>
      <w:r>
        <w:rPr>
          <w:sz w:val="20"/>
          <w:szCs w:val="20"/>
        </w:rPr>
        <w:t>pg</w:t>
      </w:r>
      <w:proofErr w:type="spellEnd"/>
      <w:proofErr w:type="gramEnd"/>
      <w:r>
        <w:rPr>
          <w:sz w:val="20"/>
          <w:szCs w:val="20"/>
        </w:rPr>
        <w:t xml:space="preserve"> 1. </w:t>
      </w:r>
    </w:p>
  </w:footnote>
  <w:footnote w:id="12">
    <w:p w14:paraId="00000034" w14:textId="3AB01309" w:rsidR="00DB7990" w:rsidRDefault="00000000">
      <w:pPr>
        <w:spacing w:line="240" w:lineRule="auto"/>
        <w:rPr>
          <w:sz w:val="20"/>
          <w:szCs w:val="20"/>
        </w:rPr>
      </w:pPr>
      <w:r>
        <w:rPr>
          <w:vertAlign w:val="superscript"/>
        </w:rPr>
        <w:footnoteRef/>
      </w:r>
      <w:r>
        <w:rPr>
          <w:sz w:val="20"/>
          <w:szCs w:val="20"/>
        </w:rPr>
        <w:t xml:space="preserve"> Wayne Elzey,</w:t>
      </w:r>
      <w:proofErr w:type="gramStart"/>
      <w:r>
        <w:rPr>
          <w:sz w:val="20"/>
          <w:szCs w:val="20"/>
        </w:rPr>
        <w:t>1976 ,</w:t>
      </w:r>
      <w:proofErr w:type="gramEnd"/>
      <w:r>
        <w:rPr>
          <w:sz w:val="20"/>
          <w:szCs w:val="20"/>
        </w:rPr>
        <w:t xml:space="preserve"> 116.</w:t>
      </w:r>
    </w:p>
  </w:footnote>
  <w:footnote w:id="13">
    <w:p w14:paraId="00000035" w14:textId="1CE5C82E" w:rsidR="00DB7990" w:rsidRDefault="00000000">
      <w:pPr>
        <w:spacing w:line="240" w:lineRule="auto"/>
        <w:rPr>
          <w:sz w:val="20"/>
          <w:szCs w:val="20"/>
        </w:rPr>
      </w:pPr>
      <w:r>
        <w:rPr>
          <w:vertAlign w:val="superscript"/>
        </w:rPr>
        <w:footnoteRef/>
      </w:r>
      <w:r>
        <w:rPr>
          <w:sz w:val="20"/>
          <w:szCs w:val="20"/>
        </w:rPr>
        <w:t xml:space="preserve"> Wayne </w:t>
      </w:r>
      <w:proofErr w:type="spellStart"/>
      <w:r>
        <w:rPr>
          <w:sz w:val="20"/>
          <w:szCs w:val="20"/>
        </w:rPr>
        <w:t>Elzey</w:t>
      </w:r>
      <w:proofErr w:type="spellEnd"/>
      <w:r>
        <w:rPr>
          <w:sz w:val="20"/>
          <w:szCs w:val="20"/>
        </w:rPr>
        <w:t>, 1976, 116.</w:t>
      </w:r>
    </w:p>
  </w:footnote>
  <w:footnote w:id="14">
    <w:p w14:paraId="00000036" w14:textId="77777777" w:rsidR="00DB7990" w:rsidRDefault="00000000">
      <w:pPr>
        <w:spacing w:line="240" w:lineRule="auto"/>
        <w:rPr>
          <w:sz w:val="20"/>
          <w:szCs w:val="20"/>
        </w:rPr>
      </w:pPr>
      <w:r>
        <w:rPr>
          <w:vertAlign w:val="superscript"/>
        </w:rPr>
        <w:footnoteRef/>
      </w:r>
      <w:r>
        <w:rPr>
          <w:sz w:val="20"/>
          <w:szCs w:val="20"/>
        </w:rPr>
        <w:t xml:space="preserve"> Norm Cohen, 'Eleanor R. Long-</w:t>
      </w:r>
      <w:proofErr w:type="spellStart"/>
      <w:r>
        <w:rPr>
          <w:sz w:val="20"/>
          <w:szCs w:val="20"/>
        </w:rPr>
        <w:t>Wilgus</w:t>
      </w:r>
      <w:proofErr w:type="spellEnd"/>
      <w:r>
        <w:rPr>
          <w:sz w:val="20"/>
          <w:szCs w:val="20"/>
        </w:rPr>
        <w:t xml:space="preserve"> (1923–2005)', </w:t>
      </w:r>
      <w:r>
        <w:rPr>
          <w:i/>
          <w:sz w:val="20"/>
          <w:szCs w:val="20"/>
        </w:rPr>
        <w:t xml:space="preserve">Journal of American Folklore, </w:t>
      </w:r>
      <w:r>
        <w:rPr>
          <w:sz w:val="20"/>
          <w:szCs w:val="20"/>
        </w:rPr>
        <w:t>119 (2006), 236-237 &lt;https://muse.jhu.edu/article/196929&gt; [accessed 27th October 2022]. Pg 236.</w:t>
      </w:r>
    </w:p>
  </w:footnote>
  <w:footnote w:id="15">
    <w:p w14:paraId="00000037" w14:textId="30B91827" w:rsidR="00DB7990" w:rsidRDefault="00000000">
      <w:pPr>
        <w:spacing w:line="240" w:lineRule="auto"/>
        <w:rPr>
          <w:sz w:val="20"/>
          <w:szCs w:val="20"/>
        </w:rPr>
      </w:pPr>
      <w:r>
        <w:rPr>
          <w:vertAlign w:val="superscript"/>
        </w:rPr>
        <w:footnoteRef/>
      </w:r>
      <w:r>
        <w:rPr>
          <w:sz w:val="20"/>
          <w:szCs w:val="20"/>
        </w:rPr>
        <w:t xml:space="preserve"> Norm Cohen, 236. </w:t>
      </w:r>
    </w:p>
  </w:footnote>
  <w:footnote w:id="16">
    <w:p w14:paraId="00000038" w14:textId="77777777" w:rsidR="00DB7990" w:rsidRDefault="00000000">
      <w:pPr>
        <w:spacing w:line="240" w:lineRule="auto"/>
        <w:rPr>
          <w:sz w:val="20"/>
          <w:szCs w:val="20"/>
        </w:rPr>
      </w:pPr>
      <w:r>
        <w:rPr>
          <w:vertAlign w:val="superscript"/>
        </w:rPr>
        <w:footnoteRef/>
      </w:r>
      <w:r>
        <w:rPr>
          <w:sz w:val="20"/>
          <w:szCs w:val="20"/>
        </w:rPr>
        <w:t xml:space="preserve">Bill McKenna and others, </w:t>
      </w:r>
      <w:r>
        <w:rPr>
          <w:i/>
          <w:sz w:val="20"/>
          <w:szCs w:val="20"/>
        </w:rPr>
        <w:t xml:space="preserve">Wayne D. </w:t>
      </w:r>
      <w:proofErr w:type="spellStart"/>
      <w:r>
        <w:rPr>
          <w:i/>
          <w:sz w:val="20"/>
          <w:szCs w:val="20"/>
        </w:rPr>
        <w:t>Elzey</w:t>
      </w:r>
      <w:proofErr w:type="spellEnd"/>
      <w:r>
        <w:rPr>
          <w:i/>
          <w:sz w:val="20"/>
          <w:szCs w:val="20"/>
        </w:rPr>
        <w:t xml:space="preserve">, </w:t>
      </w:r>
      <w:r>
        <w:rPr>
          <w:sz w:val="20"/>
          <w:szCs w:val="20"/>
        </w:rPr>
        <w:t xml:space="preserve">https://digital.lib.miamioh.edu/digital/collection/facmem/id/390 </w:t>
      </w:r>
      <w:proofErr w:type="spellStart"/>
      <w:r>
        <w:rPr>
          <w:sz w:val="20"/>
          <w:szCs w:val="20"/>
        </w:rPr>
        <w:t>edn</w:t>
      </w:r>
      <w:proofErr w:type="spellEnd"/>
      <w:r>
        <w:rPr>
          <w:sz w:val="20"/>
          <w:szCs w:val="20"/>
        </w:rPr>
        <w:t xml:space="preserve">, 2022 vols (2013) &lt;https://digital.lib.miamioh.edu/digital/collection/facmem/id/390&gt; [accessed 27th October 2022]. </w:t>
      </w:r>
    </w:p>
  </w:footnote>
  <w:footnote w:id="17">
    <w:p w14:paraId="00000039" w14:textId="77777777" w:rsidR="00DB7990" w:rsidRDefault="00000000">
      <w:pPr>
        <w:spacing w:line="240" w:lineRule="auto"/>
        <w:rPr>
          <w:sz w:val="20"/>
          <w:szCs w:val="20"/>
        </w:rPr>
      </w:pPr>
      <w:r>
        <w:rPr>
          <w:vertAlign w:val="superscript"/>
        </w:rPr>
        <w:footnoteRef/>
      </w:r>
      <w:r>
        <w:rPr>
          <w:sz w:val="20"/>
          <w:szCs w:val="20"/>
        </w:rPr>
        <w:t xml:space="preserve"> unknown, </w:t>
      </w:r>
      <w:r>
        <w:rPr>
          <w:i/>
          <w:sz w:val="20"/>
          <w:szCs w:val="20"/>
        </w:rPr>
        <w:t xml:space="preserve">Wayne </w:t>
      </w:r>
      <w:proofErr w:type="spellStart"/>
      <w:r>
        <w:rPr>
          <w:i/>
          <w:sz w:val="20"/>
          <w:szCs w:val="20"/>
        </w:rPr>
        <w:t>Elzey</w:t>
      </w:r>
      <w:proofErr w:type="spellEnd"/>
      <w:r>
        <w:rPr>
          <w:i/>
          <w:sz w:val="20"/>
          <w:szCs w:val="20"/>
        </w:rPr>
        <w:t xml:space="preserve"> Obituary, </w:t>
      </w:r>
      <w:r>
        <w:rPr>
          <w:sz w:val="20"/>
          <w:szCs w:val="20"/>
        </w:rPr>
        <w:t xml:space="preserve">https://www.legacy.com/us/obituaries/hamilton/name/wayne-elzey-obituary?id=24044697 </w:t>
      </w:r>
      <w:proofErr w:type="spellStart"/>
      <w:r>
        <w:rPr>
          <w:sz w:val="20"/>
          <w:szCs w:val="20"/>
        </w:rPr>
        <w:t>edn</w:t>
      </w:r>
      <w:proofErr w:type="spellEnd"/>
      <w:r>
        <w:rPr>
          <w:sz w:val="20"/>
          <w:szCs w:val="20"/>
        </w:rPr>
        <w:t xml:space="preserve">, 2022 vols () &lt;https://www.legacy.com/us/obituaries/hamilton/name/wayne-elzey-obituary?id=24044697&gt; [accessed 25th October 2022]. </w:t>
      </w:r>
    </w:p>
  </w:footnote>
  <w:footnote w:id="18">
    <w:p w14:paraId="0000003A" w14:textId="4C9FFFE2" w:rsidR="00DB7990" w:rsidRDefault="00000000">
      <w:pPr>
        <w:spacing w:line="240" w:lineRule="auto"/>
        <w:rPr>
          <w:sz w:val="20"/>
          <w:szCs w:val="20"/>
        </w:rPr>
      </w:pPr>
      <w:r>
        <w:rPr>
          <w:vertAlign w:val="superscript"/>
        </w:rPr>
        <w:footnoteRef/>
      </w:r>
      <w:r>
        <w:rPr>
          <w:sz w:val="20"/>
          <w:szCs w:val="20"/>
        </w:rPr>
        <w:t xml:space="preserve"> Bill McKenna and </w:t>
      </w:r>
      <w:r w:rsidR="00E3044B">
        <w:rPr>
          <w:sz w:val="20"/>
          <w:szCs w:val="20"/>
        </w:rPr>
        <w:t>others, Liz</w:t>
      </w:r>
      <w:r>
        <w:rPr>
          <w:sz w:val="20"/>
          <w:szCs w:val="20"/>
        </w:rPr>
        <w:t xml:space="preserve"> Wilson, </w:t>
      </w:r>
      <w:proofErr w:type="spellStart"/>
      <w:r>
        <w:rPr>
          <w:sz w:val="20"/>
          <w:szCs w:val="20"/>
        </w:rPr>
        <w:t>pg</w:t>
      </w:r>
      <w:proofErr w:type="spellEnd"/>
      <w:r>
        <w:rPr>
          <w:sz w:val="20"/>
          <w:szCs w:val="20"/>
        </w:rPr>
        <w:t xml:space="preserve"> 5. </w:t>
      </w:r>
    </w:p>
  </w:footnote>
  <w:footnote w:id="19">
    <w:p w14:paraId="0000004C" w14:textId="77777777" w:rsidR="00DB7990"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Kaarel</w:t>
      </w:r>
      <w:proofErr w:type="spellEnd"/>
      <w:r>
        <w:rPr>
          <w:sz w:val="20"/>
          <w:szCs w:val="20"/>
        </w:rPr>
        <w:t xml:space="preserve"> </w:t>
      </w:r>
      <w:proofErr w:type="spellStart"/>
      <w:r>
        <w:rPr>
          <w:sz w:val="20"/>
          <w:szCs w:val="20"/>
        </w:rPr>
        <w:t>Kressa</w:t>
      </w:r>
      <w:proofErr w:type="spellEnd"/>
      <w:r>
        <w:rPr>
          <w:sz w:val="20"/>
          <w:szCs w:val="20"/>
        </w:rPr>
        <w:t>, '</w:t>
      </w:r>
      <w:proofErr w:type="spellStart"/>
      <w:r>
        <w:rPr>
          <w:sz w:val="20"/>
          <w:szCs w:val="20"/>
        </w:rPr>
        <w:t>Jaan</w:t>
      </w:r>
      <w:proofErr w:type="spellEnd"/>
      <w:r>
        <w:rPr>
          <w:sz w:val="20"/>
          <w:szCs w:val="20"/>
        </w:rPr>
        <w:t xml:space="preserve"> </w:t>
      </w:r>
      <w:proofErr w:type="spellStart"/>
      <w:r>
        <w:rPr>
          <w:sz w:val="20"/>
          <w:szCs w:val="20"/>
        </w:rPr>
        <w:t>Puhvel</w:t>
      </w:r>
      <w:proofErr w:type="spellEnd"/>
      <w:r>
        <w:rPr>
          <w:sz w:val="20"/>
          <w:szCs w:val="20"/>
        </w:rPr>
        <w:t xml:space="preserve"> </w:t>
      </w:r>
      <w:proofErr w:type="spellStart"/>
      <w:r>
        <w:rPr>
          <w:sz w:val="20"/>
          <w:szCs w:val="20"/>
        </w:rPr>
        <w:t>Otsib</w:t>
      </w:r>
      <w:proofErr w:type="spellEnd"/>
      <w:r>
        <w:rPr>
          <w:sz w:val="20"/>
          <w:szCs w:val="20"/>
        </w:rPr>
        <w:t xml:space="preserve"> </w:t>
      </w:r>
      <w:proofErr w:type="spellStart"/>
      <w:r>
        <w:rPr>
          <w:sz w:val="20"/>
          <w:szCs w:val="20"/>
        </w:rPr>
        <w:t>Kiilkirjast</w:t>
      </w:r>
      <w:proofErr w:type="spellEnd"/>
      <w:r>
        <w:rPr>
          <w:sz w:val="20"/>
          <w:szCs w:val="20"/>
        </w:rPr>
        <w:t xml:space="preserve"> </w:t>
      </w:r>
      <w:proofErr w:type="spellStart"/>
      <w:r>
        <w:rPr>
          <w:sz w:val="20"/>
          <w:szCs w:val="20"/>
        </w:rPr>
        <w:t>Indoeuroopa</w:t>
      </w:r>
      <w:proofErr w:type="spellEnd"/>
      <w:r>
        <w:rPr>
          <w:sz w:val="20"/>
          <w:szCs w:val="20"/>
        </w:rPr>
        <w:t xml:space="preserve"> </w:t>
      </w:r>
      <w:proofErr w:type="spellStart"/>
      <w:r>
        <w:rPr>
          <w:sz w:val="20"/>
          <w:szCs w:val="20"/>
        </w:rPr>
        <w:t>Keelepuu</w:t>
      </w:r>
      <w:proofErr w:type="spellEnd"/>
      <w:r>
        <w:rPr>
          <w:sz w:val="20"/>
          <w:szCs w:val="20"/>
        </w:rPr>
        <w:t xml:space="preserve"> </w:t>
      </w:r>
      <w:proofErr w:type="spellStart"/>
      <w:r>
        <w:rPr>
          <w:sz w:val="20"/>
          <w:szCs w:val="20"/>
        </w:rPr>
        <w:t>Juuri</w:t>
      </w:r>
      <w:proofErr w:type="spellEnd"/>
      <w:r>
        <w:rPr>
          <w:sz w:val="20"/>
          <w:szCs w:val="20"/>
        </w:rPr>
        <w:t xml:space="preserve"> ', </w:t>
      </w:r>
      <w:proofErr w:type="spellStart"/>
      <w:r>
        <w:rPr>
          <w:i/>
          <w:sz w:val="20"/>
          <w:szCs w:val="20"/>
        </w:rPr>
        <w:t>Eesti</w:t>
      </w:r>
      <w:proofErr w:type="spellEnd"/>
      <w:r>
        <w:rPr>
          <w:i/>
          <w:sz w:val="20"/>
          <w:szCs w:val="20"/>
        </w:rPr>
        <w:t xml:space="preserve"> </w:t>
      </w:r>
      <w:proofErr w:type="spellStart"/>
      <w:r>
        <w:rPr>
          <w:i/>
          <w:sz w:val="20"/>
          <w:szCs w:val="20"/>
        </w:rPr>
        <w:t>Päevaleht</w:t>
      </w:r>
      <w:proofErr w:type="spellEnd"/>
      <w:r>
        <w:rPr>
          <w:i/>
          <w:sz w:val="20"/>
          <w:szCs w:val="20"/>
        </w:rPr>
        <w:t xml:space="preserve">, </w:t>
      </w:r>
      <w:r>
        <w:rPr>
          <w:sz w:val="20"/>
          <w:szCs w:val="20"/>
        </w:rPr>
        <w:t xml:space="preserve">21/03/ 2008 &lt;https://epl.delfi.ee/artikkel/51123768/jaan-puhvel-otsib-kiilkirjast-indoeuroopa-keelepuu-juuri&gt;. </w:t>
      </w:r>
      <w:proofErr w:type="spellStart"/>
      <w:r>
        <w:rPr>
          <w:sz w:val="20"/>
          <w:szCs w:val="20"/>
        </w:rPr>
        <w:t>Kaarel</w:t>
      </w:r>
      <w:proofErr w:type="spellEnd"/>
      <w:r>
        <w:rPr>
          <w:sz w:val="20"/>
          <w:szCs w:val="20"/>
        </w:rPr>
        <w:t xml:space="preserve"> </w:t>
      </w:r>
      <w:proofErr w:type="spellStart"/>
      <w:r>
        <w:rPr>
          <w:sz w:val="20"/>
          <w:szCs w:val="20"/>
        </w:rPr>
        <w:t>Kressa</w:t>
      </w:r>
      <w:proofErr w:type="spellEnd"/>
      <w:r>
        <w:rPr>
          <w:sz w:val="20"/>
          <w:szCs w:val="20"/>
        </w:rPr>
        <w:t>, '</w:t>
      </w:r>
      <w:proofErr w:type="spellStart"/>
      <w:r>
        <w:rPr>
          <w:sz w:val="20"/>
          <w:szCs w:val="20"/>
        </w:rPr>
        <w:t>Jaan</w:t>
      </w:r>
      <w:proofErr w:type="spellEnd"/>
      <w:r>
        <w:rPr>
          <w:sz w:val="20"/>
          <w:szCs w:val="20"/>
        </w:rPr>
        <w:t xml:space="preserve"> </w:t>
      </w:r>
      <w:proofErr w:type="spellStart"/>
      <w:r>
        <w:rPr>
          <w:sz w:val="20"/>
          <w:szCs w:val="20"/>
        </w:rPr>
        <w:t>Puhvel</w:t>
      </w:r>
      <w:proofErr w:type="spellEnd"/>
      <w:r>
        <w:rPr>
          <w:sz w:val="20"/>
          <w:szCs w:val="20"/>
        </w:rPr>
        <w:t xml:space="preserve"> </w:t>
      </w:r>
      <w:proofErr w:type="spellStart"/>
      <w:r>
        <w:rPr>
          <w:sz w:val="20"/>
          <w:szCs w:val="20"/>
        </w:rPr>
        <w:t>Otsib</w:t>
      </w:r>
      <w:proofErr w:type="spellEnd"/>
      <w:r>
        <w:rPr>
          <w:sz w:val="20"/>
          <w:szCs w:val="20"/>
        </w:rPr>
        <w:t xml:space="preserve"> </w:t>
      </w:r>
      <w:proofErr w:type="spellStart"/>
      <w:r>
        <w:rPr>
          <w:sz w:val="20"/>
          <w:szCs w:val="20"/>
        </w:rPr>
        <w:t>Kiilkirjast</w:t>
      </w:r>
      <w:proofErr w:type="spellEnd"/>
      <w:r>
        <w:rPr>
          <w:sz w:val="20"/>
          <w:szCs w:val="20"/>
        </w:rPr>
        <w:t xml:space="preserve"> </w:t>
      </w:r>
      <w:proofErr w:type="spellStart"/>
      <w:r>
        <w:rPr>
          <w:sz w:val="20"/>
          <w:szCs w:val="20"/>
        </w:rPr>
        <w:t>Indoeuroopa</w:t>
      </w:r>
      <w:proofErr w:type="spellEnd"/>
      <w:r>
        <w:rPr>
          <w:sz w:val="20"/>
          <w:szCs w:val="20"/>
        </w:rPr>
        <w:t xml:space="preserve"> </w:t>
      </w:r>
      <w:proofErr w:type="spellStart"/>
      <w:r>
        <w:rPr>
          <w:sz w:val="20"/>
          <w:szCs w:val="20"/>
        </w:rPr>
        <w:t>Keelepuu</w:t>
      </w:r>
      <w:proofErr w:type="spellEnd"/>
      <w:r>
        <w:rPr>
          <w:sz w:val="20"/>
          <w:szCs w:val="20"/>
        </w:rPr>
        <w:t xml:space="preserve"> </w:t>
      </w:r>
      <w:proofErr w:type="spellStart"/>
      <w:r>
        <w:rPr>
          <w:sz w:val="20"/>
          <w:szCs w:val="20"/>
        </w:rPr>
        <w:t>Juuri</w:t>
      </w:r>
      <w:proofErr w:type="spellEnd"/>
      <w:r>
        <w:rPr>
          <w:sz w:val="20"/>
          <w:szCs w:val="20"/>
        </w:rPr>
        <w:t xml:space="preserve"> ', </w:t>
      </w:r>
      <w:proofErr w:type="spellStart"/>
      <w:r>
        <w:rPr>
          <w:i/>
          <w:sz w:val="20"/>
          <w:szCs w:val="20"/>
        </w:rPr>
        <w:t>Eesti</w:t>
      </w:r>
      <w:proofErr w:type="spellEnd"/>
      <w:r>
        <w:rPr>
          <w:i/>
          <w:sz w:val="20"/>
          <w:szCs w:val="20"/>
        </w:rPr>
        <w:t xml:space="preserve"> </w:t>
      </w:r>
      <w:proofErr w:type="spellStart"/>
      <w:r>
        <w:rPr>
          <w:i/>
          <w:sz w:val="20"/>
          <w:szCs w:val="20"/>
        </w:rPr>
        <w:t>Päevaleht</w:t>
      </w:r>
      <w:proofErr w:type="spellEnd"/>
      <w:r>
        <w:rPr>
          <w:i/>
          <w:sz w:val="20"/>
          <w:szCs w:val="20"/>
        </w:rPr>
        <w:t xml:space="preserve">, </w:t>
      </w:r>
      <w:r>
        <w:rPr>
          <w:sz w:val="20"/>
          <w:szCs w:val="20"/>
        </w:rPr>
        <w:t xml:space="preserve">21/03/ 2008 &lt;https://epl.delfi.ee/artikkel/51123768/jaan-puhvel-otsib-kiilkirjast-indoeuroopa-keelepuu-juuri&gt;. </w:t>
      </w:r>
    </w:p>
  </w:footnote>
  <w:footnote w:id="20">
    <w:p w14:paraId="0000003B" w14:textId="77777777" w:rsidR="00DB7990"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Kaarel</w:t>
      </w:r>
      <w:proofErr w:type="spellEnd"/>
      <w:r>
        <w:rPr>
          <w:sz w:val="20"/>
          <w:szCs w:val="20"/>
        </w:rPr>
        <w:t xml:space="preserve"> </w:t>
      </w:r>
      <w:proofErr w:type="spellStart"/>
      <w:r>
        <w:rPr>
          <w:sz w:val="20"/>
          <w:szCs w:val="20"/>
        </w:rPr>
        <w:t>Kressa</w:t>
      </w:r>
      <w:proofErr w:type="spellEnd"/>
      <w:r>
        <w:rPr>
          <w:sz w:val="20"/>
          <w:szCs w:val="20"/>
        </w:rPr>
        <w:t>, pg. 1.</w:t>
      </w:r>
    </w:p>
  </w:footnote>
  <w:footnote w:id="21">
    <w:p w14:paraId="0000003C" w14:textId="77777777" w:rsidR="00DB7990" w:rsidRDefault="00000000">
      <w:pPr>
        <w:spacing w:line="240" w:lineRule="auto"/>
        <w:rPr>
          <w:sz w:val="20"/>
          <w:szCs w:val="20"/>
        </w:rPr>
      </w:pPr>
      <w:r>
        <w:rPr>
          <w:vertAlign w:val="superscript"/>
        </w:rPr>
        <w:footnoteRef/>
      </w:r>
      <w:r>
        <w:rPr>
          <w:sz w:val="20"/>
          <w:szCs w:val="20"/>
        </w:rPr>
        <w:t xml:space="preserve"> Wayne </w:t>
      </w:r>
      <w:proofErr w:type="spellStart"/>
      <w:r>
        <w:rPr>
          <w:sz w:val="20"/>
          <w:szCs w:val="20"/>
        </w:rPr>
        <w:t>Elzey</w:t>
      </w:r>
      <w:proofErr w:type="spellEnd"/>
      <w:r>
        <w:rPr>
          <w:sz w:val="20"/>
          <w:szCs w:val="20"/>
        </w:rPr>
        <w:t>, 1976, 114.</w:t>
      </w:r>
    </w:p>
  </w:footnote>
  <w:footnote w:id="22">
    <w:p w14:paraId="0000003D" w14:textId="054477F1" w:rsidR="00DB7990" w:rsidRDefault="00000000">
      <w:pPr>
        <w:spacing w:line="240" w:lineRule="auto"/>
        <w:rPr>
          <w:sz w:val="20"/>
          <w:szCs w:val="20"/>
        </w:rPr>
      </w:pPr>
      <w:r>
        <w:rPr>
          <w:vertAlign w:val="superscript"/>
        </w:rPr>
        <w:footnoteRef/>
      </w:r>
      <w:r>
        <w:rPr>
          <w:sz w:val="20"/>
          <w:szCs w:val="20"/>
        </w:rPr>
        <w:t xml:space="preserve"> Eleanor R. Long,</w:t>
      </w:r>
      <w:proofErr w:type="gramStart"/>
      <w:r w:rsidR="00E3044B">
        <w:rPr>
          <w:sz w:val="20"/>
          <w:szCs w:val="20"/>
        </w:rPr>
        <w:t>1984</w:t>
      </w:r>
      <w:r>
        <w:rPr>
          <w:sz w:val="20"/>
          <w:szCs w:val="20"/>
        </w:rPr>
        <w:t xml:space="preserve"> ,</w:t>
      </w:r>
      <w:proofErr w:type="gramEnd"/>
      <w:r>
        <w:rPr>
          <w:sz w:val="20"/>
          <w:szCs w:val="20"/>
        </w:rPr>
        <w:t xml:space="preserve"> 256</w:t>
      </w:r>
      <w:r w:rsidR="00E3044B">
        <w:rPr>
          <w:sz w:val="20"/>
          <w:szCs w:val="20"/>
        </w:rPr>
        <w:t xml:space="preserve"> </w:t>
      </w:r>
      <w:r>
        <w:rPr>
          <w:sz w:val="20"/>
          <w:szCs w:val="20"/>
        </w:rPr>
        <w:t xml:space="preserve">footnotes. </w:t>
      </w:r>
    </w:p>
  </w:footnote>
  <w:footnote w:id="23">
    <w:p w14:paraId="0000003E" w14:textId="2FC5D8BD" w:rsidR="00DB7990" w:rsidRDefault="00000000">
      <w:pPr>
        <w:spacing w:line="240" w:lineRule="auto"/>
        <w:rPr>
          <w:sz w:val="20"/>
          <w:szCs w:val="20"/>
        </w:rPr>
      </w:pPr>
      <w:r>
        <w:rPr>
          <w:vertAlign w:val="superscript"/>
        </w:rPr>
        <w:footnoteRef/>
      </w:r>
      <w:r>
        <w:rPr>
          <w:sz w:val="20"/>
          <w:szCs w:val="20"/>
        </w:rPr>
        <w:t xml:space="preserve"> It is unclear whether </w:t>
      </w:r>
      <w:proofErr w:type="spellStart"/>
      <w:r>
        <w:rPr>
          <w:sz w:val="20"/>
          <w:szCs w:val="20"/>
        </w:rPr>
        <w:t>Puhvel</w:t>
      </w:r>
      <w:proofErr w:type="spellEnd"/>
      <w:r>
        <w:rPr>
          <w:sz w:val="20"/>
          <w:szCs w:val="20"/>
        </w:rPr>
        <w:t xml:space="preserve"> directly taught Long. However, he did hold a post as a professor at UCLA in the same faculty that Long did her PhD during her tenure there. Regardless, she did mention him as playing a role in this piece, so in that respect, he </w:t>
      </w:r>
      <w:r w:rsidR="00E3044B">
        <w:rPr>
          <w:sz w:val="20"/>
          <w:szCs w:val="20"/>
        </w:rPr>
        <w:t>had</w:t>
      </w:r>
      <w:r>
        <w:rPr>
          <w:sz w:val="20"/>
          <w:szCs w:val="20"/>
        </w:rPr>
        <w:t xml:space="preserve"> academic interaction with her. </w:t>
      </w:r>
    </w:p>
  </w:footnote>
  <w:footnote w:id="24">
    <w:p w14:paraId="0000003F" w14:textId="497F7694" w:rsidR="00DB7990"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Jaan</w:t>
      </w:r>
      <w:proofErr w:type="spellEnd"/>
      <w:r>
        <w:rPr>
          <w:sz w:val="20"/>
          <w:szCs w:val="20"/>
        </w:rPr>
        <w:t xml:space="preserve"> Puhvel,</w:t>
      </w:r>
      <w:r w:rsidR="00E3044B">
        <w:rPr>
          <w:sz w:val="20"/>
          <w:szCs w:val="20"/>
        </w:rPr>
        <w:t xml:space="preserve">1987, </w:t>
      </w:r>
      <w:proofErr w:type="spellStart"/>
      <w:r w:rsidR="00E3044B">
        <w:rPr>
          <w:sz w:val="20"/>
          <w:szCs w:val="20"/>
        </w:rPr>
        <w:t>pg</w:t>
      </w:r>
      <w:proofErr w:type="spellEnd"/>
      <w:r>
        <w:rPr>
          <w:sz w:val="20"/>
          <w:szCs w:val="20"/>
        </w:rPr>
        <w:t xml:space="preserve"> 4. </w:t>
      </w:r>
    </w:p>
  </w:footnote>
  <w:footnote w:id="25">
    <w:p w14:paraId="00000040" w14:textId="0BBDDA47" w:rsidR="00DB7990"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Jaan</w:t>
      </w:r>
      <w:proofErr w:type="spellEnd"/>
      <w:r>
        <w:rPr>
          <w:sz w:val="20"/>
          <w:szCs w:val="20"/>
        </w:rPr>
        <w:t xml:space="preserve"> </w:t>
      </w:r>
      <w:proofErr w:type="spellStart"/>
      <w:r>
        <w:rPr>
          <w:sz w:val="20"/>
          <w:szCs w:val="20"/>
        </w:rPr>
        <w:t>Puhvel</w:t>
      </w:r>
      <w:proofErr w:type="spellEnd"/>
      <w:r>
        <w:rPr>
          <w:sz w:val="20"/>
          <w:szCs w:val="20"/>
        </w:rPr>
        <w:t xml:space="preserve">, </w:t>
      </w:r>
      <w:r w:rsidR="00E3044B">
        <w:rPr>
          <w:sz w:val="20"/>
          <w:szCs w:val="20"/>
        </w:rPr>
        <w:t>1987,</w:t>
      </w:r>
      <w:r>
        <w:rPr>
          <w:sz w:val="20"/>
          <w:szCs w:val="20"/>
        </w:rPr>
        <w:t xml:space="preserve"> </w:t>
      </w:r>
      <w:proofErr w:type="spellStart"/>
      <w:r>
        <w:rPr>
          <w:sz w:val="20"/>
          <w:szCs w:val="20"/>
        </w:rPr>
        <w:t>pg</w:t>
      </w:r>
      <w:proofErr w:type="spellEnd"/>
      <w:r>
        <w:rPr>
          <w:sz w:val="20"/>
          <w:szCs w:val="20"/>
        </w:rPr>
        <w:t xml:space="preserve"> 4. </w:t>
      </w:r>
    </w:p>
  </w:footnote>
  <w:footnote w:id="26">
    <w:p w14:paraId="00000041" w14:textId="77777777" w:rsidR="00DB7990" w:rsidRDefault="00000000">
      <w:pPr>
        <w:spacing w:line="240" w:lineRule="auto"/>
        <w:rPr>
          <w:sz w:val="20"/>
          <w:szCs w:val="20"/>
        </w:rPr>
      </w:pPr>
      <w:r>
        <w:rPr>
          <w:vertAlign w:val="superscript"/>
        </w:rPr>
        <w:footnoteRef/>
      </w:r>
      <w:r>
        <w:rPr>
          <w:sz w:val="20"/>
          <w:szCs w:val="20"/>
        </w:rPr>
        <w:t xml:space="preserve"> As demonstrated in </w:t>
      </w:r>
      <w:proofErr w:type="spellStart"/>
      <w:r>
        <w:rPr>
          <w:sz w:val="20"/>
          <w:szCs w:val="20"/>
        </w:rPr>
        <w:t>Puhvel’s</w:t>
      </w:r>
      <w:proofErr w:type="spellEnd"/>
      <w:r>
        <w:rPr>
          <w:sz w:val="20"/>
          <w:szCs w:val="20"/>
        </w:rPr>
        <w:t xml:space="preserve"> </w:t>
      </w:r>
      <w:r>
        <w:rPr>
          <w:i/>
          <w:sz w:val="20"/>
          <w:szCs w:val="20"/>
        </w:rPr>
        <w:t xml:space="preserve">Comparative Mythology, </w:t>
      </w:r>
      <w:r>
        <w:rPr>
          <w:sz w:val="20"/>
          <w:szCs w:val="20"/>
        </w:rPr>
        <w:t>1987.</w:t>
      </w:r>
    </w:p>
  </w:footnote>
  <w:footnote w:id="27">
    <w:p w14:paraId="00000042" w14:textId="31286655" w:rsidR="00DB7990" w:rsidRDefault="00000000">
      <w:pPr>
        <w:spacing w:line="240" w:lineRule="auto"/>
        <w:rPr>
          <w:sz w:val="20"/>
          <w:szCs w:val="20"/>
        </w:rPr>
      </w:pPr>
      <w:r>
        <w:rPr>
          <w:vertAlign w:val="superscript"/>
        </w:rPr>
        <w:footnoteRef/>
      </w:r>
      <w:r>
        <w:rPr>
          <w:sz w:val="20"/>
          <w:szCs w:val="20"/>
        </w:rPr>
        <w:t xml:space="preserve"> Eleanor R. </w:t>
      </w:r>
      <w:r>
        <w:rPr>
          <w:sz w:val="20"/>
          <w:szCs w:val="20"/>
        </w:rPr>
        <w:t>Long,</w:t>
      </w:r>
      <w:r w:rsidR="00E3044B">
        <w:rPr>
          <w:sz w:val="20"/>
          <w:szCs w:val="20"/>
        </w:rPr>
        <w:t>1984,</w:t>
      </w:r>
      <w:r>
        <w:rPr>
          <w:sz w:val="20"/>
          <w:szCs w:val="20"/>
        </w:rPr>
        <w:t xml:space="preserve"> </w:t>
      </w:r>
      <w:r>
        <w:rPr>
          <w:sz w:val="20"/>
          <w:szCs w:val="20"/>
        </w:rPr>
        <w:t xml:space="preserve">261. </w:t>
      </w:r>
    </w:p>
  </w:footnote>
  <w:footnote w:id="28">
    <w:p w14:paraId="00000043" w14:textId="039EAE63" w:rsidR="00DB7990"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Jaan</w:t>
      </w:r>
      <w:proofErr w:type="spellEnd"/>
      <w:r>
        <w:rPr>
          <w:sz w:val="20"/>
          <w:szCs w:val="20"/>
        </w:rPr>
        <w:t xml:space="preserve"> </w:t>
      </w:r>
      <w:proofErr w:type="spellStart"/>
      <w:r>
        <w:rPr>
          <w:sz w:val="20"/>
          <w:szCs w:val="20"/>
        </w:rPr>
        <w:t>Puhvel</w:t>
      </w:r>
      <w:proofErr w:type="spellEnd"/>
      <w:r>
        <w:rPr>
          <w:sz w:val="20"/>
          <w:szCs w:val="20"/>
        </w:rPr>
        <w:t xml:space="preserve">, </w:t>
      </w:r>
      <w:r w:rsidR="00E3044B">
        <w:rPr>
          <w:sz w:val="20"/>
          <w:szCs w:val="20"/>
        </w:rPr>
        <w:t>1987</w:t>
      </w:r>
      <w:r>
        <w:rPr>
          <w:sz w:val="20"/>
          <w:szCs w:val="20"/>
        </w:rPr>
        <w:t xml:space="preserve"> </w:t>
      </w:r>
      <w:proofErr w:type="spellStart"/>
      <w:r>
        <w:rPr>
          <w:sz w:val="20"/>
          <w:szCs w:val="20"/>
        </w:rPr>
        <w:t>pg</w:t>
      </w:r>
      <w:proofErr w:type="spellEnd"/>
      <w:r>
        <w:rPr>
          <w:sz w:val="20"/>
          <w:szCs w:val="20"/>
        </w:rPr>
        <w:t xml:space="preserve"> 241. </w:t>
      </w:r>
    </w:p>
  </w:footnote>
  <w:footnote w:id="29">
    <w:p w14:paraId="00000044" w14:textId="77777777" w:rsidR="00DB7990" w:rsidRDefault="00000000">
      <w:pPr>
        <w:spacing w:line="240" w:lineRule="auto"/>
        <w:rPr>
          <w:sz w:val="20"/>
          <w:szCs w:val="20"/>
        </w:rPr>
      </w:pPr>
      <w:r>
        <w:rPr>
          <w:vertAlign w:val="superscript"/>
        </w:rPr>
        <w:footnoteRef/>
      </w:r>
      <w:r>
        <w:rPr>
          <w:sz w:val="20"/>
          <w:szCs w:val="20"/>
        </w:rPr>
        <w:t xml:space="preserve"> Wayne </w:t>
      </w:r>
      <w:proofErr w:type="spellStart"/>
      <w:r>
        <w:rPr>
          <w:sz w:val="20"/>
          <w:szCs w:val="20"/>
        </w:rPr>
        <w:t>Elzey</w:t>
      </w:r>
      <w:proofErr w:type="spellEnd"/>
      <w:r>
        <w:rPr>
          <w:sz w:val="20"/>
          <w:szCs w:val="20"/>
        </w:rPr>
        <w:t xml:space="preserve">, 'Mircea Eliade and the Battle Against Reductionism', in </w:t>
      </w:r>
      <w:r>
        <w:rPr>
          <w:i/>
          <w:sz w:val="20"/>
          <w:szCs w:val="20"/>
        </w:rPr>
        <w:t>Religion and Reductionism: Essays on Eliade, Segal, and the Challenge of the Social Sciences for the Study of Religion</w:t>
      </w:r>
      <w:r>
        <w:rPr>
          <w:sz w:val="20"/>
          <w:szCs w:val="20"/>
        </w:rPr>
        <w:t xml:space="preserve">, ed. by Edward A. </w:t>
      </w:r>
      <w:proofErr w:type="spellStart"/>
      <w:r>
        <w:rPr>
          <w:sz w:val="20"/>
          <w:szCs w:val="20"/>
        </w:rPr>
        <w:t>Yonan</w:t>
      </w:r>
      <w:proofErr w:type="spellEnd"/>
      <w:r>
        <w:rPr>
          <w:sz w:val="20"/>
          <w:szCs w:val="20"/>
        </w:rPr>
        <w:t xml:space="preserve"> and Thomas A. </w:t>
      </w:r>
      <w:proofErr w:type="spellStart"/>
      <w:proofErr w:type="gramStart"/>
      <w:r>
        <w:rPr>
          <w:sz w:val="20"/>
          <w:szCs w:val="20"/>
        </w:rPr>
        <w:t>Idinopulos</w:t>
      </w:r>
      <w:proofErr w:type="spellEnd"/>
      <w:r>
        <w:rPr>
          <w:sz w:val="20"/>
          <w:szCs w:val="20"/>
        </w:rPr>
        <w:t xml:space="preserve"> ,</w:t>
      </w:r>
      <w:proofErr w:type="gramEnd"/>
      <w:r>
        <w:rPr>
          <w:sz w:val="20"/>
          <w:szCs w:val="20"/>
        </w:rPr>
        <w:t xml:space="preserve"> 62 vols (Brill, 2018), pp. 82-94 &lt;https://books.google.com/books?id=WqSODwAAQBAJ&gt;. Pg 84.</w:t>
      </w:r>
    </w:p>
  </w:footnote>
  <w:footnote w:id="30">
    <w:p w14:paraId="00000045" w14:textId="77777777" w:rsidR="00DB7990" w:rsidRDefault="00000000">
      <w:pPr>
        <w:spacing w:line="240" w:lineRule="auto"/>
        <w:rPr>
          <w:sz w:val="20"/>
          <w:szCs w:val="20"/>
        </w:rPr>
      </w:pPr>
      <w:r>
        <w:rPr>
          <w:vertAlign w:val="superscript"/>
        </w:rPr>
        <w:footnoteRef/>
      </w:r>
      <w:r>
        <w:rPr>
          <w:sz w:val="20"/>
          <w:szCs w:val="20"/>
        </w:rPr>
        <w:t xml:space="preserve"> M. Eliade and R. </w:t>
      </w:r>
      <w:proofErr w:type="spellStart"/>
      <w:proofErr w:type="gramStart"/>
      <w:r>
        <w:rPr>
          <w:sz w:val="20"/>
          <w:szCs w:val="20"/>
        </w:rPr>
        <w:t>Sheed</w:t>
      </w:r>
      <w:proofErr w:type="spellEnd"/>
      <w:r>
        <w:rPr>
          <w:sz w:val="20"/>
          <w:szCs w:val="20"/>
        </w:rPr>
        <w:t>,  and</w:t>
      </w:r>
      <w:proofErr w:type="gramEnd"/>
      <w:r>
        <w:rPr>
          <w:sz w:val="20"/>
          <w:szCs w:val="20"/>
        </w:rPr>
        <w:t xml:space="preserve"> J. C. Holt, Pg. </w:t>
      </w:r>
      <w:r>
        <w:rPr>
          <w:i/>
          <w:sz w:val="20"/>
          <w:szCs w:val="20"/>
        </w:rPr>
        <w:t>xiii.</w:t>
      </w:r>
    </w:p>
  </w:footnote>
  <w:footnote w:id="31">
    <w:p w14:paraId="0000004B" w14:textId="77777777" w:rsidR="00DB7990" w:rsidRDefault="00000000">
      <w:pPr>
        <w:spacing w:line="240" w:lineRule="auto"/>
        <w:rPr>
          <w:sz w:val="20"/>
          <w:szCs w:val="20"/>
        </w:rPr>
      </w:pPr>
      <w:r>
        <w:rPr>
          <w:vertAlign w:val="superscript"/>
        </w:rPr>
        <w:footnoteRef/>
      </w:r>
      <w:r>
        <w:rPr>
          <w:sz w:val="20"/>
          <w:szCs w:val="20"/>
        </w:rPr>
        <w:t xml:space="preserve"> Bill McKenna and </w:t>
      </w:r>
      <w:proofErr w:type="gramStart"/>
      <w:r>
        <w:rPr>
          <w:sz w:val="20"/>
          <w:szCs w:val="20"/>
        </w:rPr>
        <w:t xml:space="preserve">others,  </w:t>
      </w:r>
      <w:proofErr w:type="spellStart"/>
      <w:r>
        <w:rPr>
          <w:sz w:val="20"/>
          <w:szCs w:val="20"/>
        </w:rPr>
        <w:t>Hanges</w:t>
      </w:r>
      <w:proofErr w:type="spellEnd"/>
      <w:proofErr w:type="gramEnd"/>
      <w:r>
        <w:rPr>
          <w:sz w:val="20"/>
          <w:szCs w:val="20"/>
        </w:rPr>
        <w:t xml:space="preserve">, pg. 4. </w:t>
      </w:r>
    </w:p>
  </w:footnote>
  <w:footnote w:id="32">
    <w:p w14:paraId="00000046" w14:textId="77777777" w:rsidR="00DB7990" w:rsidRDefault="00000000">
      <w:pPr>
        <w:spacing w:line="240" w:lineRule="auto"/>
        <w:rPr>
          <w:sz w:val="20"/>
          <w:szCs w:val="20"/>
        </w:rPr>
      </w:pPr>
      <w:r>
        <w:rPr>
          <w:vertAlign w:val="superscript"/>
        </w:rPr>
        <w:footnoteRef/>
      </w:r>
      <w:r>
        <w:rPr>
          <w:sz w:val="20"/>
          <w:szCs w:val="20"/>
        </w:rPr>
        <w:t xml:space="preserve"> Wayne </w:t>
      </w:r>
      <w:proofErr w:type="spellStart"/>
      <w:r>
        <w:rPr>
          <w:sz w:val="20"/>
          <w:szCs w:val="20"/>
        </w:rPr>
        <w:t>Elzey</w:t>
      </w:r>
      <w:proofErr w:type="spellEnd"/>
      <w:r>
        <w:rPr>
          <w:sz w:val="20"/>
          <w:szCs w:val="20"/>
        </w:rPr>
        <w:t>, 1976, 128.</w:t>
      </w:r>
    </w:p>
  </w:footnote>
  <w:footnote w:id="33">
    <w:p w14:paraId="00000047" w14:textId="77777777" w:rsidR="00DB7990" w:rsidRDefault="00000000">
      <w:pPr>
        <w:spacing w:line="240" w:lineRule="auto"/>
        <w:rPr>
          <w:sz w:val="20"/>
          <w:szCs w:val="20"/>
        </w:rPr>
      </w:pPr>
      <w:r>
        <w:rPr>
          <w:vertAlign w:val="superscript"/>
        </w:rPr>
        <w:footnoteRef/>
      </w:r>
      <w:r>
        <w:rPr>
          <w:sz w:val="20"/>
          <w:szCs w:val="20"/>
        </w:rPr>
        <w:t xml:space="preserve"> Nicholas Campion, </w:t>
      </w:r>
      <w:r>
        <w:rPr>
          <w:i/>
          <w:sz w:val="20"/>
          <w:szCs w:val="20"/>
        </w:rPr>
        <w:t>Astrology and Cosmology in the World's Religions</w:t>
      </w:r>
      <w:r>
        <w:rPr>
          <w:sz w:val="20"/>
          <w:szCs w:val="20"/>
        </w:rPr>
        <w:t xml:space="preserve"> (New York: New York University Press, 2012).  Pg. 5. </w:t>
      </w:r>
    </w:p>
  </w:footnote>
  <w:footnote w:id="34">
    <w:p w14:paraId="00000048" w14:textId="77777777" w:rsidR="00DB7990" w:rsidRDefault="00000000">
      <w:pPr>
        <w:spacing w:line="240" w:lineRule="auto"/>
        <w:rPr>
          <w:sz w:val="20"/>
          <w:szCs w:val="20"/>
        </w:rPr>
      </w:pPr>
      <w:r>
        <w:rPr>
          <w:vertAlign w:val="superscript"/>
        </w:rPr>
        <w:footnoteRef/>
      </w:r>
      <w:r>
        <w:rPr>
          <w:sz w:val="20"/>
          <w:szCs w:val="20"/>
        </w:rPr>
        <w:t xml:space="preserve"> Nicholas Campion, 2012, pg. 5. </w:t>
      </w:r>
    </w:p>
  </w:footnote>
  <w:footnote w:id="35">
    <w:p w14:paraId="00000049" w14:textId="52995E65" w:rsidR="00DB7990" w:rsidRDefault="00000000">
      <w:pPr>
        <w:spacing w:line="240" w:lineRule="auto"/>
        <w:rPr>
          <w:sz w:val="20"/>
          <w:szCs w:val="20"/>
        </w:rPr>
      </w:pPr>
      <w:r>
        <w:rPr>
          <w:vertAlign w:val="superscript"/>
        </w:rPr>
        <w:footnoteRef/>
      </w:r>
      <w:r>
        <w:rPr>
          <w:sz w:val="20"/>
          <w:szCs w:val="20"/>
        </w:rPr>
        <w:t xml:space="preserve"> Nicholas </w:t>
      </w:r>
      <w:r w:rsidR="00E3044B">
        <w:rPr>
          <w:sz w:val="20"/>
          <w:szCs w:val="20"/>
        </w:rPr>
        <w:t>Campion, 2012</w:t>
      </w:r>
      <w:r>
        <w:rPr>
          <w:sz w:val="20"/>
          <w:szCs w:val="20"/>
        </w:rPr>
        <w:t xml:space="preserve">, pg. 5. </w:t>
      </w:r>
    </w:p>
  </w:footnote>
  <w:footnote w:id="36">
    <w:p w14:paraId="0000004D" w14:textId="77777777" w:rsidR="00DB7990" w:rsidRDefault="00000000">
      <w:pPr>
        <w:spacing w:line="240" w:lineRule="auto"/>
        <w:rPr>
          <w:sz w:val="20"/>
          <w:szCs w:val="20"/>
        </w:rPr>
      </w:pPr>
      <w:r>
        <w:rPr>
          <w:vertAlign w:val="superscript"/>
        </w:rPr>
        <w:footnoteRef/>
      </w:r>
      <w:r>
        <w:rPr>
          <w:sz w:val="20"/>
          <w:szCs w:val="20"/>
        </w:rPr>
        <w:t xml:space="preserve"> Having a star as the centre point of a cosmology.</w:t>
      </w:r>
    </w:p>
  </w:footnote>
  <w:footnote w:id="37">
    <w:p w14:paraId="0000004A" w14:textId="77777777" w:rsidR="00DB7990" w:rsidRDefault="00000000">
      <w:pPr>
        <w:spacing w:line="240" w:lineRule="auto"/>
        <w:rPr>
          <w:sz w:val="20"/>
          <w:szCs w:val="20"/>
        </w:rPr>
      </w:pPr>
      <w:r>
        <w:rPr>
          <w:vertAlign w:val="superscript"/>
        </w:rPr>
        <w:footnoteRef/>
      </w:r>
      <w:r>
        <w:rPr>
          <w:sz w:val="20"/>
          <w:szCs w:val="20"/>
        </w:rPr>
        <w:t xml:space="preserve"> Wayne Elzey,1976, pg. 128.</w:t>
      </w:r>
    </w:p>
  </w:footnote>
  <w:footnote w:id="38">
    <w:p w14:paraId="0000004E" w14:textId="77777777" w:rsidR="00DB7990" w:rsidRDefault="00000000">
      <w:pPr>
        <w:spacing w:line="240" w:lineRule="auto"/>
        <w:rPr>
          <w:sz w:val="20"/>
          <w:szCs w:val="20"/>
        </w:rPr>
      </w:pPr>
      <w:r>
        <w:rPr>
          <w:vertAlign w:val="superscript"/>
        </w:rPr>
        <w:footnoteRef/>
      </w:r>
      <w:r>
        <w:rPr>
          <w:sz w:val="20"/>
          <w:szCs w:val="20"/>
        </w:rPr>
        <w:t xml:space="preserve"> Wayne </w:t>
      </w:r>
      <w:proofErr w:type="spellStart"/>
      <w:r>
        <w:rPr>
          <w:sz w:val="20"/>
          <w:szCs w:val="20"/>
        </w:rPr>
        <w:t>Elzey</w:t>
      </w:r>
      <w:proofErr w:type="spellEnd"/>
      <w:r>
        <w:rPr>
          <w:sz w:val="20"/>
          <w:szCs w:val="20"/>
        </w:rPr>
        <w:t>, 1976, 114-135.</w:t>
      </w:r>
    </w:p>
  </w:footnote>
  <w:footnote w:id="39">
    <w:p w14:paraId="0000004F" w14:textId="4EBAE360" w:rsidR="00DB7990" w:rsidRDefault="00000000">
      <w:pPr>
        <w:spacing w:line="240" w:lineRule="auto"/>
        <w:rPr>
          <w:sz w:val="20"/>
          <w:szCs w:val="20"/>
        </w:rPr>
      </w:pPr>
      <w:r>
        <w:rPr>
          <w:vertAlign w:val="superscript"/>
        </w:rPr>
        <w:footnoteRef/>
      </w:r>
      <w:r>
        <w:rPr>
          <w:sz w:val="20"/>
          <w:szCs w:val="20"/>
        </w:rPr>
        <w:t>Eleanor R. Long,</w:t>
      </w:r>
      <w:proofErr w:type="gramStart"/>
      <w:r w:rsidR="00E3044B">
        <w:rPr>
          <w:sz w:val="20"/>
          <w:szCs w:val="20"/>
        </w:rPr>
        <w:t>1984</w:t>
      </w:r>
      <w:r>
        <w:rPr>
          <w:sz w:val="20"/>
          <w:szCs w:val="20"/>
        </w:rPr>
        <w:t xml:space="preserve"> ,</w:t>
      </w:r>
      <w:proofErr w:type="gramEnd"/>
      <w:r>
        <w:rPr>
          <w:sz w:val="20"/>
          <w:szCs w:val="20"/>
        </w:rPr>
        <w:t xml:space="preserve"> 256-264.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77777777" w:rsidR="00DB7990" w:rsidRDefault="00DB799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990"/>
    <w:rsid w:val="004C257A"/>
    <w:rsid w:val="00DB7990"/>
    <w:rsid w:val="00E30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2BAA07"/>
  <w15:docId w15:val="{2AD92338-D0E5-4D1D-B65D-49A304FDB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2063</Words>
  <Characters>11762</Characters>
  <Application>Microsoft Office Word</Application>
  <DocSecurity>0</DocSecurity>
  <Lines>98</Lines>
  <Paragraphs>27</Paragraphs>
  <ScaleCrop>false</ScaleCrop>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Rena</cp:lastModifiedBy>
  <cp:revision>2</cp:revision>
  <dcterms:created xsi:type="dcterms:W3CDTF">2022-11-07T04:37:00Z</dcterms:created>
  <dcterms:modified xsi:type="dcterms:W3CDTF">2022-11-07T04:45:00Z</dcterms:modified>
</cp:coreProperties>
</file>