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223AE2" w14:textId="39873BBE" w:rsidR="00DB13A5" w:rsidRDefault="00DB13A5" w:rsidP="00BF63EC">
      <w:pPr>
        <w:spacing w:line="360" w:lineRule="auto"/>
        <w:rPr>
          <w:rFonts w:ascii="Trebuchet MS" w:hAnsi="Trebuchet MS"/>
          <w:b/>
          <w:sz w:val="24"/>
          <w:szCs w:val="24"/>
          <w:u w:val="single"/>
        </w:rPr>
      </w:pPr>
      <w:r>
        <w:rPr>
          <w:rFonts w:ascii="Trebuchet MS" w:hAnsi="Trebuchet MS"/>
          <w:b/>
          <w:sz w:val="24"/>
          <w:szCs w:val="24"/>
          <w:u w:val="single"/>
        </w:rPr>
        <w:t>Strategic Analysis.</w:t>
      </w:r>
    </w:p>
    <w:p w14:paraId="140BC3F7" w14:textId="79675AEA" w:rsidR="00DB13A5" w:rsidRDefault="00DB13A5" w:rsidP="00BF63EC">
      <w:pPr>
        <w:spacing w:line="360" w:lineRule="auto"/>
        <w:rPr>
          <w:rFonts w:ascii="Trebuchet MS" w:hAnsi="Trebuchet MS"/>
          <w:b/>
          <w:sz w:val="24"/>
          <w:szCs w:val="24"/>
          <w:u w:val="single"/>
        </w:rPr>
      </w:pPr>
      <w:r>
        <w:rPr>
          <w:rFonts w:ascii="Trebuchet MS" w:hAnsi="Trebuchet MS"/>
          <w:b/>
          <w:sz w:val="24"/>
          <w:szCs w:val="24"/>
          <w:u w:val="single"/>
        </w:rPr>
        <w:t>Introduction</w:t>
      </w:r>
    </w:p>
    <w:p w14:paraId="292F8FC1" w14:textId="3D43A4B3" w:rsidR="00DB13A5" w:rsidRPr="009251DC" w:rsidRDefault="00DB13A5" w:rsidP="00BF63EC">
      <w:pPr>
        <w:spacing w:line="360" w:lineRule="auto"/>
        <w:rPr>
          <w:rFonts w:ascii="Trebuchet MS" w:hAnsi="Trebuchet MS"/>
          <w:sz w:val="24"/>
          <w:szCs w:val="24"/>
        </w:rPr>
      </w:pPr>
      <w:r>
        <w:rPr>
          <w:rFonts w:ascii="Trebuchet MS" w:hAnsi="Trebuchet MS"/>
          <w:sz w:val="24"/>
          <w:szCs w:val="24"/>
        </w:rPr>
        <w:t xml:space="preserve">This essay will attempt to analyse the strategic direction of Barnet, Enfield and Haringey Mental Health NHS </w:t>
      </w:r>
      <w:r w:rsidR="009251DC">
        <w:rPr>
          <w:rFonts w:ascii="Trebuchet MS" w:hAnsi="Trebuchet MS"/>
          <w:sz w:val="24"/>
          <w:szCs w:val="24"/>
        </w:rPr>
        <w:t>Trust (</w:t>
      </w:r>
      <w:r>
        <w:rPr>
          <w:rFonts w:ascii="Trebuchet MS" w:hAnsi="Trebuchet MS"/>
          <w:sz w:val="24"/>
          <w:szCs w:val="24"/>
        </w:rPr>
        <w:t xml:space="preserve">The Trust). It is an NHS Trust providing mental health services, community mental health services and specialist services in the </w:t>
      </w:r>
      <w:r w:rsidR="009251DC">
        <w:rPr>
          <w:rFonts w:ascii="Trebuchet MS" w:hAnsi="Trebuchet MS"/>
          <w:sz w:val="24"/>
          <w:szCs w:val="24"/>
        </w:rPr>
        <w:t>three London boroughs and surrounding areas.</w:t>
      </w:r>
    </w:p>
    <w:p w14:paraId="720E779D" w14:textId="4A39DF12" w:rsidR="00692E31" w:rsidRPr="00BF63EC" w:rsidRDefault="00BF63EC" w:rsidP="00BF63EC">
      <w:pPr>
        <w:spacing w:line="360" w:lineRule="auto"/>
        <w:rPr>
          <w:rFonts w:ascii="Trebuchet MS" w:hAnsi="Trebuchet MS"/>
          <w:b/>
          <w:sz w:val="24"/>
          <w:szCs w:val="24"/>
          <w:u w:val="single"/>
        </w:rPr>
      </w:pPr>
      <w:r>
        <w:rPr>
          <w:rFonts w:ascii="Trebuchet MS" w:hAnsi="Trebuchet MS"/>
          <w:b/>
          <w:sz w:val="24"/>
          <w:szCs w:val="24"/>
          <w:u w:val="single"/>
        </w:rPr>
        <w:t>1.</w:t>
      </w:r>
      <w:r w:rsidR="00B60EE4" w:rsidRPr="00BF63EC">
        <w:rPr>
          <w:rFonts w:ascii="Trebuchet MS" w:hAnsi="Trebuchet MS"/>
          <w:b/>
          <w:sz w:val="24"/>
          <w:szCs w:val="24"/>
          <w:u w:val="single"/>
        </w:rPr>
        <w:t>Macro environment analysis</w:t>
      </w:r>
    </w:p>
    <w:p w14:paraId="4CB6D1B5" w14:textId="0C2B7DF7" w:rsidR="004D52FA" w:rsidRDefault="004D52FA" w:rsidP="00177BB5">
      <w:pPr>
        <w:spacing w:line="360" w:lineRule="auto"/>
        <w:rPr>
          <w:rFonts w:ascii="Trebuchet MS" w:hAnsi="Trebuchet MS"/>
          <w:sz w:val="24"/>
          <w:szCs w:val="24"/>
        </w:rPr>
      </w:pPr>
      <w:r>
        <w:rPr>
          <w:rFonts w:ascii="Trebuchet MS" w:hAnsi="Trebuchet MS"/>
          <w:sz w:val="24"/>
          <w:szCs w:val="24"/>
        </w:rPr>
        <w:t>The micro</w:t>
      </w:r>
      <w:r w:rsidR="00DA7E8B">
        <w:rPr>
          <w:rFonts w:ascii="Trebuchet MS" w:hAnsi="Trebuchet MS"/>
          <w:sz w:val="24"/>
          <w:szCs w:val="24"/>
        </w:rPr>
        <w:t>-</w:t>
      </w:r>
      <w:r>
        <w:rPr>
          <w:rFonts w:ascii="Trebuchet MS" w:hAnsi="Trebuchet MS"/>
          <w:sz w:val="24"/>
          <w:szCs w:val="24"/>
        </w:rPr>
        <w:t xml:space="preserve">environment </w:t>
      </w:r>
      <w:r w:rsidR="00DA7E8B">
        <w:rPr>
          <w:rFonts w:ascii="Trebuchet MS" w:hAnsi="Trebuchet MS"/>
          <w:sz w:val="24"/>
          <w:szCs w:val="24"/>
        </w:rPr>
        <w:t xml:space="preserve">consists of the overarching environmental factors that affect organisations, industries and sectors (Johnson et al, 2017). </w:t>
      </w:r>
      <w:r w:rsidR="009E4873">
        <w:rPr>
          <w:rFonts w:ascii="Trebuchet MS" w:hAnsi="Trebuchet MS"/>
          <w:sz w:val="24"/>
          <w:szCs w:val="24"/>
        </w:rPr>
        <w:t xml:space="preserve">In their model, Johnson et al (2017) proposed a model </w:t>
      </w:r>
      <w:r w:rsidR="00D145D2">
        <w:rPr>
          <w:rFonts w:ascii="Trebuchet MS" w:hAnsi="Trebuchet MS"/>
          <w:sz w:val="24"/>
          <w:szCs w:val="24"/>
        </w:rPr>
        <w:t>that divulges how macro-environments work in relation to the business environment</w:t>
      </w:r>
      <w:r w:rsidR="00685331">
        <w:rPr>
          <w:rFonts w:ascii="Trebuchet MS" w:hAnsi="Trebuchet MS"/>
          <w:sz w:val="24"/>
          <w:szCs w:val="24"/>
        </w:rPr>
        <w:t xml:space="preserve"> and the functionality of </w:t>
      </w:r>
      <w:r w:rsidR="00307C73">
        <w:rPr>
          <w:rFonts w:ascii="Trebuchet MS" w:hAnsi="Trebuchet MS"/>
          <w:sz w:val="24"/>
          <w:szCs w:val="24"/>
        </w:rPr>
        <w:t>organisations when uncontrollable variables are considered</w:t>
      </w:r>
      <w:r w:rsidR="00D145D2">
        <w:rPr>
          <w:rFonts w:ascii="Trebuchet MS" w:hAnsi="Trebuchet MS"/>
          <w:sz w:val="24"/>
          <w:szCs w:val="24"/>
        </w:rPr>
        <w:t xml:space="preserve">. </w:t>
      </w:r>
    </w:p>
    <w:p w14:paraId="2D462F99" w14:textId="0CF42D56" w:rsidR="00685331" w:rsidRPr="004D52FA" w:rsidRDefault="00685331" w:rsidP="00177BB5">
      <w:pPr>
        <w:spacing w:line="360" w:lineRule="auto"/>
        <w:rPr>
          <w:rFonts w:ascii="Trebuchet MS" w:hAnsi="Trebuchet MS"/>
          <w:sz w:val="24"/>
          <w:szCs w:val="24"/>
        </w:rPr>
      </w:pPr>
      <w:r>
        <w:rPr>
          <w:rFonts w:ascii="Trebuchet MS" w:hAnsi="Trebuchet MS"/>
          <w:sz w:val="24"/>
          <w:szCs w:val="24"/>
        </w:rPr>
        <w:t xml:space="preserve">Below, is an analysis of how these factors interact with the business environment and influence strategic choices undertaken by the Trust which is the NHS.  </w:t>
      </w:r>
    </w:p>
    <w:p w14:paraId="720E779E" w14:textId="4304313C" w:rsidR="00B60EE4" w:rsidRPr="006D70F1" w:rsidRDefault="00BF63EC" w:rsidP="00177BB5">
      <w:pPr>
        <w:spacing w:line="360" w:lineRule="auto"/>
        <w:rPr>
          <w:rFonts w:ascii="Trebuchet MS" w:hAnsi="Trebuchet MS"/>
          <w:b/>
          <w:sz w:val="24"/>
          <w:szCs w:val="24"/>
          <w:u w:val="single"/>
        </w:rPr>
      </w:pPr>
      <w:r>
        <w:rPr>
          <w:rFonts w:ascii="Trebuchet MS" w:hAnsi="Trebuchet MS"/>
          <w:b/>
          <w:sz w:val="24"/>
          <w:szCs w:val="24"/>
          <w:u w:val="single"/>
        </w:rPr>
        <w:t>1.1</w:t>
      </w:r>
      <w:r w:rsidR="00B60EE4" w:rsidRPr="006D70F1">
        <w:rPr>
          <w:rFonts w:ascii="Trebuchet MS" w:hAnsi="Trebuchet MS"/>
          <w:b/>
          <w:sz w:val="24"/>
          <w:szCs w:val="24"/>
          <w:u w:val="single"/>
        </w:rPr>
        <w:t>Politics</w:t>
      </w:r>
    </w:p>
    <w:p w14:paraId="720E779F" w14:textId="77777777" w:rsidR="000C028F" w:rsidRDefault="006D70F1" w:rsidP="00177BB5">
      <w:pPr>
        <w:spacing w:line="360" w:lineRule="auto"/>
        <w:rPr>
          <w:rFonts w:ascii="Trebuchet MS" w:hAnsi="Trebuchet MS"/>
          <w:sz w:val="24"/>
          <w:szCs w:val="24"/>
        </w:rPr>
      </w:pPr>
      <w:r>
        <w:rPr>
          <w:rFonts w:ascii="Trebuchet MS" w:hAnsi="Trebuchet MS"/>
          <w:sz w:val="24"/>
          <w:szCs w:val="24"/>
        </w:rPr>
        <w:t>On June 23</w:t>
      </w:r>
      <w:r w:rsidRPr="006D70F1">
        <w:rPr>
          <w:rFonts w:ascii="Trebuchet MS" w:hAnsi="Trebuchet MS"/>
          <w:sz w:val="24"/>
          <w:szCs w:val="24"/>
          <w:vertAlign w:val="superscript"/>
        </w:rPr>
        <w:t>rd</w:t>
      </w:r>
      <w:r>
        <w:rPr>
          <w:rFonts w:ascii="Trebuchet MS" w:hAnsi="Trebuchet MS"/>
          <w:sz w:val="24"/>
          <w:szCs w:val="24"/>
        </w:rPr>
        <w:t xml:space="preserve"> 2016, the</w:t>
      </w:r>
      <w:r w:rsidR="00E12695">
        <w:rPr>
          <w:rFonts w:ascii="Trebuchet MS" w:hAnsi="Trebuchet MS"/>
          <w:sz w:val="24"/>
          <w:szCs w:val="24"/>
        </w:rPr>
        <w:t xml:space="preserve"> British public voted in favour of leaving the EU. It is expected that the withdrawal of the United Kingdom (UK) from the European Union </w:t>
      </w:r>
      <w:r w:rsidR="000C028F">
        <w:rPr>
          <w:rFonts w:ascii="Trebuchet MS" w:hAnsi="Trebuchet MS"/>
          <w:sz w:val="24"/>
          <w:szCs w:val="24"/>
        </w:rPr>
        <w:t>(EU) will</w:t>
      </w:r>
      <w:r w:rsidR="00E12695">
        <w:rPr>
          <w:rFonts w:ascii="Trebuchet MS" w:hAnsi="Trebuchet MS"/>
          <w:sz w:val="24"/>
          <w:szCs w:val="24"/>
        </w:rPr>
        <w:t xml:space="preserve"> be finalised on March 29</w:t>
      </w:r>
      <w:r w:rsidR="00E12695" w:rsidRPr="00E12695">
        <w:rPr>
          <w:rFonts w:ascii="Trebuchet MS" w:hAnsi="Trebuchet MS"/>
          <w:sz w:val="24"/>
          <w:szCs w:val="24"/>
          <w:vertAlign w:val="superscript"/>
        </w:rPr>
        <w:t>th</w:t>
      </w:r>
      <w:r w:rsidR="00E12695">
        <w:rPr>
          <w:rFonts w:ascii="Trebuchet MS" w:hAnsi="Trebuchet MS"/>
          <w:sz w:val="24"/>
          <w:szCs w:val="24"/>
        </w:rPr>
        <w:t xml:space="preserve"> 2019. Brexit presents the biggest peacetime challenge ever faced by the </w:t>
      </w:r>
      <w:r w:rsidR="00F46AA5">
        <w:rPr>
          <w:rFonts w:ascii="Trebuchet MS" w:hAnsi="Trebuchet MS"/>
          <w:sz w:val="24"/>
          <w:szCs w:val="24"/>
        </w:rPr>
        <w:t xml:space="preserve">UK (Fahy et al, 2017). The impact of Brexit on NHS Trusts will be significant particularly with regards to </w:t>
      </w:r>
      <w:r w:rsidR="000C028F">
        <w:rPr>
          <w:rFonts w:ascii="Trebuchet MS" w:hAnsi="Trebuchet MS"/>
          <w:sz w:val="24"/>
          <w:szCs w:val="24"/>
        </w:rPr>
        <w:t xml:space="preserve">the key areas including </w:t>
      </w:r>
      <w:r w:rsidR="00F46AA5">
        <w:rPr>
          <w:rFonts w:ascii="Trebuchet MS" w:hAnsi="Trebuchet MS"/>
          <w:sz w:val="24"/>
          <w:szCs w:val="24"/>
        </w:rPr>
        <w:t>workforce</w:t>
      </w:r>
      <w:r w:rsidR="00123CF1">
        <w:rPr>
          <w:rFonts w:ascii="Trebuchet MS" w:hAnsi="Trebuchet MS"/>
          <w:sz w:val="24"/>
          <w:szCs w:val="24"/>
        </w:rPr>
        <w:t xml:space="preserve">, research and international co-operation. </w:t>
      </w:r>
    </w:p>
    <w:p w14:paraId="720E77A0" w14:textId="0A5E8F33" w:rsidR="00B60EE4" w:rsidRDefault="00123CF1" w:rsidP="00177BB5">
      <w:pPr>
        <w:spacing w:line="360" w:lineRule="auto"/>
        <w:rPr>
          <w:rFonts w:ascii="Trebuchet MS" w:hAnsi="Trebuchet MS"/>
          <w:sz w:val="24"/>
          <w:szCs w:val="24"/>
        </w:rPr>
      </w:pPr>
      <w:r>
        <w:rPr>
          <w:rFonts w:ascii="Trebuchet MS" w:hAnsi="Trebuchet MS"/>
          <w:sz w:val="24"/>
          <w:szCs w:val="24"/>
        </w:rPr>
        <w:t xml:space="preserve">Recent statistics show that </w:t>
      </w:r>
      <w:r w:rsidR="00953066">
        <w:rPr>
          <w:rFonts w:ascii="Trebuchet MS" w:hAnsi="Trebuchet MS"/>
          <w:sz w:val="24"/>
          <w:szCs w:val="24"/>
        </w:rPr>
        <w:t>EU citizens make up 5.6 %</w:t>
      </w:r>
      <w:r w:rsidR="006F4AA3">
        <w:rPr>
          <w:rFonts w:ascii="Trebuchet MS" w:hAnsi="Trebuchet MS"/>
          <w:sz w:val="24"/>
          <w:szCs w:val="24"/>
        </w:rPr>
        <w:t xml:space="preserve"> </w:t>
      </w:r>
      <w:r w:rsidR="00953066">
        <w:rPr>
          <w:rFonts w:ascii="Trebuchet MS" w:hAnsi="Trebuchet MS"/>
          <w:sz w:val="24"/>
          <w:szCs w:val="24"/>
        </w:rPr>
        <w:t xml:space="preserve">(62,000) of the NHS staff in England (Baker, 2018). </w:t>
      </w:r>
      <w:r w:rsidR="00034CC4">
        <w:rPr>
          <w:rFonts w:ascii="Trebuchet MS" w:hAnsi="Trebuchet MS"/>
          <w:sz w:val="24"/>
          <w:szCs w:val="24"/>
        </w:rPr>
        <w:t>These figures indicate that the NHS heavily relies on staff from the EU and elsewhere in the world.</w:t>
      </w:r>
      <w:r w:rsidR="00F53D40">
        <w:rPr>
          <w:rFonts w:ascii="Trebuchet MS" w:hAnsi="Trebuchet MS"/>
          <w:sz w:val="24"/>
          <w:szCs w:val="24"/>
        </w:rPr>
        <w:t xml:space="preserve"> </w:t>
      </w:r>
      <w:r w:rsidR="004F47E1">
        <w:rPr>
          <w:rFonts w:ascii="Trebuchet MS" w:hAnsi="Trebuchet MS"/>
          <w:sz w:val="24"/>
          <w:szCs w:val="24"/>
        </w:rPr>
        <w:t xml:space="preserve">A ‘no deal’ (Hard) Brexit scenario would result in restrictions to the single market and restrictions of movement </w:t>
      </w:r>
      <w:r w:rsidR="000C028F">
        <w:rPr>
          <w:rFonts w:ascii="Trebuchet MS" w:hAnsi="Trebuchet MS"/>
          <w:sz w:val="24"/>
          <w:szCs w:val="24"/>
        </w:rPr>
        <w:t xml:space="preserve">of </w:t>
      </w:r>
      <w:r w:rsidR="004F47E1">
        <w:rPr>
          <w:rFonts w:ascii="Trebuchet MS" w:hAnsi="Trebuchet MS"/>
          <w:sz w:val="24"/>
          <w:szCs w:val="24"/>
        </w:rPr>
        <w:t>people from the EU which potentially reduces the number of staff across the NHS (</w:t>
      </w:r>
      <w:r w:rsidR="00B12847">
        <w:rPr>
          <w:rFonts w:ascii="Trebuchet MS" w:hAnsi="Trebuchet MS"/>
          <w:sz w:val="24"/>
          <w:szCs w:val="24"/>
        </w:rPr>
        <w:t>Simpkin and Mossialos, 2017</w:t>
      </w:r>
      <w:r w:rsidR="004F47E1">
        <w:rPr>
          <w:rFonts w:ascii="Trebuchet MS" w:hAnsi="Trebuchet MS"/>
          <w:sz w:val="24"/>
          <w:szCs w:val="24"/>
        </w:rPr>
        <w:t xml:space="preserve">). </w:t>
      </w:r>
      <w:r w:rsidR="001E1A1F">
        <w:rPr>
          <w:rFonts w:ascii="Trebuchet MS" w:hAnsi="Trebuchet MS"/>
          <w:sz w:val="24"/>
          <w:szCs w:val="24"/>
        </w:rPr>
        <w:t xml:space="preserve">It has also been </w:t>
      </w:r>
      <w:r w:rsidR="00FD0FF1">
        <w:rPr>
          <w:rFonts w:ascii="Trebuchet MS" w:hAnsi="Trebuchet MS"/>
          <w:sz w:val="24"/>
          <w:szCs w:val="24"/>
        </w:rPr>
        <w:t xml:space="preserve">noted that EU membership increases the attractiveness of the UK as a place to work and live </w:t>
      </w:r>
      <w:r w:rsidR="001E1A1F">
        <w:rPr>
          <w:rFonts w:ascii="Trebuchet MS" w:hAnsi="Trebuchet MS"/>
          <w:sz w:val="24"/>
          <w:szCs w:val="24"/>
        </w:rPr>
        <w:t xml:space="preserve">for EU citizens </w:t>
      </w:r>
      <w:r w:rsidR="00FD0FF1">
        <w:rPr>
          <w:rFonts w:ascii="Trebuchet MS" w:hAnsi="Trebuchet MS"/>
          <w:sz w:val="24"/>
          <w:szCs w:val="24"/>
        </w:rPr>
        <w:t xml:space="preserve">and Brexit has the potential to have the opposite effect through reduction of </w:t>
      </w:r>
      <w:r w:rsidR="001E1A1F">
        <w:rPr>
          <w:rFonts w:ascii="Trebuchet MS" w:hAnsi="Trebuchet MS"/>
          <w:sz w:val="24"/>
          <w:szCs w:val="24"/>
        </w:rPr>
        <w:t xml:space="preserve">legal entitlements </w:t>
      </w:r>
      <w:r w:rsidR="001E1A1F">
        <w:rPr>
          <w:rFonts w:ascii="Trebuchet MS" w:hAnsi="Trebuchet MS"/>
          <w:sz w:val="24"/>
          <w:szCs w:val="24"/>
        </w:rPr>
        <w:lastRenderedPageBreak/>
        <w:t>of EU citizens including residency and access to social security benefits (Fahy et al, 2017).</w:t>
      </w:r>
      <w:r w:rsidR="000C028F">
        <w:rPr>
          <w:rFonts w:ascii="Trebuchet MS" w:hAnsi="Trebuchet MS"/>
          <w:sz w:val="24"/>
          <w:szCs w:val="24"/>
        </w:rPr>
        <w:t>Figures released by Nursing and Midwifery Council indicat</w:t>
      </w:r>
      <w:r w:rsidR="00773F1E">
        <w:rPr>
          <w:rFonts w:ascii="Trebuchet MS" w:hAnsi="Trebuchet MS"/>
          <w:sz w:val="24"/>
          <w:szCs w:val="24"/>
        </w:rPr>
        <w:t>e that there was an 89</w:t>
      </w:r>
      <w:r w:rsidR="000C028F">
        <w:rPr>
          <w:rFonts w:ascii="Trebuchet MS" w:hAnsi="Trebuchet MS"/>
          <w:sz w:val="24"/>
          <w:szCs w:val="24"/>
        </w:rPr>
        <w:t>% decrease in the number of new nurses from the EU in the period 2016/17</w:t>
      </w:r>
      <w:r w:rsidR="003136DD">
        <w:rPr>
          <w:rFonts w:ascii="Trebuchet MS" w:hAnsi="Trebuchet MS"/>
          <w:sz w:val="24"/>
          <w:szCs w:val="24"/>
        </w:rPr>
        <w:t>(NMC, 2018). The same figures show that 46.7% of registrants who left the UK did so as a result of Brexit.</w:t>
      </w:r>
      <w:r w:rsidR="002956F8">
        <w:rPr>
          <w:rFonts w:ascii="Trebuchet MS" w:hAnsi="Trebuchet MS"/>
          <w:sz w:val="24"/>
          <w:szCs w:val="24"/>
        </w:rPr>
        <w:t xml:space="preserve"> Combined with figures from elsewhere which show that the NHS is filling only 39% of the advertised posts (RCN, 2018), this </w:t>
      </w:r>
      <w:r w:rsidR="00773F1E">
        <w:rPr>
          <w:rFonts w:ascii="Trebuchet MS" w:hAnsi="Trebuchet MS"/>
          <w:sz w:val="24"/>
          <w:szCs w:val="24"/>
        </w:rPr>
        <w:t>paints a bleak picture in terms of staffing across the NHS increasing</w:t>
      </w:r>
      <w:r w:rsidR="002956F8">
        <w:rPr>
          <w:rFonts w:ascii="Trebuchet MS" w:hAnsi="Trebuchet MS"/>
          <w:sz w:val="24"/>
          <w:szCs w:val="24"/>
        </w:rPr>
        <w:t xml:space="preserve"> concerns about patient safety, and the ability of the NHS to retain the remaining staff. </w:t>
      </w:r>
    </w:p>
    <w:p w14:paraId="720E77A1" w14:textId="77777777" w:rsidR="001E1A1F" w:rsidRDefault="00360086" w:rsidP="00177BB5">
      <w:pPr>
        <w:spacing w:line="360" w:lineRule="auto"/>
        <w:rPr>
          <w:rFonts w:ascii="Trebuchet MS" w:hAnsi="Trebuchet MS"/>
          <w:sz w:val="24"/>
          <w:szCs w:val="24"/>
        </w:rPr>
      </w:pPr>
      <w:r>
        <w:rPr>
          <w:rFonts w:ascii="Trebuchet MS" w:hAnsi="Trebuchet MS"/>
          <w:sz w:val="24"/>
          <w:szCs w:val="24"/>
        </w:rPr>
        <w:t>Statistics</w:t>
      </w:r>
      <w:r w:rsidR="00773F1E">
        <w:rPr>
          <w:rFonts w:ascii="Trebuchet MS" w:hAnsi="Trebuchet MS"/>
          <w:sz w:val="24"/>
          <w:szCs w:val="24"/>
        </w:rPr>
        <w:t xml:space="preserve"> from The Royal </w:t>
      </w:r>
      <w:r w:rsidR="00625401">
        <w:rPr>
          <w:rFonts w:ascii="Trebuchet MS" w:hAnsi="Trebuchet MS"/>
          <w:sz w:val="24"/>
          <w:szCs w:val="24"/>
        </w:rPr>
        <w:t>Society (</w:t>
      </w:r>
      <w:r>
        <w:rPr>
          <w:rFonts w:ascii="Trebuchet MS" w:hAnsi="Trebuchet MS"/>
          <w:sz w:val="24"/>
          <w:szCs w:val="24"/>
        </w:rPr>
        <w:t xml:space="preserve">2015) </w:t>
      </w:r>
      <w:r w:rsidR="00773F1E">
        <w:rPr>
          <w:rFonts w:ascii="Trebuchet MS" w:hAnsi="Trebuchet MS"/>
          <w:sz w:val="24"/>
          <w:szCs w:val="24"/>
        </w:rPr>
        <w:t xml:space="preserve">show that the </w:t>
      </w:r>
      <w:r w:rsidR="00625401">
        <w:rPr>
          <w:rFonts w:ascii="Trebuchet MS" w:hAnsi="Trebuchet MS"/>
          <w:sz w:val="24"/>
          <w:szCs w:val="24"/>
        </w:rPr>
        <w:t xml:space="preserve">UK contributed 5.4 billion Euros to EU </w:t>
      </w:r>
      <w:r>
        <w:rPr>
          <w:rFonts w:ascii="Trebuchet MS" w:hAnsi="Trebuchet MS"/>
          <w:sz w:val="24"/>
          <w:szCs w:val="24"/>
        </w:rPr>
        <w:t>research programmes between 200</w:t>
      </w:r>
      <w:r w:rsidR="00625401">
        <w:rPr>
          <w:rFonts w:ascii="Trebuchet MS" w:hAnsi="Trebuchet MS"/>
          <w:sz w:val="24"/>
          <w:szCs w:val="24"/>
        </w:rPr>
        <w:t xml:space="preserve">7 and 2013 but </w:t>
      </w:r>
      <w:r>
        <w:rPr>
          <w:rFonts w:ascii="Trebuchet MS" w:hAnsi="Trebuchet MS"/>
          <w:sz w:val="24"/>
          <w:szCs w:val="24"/>
        </w:rPr>
        <w:t>received</w:t>
      </w:r>
      <w:r w:rsidR="00625401">
        <w:rPr>
          <w:rFonts w:ascii="Trebuchet MS" w:hAnsi="Trebuchet MS"/>
          <w:sz w:val="24"/>
          <w:szCs w:val="24"/>
        </w:rPr>
        <w:t xml:space="preserve"> 8.8 billion Euros for research</w:t>
      </w:r>
      <w:r>
        <w:rPr>
          <w:rFonts w:ascii="Trebuchet MS" w:hAnsi="Trebuchet MS"/>
          <w:sz w:val="24"/>
          <w:szCs w:val="24"/>
        </w:rPr>
        <w:t>, development</w:t>
      </w:r>
      <w:r w:rsidR="00625401">
        <w:rPr>
          <w:rFonts w:ascii="Trebuchet MS" w:hAnsi="Trebuchet MS"/>
          <w:sz w:val="24"/>
          <w:szCs w:val="24"/>
        </w:rPr>
        <w:t xml:space="preserve"> and innovati</w:t>
      </w:r>
      <w:r>
        <w:rPr>
          <w:rFonts w:ascii="Trebuchet MS" w:hAnsi="Trebuchet MS"/>
          <w:sz w:val="24"/>
          <w:szCs w:val="24"/>
        </w:rPr>
        <w:t>on purposes during the same period</w:t>
      </w:r>
      <w:r w:rsidR="00625401">
        <w:rPr>
          <w:rFonts w:ascii="Trebuchet MS" w:hAnsi="Trebuchet MS"/>
          <w:sz w:val="24"/>
          <w:szCs w:val="24"/>
        </w:rPr>
        <w:t xml:space="preserve"> making </w:t>
      </w:r>
      <w:r>
        <w:rPr>
          <w:rFonts w:ascii="Trebuchet MS" w:hAnsi="Trebuchet MS"/>
          <w:sz w:val="24"/>
          <w:szCs w:val="24"/>
        </w:rPr>
        <w:t>it</w:t>
      </w:r>
      <w:r w:rsidR="00625401">
        <w:rPr>
          <w:rFonts w:ascii="Trebuchet MS" w:hAnsi="Trebuchet MS"/>
          <w:sz w:val="24"/>
          <w:szCs w:val="24"/>
        </w:rPr>
        <w:t xml:space="preserve"> a</w:t>
      </w:r>
      <w:r w:rsidR="00773F1E">
        <w:rPr>
          <w:rFonts w:ascii="Trebuchet MS" w:hAnsi="Trebuchet MS"/>
          <w:sz w:val="24"/>
          <w:szCs w:val="24"/>
        </w:rPr>
        <w:t xml:space="preserve"> net </w:t>
      </w:r>
      <w:r w:rsidR="00625401">
        <w:rPr>
          <w:rFonts w:ascii="Trebuchet MS" w:hAnsi="Trebuchet MS"/>
          <w:sz w:val="24"/>
          <w:szCs w:val="24"/>
        </w:rPr>
        <w:t>beneficiary from</w:t>
      </w:r>
      <w:r w:rsidR="00B12847">
        <w:rPr>
          <w:rFonts w:ascii="Trebuchet MS" w:hAnsi="Trebuchet MS"/>
          <w:sz w:val="24"/>
          <w:szCs w:val="24"/>
        </w:rPr>
        <w:t xml:space="preserve"> the EU health</w:t>
      </w:r>
      <w:r w:rsidR="00E91AA3">
        <w:rPr>
          <w:rFonts w:ascii="Trebuchet MS" w:hAnsi="Trebuchet MS"/>
          <w:sz w:val="24"/>
          <w:szCs w:val="24"/>
        </w:rPr>
        <w:t xml:space="preserve"> research funds such as the Horizon 2020 programme</w:t>
      </w:r>
      <w:r w:rsidR="00625401">
        <w:rPr>
          <w:rFonts w:ascii="Trebuchet MS" w:hAnsi="Trebuchet MS"/>
          <w:sz w:val="24"/>
          <w:szCs w:val="24"/>
        </w:rPr>
        <w:t xml:space="preserve">. </w:t>
      </w:r>
      <w:r w:rsidR="00E91AA3">
        <w:rPr>
          <w:rFonts w:ascii="Trebuchet MS" w:hAnsi="Trebuchet MS"/>
          <w:sz w:val="24"/>
          <w:szCs w:val="24"/>
        </w:rPr>
        <w:t>Brexit raises concerns that the UK will lose access to the funding and the expertise of EU scientists and researchers (</w:t>
      </w:r>
      <w:r w:rsidR="00E91AA3" w:rsidRPr="00E91AA3">
        <w:rPr>
          <w:rFonts w:ascii="Trebuchet MS" w:hAnsi="Trebuchet MS"/>
          <w:sz w:val="24"/>
          <w:szCs w:val="24"/>
        </w:rPr>
        <w:t>Simpkin and Mossialos, 2017).</w:t>
      </w:r>
      <w:r w:rsidR="00E91AA3">
        <w:rPr>
          <w:rFonts w:ascii="Trebuchet MS" w:hAnsi="Trebuchet MS"/>
          <w:sz w:val="24"/>
          <w:szCs w:val="24"/>
        </w:rPr>
        <w:t xml:space="preserve"> The NHS has </w:t>
      </w:r>
      <w:r w:rsidR="00766446">
        <w:rPr>
          <w:rFonts w:ascii="Trebuchet MS" w:hAnsi="Trebuchet MS"/>
          <w:sz w:val="24"/>
          <w:szCs w:val="24"/>
        </w:rPr>
        <w:t xml:space="preserve">also </w:t>
      </w:r>
      <w:r w:rsidR="00E91AA3">
        <w:rPr>
          <w:rFonts w:ascii="Trebuchet MS" w:hAnsi="Trebuchet MS"/>
          <w:sz w:val="24"/>
          <w:szCs w:val="24"/>
        </w:rPr>
        <w:t>benefited to the tune of €3.5 billion in low cost capital since 2001(Fahy et al, 2017) and there’s no guarantee that the UK government will continue to provide funds for capital investments post Brexit.</w:t>
      </w:r>
    </w:p>
    <w:p w14:paraId="720E77A2" w14:textId="49C7C845" w:rsidR="001E1A1F" w:rsidRDefault="00052FBA" w:rsidP="00177BB5">
      <w:pPr>
        <w:spacing w:line="360" w:lineRule="auto"/>
        <w:rPr>
          <w:rFonts w:ascii="Trebuchet MS" w:hAnsi="Trebuchet MS"/>
          <w:sz w:val="24"/>
          <w:szCs w:val="24"/>
        </w:rPr>
      </w:pPr>
      <w:r>
        <w:rPr>
          <w:rFonts w:ascii="Trebuchet MS" w:hAnsi="Trebuchet MS"/>
          <w:sz w:val="24"/>
          <w:szCs w:val="24"/>
        </w:rPr>
        <w:t>Additionally, t</w:t>
      </w:r>
      <w:r w:rsidR="00766446">
        <w:rPr>
          <w:rFonts w:ascii="Trebuchet MS" w:hAnsi="Trebuchet MS"/>
          <w:sz w:val="24"/>
          <w:szCs w:val="24"/>
        </w:rPr>
        <w:t xml:space="preserve">he UK is a member of the European </w:t>
      </w:r>
      <w:r w:rsidR="00673099">
        <w:rPr>
          <w:rFonts w:ascii="Trebuchet MS" w:hAnsi="Trebuchet MS"/>
          <w:sz w:val="24"/>
          <w:szCs w:val="24"/>
        </w:rPr>
        <w:t xml:space="preserve">Medicines Agency (EMA) which had its headquarters in London. Following Brexit, it was announced that the EMA headquarters will now be relocated to Amsterdam.  The EMA has the responsibility to </w:t>
      </w:r>
      <w:r w:rsidR="00C75A18">
        <w:rPr>
          <w:rFonts w:ascii="Trebuchet MS" w:hAnsi="Trebuchet MS"/>
          <w:sz w:val="24"/>
          <w:szCs w:val="24"/>
        </w:rPr>
        <w:t xml:space="preserve">protect human and animal health through the scientific evaluation of the medicines developed for human and veterinary use across the EU by pharmaceutical companies (EMA, 2018). Being a member of the EMA means a pharmaceutical company in the EU only needs to seek approval for their medicines in one country </w:t>
      </w:r>
      <w:r w:rsidR="0080641F">
        <w:rPr>
          <w:rFonts w:ascii="Trebuchet MS" w:hAnsi="Trebuchet MS"/>
          <w:sz w:val="24"/>
          <w:szCs w:val="24"/>
        </w:rPr>
        <w:t>before they can sell their drugs across the EU (</w:t>
      </w:r>
      <w:r w:rsidR="0080641F" w:rsidRPr="0080641F">
        <w:rPr>
          <w:rFonts w:ascii="Trebuchet MS" w:hAnsi="Trebuchet MS"/>
          <w:sz w:val="24"/>
          <w:szCs w:val="24"/>
        </w:rPr>
        <w:t>Simpkin and Mossialos, 2017).</w:t>
      </w:r>
      <w:r w:rsidR="0080641F">
        <w:rPr>
          <w:rFonts w:ascii="Trebuchet MS" w:hAnsi="Trebuchet MS"/>
          <w:sz w:val="24"/>
          <w:szCs w:val="24"/>
        </w:rPr>
        <w:t xml:space="preserve"> There is increased concern that loss of EMA membership will increase the legislative hurdles for pharmaceutical companies leading to a delay in accessing new medicines</w:t>
      </w:r>
      <w:r w:rsidR="00317C9B">
        <w:rPr>
          <w:rFonts w:ascii="Trebuchet MS" w:hAnsi="Trebuchet MS"/>
          <w:sz w:val="24"/>
          <w:szCs w:val="24"/>
        </w:rPr>
        <w:t>. The relocation of the EMA to Amsterdam also means will mean the UK loses its status as a centre for European research which negatively impacts local universities, hospitals and ultimately UK patients.</w:t>
      </w:r>
    </w:p>
    <w:p w14:paraId="720E77A3" w14:textId="0540C17C" w:rsidR="00FE5BFD" w:rsidRDefault="00FE5BFD" w:rsidP="00177BB5">
      <w:pPr>
        <w:spacing w:line="360" w:lineRule="auto"/>
        <w:rPr>
          <w:rFonts w:ascii="Trebuchet MS" w:hAnsi="Trebuchet MS"/>
          <w:sz w:val="24"/>
          <w:szCs w:val="24"/>
        </w:rPr>
      </w:pPr>
      <w:r>
        <w:rPr>
          <w:rFonts w:ascii="Trebuchet MS" w:hAnsi="Trebuchet MS"/>
          <w:sz w:val="24"/>
          <w:szCs w:val="24"/>
        </w:rPr>
        <w:t xml:space="preserve">Healthcare in the UK is a </w:t>
      </w:r>
      <w:r w:rsidR="00570443">
        <w:rPr>
          <w:rFonts w:ascii="Trebuchet MS" w:hAnsi="Trebuchet MS"/>
          <w:sz w:val="24"/>
          <w:szCs w:val="24"/>
        </w:rPr>
        <w:t>much-politicised</w:t>
      </w:r>
      <w:r>
        <w:rPr>
          <w:rFonts w:ascii="Trebuchet MS" w:hAnsi="Trebuchet MS"/>
          <w:sz w:val="24"/>
          <w:szCs w:val="24"/>
        </w:rPr>
        <w:t xml:space="preserve"> issue with government</w:t>
      </w:r>
      <w:r w:rsidR="006F4AA3">
        <w:rPr>
          <w:rFonts w:ascii="Trebuchet MS" w:hAnsi="Trebuchet MS"/>
          <w:sz w:val="24"/>
          <w:szCs w:val="24"/>
        </w:rPr>
        <w:t>,</w:t>
      </w:r>
      <w:r>
        <w:rPr>
          <w:rFonts w:ascii="Trebuchet MS" w:hAnsi="Trebuchet MS"/>
          <w:sz w:val="24"/>
          <w:szCs w:val="24"/>
        </w:rPr>
        <w:t xml:space="preserve"> through the department of health taking central role in funding and key decision </w:t>
      </w:r>
      <w:r w:rsidR="004C5E49">
        <w:rPr>
          <w:rFonts w:ascii="Trebuchet MS" w:hAnsi="Trebuchet MS"/>
          <w:sz w:val="24"/>
          <w:szCs w:val="24"/>
        </w:rPr>
        <w:t xml:space="preserve">making. This </w:t>
      </w:r>
      <w:r w:rsidR="004C5E49">
        <w:rPr>
          <w:rFonts w:ascii="Trebuchet MS" w:hAnsi="Trebuchet MS"/>
          <w:sz w:val="24"/>
          <w:szCs w:val="24"/>
        </w:rPr>
        <w:lastRenderedPageBreak/>
        <w:t xml:space="preserve">can be seen in the context of the reforms implemented by the then Secretary of Health in the Coalition government in 2010. Andrew Lansley’s NHS reforms have been labelled ‘unnecessary, disruptive and demoralising (Wollaston, 2017) due to their ideological view that the private sector is more efficient than the public sector (Spence, 2011). Managers in the NHS have to be aware of both government and opposition </w:t>
      </w:r>
      <w:r w:rsidR="006F4AA3">
        <w:rPr>
          <w:rFonts w:ascii="Trebuchet MS" w:hAnsi="Trebuchet MS"/>
          <w:sz w:val="24"/>
          <w:szCs w:val="24"/>
        </w:rPr>
        <w:t>parties’</w:t>
      </w:r>
      <w:r w:rsidR="004C5E49">
        <w:rPr>
          <w:rFonts w:ascii="Trebuchet MS" w:hAnsi="Trebuchet MS"/>
          <w:sz w:val="24"/>
          <w:szCs w:val="24"/>
        </w:rPr>
        <w:t xml:space="preserve"> priorities on health and factor these in their planning as there is always possibility of change of government at each election.</w:t>
      </w:r>
    </w:p>
    <w:p w14:paraId="720E77A4" w14:textId="49670084" w:rsidR="00CD6CD8" w:rsidRPr="00C708A6" w:rsidRDefault="00BF63EC" w:rsidP="00177BB5">
      <w:pPr>
        <w:spacing w:line="360" w:lineRule="auto"/>
        <w:rPr>
          <w:rFonts w:ascii="Trebuchet MS" w:hAnsi="Trebuchet MS"/>
          <w:b/>
          <w:sz w:val="24"/>
          <w:szCs w:val="24"/>
          <w:u w:val="single"/>
        </w:rPr>
      </w:pPr>
      <w:r>
        <w:rPr>
          <w:rFonts w:ascii="Trebuchet MS" w:hAnsi="Trebuchet MS"/>
          <w:b/>
          <w:sz w:val="24"/>
          <w:szCs w:val="24"/>
          <w:u w:val="single"/>
        </w:rPr>
        <w:t>1.2</w:t>
      </w:r>
      <w:r w:rsidR="00CD6CD8" w:rsidRPr="00C708A6">
        <w:rPr>
          <w:rFonts w:ascii="Trebuchet MS" w:hAnsi="Trebuchet MS"/>
          <w:b/>
          <w:sz w:val="24"/>
          <w:szCs w:val="24"/>
          <w:u w:val="single"/>
        </w:rPr>
        <w:t>Economics</w:t>
      </w:r>
    </w:p>
    <w:p w14:paraId="720E77A5" w14:textId="081DD05F" w:rsidR="00CD6CD8" w:rsidRDefault="00CD6CD8" w:rsidP="00177BB5">
      <w:pPr>
        <w:spacing w:line="360" w:lineRule="auto"/>
        <w:rPr>
          <w:rFonts w:ascii="Trebuchet MS" w:hAnsi="Trebuchet MS"/>
          <w:sz w:val="24"/>
          <w:szCs w:val="24"/>
        </w:rPr>
      </w:pPr>
      <w:r>
        <w:rPr>
          <w:rFonts w:ascii="Trebuchet MS" w:hAnsi="Trebuchet MS"/>
          <w:sz w:val="24"/>
          <w:szCs w:val="24"/>
        </w:rPr>
        <w:t xml:space="preserve">Economic analyses of the impact of Brexit on the UK </w:t>
      </w:r>
      <w:r w:rsidR="00C708A6">
        <w:rPr>
          <w:rFonts w:ascii="Trebuchet MS" w:hAnsi="Trebuchet MS"/>
          <w:sz w:val="24"/>
          <w:szCs w:val="24"/>
        </w:rPr>
        <w:t>have shown that there will be negative implications for the UK economy in the longer term following Brexit (Pollard, 2018). The value of the British pound fell 10% against the US dollar following the referendum in June 2016, the lowest levels since 1985</w:t>
      </w:r>
      <w:r w:rsidR="006F4AA3">
        <w:rPr>
          <w:rFonts w:ascii="Trebuchet MS" w:hAnsi="Trebuchet MS"/>
          <w:sz w:val="24"/>
          <w:szCs w:val="24"/>
        </w:rPr>
        <w:t xml:space="preserve"> </w:t>
      </w:r>
      <w:r w:rsidR="00C708A6">
        <w:rPr>
          <w:rFonts w:ascii="Trebuchet MS" w:hAnsi="Trebuchet MS"/>
          <w:sz w:val="24"/>
          <w:szCs w:val="24"/>
        </w:rPr>
        <w:t>(Allen et al, 2016).</w:t>
      </w:r>
      <w:r w:rsidR="001D5F8D">
        <w:rPr>
          <w:rFonts w:ascii="Trebuchet MS" w:hAnsi="Trebuchet MS"/>
          <w:sz w:val="24"/>
          <w:szCs w:val="24"/>
        </w:rPr>
        <w:t xml:space="preserve"> The EU is the UK’s largest trading partner, and in the event of a hard Brexit, it is expected that there will be tariffs resulting in increases in prices of goods and services imported from the EU (</w:t>
      </w:r>
      <w:r w:rsidR="001D5F8D" w:rsidRPr="001D5F8D">
        <w:rPr>
          <w:rFonts w:ascii="Trebuchet MS" w:hAnsi="Trebuchet MS"/>
          <w:sz w:val="24"/>
          <w:szCs w:val="24"/>
        </w:rPr>
        <w:t>Dhingra</w:t>
      </w:r>
      <w:r w:rsidR="001D5F8D">
        <w:rPr>
          <w:rFonts w:ascii="Trebuchet MS" w:hAnsi="Trebuchet MS"/>
          <w:sz w:val="24"/>
          <w:szCs w:val="24"/>
        </w:rPr>
        <w:t xml:space="preserve"> et al, 2016). In the case of the NHS, this will mean higher prices for medical supplies and other products sourced from the EU. Additionally, a weaker pound means the organisation will have to spend more </w:t>
      </w:r>
      <w:r w:rsidR="006E5DE9">
        <w:rPr>
          <w:rFonts w:ascii="Trebuchet MS" w:hAnsi="Trebuchet MS"/>
          <w:sz w:val="24"/>
          <w:szCs w:val="24"/>
        </w:rPr>
        <w:t>to buy less.</w:t>
      </w:r>
    </w:p>
    <w:p w14:paraId="720E77A6" w14:textId="77777777" w:rsidR="006E5DE9" w:rsidRDefault="006E5DE9" w:rsidP="00177BB5">
      <w:pPr>
        <w:spacing w:line="360" w:lineRule="auto"/>
        <w:rPr>
          <w:rFonts w:ascii="Trebuchet MS" w:hAnsi="Trebuchet MS"/>
          <w:sz w:val="24"/>
          <w:szCs w:val="24"/>
        </w:rPr>
      </w:pPr>
      <w:r>
        <w:rPr>
          <w:rFonts w:ascii="Trebuchet MS" w:hAnsi="Trebuchet MS"/>
          <w:sz w:val="24"/>
          <w:szCs w:val="24"/>
        </w:rPr>
        <w:t>Experts estimate that Brexit will result in GDP loss of between 6.5%-9.5% to the UK economy (</w:t>
      </w:r>
      <w:r w:rsidRPr="001D5F8D">
        <w:rPr>
          <w:rFonts w:ascii="Trebuchet MS" w:hAnsi="Trebuchet MS"/>
          <w:sz w:val="24"/>
          <w:szCs w:val="24"/>
        </w:rPr>
        <w:t>Dhingra</w:t>
      </w:r>
      <w:r>
        <w:rPr>
          <w:rFonts w:ascii="Trebuchet MS" w:hAnsi="Trebuchet MS"/>
          <w:sz w:val="24"/>
          <w:szCs w:val="24"/>
        </w:rPr>
        <w:t xml:space="preserve"> et al, 2016). The NHS is a publicly funded organisation; the predicted negative long-term impact to the UK economy will result in increased pressures and reduced budgets for the NHS as a whole. Interest rates are expected to increase by at least 1.2 percentage points between 2017 and 2023</w:t>
      </w:r>
      <w:r w:rsidR="00442519">
        <w:rPr>
          <w:rFonts w:ascii="Trebuchet MS" w:hAnsi="Trebuchet MS"/>
          <w:sz w:val="24"/>
          <w:szCs w:val="24"/>
        </w:rPr>
        <w:t>(Statista, 2018), this will mean increased cost of borrowing to the NHS further impacting their already stretched budgets.</w:t>
      </w:r>
    </w:p>
    <w:p w14:paraId="720E77A7" w14:textId="57E92866" w:rsidR="001C477F" w:rsidRPr="006D2088" w:rsidRDefault="00BF63EC" w:rsidP="00177BB5">
      <w:pPr>
        <w:spacing w:line="360" w:lineRule="auto"/>
        <w:rPr>
          <w:rFonts w:ascii="Trebuchet MS" w:hAnsi="Trebuchet MS"/>
          <w:b/>
          <w:sz w:val="24"/>
          <w:szCs w:val="24"/>
          <w:u w:val="single"/>
        </w:rPr>
      </w:pPr>
      <w:r>
        <w:rPr>
          <w:rFonts w:ascii="Trebuchet MS" w:hAnsi="Trebuchet MS"/>
          <w:b/>
          <w:sz w:val="24"/>
          <w:szCs w:val="24"/>
          <w:u w:val="single"/>
        </w:rPr>
        <w:t xml:space="preserve">1.3 </w:t>
      </w:r>
      <w:r w:rsidR="001C477F" w:rsidRPr="006D2088">
        <w:rPr>
          <w:rFonts w:ascii="Trebuchet MS" w:hAnsi="Trebuchet MS"/>
          <w:b/>
          <w:sz w:val="24"/>
          <w:szCs w:val="24"/>
          <w:u w:val="single"/>
        </w:rPr>
        <w:t>Social</w:t>
      </w:r>
    </w:p>
    <w:p w14:paraId="720E77A9" w14:textId="77777777" w:rsidR="0035146F" w:rsidRDefault="006D2088" w:rsidP="00177BB5">
      <w:pPr>
        <w:spacing w:line="360" w:lineRule="auto"/>
        <w:rPr>
          <w:rFonts w:ascii="Trebuchet MS" w:hAnsi="Trebuchet MS"/>
          <w:sz w:val="24"/>
          <w:szCs w:val="24"/>
        </w:rPr>
      </w:pPr>
      <w:r>
        <w:rPr>
          <w:rFonts w:ascii="Trebuchet MS" w:hAnsi="Trebuchet MS"/>
          <w:sz w:val="24"/>
          <w:szCs w:val="24"/>
        </w:rPr>
        <w:t xml:space="preserve">The UK population is aging with recent statistics showing that 18% of the population is aged 65 and over and 2.4% is aged 85 and over (ONS, 2017). The same statistics show that births are higher than deaths. Low death rate, high birth rate and increased immigration have all contributed to </w:t>
      </w:r>
      <w:r w:rsidR="00B46464">
        <w:rPr>
          <w:rFonts w:ascii="Trebuchet MS" w:hAnsi="Trebuchet MS"/>
          <w:sz w:val="24"/>
          <w:szCs w:val="24"/>
        </w:rPr>
        <w:t>population growth which is the highest it has ever been at 65.6 million in 2016(ONS, 2017).</w:t>
      </w:r>
      <w:r w:rsidR="00FB2690">
        <w:rPr>
          <w:rFonts w:ascii="Trebuchet MS" w:hAnsi="Trebuchet MS"/>
          <w:sz w:val="24"/>
          <w:szCs w:val="24"/>
        </w:rPr>
        <w:t xml:space="preserve"> Researchers have </w:t>
      </w:r>
      <w:r w:rsidR="00FB2690">
        <w:rPr>
          <w:rFonts w:ascii="Trebuchet MS" w:hAnsi="Trebuchet MS"/>
          <w:sz w:val="24"/>
          <w:szCs w:val="24"/>
        </w:rPr>
        <w:lastRenderedPageBreak/>
        <w:t>found that an increase in aging is associated with a reduction in a country’s GDP (Maestas et al, 2016). For the NHS, this means the organisations having to look after people with increasingly complex needs on ever tighter budgets</w:t>
      </w:r>
      <w:r w:rsidR="00341EB6">
        <w:rPr>
          <w:rFonts w:ascii="Trebuchet MS" w:hAnsi="Trebuchet MS"/>
          <w:sz w:val="24"/>
          <w:szCs w:val="24"/>
        </w:rPr>
        <w:t>.</w:t>
      </w:r>
      <w:r w:rsidR="00D06889">
        <w:rPr>
          <w:rFonts w:ascii="Trebuchet MS" w:hAnsi="Trebuchet MS"/>
          <w:sz w:val="24"/>
          <w:szCs w:val="24"/>
        </w:rPr>
        <w:t xml:space="preserve"> </w:t>
      </w:r>
      <w:r w:rsidR="00864254">
        <w:rPr>
          <w:rFonts w:ascii="Trebuchet MS" w:hAnsi="Trebuchet MS"/>
          <w:sz w:val="24"/>
          <w:szCs w:val="24"/>
        </w:rPr>
        <w:t>On a more positive note, an aging population means that organisations can benefit from the experiences of older employees, the challenge for managers is to develop a suite of policies and strategies to ensure that older employees continue to contribute to the organisation.</w:t>
      </w:r>
    </w:p>
    <w:p w14:paraId="720E77AA" w14:textId="4CFBA89D" w:rsidR="0035146F" w:rsidRDefault="0035146F" w:rsidP="00177BB5">
      <w:pPr>
        <w:spacing w:line="360" w:lineRule="auto"/>
        <w:rPr>
          <w:rFonts w:ascii="Trebuchet MS" w:hAnsi="Trebuchet MS"/>
          <w:sz w:val="24"/>
          <w:szCs w:val="24"/>
        </w:rPr>
      </w:pPr>
      <w:r>
        <w:rPr>
          <w:rFonts w:ascii="Trebuchet MS" w:hAnsi="Trebuchet MS"/>
          <w:sz w:val="24"/>
          <w:szCs w:val="24"/>
        </w:rPr>
        <w:t xml:space="preserve">The </w:t>
      </w:r>
      <w:r w:rsidR="004967ED">
        <w:rPr>
          <w:rFonts w:ascii="Trebuchet MS" w:hAnsi="Trebuchet MS"/>
          <w:sz w:val="24"/>
          <w:szCs w:val="24"/>
        </w:rPr>
        <w:t>Trust</w:t>
      </w:r>
      <w:r>
        <w:rPr>
          <w:rFonts w:ascii="Trebuchet MS" w:hAnsi="Trebuchet MS"/>
          <w:sz w:val="24"/>
          <w:szCs w:val="24"/>
        </w:rPr>
        <w:t xml:space="preserve"> is based in London where </w:t>
      </w:r>
      <w:r w:rsidR="004373EF">
        <w:rPr>
          <w:rFonts w:ascii="Trebuchet MS" w:hAnsi="Trebuchet MS"/>
          <w:sz w:val="24"/>
          <w:szCs w:val="24"/>
        </w:rPr>
        <w:t xml:space="preserve">millennials (25-35) account for 25% of the </w:t>
      </w:r>
      <w:r w:rsidR="00EB2869">
        <w:rPr>
          <w:rFonts w:ascii="Trebuchet MS" w:hAnsi="Trebuchet MS"/>
          <w:sz w:val="24"/>
          <w:szCs w:val="24"/>
        </w:rPr>
        <w:t>population (Brown et al, 2017)</w:t>
      </w:r>
      <w:r w:rsidR="00351AF0">
        <w:rPr>
          <w:rFonts w:ascii="Trebuchet MS" w:hAnsi="Trebuchet MS"/>
          <w:sz w:val="24"/>
          <w:szCs w:val="24"/>
        </w:rPr>
        <w:t xml:space="preserve"> and across the NHS, people aged 34 and under account for 35% of the workforce, the largest age bracket in the NHS (NHS Employers, 2018). Managers need to be aware of </w:t>
      </w:r>
      <w:r w:rsidR="00864254">
        <w:rPr>
          <w:rFonts w:ascii="Trebuchet MS" w:hAnsi="Trebuchet MS"/>
          <w:sz w:val="24"/>
          <w:szCs w:val="24"/>
        </w:rPr>
        <w:t xml:space="preserve">the needs of millennial workers as these differ significantly to those of the older employees.  For instance, according to a recent study, millennials place a greater emphasis on being valued and appreciated as well as creating stronger, cohesive team cultures and opportunities for interesting work (Donovan and Finn, 2013). These </w:t>
      </w:r>
      <w:r w:rsidR="00494FB8">
        <w:rPr>
          <w:rFonts w:ascii="Trebuchet MS" w:hAnsi="Trebuchet MS"/>
          <w:sz w:val="24"/>
          <w:szCs w:val="24"/>
        </w:rPr>
        <w:t>findings support the arguments by Stewart et al, (2017) that managers need to adapt their HRM strategies in order to attract younger employees while benefiting older employees in a way that enables the organisation to continue operating efficiently.</w:t>
      </w:r>
    </w:p>
    <w:p w14:paraId="720E77AB" w14:textId="77777777" w:rsidR="00D06889" w:rsidRDefault="00D06889" w:rsidP="00177BB5">
      <w:pPr>
        <w:spacing w:line="360" w:lineRule="auto"/>
        <w:rPr>
          <w:rFonts w:ascii="Trebuchet MS" w:hAnsi="Trebuchet MS"/>
          <w:sz w:val="24"/>
          <w:szCs w:val="24"/>
        </w:rPr>
      </w:pPr>
      <w:r>
        <w:rPr>
          <w:rFonts w:ascii="Trebuchet MS" w:hAnsi="Trebuchet MS"/>
          <w:sz w:val="24"/>
          <w:szCs w:val="24"/>
        </w:rPr>
        <w:t xml:space="preserve">An increase in immigration means the organisation </w:t>
      </w:r>
      <w:r w:rsidR="003F7D14">
        <w:rPr>
          <w:rFonts w:ascii="Trebuchet MS" w:hAnsi="Trebuchet MS"/>
          <w:sz w:val="24"/>
          <w:szCs w:val="24"/>
        </w:rPr>
        <w:t xml:space="preserve">having to increasingly deal with a diverse patient population with diverse needs. A study by </w:t>
      </w:r>
      <w:r w:rsidR="00542951">
        <w:rPr>
          <w:rFonts w:ascii="Trebuchet MS" w:hAnsi="Trebuchet MS"/>
          <w:sz w:val="24"/>
          <w:szCs w:val="24"/>
        </w:rPr>
        <w:t>Ospina et al</w:t>
      </w:r>
      <w:r w:rsidR="007528AA">
        <w:rPr>
          <w:rFonts w:ascii="Trebuchet MS" w:hAnsi="Trebuchet MS"/>
          <w:sz w:val="24"/>
          <w:szCs w:val="24"/>
        </w:rPr>
        <w:t>, (</w:t>
      </w:r>
      <w:r w:rsidR="00542951">
        <w:rPr>
          <w:rFonts w:ascii="Trebuchet MS" w:hAnsi="Trebuchet MS"/>
          <w:sz w:val="24"/>
          <w:szCs w:val="24"/>
        </w:rPr>
        <w:t xml:space="preserve">2016) found a higher </w:t>
      </w:r>
      <w:r w:rsidR="000A3C29">
        <w:rPr>
          <w:rFonts w:ascii="Trebuchet MS" w:hAnsi="Trebuchet MS"/>
          <w:sz w:val="24"/>
          <w:szCs w:val="24"/>
        </w:rPr>
        <w:t>frequency of</w:t>
      </w:r>
      <w:r w:rsidR="00542951">
        <w:rPr>
          <w:rFonts w:ascii="Trebuchet MS" w:hAnsi="Trebuchet MS"/>
          <w:sz w:val="24"/>
          <w:szCs w:val="24"/>
        </w:rPr>
        <w:t xml:space="preserve"> risk factors for conditions such as tuberculosis and HIV in immigrants from lower income countries in Eastern Europe, Africa and Latin America. </w:t>
      </w:r>
      <w:r w:rsidR="000A3C29">
        <w:rPr>
          <w:rFonts w:ascii="Trebuchet MS" w:hAnsi="Trebuchet MS"/>
          <w:sz w:val="24"/>
          <w:szCs w:val="24"/>
        </w:rPr>
        <w:t xml:space="preserve">Another study by Alidu and Grunfeld (2017), found that there are differences </w:t>
      </w:r>
      <w:r w:rsidR="005A5BE4">
        <w:rPr>
          <w:rFonts w:ascii="Trebuchet MS" w:hAnsi="Trebuchet MS"/>
          <w:sz w:val="24"/>
          <w:szCs w:val="24"/>
        </w:rPr>
        <w:t>in beliefs and health seeking behaviours among host populations and new immigrants. Understanding these differences will help clinicians better meet the needs of the patients. Additionally,</w:t>
      </w:r>
      <w:r w:rsidR="000A3C29">
        <w:rPr>
          <w:rFonts w:ascii="Trebuchet MS" w:hAnsi="Trebuchet MS"/>
          <w:sz w:val="24"/>
          <w:szCs w:val="24"/>
        </w:rPr>
        <w:t xml:space="preserve"> </w:t>
      </w:r>
      <w:r w:rsidR="00542951">
        <w:rPr>
          <w:rFonts w:ascii="Trebuchet MS" w:hAnsi="Trebuchet MS"/>
          <w:sz w:val="24"/>
          <w:szCs w:val="24"/>
        </w:rPr>
        <w:t>Managers need to factor these findings in their planning to ensure that the health needs of the community are fully met.</w:t>
      </w:r>
    </w:p>
    <w:p w14:paraId="720E77AC" w14:textId="4736F086" w:rsidR="00225721" w:rsidRPr="009E04BE" w:rsidRDefault="00BF63EC" w:rsidP="00177BB5">
      <w:pPr>
        <w:spacing w:line="360" w:lineRule="auto"/>
        <w:rPr>
          <w:rFonts w:ascii="Trebuchet MS" w:hAnsi="Trebuchet MS"/>
          <w:b/>
          <w:sz w:val="24"/>
          <w:szCs w:val="24"/>
          <w:u w:val="single"/>
        </w:rPr>
      </w:pPr>
      <w:r>
        <w:rPr>
          <w:rFonts w:ascii="Trebuchet MS" w:hAnsi="Trebuchet MS"/>
          <w:b/>
          <w:sz w:val="24"/>
          <w:szCs w:val="24"/>
          <w:u w:val="single"/>
        </w:rPr>
        <w:t xml:space="preserve">1.4 </w:t>
      </w:r>
      <w:r w:rsidR="00225721" w:rsidRPr="009E04BE">
        <w:rPr>
          <w:rFonts w:ascii="Trebuchet MS" w:hAnsi="Trebuchet MS"/>
          <w:b/>
          <w:sz w:val="24"/>
          <w:szCs w:val="24"/>
          <w:u w:val="single"/>
        </w:rPr>
        <w:t>Technology</w:t>
      </w:r>
    </w:p>
    <w:p w14:paraId="720E77AD" w14:textId="77777777" w:rsidR="009E683A" w:rsidRDefault="00225721" w:rsidP="00177BB5">
      <w:pPr>
        <w:spacing w:line="360" w:lineRule="auto"/>
        <w:rPr>
          <w:rFonts w:ascii="Trebuchet MS" w:hAnsi="Trebuchet MS"/>
          <w:sz w:val="24"/>
          <w:szCs w:val="24"/>
        </w:rPr>
      </w:pPr>
      <w:r>
        <w:rPr>
          <w:rFonts w:ascii="Trebuchet MS" w:hAnsi="Trebuchet MS"/>
          <w:sz w:val="24"/>
          <w:szCs w:val="24"/>
        </w:rPr>
        <w:t>The</w:t>
      </w:r>
      <w:r w:rsidR="009E04BE">
        <w:rPr>
          <w:rFonts w:ascii="Trebuchet MS" w:hAnsi="Trebuchet MS"/>
          <w:sz w:val="24"/>
          <w:szCs w:val="24"/>
        </w:rPr>
        <w:t xml:space="preserve"> potential</w:t>
      </w:r>
      <w:r>
        <w:rPr>
          <w:rFonts w:ascii="Trebuchet MS" w:hAnsi="Trebuchet MS"/>
          <w:sz w:val="24"/>
          <w:szCs w:val="24"/>
        </w:rPr>
        <w:t xml:space="preserve"> benefits of technology </w:t>
      </w:r>
      <w:r w:rsidR="009E04BE">
        <w:rPr>
          <w:rFonts w:ascii="Trebuchet MS" w:hAnsi="Trebuchet MS"/>
          <w:sz w:val="24"/>
          <w:szCs w:val="24"/>
        </w:rPr>
        <w:t>to the healthcare industry are well documented (Piscotty et al, 2015) including making the delivery of healthcare safer, effective and more efficient (Shekelle et al, 2006).</w:t>
      </w:r>
      <w:r w:rsidR="00CD2D1F">
        <w:rPr>
          <w:rFonts w:ascii="Trebuchet MS" w:hAnsi="Trebuchet MS"/>
          <w:sz w:val="24"/>
          <w:szCs w:val="24"/>
        </w:rPr>
        <w:t xml:space="preserve"> There has been a major </w:t>
      </w:r>
      <w:r w:rsidR="00CD2D1F">
        <w:rPr>
          <w:rFonts w:ascii="Trebuchet MS" w:hAnsi="Trebuchet MS"/>
          <w:sz w:val="24"/>
          <w:szCs w:val="24"/>
        </w:rPr>
        <w:lastRenderedPageBreak/>
        <w:t xml:space="preserve">push from government (particularly the Blair Government) and NHS leadership to adopt IT systems that integrate electronic records across the healthcare ecosystem (Honeyman et al, 2016). As a result of this initiative, there </w:t>
      </w:r>
      <w:r w:rsidR="009E683A">
        <w:rPr>
          <w:rFonts w:ascii="Trebuchet MS" w:hAnsi="Trebuchet MS"/>
          <w:sz w:val="24"/>
          <w:szCs w:val="24"/>
        </w:rPr>
        <w:t>is now</w:t>
      </w:r>
      <w:r w:rsidR="00CD2D1F">
        <w:rPr>
          <w:rFonts w:ascii="Trebuchet MS" w:hAnsi="Trebuchet MS"/>
          <w:sz w:val="24"/>
          <w:szCs w:val="24"/>
        </w:rPr>
        <w:t xml:space="preserve"> a significant digital infrastructure across the NHS. </w:t>
      </w:r>
    </w:p>
    <w:p w14:paraId="720E77AE" w14:textId="3D68892C" w:rsidR="009E683A" w:rsidRDefault="009E683A" w:rsidP="00177BB5">
      <w:pPr>
        <w:spacing w:line="360" w:lineRule="auto"/>
        <w:rPr>
          <w:rFonts w:ascii="Trebuchet MS" w:hAnsi="Trebuchet MS"/>
          <w:sz w:val="24"/>
          <w:szCs w:val="24"/>
        </w:rPr>
      </w:pPr>
      <w:r>
        <w:rPr>
          <w:rFonts w:ascii="Trebuchet MS" w:hAnsi="Trebuchet MS"/>
          <w:sz w:val="24"/>
          <w:szCs w:val="24"/>
        </w:rPr>
        <w:t xml:space="preserve">IT systems come with the increased risks of data breaches and cyber-attacks. The recent WannaCry </w:t>
      </w:r>
      <w:r w:rsidR="00415CEA">
        <w:rPr>
          <w:rFonts w:ascii="Trebuchet MS" w:hAnsi="Trebuchet MS"/>
          <w:sz w:val="24"/>
          <w:szCs w:val="24"/>
        </w:rPr>
        <w:t>ransom ware</w:t>
      </w:r>
      <w:r>
        <w:rPr>
          <w:rFonts w:ascii="Trebuchet MS" w:hAnsi="Trebuchet MS"/>
          <w:sz w:val="24"/>
          <w:szCs w:val="24"/>
        </w:rPr>
        <w:t xml:space="preserve"> attack on the NHS IT systems caused </w:t>
      </w:r>
      <w:r w:rsidR="00415CEA">
        <w:rPr>
          <w:rFonts w:ascii="Trebuchet MS" w:hAnsi="Trebuchet MS"/>
          <w:sz w:val="24"/>
          <w:szCs w:val="24"/>
        </w:rPr>
        <w:t>significant disruptions to the provision of services across the NHS despite the NHS not being a specific target (Smart, 2018). As recommended by Smart</w:t>
      </w:r>
      <w:r w:rsidR="006F4AA3">
        <w:rPr>
          <w:rFonts w:ascii="Trebuchet MS" w:hAnsi="Trebuchet MS"/>
          <w:sz w:val="24"/>
          <w:szCs w:val="24"/>
        </w:rPr>
        <w:t xml:space="preserve"> </w:t>
      </w:r>
      <w:r w:rsidR="00415CEA">
        <w:rPr>
          <w:rFonts w:ascii="Trebuchet MS" w:hAnsi="Trebuchet MS"/>
          <w:sz w:val="24"/>
          <w:szCs w:val="24"/>
        </w:rPr>
        <w:t xml:space="preserve">(2018), NHS Trusts need to have </w:t>
      </w:r>
      <w:r w:rsidR="001B733B">
        <w:rPr>
          <w:rFonts w:ascii="Trebuchet MS" w:hAnsi="Trebuchet MS"/>
          <w:sz w:val="24"/>
          <w:szCs w:val="24"/>
        </w:rPr>
        <w:t>detailed plans and systems for dealing with future cyber-attacks including upgrading their IT systems and building resilience against attacks and having a cyber-security lead at board level among other recommendations. These recommendations are important in strengthening the NHS resilience against future attacks but they have to be viewed in t</w:t>
      </w:r>
      <w:r w:rsidR="002B7503">
        <w:rPr>
          <w:rFonts w:ascii="Trebuchet MS" w:hAnsi="Trebuchet MS"/>
          <w:sz w:val="24"/>
          <w:szCs w:val="24"/>
        </w:rPr>
        <w:t>he context of shrinking budgets. It is also worth noting that despite the disruptions caused by cyber-attacks, cyber security is not a key priority for the NHS.</w:t>
      </w:r>
    </w:p>
    <w:p w14:paraId="720E77AF" w14:textId="77777777" w:rsidR="002B7503" w:rsidRDefault="002B7503" w:rsidP="00177BB5">
      <w:pPr>
        <w:spacing w:line="360" w:lineRule="auto"/>
        <w:rPr>
          <w:rFonts w:ascii="Trebuchet MS" w:hAnsi="Trebuchet MS"/>
          <w:sz w:val="24"/>
          <w:szCs w:val="24"/>
        </w:rPr>
      </w:pPr>
      <w:r>
        <w:rPr>
          <w:rFonts w:ascii="Trebuchet MS" w:hAnsi="Trebuchet MS"/>
          <w:sz w:val="24"/>
          <w:szCs w:val="24"/>
        </w:rPr>
        <w:t xml:space="preserve">Technological advances particularly in ‘big data’ </w:t>
      </w:r>
      <w:r w:rsidR="005F3BA8">
        <w:rPr>
          <w:rFonts w:ascii="Trebuchet MS" w:hAnsi="Trebuchet MS"/>
          <w:sz w:val="24"/>
          <w:szCs w:val="24"/>
        </w:rPr>
        <w:t xml:space="preserve">presents an opportunity for NHS Trusts and healthcare organisations in general with an opportunity to provide </w:t>
      </w:r>
      <w:r w:rsidR="008C4F84">
        <w:rPr>
          <w:rFonts w:ascii="Trebuchet MS" w:hAnsi="Trebuchet MS"/>
          <w:sz w:val="24"/>
          <w:szCs w:val="24"/>
        </w:rPr>
        <w:t xml:space="preserve">speedy, </w:t>
      </w:r>
      <w:r w:rsidR="005F3BA8">
        <w:rPr>
          <w:rFonts w:ascii="Trebuchet MS" w:hAnsi="Trebuchet MS"/>
          <w:sz w:val="24"/>
          <w:szCs w:val="24"/>
        </w:rPr>
        <w:t xml:space="preserve">effective, individualised and precision medicine to the patients through improving research and diagnostics (Andreu-Perez, 2015). Managers however need to be aware of the concerns surrounding </w:t>
      </w:r>
      <w:r w:rsidR="008C4F84">
        <w:rPr>
          <w:rFonts w:ascii="Trebuchet MS" w:hAnsi="Trebuchet MS"/>
          <w:sz w:val="24"/>
          <w:szCs w:val="24"/>
        </w:rPr>
        <w:t>consent, privacy</w:t>
      </w:r>
      <w:r w:rsidR="005F3BA8">
        <w:rPr>
          <w:rFonts w:ascii="Trebuchet MS" w:hAnsi="Trebuchet MS"/>
          <w:sz w:val="24"/>
          <w:szCs w:val="24"/>
        </w:rPr>
        <w:t>, data ownership and governance (Andreu-Perez, 2015) and need to develop policies and systems that address those concerns.</w:t>
      </w:r>
    </w:p>
    <w:p w14:paraId="720E77B0" w14:textId="77777777" w:rsidR="008C4F84" w:rsidRDefault="008C4F84" w:rsidP="00177BB5">
      <w:pPr>
        <w:spacing w:line="360" w:lineRule="auto"/>
        <w:rPr>
          <w:rFonts w:ascii="Trebuchet MS" w:hAnsi="Trebuchet MS"/>
          <w:sz w:val="24"/>
          <w:szCs w:val="24"/>
        </w:rPr>
      </w:pPr>
      <w:r>
        <w:rPr>
          <w:rFonts w:ascii="Trebuchet MS" w:hAnsi="Trebuchet MS"/>
          <w:sz w:val="24"/>
          <w:szCs w:val="24"/>
        </w:rPr>
        <w:t xml:space="preserve">Effective </w:t>
      </w:r>
      <w:r w:rsidR="00FC4501">
        <w:rPr>
          <w:rFonts w:ascii="Trebuchet MS" w:hAnsi="Trebuchet MS"/>
          <w:sz w:val="24"/>
          <w:szCs w:val="24"/>
        </w:rPr>
        <w:t>use of digitisation IT infrastructure has</w:t>
      </w:r>
      <w:r>
        <w:rPr>
          <w:rFonts w:ascii="Trebuchet MS" w:hAnsi="Trebuchet MS"/>
          <w:sz w:val="24"/>
          <w:szCs w:val="24"/>
        </w:rPr>
        <w:t xml:space="preserve"> the potential of increasing quality of service while reducing the cost of providing those services. </w:t>
      </w:r>
      <w:r w:rsidR="00FC4501">
        <w:rPr>
          <w:rFonts w:ascii="Trebuchet MS" w:hAnsi="Trebuchet MS"/>
          <w:sz w:val="24"/>
          <w:szCs w:val="24"/>
        </w:rPr>
        <w:t xml:space="preserve">Research evidence shows that using digital technologies such as video consultations reduces A&amp;E attendances, reduces emergency admissions to hospitals and reduced missed </w:t>
      </w:r>
      <w:r w:rsidR="00A45B61">
        <w:rPr>
          <w:rFonts w:ascii="Trebuchet MS" w:hAnsi="Trebuchet MS"/>
          <w:sz w:val="24"/>
          <w:szCs w:val="24"/>
        </w:rPr>
        <w:t>appointments (</w:t>
      </w:r>
      <w:r w:rsidR="00FC4501">
        <w:rPr>
          <w:rFonts w:ascii="Trebuchet MS" w:hAnsi="Trebuchet MS"/>
          <w:sz w:val="24"/>
          <w:szCs w:val="24"/>
        </w:rPr>
        <w:t>Williams et al, 2017).</w:t>
      </w:r>
      <w:r w:rsidR="008242E5">
        <w:rPr>
          <w:rFonts w:ascii="Trebuchet MS" w:hAnsi="Trebuchet MS"/>
          <w:sz w:val="24"/>
          <w:szCs w:val="24"/>
        </w:rPr>
        <w:t xml:space="preserve"> Given these findings, there is scope for the Trust to adopt telemedicine since the technology is already in use across the organisation.</w:t>
      </w:r>
    </w:p>
    <w:p w14:paraId="720E77B1" w14:textId="104539D3" w:rsidR="00FC3088" w:rsidRPr="00BF63EC" w:rsidRDefault="00BF63EC" w:rsidP="00177BB5">
      <w:pPr>
        <w:spacing w:line="360" w:lineRule="auto"/>
        <w:rPr>
          <w:rFonts w:ascii="Trebuchet MS" w:hAnsi="Trebuchet MS"/>
          <w:b/>
          <w:sz w:val="24"/>
          <w:szCs w:val="24"/>
          <w:u w:val="single"/>
        </w:rPr>
      </w:pPr>
      <w:r w:rsidRPr="00BF63EC">
        <w:rPr>
          <w:rFonts w:ascii="Trebuchet MS" w:hAnsi="Trebuchet MS"/>
          <w:b/>
          <w:sz w:val="24"/>
          <w:szCs w:val="24"/>
          <w:u w:val="single"/>
        </w:rPr>
        <w:t xml:space="preserve">1.5 </w:t>
      </w:r>
      <w:r w:rsidR="00FC3088" w:rsidRPr="00BF63EC">
        <w:rPr>
          <w:rFonts w:ascii="Trebuchet MS" w:hAnsi="Trebuchet MS"/>
          <w:b/>
          <w:sz w:val="24"/>
          <w:szCs w:val="24"/>
          <w:u w:val="single"/>
        </w:rPr>
        <w:t>Ecological</w:t>
      </w:r>
    </w:p>
    <w:p w14:paraId="720E77B2" w14:textId="7ACF872D" w:rsidR="00FC3088" w:rsidRDefault="00FC3088" w:rsidP="00177BB5">
      <w:pPr>
        <w:spacing w:line="360" w:lineRule="auto"/>
        <w:rPr>
          <w:rFonts w:ascii="Trebuchet MS" w:hAnsi="Trebuchet MS"/>
          <w:sz w:val="24"/>
          <w:szCs w:val="24"/>
        </w:rPr>
      </w:pPr>
      <w:r>
        <w:rPr>
          <w:rFonts w:ascii="Trebuchet MS" w:hAnsi="Trebuchet MS"/>
          <w:sz w:val="24"/>
          <w:szCs w:val="24"/>
        </w:rPr>
        <w:lastRenderedPageBreak/>
        <w:t>Like any other organisations across the world, the NHS Trust is affected by environmental issues. Climate change has direct implications on how the organisation operates. Research evidence suggest that across the world there is an increase in the number of heat related and cold related deaths as a result of changing weather patterns</w:t>
      </w:r>
      <w:r w:rsidR="006F4AA3">
        <w:rPr>
          <w:rFonts w:ascii="Trebuchet MS" w:hAnsi="Trebuchet MS"/>
          <w:sz w:val="24"/>
          <w:szCs w:val="24"/>
        </w:rPr>
        <w:t xml:space="preserve"> </w:t>
      </w:r>
      <w:r w:rsidR="00DA5EA8">
        <w:rPr>
          <w:rFonts w:ascii="Trebuchet MS" w:hAnsi="Trebuchet MS"/>
          <w:sz w:val="24"/>
          <w:szCs w:val="24"/>
        </w:rPr>
        <w:t>(Hajat et al, 2014). In the UK the NHS ‘winter crisis’ has become a recurrence since 2012/13(Blunt et al, 2015). The winter crisis</w:t>
      </w:r>
      <w:r w:rsidR="00FA0C37">
        <w:rPr>
          <w:rFonts w:ascii="Trebuchet MS" w:hAnsi="Trebuchet MS"/>
          <w:sz w:val="24"/>
          <w:szCs w:val="24"/>
        </w:rPr>
        <w:t xml:space="preserve"> results from increased demand particularly for A&amp;E and a limited ability to discharge patients quickly and safely during the winter months </w:t>
      </w:r>
      <w:r w:rsidR="00FA0C37" w:rsidRPr="00FA0C37">
        <w:rPr>
          <w:rFonts w:ascii="Trebuchet MS" w:hAnsi="Trebuchet MS"/>
          <w:sz w:val="24"/>
          <w:szCs w:val="24"/>
        </w:rPr>
        <w:t>(Blunt et al, 2015).</w:t>
      </w:r>
      <w:r w:rsidR="00FA0C37">
        <w:rPr>
          <w:rFonts w:ascii="Trebuchet MS" w:hAnsi="Trebuchet MS"/>
          <w:sz w:val="24"/>
          <w:szCs w:val="24"/>
        </w:rPr>
        <w:t xml:space="preserve"> As an NHS Trust, the organisation needs to improve </w:t>
      </w:r>
      <w:r w:rsidR="00673106">
        <w:rPr>
          <w:rFonts w:ascii="Trebuchet MS" w:hAnsi="Trebuchet MS"/>
          <w:sz w:val="24"/>
          <w:szCs w:val="24"/>
        </w:rPr>
        <w:t xml:space="preserve">how it assesses ecological factors </w:t>
      </w:r>
      <w:r w:rsidR="00FA0C37">
        <w:rPr>
          <w:rFonts w:ascii="Trebuchet MS" w:hAnsi="Trebuchet MS"/>
          <w:sz w:val="24"/>
          <w:szCs w:val="24"/>
        </w:rPr>
        <w:t xml:space="preserve">and </w:t>
      </w:r>
      <w:r w:rsidR="00673106">
        <w:rPr>
          <w:rFonts w:ascii="Trebuchet MS" w:hAnsi="Trebuchet MS"/>
          <w:sz w:val="24"/>
          <w:szCs w:val="24"/>
        </w:rPr>
        <w:t xml:space="preserve">improve </w:t>
      </w:r>
      <w:r w:rsidR="00FA0C37">
        <w:rPr>
          <w:rFonts w:ascii="Trebuchet MS" w:hAnsi="Trebuchet MS"/>
          <w:sz w:val="24"/>
          <w:szCs w:val="24"/>
        </w:rPr>
        <w:t>cooperation with other organisations in order to deliver a safe and effective service to its patients.</w:t>
      </w:r>
    </w:p>
    <w:p w14:paraId="720E77B3" w14:textId="0681D22C" w:rsidR="00FA0C37" w:rsidRDefault="00FA0C37" w:rsidP="00177BB5">
      <w:pPr>
        <w:spacing w:line="360" w:lineRule="auto"/>
        <w:rPr>
          <w:rFonts w:ascii="Trebuchet MS" w:hAnsi="Trebuchet MS"/>
          <w:sz w:val="24"/>
          <w:szCs w:val="24"/>
        </w:rPr>
      </w:pPr>
      <w:r>
        <w:rPr>
          <w:rFonts w:ascii="Trebuchet MS" w:hAnsi="Trebuchet MS"/>
          <w:sz w:val="24"/>
          <w:szCs w:val="24"/>
        </w:rPr>
        <w:t xml:space="preserve">Concerns </w:t>
      </w:r>
      <w:r w:rsidR="00673106">
        <w:rPr>
          <w:rFonts w:ascii="Trebuchet MS" w:hAnsi="Trebuchet MS"/>
          <w:sz w:val="24"/>
          <w:szCs w:val="24"/>
        </w:rPr>
        <w:t xml:space="preserve">around air </w:t>
      </w:r>
      <w:r w:rsidR="000F51B3">
        <w:rPr>
          <w:rFonts w:ascii="Trebuchet MS" w:hAnsi="Trebuchet MS"/>
          <w:sz w:val="24"/>
          <w:szCs w:val="24"/>
        </w:rPr>
        <w:t>quality have</w:t>
      </w:r>
      <w:r w:rsidR="00673106">
        <w:rPr>
          <w:rFonts w:ascii="Trebuchet MS" w:hAnsi="Trebuchet MS"/>
          <w:sz w:val="24"/>
          <w:szCs w:val="24"/>
        </w:rPr>
        <w:t xml:space="preserve"> been growing in recent </w:t>
      </w:r>
      <w:r w:rsidR="000F51B3">
        <w:rPr>
          <w:rFonts w:ascii="Trebuchet MS" w:hAnsi="Trebuchet MS"/>
          <w:sz w:val="24"/>
          <w:szCs w:val="24"/>
        </w:rPr>
        <w:t>and in response, the NHS Trust together with other NHS organisations has introduced smoking bans on hospital grounds (Selbie, 2017). However</w:t>
      </w:r>
      <w:r w:rsidR="006F4AA3">
        <w:rPr>
          <w:rFonts w:ascii="Trebuchet MS" w:hAnsi="Trebuchet MS"/>
          <w:sz w:val="24"/>
          <w:szCs w:val="24"/>
        </w:rPr>
        <w:t>,</w:t>
      </w:r>
      <w:r w:rsidR="000F51B3">
        <w:rPr>
          <w:rFonts w:ascii="Trebuchet MS" w:hAnsi="Trebuchet MS"/>
          <w:sz w:val="24"/>
          <w:szCs w:val="24"/>
        </w:rPr>
        <w:t xml:space="preserve"> there are calls for the NHS as whole to go a step further and reduce pollution in the value chain and on their properties (Torjesen, 2018). The Trust provides its employees with new cars through a salary sacrifice scheme, encouraging employees to take up electric cars has the potential to go some way in reducing pollution amount the Trust’s 3000 employees.</w:t>
      </w:r>
    </w:p>
    <w:p w14:paraId="720E77B4" w14:textId="5992B52A" w:rsidR="00E6366F" w:rsidRPr="00193B8F" w:rsidRDefault="00BF63EC" w:rsidP="00177BB5">
      <w:pPr>
        <w:spacing w:line="360" w:lineRule="auto"/>
        <w:rPr>
          <w:rFonts w:ascii="Trebuchet MS" w:hAnsi="Trebuchet MS"/>
          <w:b/>
          <w:sz w:val="24"/>
          <w:szCs w:val="24"/>
          <w:u w:val="single"/>
        </w:rPr>
      </w:pPr>
      <w:r>
        <w:rPr>
          <w:rFonts w:ascii="Trebuchet MS" w:hAnsi="Trebuchet MS"/>
          <w:b/>
          <w:sz w:val="24"/>
          <w:szCs w:val="24"/>
          <w:u w:val="single"/>
        </w:rPr>
        <w:t xml:space="preserve">1.6 </w:t>
      </w:r>
      <w:r w:rsidR="00E6366F" w:rsidRPr="00193B8F">
        <w:rPr>
          <w:rFonts w:ascii="Trebuchet MS" w:hAnsi="Trebuchet MS"/>
          <w:b/>
          <w:sz w:val="24"/>
          <w:szCs w:val="24"/>
          <w:u w:val="single"/>
        </w:rPr>
        <w:t>Legal</w:t>
      </w:r>
    </w:p>
    <w:p w14:paraId="720E77B5" w14:textId="77777777" w:rsidR="00E6366F" w:rsidRDefault="00654014" w:rsidP="00177BB5">
      <w:pPr>
        <w:spacing w:line="360" w:lineRule="auto"/>
        <w:rPr>
          <w:rFonts w:ascii="Trebuchet MS" w:hAnsi="Trebuchet MS"/>
          <w:sz w:val="24"/>
          <w:szCs w:val="24"/>
        </w:rPr>
      </w:pPr>
      <w:r>
        <w:rPr>
          <w:rFonts w:ascii="Trebuchet MS" w:hAnsi="Trebuchet MS"/>
          <w:sz w:val="24"/>
          <w:szCs w:val="24"/>
        </w:rPr>
        <w:t>As with any organisations the Trust has to abide by the laws of the land. These include Employment laws covering issues such as minimum wage, leave, and pensions as well as health and safety laws. There are key legislations that directly relate to the operation of the NHS. These are The Health and Social Care Act 2012</w:t>
      </w:r>
      <w:r w:rsidR="009F4981">
        <w:rPr>
          <w:rFonts w:ascii="Trebuchet MS" w:hAnsi="Trebuchet MS"/>
          <w:sz w:val="24"/>
          <w:szCs w:val="24"/>
        </w:rPr>
        <w:t xml:space="preserve">: Changed how the NHS is run, introducing Clinical commissioning groups and gave some responsibilities for commissioning healthcare to local authorities. The Equality Act 2010: Aimed at increasing equality in the public sector. Other legislation of note </w:t>
      </w:r>
      <w:r w:rsidR="004903B4">
        <w:rPr>
          <w:rFonts w:ascii="Trebuchet MS" w:hAnsi="Trebuchet MS"/>
          <w:sz w:val="24"/>
          <w:szCs w:val="24"/>
        </w:rPr>
        <w:t>includes</w:t>
      </w:r>
      <w:r w:rsidR="009F4981">
        <w:rPr>
          <w:rFonts w:ascii="Trebuchet MS" w:hAnsi="Trebuchet MS"/>
          <w:sz w:val="24"/>
          <w:szCs w:val="24"/>
        </w:rPr>
        <w:t xml:space="preserve"> the Mental Capacity Act</w:t>
      </w:r>
      <w:r w:rsidR="004903B4">
        <w:rPr>
          <w:rFonts w:ascii="Trebuchet MS" w:hAnsi="Trebuchet MS"/>
          <w:sz w:val="24"/>
          <w:szCs w:val="24"/>
        </w:rPr>
        <w:t xml:space="preserve"> 2005</w:t>
      </w:r>
      <w:r w:rsidR="009F4981">
        <w:rPr>
          <w:rFonts w:ascii="Trebuchet MS" w:hAnsi="Trebuchet MS"/>
          <w:sz w:val="24"/>
          <w:szCs w:val="24"/>
        </w:rPr>
        <w:t>, Data Prot</w:t>
      </w:r>
      <w:r w:rsidR="004903B4">
        <w:rPr>
          <w:rFonts w:ascii="Trebuchet MS" w:hAnsi="Trebuchet MS"/>
          <w:sz w:val="24"/>
          <w:szCs w:val="24"/>
        </w:rPr>
        <w:t xml:space="preserve">ection Act 1998, Modern Slavery Act 2015, Children’s Act 1989 and Mental Health Act 1983 and The Social Value Act 2012. It is crucial for managers to be familiar with these legislations </w:t>
      </w:r>
      <w:r w:rsidR="00193B8F">
        <w:rPr>
          <w:rFonts w:ascii="Trebuchet MS" w:hAnsi="Trebuchet MS"/>
          <w:sz w:val="24"/>
          <w:szCs w:val="24"/>
        </w:rPr>
        <w:t xml:space="preserve">as failure to observe them can result in costly prosecution to the Trust and the individual managers as was in the Case of Southern Health </w:t>
      </w:r>
      <w:r w:rsidR="009912B9">
        <w:rPr>
          <w:rFonts w:ascii="Trebuchet MS" w:hAnsi="Trebuchet MS"/>
          <w:sz w:val="24"/>
          <w:szCs w:val="24"/>
        </w:rPr>
        <w:t>Trust (</w:t>
      </w:r>
      <w:r w:rsidR="00193B8F">
        <w:rPr>
          <w:rFonts w:ascii="Trebuchet MS" w:hAnsi="Trebuchet MS"/>
          <w:sz w:val="24"/>
          <w:szCs w:val="24"/>
        </w:rPr>
        <w:t>BBC, 2017).</w:t>
      </w:r>
    </w:p>
    <w:p w14:paraId="5259E565" w14:textId="1F2D6C13" w:rsidR="00307C73" w:rsidRPr="007E679C" w:rsidRDefault="00BF63EC" w:rsidP="00177BB5">
      <w:pPr>
        <w:spacing w:line="360" w:lineRule="auto"/>
        <w:rPr>
          <w:rFonts w:ascii="Trebuchet MS" w:hAnsi="Trebuchet MS"/>
          <w:b/>
          <w:sz w:val="24"/>
          <w:szCs w:val="24"/>
          <w:u w:val="single"/>
        </w:rPr>
      </w:pPr>
      <w:r>
        <w:rPr>
          <w:rFonts w:ascii="Trebuchet MS" w:hAnsi="Trebuchet MS"/>
          <w:b/>
          <w:sz w:val="24"/>
          <w:szCs w:val="24"/>
          <w:u w:val="single"/>
        </w:rPr>
        <w:lastRenderedPageBreak/>
        <w:t>2.</w:t>
      </w:r>
      <w:r w:rsidR="00B56230" w:rsidRPr="007E679C">
        <w:rPr>
          <w:rFonts w:ascii="Trebuchet MS" w:hAnsi="Trebuchet MS"/>
          <w:b/>
          <w:sz w:val="24"/>
          <w:szCs w:val="24"/>
          <w:u w:val="single"/>
        </w:rPr>
        <w:t>BEH MHT NHS Trust 5 Forces analysis</w:t>
      </w:r>
    </w:p>
    <w:p w14:paraId="38B9279B" w14:textId="71D3C084" w:rsidR="00307C73" w:rsidRDefault="00186B37" w:rsidP="00177BB5">
      <w:pPr>
        <w:spacing w:line="360" w:lineRule="auto"/>
        <w:rPr>
          <w:rFonts w:ascii="Trebuchet MS" w:hAnsi="Trebuchet MS"/>
          <w:sz w:val="24"/>
          <w:szCs w:val="24"/>
        </w:rPr>
      </w:pPr>
      <w:r>
        <w:rPr>
          <w:rFonts w:ascii="Trebuchet MS" w:hAnsi="Trebuchet MS"/>
          <w:sz w:val="24"/>
          <w:szCs w:val="24"/>
        </w:rPr>
        <w:t>Porter’s 5 forces framework helps in analysing an industry identifying the attractiveness with regards to five competitive forces. The</w:t>
      </w:r>
      <w:r w:rsidR="00177BB5">
        <w:rPr>
          <w:rFonts w:ascii="Trebuchet MS" w:hAnsi="Trebuchet MS"/>
          <w:sz w:val="24"/>
          <w:szCs w:val="24"/>
        </w:rPr>
        <w:t>se</w:t>
      </w:r>
      <w:r>
        <w:rPr>
          <w:rFonts w:ascii="Trebuchet MS" w:hAnsi="Trebuchet MS"/>
          <w:sz w:val="24"/>
          <w:szCs w:val="24"/>
        </w:rPr>
        <w:t xml:space="preserve"> forces are conceptualised as the extent of rivalry between competitors, threat of entry, threat of substitutes, power of buyers and power of suppliers</w:t>
      </w:r>
      <w:r w:rsidR="00BF63EC">
        <w:rPr>
          <w:rFonts w:ascii="Trebuchet MS" w:hAnsi="Trebuchet MS"/>
          <w:sz w:val="24"/>
          <w:szCs w:val="24"/>
        </w:rPr>
        <w:t xml:space="preserve"> (Johnson et 2017)</w:t>
      </w:r>
      <w:r w:rsidR="00177BB5">
        <w:rPr>
          <w:rFonts w:ascii="Trebuchet MS" w:hAnsi="Trebuchet MS"/>
          <w:sz w:val="24"/>
          <w:szCs w:val="24"/>
        </w:rPr>
        <w:t>.</w:t>
      </w:r>
      <w:r>
        <w:rPr>
          <w:rFonts w:ascii="Trebuchet MS" w:hAnsi="Trebuchet MS"/>
          <w:sz w:val="24"/>
          <w:szCs w:val="24"/>
        </w:rPr>
        <w:t xml:space="preserve"> </w:t>
      </w:r>
    </w:p>
    <w:p w14:paraId="638D85C2" w14:textId="17340644" w:rsidR="00BF63EC" w:rsidRPr="001B1B09" w:rsidRDefault="00BF63EC" w:rsidP="00177BB5">
      <w:pPr>
        <w:spacing w:line="360" w:lineRule="auto"/>
        <w:rPr>
          <w:rFonts w:ascii="Trebuchet MS" w:hAnsi="Trebuchet MS"/>
          <w:sz w:val="24"/>
          <w:szCs w:val="24"/>
        </w:rPr>
      </w:pPr>
      <w:r>
        <w:rPr>
          <w:rFonts w:ascii="Trebuchet MS" w:hAnsi="Trebuchet MS"/>
          <w:sz w:val="24"/>
          <w:szCs w:val="24"/>
        </w:rPr>
        <w:t xml:space="preserve">Below is a five forces analysis for The Trust. </w:t>
      </w:r>
    </w:p>
    <w:p w14:paraId="42A70163" w14:textId="77777777" w:rsidR="00177BB5" w:rsidRDefault="00177BB5" w:rsidP="00177BB5">
      <w:pPr>
        <w:spacing w:line="360" w:lineRule="auto"/>
        <w:rPr>
          <w:rFonts w:ascii="Trebuchet MS" w:hAnsi="Trebuchet MS"/>
          <w:b/>
          <w:sz w:val="24"/>
          <w:szCs w:val="24"/>
        </w:rPr>
      </w:pPr>
    </w:p>
    <w:p w14:paraId="720E77B7" w14:textId="5C27794A" w:rsidR="00B56230" w:rsidRPr="00BF63EC" w:rsidRDefault="00BF63EC" w:rsidP="00177BB5">
      <w:pPr>
        <w:spacing w:line="360" w:lineRule="auto"/>
        <w:rPr>
          <w:rFonts w:ascii="Trebuchet MS" w:hAnsi="Trebuchet MS"/>
          <w:b/>
          <w:sz w:val="24"/>
          <w:szCs w:val="24"/>
          <w:u w:val="single"/>
        </w:rPr>
      </w:pPr>
      <w:r w:rsidRPr="00BF63EC">
        <w:rPr>
          <w:rFonts w:ascii="Trebuchet MS" w:hAnsi="Trebuchet MS"/>
          <w:b/>
          <w:sz w:val="24"/>
          <w:szCs w:val="24"/>
          <w:u w:val="single"/>
        </w:rPr>
        <w:t xml:space="preserve">2.1 </w:t>
      </w:r>
      <w:r w:rsidR="00B56230" w:rsidRPr="00BF63EC">
        <w:rPr>
          <w:rFonts w:ascii="Trebuchet MS" w:hAnsi="Trebuchet MS"/>
          <w:b/>
          <w:sz w:val="24"/>
          <w:szCs w:val="24"/>
          <w:u w:val="single"/>
        </w:rPr>
        <w:t>Competitive rivalry</w:t>
      </w:r>
    </w:p>
    <w:p w14:paraId="720E77B8" w14:textId="77777777" w:rsidR="00B56230" w:rsidRDefault="00B56230" w:rsidP="00177BB5">
      <w:pPr>
        <w:spacing w:line="360" w:lineRule="auto"/>
        <w:rPr>
          <w:rFonts w:ascii="Trebuchet MS" w:hAnsi="Trebuchet MS"/>
          <w:sz w:val="24"/>
          <w:szCs w:val="24"/>
        </w:rPr>
      </w:pPr>
      <w:r>
        <w:rPr>
          <w:rFonts w:ascii="Trebuchet MS" w:hAnsi="Trebuchet MS"/>
          <w:sz w:val="24"/>
          <w:szCs w:val="24"/>
        </w:rPr>
        <w:t>BEH has 514 mental health beds. It has 3,024 members of staff providing mental health services in 3 boroughs and community services in Enfield. In 2016/2017 143,357 people accessed services provided by the Trust. It provides services to clients from 4 main locations and over 45 satellite locations across the boroughs of Barnet, Enfield and Haringey.</w:t>
      </w:r>
    </w:p>
    <w:p w14:paraId="720E77B9" w14:textId="77777777" w:rsidR="00B56230" w:rsidRDefault="00B56230" w:rsidP="00177BB5">
      <w:pPr>
        <w:spacing w:line="360" w:lineRule="auto"/>
        <w:rPr>
          <w:rFonts w:ascii="Trebuchet MS" w:hAnsi="Trebuchet MS"/>
          <w:sz w:val="24"/>
          <w:szCs w:val="24"/>
        </w:rPr>
      </w:pPr>
      <w:r>
        <w:rPr>
          <w:rFonts w:ascii="Trebuchet MS" w:hAnsi="Trebuchet MS"/>
          <w:sz w:val="24"/>
          <w:szCs w:val="24"/>
        </w:rPr>
        <w:t>The Trust is one of the largest employers in the three boroughs. It has affiliated with Middlesex University providing clinicians with mental health education, research and development. It has an annual turnover of £202 million.</w:t>
      </w:r>
    </w:p>
    <w:p w14:paraId="720E77BA" w14:textId="089E0B11" w:rsidR="00B56230" w:rsidRDefault="00B56230" w:rsidP="00177BB5">
      <w:pPr>
        <w:spacing w:line="360" w:lineRule="auto"/>
        <w:rPr>
          <w:rFonts w:ascii="Trebuchet MS" w:hAnsi="Trebuchet MS"/>
          <w:sz w:val="24"/>
          <w:szCs w:val="24"/>
        </w:rPr>
      </w:pPr>
      <w:r>
        <w:rPr>
          <w:rFonts w:ascii="Trebuchet MS" w:hAnsi="Trebuchet MS"/>
          <w:sz w:val="24"/>
          <w:szCs w:val="24"/>
        </w:rPr>
        <w:t>The Trust provides mental health services to children and young people (CAMH</w:t>
      </w:r>
      <w:r w:rsidR="00517D84">
        <w:rPr>
          <w:rFonts w:ascii="Trebuchet MS" w:hAnsi="Trebuchet MS"/>
          <w:sz w:val="24"/>
          <w:szCs w:val="24"/>
        </w:rPr>
        <w:t>S</w:t>
      </w:r>
      <w:r>
        <w:rPr>
          <w:rFonts w:ascii="Trebuchet MS" w:hAnsi="Trebuchet MS"/>
          <w:sz w:val="24"/>
          <w:szCs w:val="24"/>
        </w:rPr>
        <w:t>), adults and older people. Within the mental health services, the Trust provides specialist services including eating disorders services-one of the largest in England, it also provides Forensic services through the North London Forensic Service</w:t>
      </w:r>
      <w:r w:rsidR="006F4AA3">
        <w:rPr>
          <w:rFonts w:ascii="Trebuchet MS" w:hAnsi="Trebuchet MS"/>
          <w:sz w:val="24"/>
          <w:szCs w:val="24"/>
        </w:rPr>
        <w:t xml:space="preserve"> </w:t>
      </w:r>
      <w:r>
        <w:rPr>
          <w:rFonts w:ascii="Trebuchet MS" w:hAnsi="Trebuchet MS"/>
          <w:sz w:val="24"/>
          <w:szCs w:val="24"/>
        </w:rPr>
        <w:t>(</w:t>
      </w:r>
      <w:r w:rsidR="006F4AA3">
        <w:rPr>
          <w:rFonts w:ascii="Trebuchet MS" w:hAnsi="Trebuchet MS"/>
          <w:sz w:val="24"/>
          <w:szCs w:val="24"/>
        </w:rPr>
        <w:t>NLFS) which</w:t>
      </w:r>
      <w:r>
        <w:rPr>
          <w:rFonts w:ascii="Trebuchet MS" w:hAnsi="Trebuchet MS"/>
          <w:sz w:val="24"/>
          <w:szCs w:val="24"/>
        </w:rPr>
        <w:t xml:space="preserve"> treats people in the criminal justice systems experiencing a wide range of mental health conditions. This service has been rated outstanding by the Care Quality Commission (CQC). The NLFS provides the National Stalking Clinic in collaboration with the Metropolitan Police and the Fixated Threat Assessment Centre which provides risk assessment and management members of the Royal Family and Government who are being stalked by people with mental health issues. The NLFS provides mental health services in six prisons and offender institutions around London.</w:t>
      </w:r>
    </w:p>
    <w:p w14:paraId="720E77BB" w14:textId="77777777" w:rsidR="00B56230" w:rsidRDefault="00B56230" w:rsidP="00177BB5">
      <w:pPr>
        <w:spacing w:line="360" w:lineRule="auto"/>
        <w:rPr>
          <w:rFonts w:ascii="Trebuchet MS" w:hAnsi="Trebuchet MS"/>
          <w:sz w:val="24"/>
          <w:szCs w:val="24"/>
        </w:rPr>
      </w:pPr>
      <w:r>
        <w:rPr>
          <w:rFonts w:ascii="Trebuchet MS" w:hAnsi="Trebuchet MS"/>
          <w:sz w:val="24"/>
          <w:szCs w:val="24"/>
        </w:rPr>
        <w:lastRenderedPageBreak/>
        <w:t>In community services, the Trust provides Children community therapies (speech therapy, physiotherapy, and dietetics), Rehabilitative services, Health Visiting, school nursing and district nursing services across the London Borough of Enfield.</w:t>
      </w:r>
    </w:p>
    <w:p w14:paraId="02C11CF8" w14:textId="45810AD8" w:rsidR="00BF63EC" w:rsidRPr="008B432D" w:rsidRDefault="00BF63EC" w:rsidP="00BF63EC">
      <w:pPr>
        <w:spacing w:line="360" w:lineRule="auto"/>
        <w:rPr>
          <w:rFonts w:ascii="Trebuchet MS" w:hAnsi="Trebuchet MS"/>
          <w:sz w:val="24"/>
          <w:szCs w:val="24"/>
        </w:rPr>
      </w:pPr>
      <w:r>
        <w:rPr>
          <w:rFonts w:ascii="Trebuchet MS" w:hAnsi="Trebuchet MS"/>
          <w:b/>
          <w:sz w:val="24"/>
          <w:szCs w:val="24"/>
        </w:rPr>
        <w:t>2.1.1</w:t>
      </w:r>
      <w:r w:rsidR="00B56230" w:rsidRPr="00993642">
        <w:rPr>
          <w:rFonts w:ascii="Trebuchet MS" w:hAnsi="Trebuchet MS"/>
          <w:b/>
          <w:sz w:val="24"/>
          <w:szCs w:val="24"/>
        </w:rPr>
        <w:t>The Priory Hospital North London</w:t>
      </w:r>
      <w:r w:rsidRPr="00BF63EC">
        <w:rPr>
          <w:rFonts w:ascii="Trebuchet MS" w:hAnsi="Trebuchet MS"/>
          <w:sz w:val="24"/>
          <w:szCs w:val="24"/>
        </w:rPr>
        <w:t xml:space="preserve"> </w:t>
      </w:r>
      <w:r>
        <w:rPr>
          <w:rFonts w:ascii="Trebuchet MS" w:hAnsi="Trebuchet MS"/>
          <w:sz w:val="24"/>
          <w:szCs w:val="24"/>
        </w:rPr>
        <w:t>The Priory group has acquired the majority of smaller providers in the local area.</w:t>
      </w:r>
    </w:p>
    <w:p w14:paraId="720E77BE" w14:textId="36DE5A50" w:rsidR="00B56230" w:rsidRDefault="00B56230" w:rsidP="00177BB5">
      <w:pPr>
        <w:spacing w:line="360" w:lineRule="auto"/>
        <w:rPr>
          <w:rFonts w:ascii="Trebuchet MS" w:hAnsi="Trebuchet MS"/>
          <w:b/>
          <w:sz w:val="24"/>
          <w:szCs w:val="24"/>
        </w:rPr>
      </w:pPr>
    </w:p>
    <w:p w14:paraId="0B3B7340" w14:textId="77777777" w:rsidR="00BF63EC" w:rsidRPr="00993642" w:rsidRDefault="00BF63EC" w:rsidP="00177BB5">
      <w:pPr>
        <w:spacing w:line="360" w:lineRule="auto"/>
        <w:rPr>
          <w:rFonts w:ascii="Trebuchet MS" w:hAnsi="Trebuchet MS"/>
          <w:b/>
          <w:sz w:val="24"/>
          <w:szCs w:val="24"/>
        </w:rPr>
      </w:pPr>
    </w:p>
    <w:p w14:paraId="720E77BF" w14:textId="77777777" w:rsidR="00B56230" w:rsidRDefault="00B56230" w:rsidP="00177BB5">
      <w:pPr>
        <w:spacing w:line="360" w:lineRule="auto"/>
        <w:rPr>
          <w:rFonts w:ascii="Trebuchet MS" w:hAnsi="Trebuchet MS"/>
          <w:sz w:val="24"/>
          <w:szCs w:val="24"/>
        </w:rPr>
      </w:pPr>
      <w:r>
        <w:rPr>
          <w:rFonts w:ascii="Trebuchet MS" w:hAnsi="Trebuchet MS"/>
          <w:sz w:val="24"/>
          <w:szCs w:val="24"/>
        </w:rPr>
        <w:t xml:space="preserve">A private hospital located in the London Borough of Enfield providing mental health services to 50 patients including 20 young people aged up to 18 years. The hospital specialises in acute mental health, addiction treatment, eating disorders, obsessive and related disorders. </w:t>
      </w:r>
    </w:p>
    <w:p w14:paraId="720E77C0" w14:textId="0C688102" w:rsidR="00B56230" w:rsidRDefault="00BF63EC" w:rsidP="00177BB5">
      <w:pPr>
        <w:spacing w:line="360" w:lineRule="auto"/>
        <w:rPr>
          <w:rFonts w:ascii="Trebuchet MS" w:hAnsi="Trebuchet MS"/>
          <w:sz w:val="24"/>
          <w:szCs w:val="24"/>
        </w:rPr>
      </w:pPr>
      <w:r>
        <w:rPr>
          <w:rFonts w:ascii="Trebuchet MS" w:hAnsi="Trebuchet MS"/>
          <w:b/>
          <w:sz w:val="24"/>
          <w:szCs w:val="24"/>
        </w:rPr>
        <w:t xml:space="preserve">2.1.2 </w:t>
      </w:r>
      <w:r w:rsidR="00B56230" w:rsidRPr="001B3D1F">
        <w:rPr>
          <w:rFonts w:ascii="Trebuchet MS" w:hAnsi="Trebuchet MS"/>
          <w:b/>
          <w:sz w:val="24"/>
          <w:szCs w:val="24"/>
        </w:rPr>
        <w:t>North London Clinic</w:t>
      </w:r>
      <w:r w:rsidR="00B56230">
        <w:rPr>
          <w:rFonts w:ascii="Trebuchet MS" w:hAnsi="Trebuchet MS"/>
          <w:sz w:val="24"/>
          <w:szCs w:val="24"/>
        </w:rPr>
        <w:t>:</w:t>
      </w:r>
    </w:p>
    <w:p w14:paraId="720E77C1" w14:textId="3E763738" w:rsidR="00B56230" w:rsidRDefault="006F4AA3" w:rsidP="00177BB5">
      <w:pPr>
        <w:spacing w:line="360" w:lineRule="auto"/>
        <w:rPr>
          <w:rFonts w:ascii="Trebuchet MS" w:hAnsi="Trebuchet MS"/>
          <w:sz w:val="24"/>
          <w:szCs w:val="24"/>
        </w:rPr>
      </w:pPr>
      <w:r>
        <w:rPr>
          <w:rFonts w:ascii="Trebuchet MS" w:hAnsi="Trebuchet MS"/>
          <w:sz w:val="24"/>
          <w:szCs w:val="24"/>
        </w:rPr>
        <w:t>Also,</w:t>
      </w:r>
      <w:r w:rsidR="00B56230">
        <w:rPr>
          <w:rFonts w:ascii="Trebuchet MS" w:hAnsi="Trebuchet MS"/>
          <w:sz w:val="24"/>
          <w:szCs w:val="24"/>
        </w:rPr>
        <w:t xml:space="preserve"> part of the Priory group, formerly Partnership in Care. Provides mental health services to men aged 18 and above detained under the Mental Health Act 1983. It is a </w:t>
      </w:r>
      <w:r>
        <w:rPr>
          <w:rFonts w:ascii="Trebuchet MS" w:hAnsi="Trebuchet MS"/>
          <w:sz w:val="24"/>
          <w:szCs w:val="24"/>
        </w:rPr>
        <w:t>61-bed</w:t>
      </w:r>
      <w:r w:rsidR="00B56230">
        <w:rPr>
          <w:rFonts w:ascii="Trebuchet MS" w:hAnsi="Trebuchet MS"/>
          <w:sz w:val="24"/>
          <w:szCs w:val="24"/>
        </w:rPr>
        <w:t xml:space="preserve"> facility. The majority of patients in this facility are referred from prisons and high secure facilities across the country. It mainly acts as an overflow for BEH Forensic services.</w:t>
      </w:r>
    </w:p>
    <w:p w14:paraId="720E77C2" w14:textId="09DC5F4C" w:rsidR="00B56230" w:rsidRDefault="00BF63EC" w:rsidP="00177BB5">
      <w:pPr>
        <w:spacing w:line="360" w:lineRule="auto"/>
        <w:rPr>
          <w:rFonts w:ascii="Trebuchet MS" w:hAnsi="Trebuchet MS"/>
          <w:sz w:val="24"/>
          <w:szCs w:val="24"/>
        </w:rPr>
      </w:pPr>
      <w:r>
        <w:rPr>
          <w:rFonts w:ascii="Trebuchet MS" w:hAnsi="Trebuchet MS"/>
          <w:b/>
          <w:sz w:val="24"/>
          <w:szCs w:val="24"/>
        </w:rPr>
        <w:t xml:space="preserve">2.1.3 </w:t>
      </w:r>
      <w:r w:rsidR="00B56230" w:rsidRPr="001B3D1F">
        <w:rPr>
          <w:rFonts w:ascii="Trebuchet MS" w:hAnsi="Trebuchet MS"/>
          <w:b/>
          <w:sz w:val="24"/>
          <w:szCs w:val="24"/>
        </w:rPr>
        <w:t>Avesbury House</w:t>
      </w:r>
      <w:r w:rsidR="00B56230">
        <w:rPr>
          <w:rFonts w:ascii="Trebuchet MS" w:hAnsi="Trebuchet MS"/>
          <w:sz w:val="24"/>
          <w:szCs w:val="24"/>
        </w:rPr>
        <w:t>: A 24 bed low secure facility providing services to men aged 18 and over. It acts as an over flow for BEH forensic services.</w:t>
      </w:r>
    </w:p>
    <w:p w14:paraId="720E77C3" w14:textId="77777777" w:rsidR="00B56230" w:rsidRDefault="00B56230" w:rsidP="00177BB5">
      <w:pPr>
        <w:spacing w:line="360" w:lineRule="auto"/>
        <w:rPr>
          <w:rFonts w:ascii="Trebuchet MS" w:hAnsi="Trebuchet MS"/>
          <w:sz w:val="24"/>
          <w:szCs w:val="24"/>
        </w:rPr>
      </w:pPr>
      <w:r>
        <w:rPr>
          <w:rFonts w:ascii="Trebuchet MS" w:hAnsi="Trebuchet MS"/>
          <w:sz w:val="24"/>
          <w:szCs w:val="24"/>
        </w:rPr>
        <w:t>The Priory hospital is part of a larger group providing services to 30,000 patients annually from 420 facilities across the United Kingdom.</w:t>
      </w:r>
    </w:p>
    <w:p w14:paraId="720E77C4" w14:textId="77777777" w:rsidR="00B56230" w:rsidRDefault="00B56230" w:rsidP="00177BB5">
      <w:pPr>
        <w:spacing w:line="360" w:lineRule="auto"/>
        <w:rPr>
          <w:rFonts w:ascii="Trebuchet MS" w:hAnsi="Trebuchet MS"/>
          <w:sz w:val="24"/>
          <w:szCs w:val="24"/>
        </w:rPr>
      </w:pPr>
      <w:r>
        <w:rPr>
          <w:rFonts w:ascii="Trebuchet MS" w:hAnsi="Trebuchet MS"/>
          <w:sz w:val="24"/>
          <w:szCs w:val="24"/>
        </w:rPr>
        <w:t xml:space="preserve">In the three boroughs, the Trust is a dominant player. Rivals which are significantly smaller compared to the Trust are focussed on supplementing the Trust’s capacity rather than directly competing. They tend to focus on niches such as drug addiction, forensics and children services rather than mainstream mental health services. </w:t>
      </w:r>
    </w:p>
    <w:p w14:paraId="720E77C5" w14:textId="77777777" w:rsidR="00B56230" w:rsidRDefault="00B56230" w:rsidP="00177BB5">
      <w:pPr>
        <w:spacing w:line="360" w:lineRule="auto"/>
        <w:rPr>
          <w:rFonts w:ascii="Trebuchet MS" w:hAnsi="Trebuchet MS"/>
          <w:sz w:val="24"/>
          <w:szCs w:val="24"/>
        </w:rPr>
      </w:pPr>
      <w:r>
        <w:rPr>
          <w:rFonts w:ascii="Trebuchet MS" w:hAnsi="Trebuchet MS"/>
          <w:sz w:val="24"/>
          <w:szCs w:val="24"/>
        </w:rPr>
        <w:lastRenderedPageBreak/>
        <w:t xml:space="preserve">Due to economies of scale, the Trust is able to offer competitive prices to the CCGs and local authorities who are the main customers and buy services from the Trust on behalf of the local populations. </w:t>
      </w:r>
    </w:p>
    <w:p w14:paraId="720E77C6" w14:textId="77777777" w:rsidR="00B56230" w:rsidRDefault="00B56230" w:rsidP="00177BB5">
      <w:pPr>
        <w:spacing w:line="360" w:lineRule="auto"/>
        <w:rPr>
          <w:rFonts w:ascii="Trebuchet MS" w:hAnsi="Trebuchet MS"/>
          <w:sz w:val="24"/>
          <w:szCs w:val="24"/>
        </w:rPr>
      </w:pPr>
      <w:r>
        <w:rPr>
          <w:rFonts w:ascii="Trebuchet MS" w:hAnsi="Trebuchet MS"/>
          <w:sz w:val="24"/>
          <w:szCs w:val="24"/>
        </w:rPr>
        <w:t>It has to be noted that the in some areas companies like Virgin health and Care UK have successfully acquired community health services contracts from local commissioners ahead of the incumbent NHS Trusts. The community services business unit is therefore at increased threat of competition from those companies that are not necessarily operating in the local area. This is because community services can be delivered without the requirement for a large real estate foot print through mobile workers, pop up clinics in libraries and shopping centres, in GP offices, supermarkets.</w:t>
      </w:r>
    </w:p>
    <w:p w14:paraId="58A8E10D" w14:textId="77777777" w:rsidR="00BF63EC" w:rsidRDefault="00BF63EC" w:rsidP="00177BB5">
      <w:pPr>
        <w:spacing w:line="360" w:lineRule="auto"/>
        <w:rPr>
          <w:rFonts w:ascii="Trebuchet MS" w:hAnsi="Trebuchet MS"/>
          <w:b/>
          <w:sz w:val="24"/>
          <w:szCs w:val="24"/>
        </w:rPr>
      </w:pPr>
    </w:p>
    <w:p w14:paraId="720E77C7" w14:textId="3E6A4BCD" w:rsidR="00B56230" w:rsidRPr="00BF63EC" w:rsidRDefault="00BF63EC" w:rsidP="00177BB5">
      <w:pPr>
        <w:spacing w:line="360" w:lineRule="auto"/>
        <w:rPr>
          <w:rFonts w:ascii="Trebuchet MS" w:hAnsi="Trebuchet MS"/>
          <w:b/>
          <w:sz w:val="24"/>
          <w:szCs w:val="24"/>
          <w:u w:val="single"/>
        </w:rPr>
      </w:pPr>
      <w:r w:rsidRPr="00BF63EC">
        <w:rPr>
          <w:rFonts w:ascii="Trebuchet MS" w:hAnsi="Trebuchet MS"/>
          <w:b/>
          <w:sz w:val="24"/>
          <w:szCs w:val="24"/>
          <w:u w:val="single"/>
        </w:rPr>
        <w:t xml:space="preserve">2.2 </w:t>
      </w:r>
      <w:r w:rsidR="00B56230" w:rsidRPr="00BF63EC">
        <w:rPr>
          <w:rFonts w:ascii="Trebuchet MS" w:hAnsi="Trebuchet MS"/>
          <w:b/>
          <w:sz w:val="24"/>
          <w:szCs w:val="24"/>
          <w:u w:val="single"/>
        </w:rPr>
        <w:t>Threat of Entry</w:t>
      </w:r>
    </w:p>
    <w:p w14:paraId="720E77C8" w14:textId="7043D616" w:rsidR="00B56230" w:rsidRDefault="00B56230" w:rsidP="00177BB5">
      <w:pPr>
        <w:spacing w:line="360" w:lineRule="auto"/>
        <w:rPr>
          <w:rFonts w:ascii="Trebuchet MS" w:hAnsi="Trebuchet MS"/>
          <w:sz w:val="24"/>
          <w:szCs w:val="24"/>
        </w:rPr>
      </w:pPr>
      <w:r>
        <w:rPr>
          <w:rFonts w:ascii="Trebuchet MS" w:hAnsi="Trebuchet MS"/>
          <w:sz w:val="24"/>
          <w:szCs w:val="24"/>
        </w:rPr>
        <w:t xml:space="preserve">The Trust has 514 beds compared to the nearest rival with a total of 135 beds across 3 sites. The Trust has specialisms is CAMHS, Forensics, Eating disorders, Personality disorders, Dual Diagnosis and </w:t>
      </w:r>
      <w:r w:rsidR="006F4AA3">
        <w:rPr>
          <w:rFonts w:ascii="Trebuchet MS" w:hAnsi="Trebuchet MS"/>
          <w:sz w:val="24"/>
          <w:szCs w:val="24"/>
        </w:rPr>
        <w:t>Psychiatric liaison</w:t>
      </w:r>
      <w:r>
        <w:rPr>
          <w:rFonts w:ascii="Trebuchet MS" w:hAnsi="Trebuchet MS"/>
          <w:sz w:val="24"/>
          <w:szCs w:val="24"/>
        </w:rPr>
        <w:t xml:space="preserve"> services. It also has partnerships with the Middlesex University. It will be very difficult for new entrants to compete with this level of specialisms.</w:t>
      </w:r>
    </w:p>
    <w:p w14:paraId="720E77C9" w14:textId="77777777" w:rsidR="00B56230" w:rsidRDefault="00B56230" w:rsidP="00177BB5">
      <w:pPr>
        <w:spacing w:line="360" w:lineRule="auto"/>
        <w:rPr>
          <w:rFonts w:ascii="Trebuchet MS" w:hAnsi="Trebuchet MS"/>
          <w:sz w:val="24"/>
          <w:szCs w:val="24"/>
        </w:rPr>
      </w:pPr>
      <w:r>
        <w:rPr>
          <w:rFonts w:ascii="Trebuchet MS" w:hAnsi="Trebuchet MS"/>
          <w:sz w:val="24"/>
          <w:szCs w:val="24"/>
        </w:rPr>
        <w:t>Any new entrants will need to invest heavily in real estate and IT in order to mount a challenge to the Trust’s domination.</w:t>
      </w:r>
    </w:p>
    <w:p w14:paraId="720E77CA" w14:textId="77777777" w:rsidR="00B56230" w:rsidRDefault="00B56230" w:rsidP="00177BB5">
      <w:pPr>
        <w:spacing w:line="360" w:lineRule="auto"/>
        <w:rPr>
          <w:rFonts w:ascii="Trebuchet MS" w:hAnsi="Trebuchet MS"/>
          <w:sz w:val="24"/>
          <w:szCs w:val="24"/>
        </w:rPr>
      </w:pPr>
      <w:r>
        <w:rPr>
          <w:rFonts w:ascii="Trebuchet MS" w:hAnsi="Trebuchet MS"/>
          <w:sz w:val="24"/>
          <w:szCs w:val="24"/>
        </w:rPr>
        <w:t>The organisation benefits from being in a member of the NHS Supply Chain. Economies of scale for medical supplies and consumables bought at competitive prices which new entrants will struggle to get.</w:t>
      </w:r>
    </w:p>
    <w:p w14:paraId="720E77CB" w14:textId="256CAFBC" w:rsidR="00B56230" w:rsidRPr="00BF63EC" w:rsidRDefault="00BF63EC" w:rsidP="00177BB5">
      <w:pPr>
        <w:spacing w:line="360" w:lineRule="auto"/>
        <w:rPr>
          <w:rFonts w:ascii="Trebuchet MS" w:hAnsi="Trebuchet MS"/>
          <w:b/>
          <w:sz w:val="24"/>
          <w:szCs w:val="24"/>
          <w:u w:val="single"/>
        </w:rPr>
      </w:pPr>
      <w:r w:rsidRPr="00BF63EC">
        <w:rPr>
          <w:rFonts w:ascii="Trebuchet MS" w:hAnsi="Trebuchet MS"/>
          <w:b/>
          <w:sz w:val="24"/>
          <w:szCs w:val="24"/>
          <w:u w:val="single"/>
        </w:rPr>
        <w:t xml:space="preserve">2.3 </w:t>
      </w:r>
      <w:r w:rsidR="00B56230" w:rsidRPr="00BF63EC">
        <w:rPr>
          <w:rFonts w:ascii="Trebuchet MS" w:hAnsi="Trebuchet MS"/>
          <w:b/>
          <w:sz w:val="24"/>
          <w:szCs w:val="24"/>
          <w:u w:val="single"/>
        </w:rPr>
        <w:t>Threat of Substitutes</w:t>
      </w:r>
    </w:p>
    <w:p w14:paraId="720E77CC" w14:textId="77777777" w:rsidR="00B56230" w:rsidRDefault="00B56230" w:rsidP="00177BB5">
      <w:pPr>
        <w:spacing w:line="360" w:lineRule="auto"/>
        <w:rPr>
          <w:rFonts w:ascii="Trebuchet MS" w:hAnsi="Trebuchet MS"/>
          <w:sz w:val="24"/>
          <w:szCs w:val="24"/>
        </w:rPr>
      </w:pPr>
      <w:r>
        <w:rPr>
          <w:rFonts w:ascii="Trebuchet MS" w:hAnsi="Trebuchet MS"/>
          <w:sz w:val="24"/>
          <w:szCs w:val="24"/>
        </w:rPr>
        <w:t xml:space="preserve">According to a recent publication, there is an increase in the use of complementary and alternative medicines with one in two European citizens reported to be using complementary and alternative medicines (Fischer et al, 2014). According to McKinsey (2017), health companion apps are growing in popularity with potentially disruptive consequences for the healthcare industry. </w:t>
      </w:r>
      <w:r>
        <w:rPr>
          <w:rFonts w:ascii="Trebuchet MS" w:hAnsi="Trebuchet MS"/>
          <w:sz w:val="24"/>
          <w:szCs w:val="24"/>
        </w:rPr>
        <w:lastRenderedPageBreak/>
        <w:t>Healthcare providers should embrace adapt to the potential changes brought about by novel ways of accessing healthcare.</w:t>
      </w:r>
    </w:p>
    <w:p w14:paraId="720E77CD" w14:textId="77777777" w:rsidR="00B56230" w:rsidRDefault="00B56230" w:rsidP="00177BB5">
      <w:pPr>
        <w:spacing w:line="360" w:lineRule="auto"/>
        <w:rPr>
          <w:rFonts w:ascii="Trebuchet MS" w:hAnsi="Trebuchet MS"/>
          <w:sz w:val="24"/>
          <w:szCs w:val="24"/>
        </w:rPr>
      </w:pPr>
      <w:r>
        <w:rPr>
          <w:rFonts w:ascii="Trebuchet MS" w:hAnsi="Trebuchet MS"/>
          <w:sz w:val="24"/>
          <w:szCs w:val="24"/>
        </w:rPr>
        <w:t>There’s still a need for people in crisis to be seen by psychiatrists and admitted to wards for clinical management. Additionally, the prison population requires mental health input as recent study found that almost half of the prison population has a history of mental health issues (Al-Rousan et al, 2017).</w:t>
      </w:r>
    </w:p>
    <w:p w14:paraId="720E77CE" w14:textId="51132A5F" w:rsidR="00B56230" w:rsidRPr="00BF63EC" w:rsidRDefault="00BF63EC" w:rsidP="00177BB5">
      <w:pPr>
        <w:spacing w:line="360" w:lineRule="auto"/>
        <w:rPr>
          <w:rFonts w:ascii="Trebuchet MS" w:hAnsi="Trebuchet MS"/>
          <w:b/>
          <w:sz w:val="24"/>
          <w:szCs w:val="24"/>
          <w:u w:val="single"/>
        </w:rPr>
      </w:pPr>
      <w:r w:rsidRPr="00BF63EC">
        <w:rPr>
          <w:rFonts w:ascii="Trebuchet MS" w:hAnsi="Trebuchet MS"/>
          <w:b/>
          <w:sz w:val="24"/>
          <w:szCs w:val="24"/>
          <w:u w:val="single"/>
        </w:rPr>
        <w:t xml:space="preserve">2.4 </w:t>
      </w:r>
      <w:r w:rsidR="00B56230" w:rsidRPr="00BF63EC">
        <w:rPr>
          <w:rFonts w:ascii="Trebuchet MS" w:hAnsi="Trebuchet MS"/>
          <w:b/>
          <w:sz w:val="24"/>
          <w:szCs w:val="24"/>
          <w:u w:val="single"/>
        </w:rPr>
        <w:t>Power of buyers</w:t>
      </w:r>
    </w:p>
    <w:p w14:paraId="720E77CF" w14:textId="3AC9088B" w:rsidR="00B56230" w:rsidRDefault="00B56230" w:rsidP="00177BB5">
      <w:pPr>
        <w:spacing w:line="360" w:lineRule="auto"/>
        <w:rPr>
          <w:rFonts w:ascii="Trebuchet MS" w:hAnsi="Trebuchet MS"/>
          <w:sz w:val="24"/>
          <w:szCs w:val="24"/>
        </w:rPr>
      </w:pPr>
      <w:r>
        <w:rPr>
          <w:rFonts w:ascii="Trebuchet MS" w:hAnsi="Trebuchet MS"/>
          <w:sz w:val="24"/>
          <w:szCs w:val="24"/>
        </w:rPr>
        <w:t>NHS England, Clinical Commissioning Groups</w:t>
      </w:r>
      <w:r w:rsidR="006F4AA3">
        <w:rPr>
          <w:rFonts w:ascii="Trebuchet MS" w:hAnsi="Trebuchet MS"/>
          <w:sz w:val="24"/>
          <w:szCs w:val="24"/>
        </w:rPr>
        <w:t xml:space="preserve"> </w:t>
      </w:r>
      <w:r>
        <w:rPr>
          <w:rFonts w:ascii="Trebuchet MS" w:hAnsi="Trebuchet MS"/>
          <w:sz w:val="24"/>
          <w:szCs w:val="24"/>
        </w:rPr>
        <w:t>(CCGs) and Local authority Health and Wellbeing Boards have the responsibility of assessing the health needs of their population and buying the necessary services aimed at satisfying the identified health needs of their population (Tomlinson et al, 2013). CCGs are responsible for the funding of 66% of England’s health services (NHS, 2014). This gives them immense power of service providers. A recent study found that there is complexity and lack of uniformity on how different CCGs are dealing with providers making it difficult for providers to know how to approach these CCGs (Checkland et al, 2016).</w:t>
      </w:r>
    </w:p>
    <w:p w14:paraId="720E77D0" w14:textId="5BC935F7" w:rsidR="00B56230" w:rsidRPr="00BF63EC" w:rsidRDefault="00BF63EC" w:rsidP="00177BB5">
      <w:pPr>
        <w:spacing w:line="360" w:lineRule="auto"/>
        <w:rPr>
          <w:rFonts w:ascii="Trebuchet MS" w:hAnsi="Trebuchet MS"/>
          <w:b/>
          <w:sz w:val="24"/>
          <w:szCs w:val="24"/>
          <w:u w:val="single"/>
        </w:rPr>
      </w:pPr>
      <w:r w:rsidRPr="00BF63EC">
        <w:rPr>
          <w:rFonts w:ascii="Trebuchet MS" w:hAnsi="Trebuchet MS"/>
          <w:b/>
          <w:sz w:val="24"/>
          <w:szCs w:val="24"/>
          <w:u w:val="single"/>
        </w:rPr>
        <w:t xml:space="preserve">2.5 </w:t>
      </w:r>
      <w:r w:rsidR="00B56230" w:rsidRPr="00BF63EC">
        <w:rPr>
          <w:rFonts w:ascii="Trebuchet MS" w:hAnsi="Trebuchet MS"/>
          <w:b/>
          <w:sz w:val="24"/>
          <w:szCs w:val="24"/>
          <w:u w:val="single"/>
        </w:rPr>
        <w:t>Power of Suppliers</w:t>
      </w:r>
    </w:p>
    <w:p w14:paraId="720E77D1" w14:textId="77777777" w:rsidR="00B56230" w:rsidRPr="001101DF" w:rsidRDefault="00B56230" w:rsidP="00177BB5">
      <w:pPr>
        <w:spacing w:line="360" w:lineRule="auto"/>
        <w:rPr>
          <w:rFonts w:ascii="Trebuchet MS" w:hAnsi="Trebuchet MS"/>
          <w:sz w:val="24"/>
          <w:szCs w:val="24"/>
        </w:rPr>
      </w:pPr>
      <w:r>
        <w:rPr>
          <w:rFonts w:ascii="Trebuchet MS" w:hAnsi="Trebuchet MS"/>
          <w:sz w:val="24"/>
          <w:szCs w:val="24"/>
        </w:rPr>
        <w:t>Supplies to the Trust are through the NHS Supply Chain, an organisation run by DHL Supply Chain on behalf of the NHS. It has the responsibility to source products and negotiating contracts with suppliers on behalf of the NHS and ensures the products are delivered in a timely manner. Through this arrangement suppliers have limited power as they have to compete with other suppliers in order to win NHS contracts.</w:t>
      </w:r>
    </w:p>
    <w:p w14:paraId="720E77D2" w14:textId="77777777" w:rsidR="005F3BA8" w:rsidRDefault="005F3BA8" w:rsidP="00177BB5">
      <w:pPr>
        <w:spacing w:line="360" w:lineRule="auto"/>
        <w:rPr>
          <w:rFonts w:ascii="Trebuchet MS" w:hAnsi="Trebuchet MS"/>
          <w:sz w:val="24"/>
          <w:szCs w:val="24"/>
        </w:rPr>
      </w:pPr>
    </w:p>
    <w:p w14:paraId="720E77D3" w14:textId="10494E0D" w:rsidR="00FD297C" w:rsidRPr="00BF63EC" w:rsidRDefault="00BF63EC" w:rsidP="00177BB5">
      <w:pPr>
        <w:spacing w:line="360" w:lineRule="auto"/>
        <w:rPr>
          <w:rFonts w:ascii="Trebuchet MS" w:hAnsi="Trebuchet MS"/>
          <w:b/>
          <w:sz w:val="24"/>
          <w:szCs w:val="24"/>
          <w:u w:val="single"/>
        </w:rPr>
      </w:pPr>
      <w:r w:rsidRPr="00BF63EC">
        <w:rPr>
          <w:rFonts w:ascii="Trebuchet MS" w:hAnsi="Trebuchet MS"/>
          <w:b/>
          <w:sz w:val="24"/>
          <w:szCs w:val="24"/>
          <w:u w:val="single"/>
        </w:rPr>
        <w:t>3.</w:t>
      </w:r>
      <w:r w:rsidR="00FD297C" w:rsidRPr="00BF63EC">
        <w:rPr>
          <w:rFonts w:ascii="Trebuchet MS" w:hAnsi="Trebuchet MS"/>
          <w:b/>
          <w:sz w:val="24"/>
          <w:szCs w:val="24"/>
          <w:u w:val="single"/>
        </w:rPr>
        <w:t>Resource and capabilities evaluation.</w:t>
      </w:r>
    </w:p>
    <w:p w14:paraId="720E77D4" w14:textId="7578EA7F" w:rsidR="00FD297C" w:rsidRDefault="00FD297C" w:rsidP="00177BB5">
      <w:pPr>
        <w:spacing w:line="360" w:lineRule="auto"/>
        <w:rPr>
          <w:rFonts w:ascii="Trebuchet MS" w:hAnsi="Trebuchet MS"/>
          <w:sz w:val="24"/>
          <w:szCs w:val="24"/>
        </w:rPr>
      </w:pPr>
      <w:r>
        <w:rPr>
          <w:rFonts w:ascii="Trebuchet MS" w:hAnsi="Trebuchet MS"/>
          <w:sz w:val="24"/>
          <w:szCs w:val="24"/>
        </w:rPr>
        <w:t>According to Johnson et al, (2017), for an organisation to successfully compete in a market, it needs threshold resources and capabilities and these needs to be unique in order for the organisation to achieve sustainable competitive advantage. There are four major criteria for evaluating the resources and capabilities, these are:</w:t>
      </w:r>
      <w:r w:rsidR="006F4AA3">
        <w:rPr>
          <w:rFonts w:ascii="Trebuchet MS" w:hAnsi="Trebuchet MS"/>
          <w:sz w:val="24"/>
          <w:szCs w:val="24"/>
        </w:rPr>
        <w:t xml:space="preserve"> </w:t>
      </w:r>
      <w:r w:rsidRPr="00EB28D6">
        <w:rPr>
          <w:rFonts w:ascii="Trebuchet MS" w:hAnsi="Trebuchet MS"/>
          <w:b/>
          <w:sz w:val="24"/>
          <w:szCs w:val="24"/>
        </w:rPr>
        <w:lastRenderedPageBreak/>
        <w:t>V</w:t>
      </w:r>
      <w:r>
        <w:rPr>
          <w:rFonts w:ascii="Trebuchet MS" w:hAnsi="Trebuchet MS"/>
          <w:sz w:val="24"/>
          <w:szCs w:val="24"/>
        </w:rPr>
        <w:t xml:space="preserve">alue, </w:t>
      </w:r>
      <w:r w:rsidRPr="00EB28D6">
        <w:rPr>
          <w:rFonts w:ascii="Trebuchet MS" w:hAnsi="Trebuchet MS"/>
          <w:b/>
          <w:sz w:val="24"/>
          <w:szCs w:val="24"/>
        </w:rPr>
        <w:t>R</w:t>
      </w:r>
      <w:r>
        <w:rPr>
          <w:rFonts w:ascii="Trebuchet MS" w:hAnsi="Trebuchet MS"/>
          <w:sz w:val="24"/>
          <w:szCs w:val="24"/>
        </w:rPr>
        <w:t xml:space="preserve">arity, </w:t>
      </w:r>
      <w:r w:rsidRPr="00EB28D6">
        <w:rPr>
          <w:rFonts w:ascii="Trebuchet MS" w:hAnsi="Trebuchet MS"/>
          <w:b/>
          <w:sz w:val="24"/>
          <w:szCs w:val="24"/>
        </w:rPr>
        <w:t>I</w:t>
      </w:r>
      <w:r>
        <w:rPr>
          <w:rFonts w:ascii="Trebuchet MS" w:hAnsi="Trebuchet MS"/>
          <w:sz w:val="24"/>
          <w:szCs w:val="24"/>
        </w:rPr>
        <w:t xml:space="preserve">nimitability and </w:t>
      </w:r>
      <w:r w:rsidRPr="00EB28D6">
        <w:rPr>
          <w:rFonts w:ascii="Trebuchet MS" w:hAnsi="Trebuchet MS"/>
          <w:b/>
          <w:sz w:val="24"/>
          <w:szCs w:val="24"/>
        </w:rPr>
        <w:t>O</w:t>
      </w:r>
      <w:r>
        <w:rPr>
          <w:rFonts w:ascii="Trebuchet MS" w:hAnsi="Trebuchet MS"/>
          <w:sz w:val="24"/>
          <w:szCs w:val="24"/>
        </w:rPr>
        <w:t>rganisational support. The table below summarises these criteria and the questions they seek to address.</w:t>
      </w:r>
    </w:p>
    <w:tbl>
      <w:tblPr>
        <w:tblStyle w:val="TableGrid"/>
        <w:tblW w:w="0" w:type="auto"/>
        <w:tblLook w:val="04A0" w:firstRow="1" w:lastRow="0" w:firstColumn="1" w:lastColumn="0" w:noHBand="0" w:noVBand="1"/>
      </w:tblPr>
      <w:tblGrid>
        <w:gridCol w:w="1761"/>
        <w:gridCol w:w="7481"/>
      </w:tblGrid>
      <w:tr w:rsidR="00FD297C" w:rsidRPr="007004C2" w14:paraId="720E77D7" w14:textId="77777777" w:rsidTr="00346812">
        <w:tc>
          <w:tcPr>
            <w:tcW w:w="959" w:type="dxa"/>
          </w:tcPr>
          <w:p w14:paraId="720E77D5" w14:textId="77777777" w:rsidR="00FD297C" w:rsidRPr="007004C2" w:rsidRDefault="00FD297C" w:rsidP="00177BB5">
            <w:pPr>
              <w:spacing w:line="360" w:lineRule="auto"/>
              <w:rPr>
                <w:rFonts w:ascii="Trebuchet MS" w:hAnsi="Trebuchet MS"/>
                <w:sz w:val="24"/>
                <w:szCs w:val="24"/>
              </w:rPr>
            </w:pPr>
            <w:r w:rsidRPr="007004C2">
              <w:rPr>
                <w:rFonts w:ascii="Trebuchet MS" w:hAnsi="Trebuchet MS"/>
                <w:sz w:val="24"/>
                <w:szCs w:val="24"/>
              </w:rPr>
              <w:t>Value</w:t>
            </w:r>
          </w:p>
        </w:tc>
        <w:tc>
          <w:tcPr>
            <w:tcW w:w="8283" w:type="dxa"/>
          </w:tcPr>
          <w:p w14:paraId="720E77D6" w14:textId="77777777" w:rsidR="00FD297C" w:rsidRPr="007004C2" w:rsidRDefault="00FD297C" w:rsidP="00177BB5">
            <w:pPr>
              <w:spacing w:line="360" w:lineRule="auto"/>
              <w:rPr>
                <w:rFonts w:ascii="Trebuchet MS" w:hAnsi="Trebuchet MS"/>
                <w:sz w:val="24"/>
                <w:szCs w:val="24"/>
              </w:rPr>
            </w:pPr>
            <w:r w:rsidRPr="007004C2">
              <w:rPr>
                <w:rFonts w:ascii="Trebuchet MS" w:hAnsi="Trebuchet MS"/>
                <w:sz w:val="24"/>
                <w:szCs w:val="24"/>
              </w:rPr>
              <w:t>Do resources</w:t>
            </w:r>
            <w:r>
              <w:rPr>
                <w:rFonts w:ascii="Trebuchet MS" w:hAnsi="Trebuchet MS"/>
                <w:sz w:val="24"/>
                <w:szCs w:val="24"/>
              </w:rPr>
              <w:t xml:space="preserve"> and capabilities</w:t>
            </w:r>
            <w:r w:rsidRPr="007004C2">
              <w:rPr>
                <w:rFonts w:ascii="Trebuchet MS" w:hAnsi="Trebuchet MS"/>
                <w:sz w:val="24"/>
                <w:szCs w:val="24"/>
              </w:rPr>
              <w:t xml:space="preserve"> </w:t>
            </w:r>
            <w:r>
              <w:rPr>
                <w:rFonts w:ascii="Trebuchet MS" w:hAnsi="Trebuchet MS"/>
                <w:sz w:val="24"/>
                <w:szCs w:val="24"/>
              </w:rPr>
              <w:t>add value to the customer and do they allow the organisation to exploit opportunities and threats?</w:t>
            </w:r>
          </w:p>
        </w:tc>
      </w:tr>
      <w:tr w:rsidR="00FD297C" w:rsidRPr="007004C2" w14:paraId="720E77DA" w14:textId="77777777" w:rsidTr="00346812">
        <w:tc>
          <w:tcPr>
            <w:tcW w:w="959" w:type="dxa"/>
          </w:tcPr>
          <w:p w14:paraId="720E77D8" w14:textId="77777777" w:rsidR="00FD297C" w:rsidRPr="007004C2" w:rsidRDefault="00FD297C" w:rsidP="00177BB5">
            <w:pPr>
              <w:spacing w:line="360" w:lineRule="auto"/>
              <w:rPr>
                <w:rFonts w:ascii="Trebuchet MS" w:hAnsi="Trebuchet MS"/>
                <w:sz w:val="24"/>
                <w:szCs w:val="24"/>
              </w:rPr>
            </w:pPr>
            <w:r w:rsidRPr="007004C2">
              <w:rPr>
                <w:rFonts w:ascii="Trebuchet MS" w:hAnsi="Trebuchet MS"/>
                <w:sz w:val="24"/>
                <w:szCs w:val="24"/>
              </w:rPr>
              <w:t>Rarity</w:t>
            </w:r>
          </w:p>
        </w:tc>
        <w:tc>
          <w:tcPr>
            <w:tcW w:w="8283" w:type="dxa"/>
          </w:tcPr>
          <w:p w14:paraId="720E77D9" w14:textId="77777777" w:rsidR="00FD297C" w:rsidRPr="007004C2" w:rsidRDefault="00FD297C" w:rsidP="00177BB5">
            <w:pPr>
              <w:spacing w:line="360" w:lineRule="auto"/>
              <w:rPr>
                <w:rFonts w:ascii="Trebuchet MS" w:hAnsi="Trebuchet MS"/>
                <w:sz w:val="24"/>
                <w:szCs w:val="24"/>
              </w:rPr>
            </w:pPr>
            <w:r>
              <w:rPr>
                <w:rFonts w:ascii="Trebuchet MS" w:hAnsi="Trebuchet MS"/>
                <w:sz w:val="24"/>
                <w:szCs w:val="24"/>
              </w:rPr>
              <w:t>Are resources and capabilities available that no or very few competitors possess?</w:t>
            </w:r>
          </w:p>
        </w:tc>
      </w:tr>
      <w:tr w:rsidR="00FD297C" w:rsidRPr="007004C2" w14:paraId="720E77DD" w14:textId="77777777" w:rsidTr="00346812">
        <w:tc>
          <w:tcPr>
            <w:tcW w:w="959" w:type="dxa"/>
          </w:tcPr>
          <w:p w14:paraId="720E77DB" w14:textId="77777777" w:rsidR="00FD297C" w:rsidRPr="007004C2" w:rsidRDefault="00FD297C" w:rsidP="00177BB5">
            <w:pPr>
              <w:spacing w:line="360" w:lineRule="auto"/>
              <w:rPr>
                <w:rFonts w:ascii="Trebuchet MS" w:hAnsi="Trebuchet MS"/>
                <w:sz w:val="24"/>
                <w:szCs w:val="24"/>
              </w:rPr>
            </w:pPr>
            <w:r w:rsidRPr="007004C2">
              <w:rPr>
                <w:rFonts w:ascii="Trebuchet MS" w:hAnsi="Trebuchet MS"/>
                <w:sz w:val="24"/>
                <w:szCs w:val="24"/>
              </w:rPr>
              <w:t>Inimitability</w:t>
            </w:r>
          </w:p>
        </w:tc>
        <w:tc>
          <w:tcPr>
            <w:tcW w:w="8283" w:type="dxa"/>
          </w:tcPr>
          <w:p w14:paraId="720E77DC" w14:textId="77777777" w:rsidR="00FD297C" w:rsidRPr="007004C2" w:rsidRDefault="00FD297C" w:rsidP="00177BB5">
            <w:pPr>
              <w:spacing w:line="360" w:lineRule="auto"/>
              <w:rPr>
                <w:rFonts w:ascii="Trebuchet MS" w:hAnsi="Trebuchet MS"/>
                <w:sz w:val="24"/>
                <w:szCs w:val="24"/>
              </w:rPr>
            </w:pPr>
            <w:r>
              <w:rPr>
                <w:rFonts w:ascii="Trebuchet MS" w:hAnsi="Trebuchet MS"/>
                <w:sz w:val="24"/>
                <w:szCs w:val="24"/>
              </w:rPr>
              <w:t>Are resources and capabilities costly for competitors to imitate or substitute at a reasonable price?</w:t>
            </w:r>
          </w:p>
        </w:tc>
      </w:tr>
      <w:tr w:rsidR="00FD297C" w:rsidRPr="007004C2" w14:paraId="720E77E0" w14:textId="77777777" w:rsidTr="00346812">
        <w:tc>
          <w:tcPr>
            <w:tcW w:w="959" w:type="dxa"/>
          </w:tcPr>
          <w:p w14:paraId="720E77DE" w14:textId="77777777" w:rsidR="00FD297C" w:rsidRPr="007004C2" w:rsidRDefault="00FD297C" w:rsidP="00177BB5">
            <w:pPr>
              <w:spacing w:line="360" w:lineRule="auto"/>
              <w:jc w:val="center"/>
              <w:rPr>
                <w:rFonts w:ascii="Trebuchet MS" w:hAnsi="Trebuchet MS"/>
                <w:sz w:val="24"/>
                <w:szCs w:val="24"/>
              </w:rPr>
            </w:pPr>
            <w:r w:rsidRPr="007004C2">
              <w:rPr>
                <w:rFonts w:ascii="Trebuchet MS" w:hAnsi="Trebuchet MS"/>
                <w:sz w:val="24"/>
                <w:szCs w:val="24"/>
              </w:rPr>
              <w:t>Organisational support</w:t>
            </w:r>
          </w:p>
        </w:tc>
        <w:tc>
          <w:tcPr>
            <w:tcW w:w="8283" w:type="dxa"/>
          </w:tcPr>
          <w:p w14:paraId="720E77DF" w14:textId="77777777" w:rsidR="00FD297C" w:rsidRPr="007004C2" w:rsidRDefault="00FD297C" w:rsidP="00177BB5">
            <w:pPr>
              <w:spacing w:line="360" w:lineRule="auto"/>
              <w:rPr>
                <w:rFonts w:ascii="Trebuchet MS" w:hAnsi="Trebuchet MS"/>
                <w:sz w:val="24"/>
                <w:szCs w:val="24"/>
              </w:rPr>
            </w:pPr>
            <w:r>
              <w:rPr>
                <w:rFonts w:ascii="Trebuchet MS" w:hAnsi="Trebuchet MS"/>
                <w:sz w:val="24"/>
                <w:szCs w:val="24"/>
              </w:rPr>
              <w:t>Is the organisation appropriately organised to take advantage of resources and capabilities?</w:t>
            </w:r>
          </w:p>
        </w:tc>
      </w:tr>
    </w:tbl>
    <w:p w14:paraId="720E77E1" w14:textId="77777777" w:rsidR="00FD297C" w:rsidRDefault="00FD297C" w:rsidP="00177BB5">
      <w:pPr>
        <w:spacing w:line="360" w:lineRule="auto"/>
        <w:rPr>
          <w:rFonts w:ascii="Trebuchet MS" w:hAnsi="Trebuchet MS"/>
          <w:i/>
          <w:sz w:val="24"/>
          <w:szCs w:val="24"/>
        </w:rPr>
      </w:pPr>
      <w:r w:rsidRPr="00FD297C">
        <w:rPr>
          <w:rFonts w:ascii="Trebuchet MS" w:hAnsi="Trebuchet MS"/>
          <w:i/>
          <w:sz w:val="24"/>
          <w:szCs w:val="24"/>
        </w:rPr>
        <w:t>Adapted from Johnson et al, (2017)</w:t>
      </w:r>
    </w:p>
    <w:p w14:paraId="241D5F3F" w14:textId="30F0F777" w:rsidR="007E679C" w:rsidRPr="000C34CD" w:rsidRDefault="007E679C" w:rsidP="00177BB5">
      <w:pPr>
        <w:spacing w:line="360" w:lineRule="auto"/>
        <w:rPr>
          <w:rFonts w:ascii="Trebuchet MS" w:hAnsi="Trebuchet MS"/>
          <w:sz w:val="24"/>
          <w:szCs w:val="24"/>
        </w:rPr>
      </w:pPr>
      <w:r w:rsidRPr="00F438AD">
        <w:rPr>
          <w:rFonts w:ascii="Trebuchet MS" w:hAnsi="Trebuchet MS"/>
          <w:b/>
          <w:sz w:val="24"/>
          <w:szCs w:val="24"/>
        </w:rPr>
        <w:t>Value:</w:t>
      </w:r>
      <w:r w:rsidRPr="00BF63EC">
        <w:rPr>
          <w:rFonts w:ascii="Trebuchet MS" w:hAnsi="Trebuchet MS"/>
          <w:sz w:val="24"/>
          <w:szCs w:val="24"/>
        </w:rPr>
        <w:t xml:space="preserve"> </w:t>
      </w:r>
      <w:r w:rsidR="000C34CD">
        <w:rPr>
          <w:rFonts w:ascii="Trebuchet MS" w:hAnsi="Trebuchet MS"/>
          <w:sz w:val="24"/>
          <w:szCs w:val="24"/>
        </w:rPr>
        <w:t>The organisation provides a one stop service for community services in Enfield including health visiting, speech therapy, physiotherapy, dietetics and child development clinics.</w:t>
      </w:r>
    </w:p>
    <w:p w14:paraId="0B30BBA5" w14:textId="19520A19" w:rsidR="000C34CD" w:rsidRPr="000C34CD" w:rsidRDefault="007E679C" w:rsidP="00177BB5">
      <w:pPr>
        <w:spacing w:line="360" w:lineRule="auto"/>
        <w:rPr>
          <w:rFonts w:ascii="Trebuchet MS" w:hAnsi="Trebuchet MS"/>
          <w:sz w:val="24"/>
          <w:szCs w:val="24"/>
        </w:rPr>
      </w:pPr>
      <w:r w:rsidRPr="00F438AD">
        <w:rPr>
          <w:rFonts w:ascii="Trebuchet MS" w:hAnsi="Trebuchet MS"/>
          <w:b/>
          <w:sz w:val="24"/>
          <w:szCs w:val="24"/>
          <w:lang w:val="x-none"/>
        </w:rPr>
        <w:t>Rare</w:t>
      </w:r>
      <w:r w:rsidRPr="00BF63EC">
        <w:rPr>
          <w:rFonts w:ascii="Trebuchet MS" w:hAnsi="Trebuchet MS"/>
          <w:sz w:val="24"/>
          <w:szCs w:val="24"/>
          <w:lang w:val="x-none"/>
        </w:rPr>
        <w:t>;</w:t>
      </w:r>
      <w:r w:rsidR="000C34CD">
        <w:rPr>
          <w:rFonts w:ascii="Trebuchet MS" w:hAnsi="Trebuchet MS"/>
          <w:sz w:val="24"/>
          <w:szCs w:val="24"/>
        </w:rPr>
        <w:t>T</w:t>
      </w:r>
      <w:r w:rsidR="000C34CD" w:rsidRPr="00BF63EC">
        <w:rPr>
          <w:rFonts w:ascii="Trebuchet MS" w:hAnsi="Trebuchet MS"/>
          <w:sz w:val="24"/>
          <w:szCs w:val="24"/>
          <w:lang w:val="x-none"/>
        </w:rPr>
        <w:t>he</w:t>
      </w:r>
      <w:r w:rsidRPr="00BF63EC">
        <w:rPr>
          <w:rFonts w:ascii="Trebuchet MS" w:hAnsi="Trebuchet MS"/>
          <w:sz w:val="24"/>
          <w:szCs w:val="24"/>
          <w:lang w:val="x-none"/>
        </w:rPr>
        <w:t xml:space="preserve"> North London forensics service is a highly specialist service providing the national stalking clinic one of its kind in England.</w:t>
      </w:r>
      <w:r w:rsidR="000C34CD">
        <w:rPr>
          <w:rFonts w:ascii="Trebuchet MS" w:hAnsi="Trebuchet MS"/>
          <w:sz w:val="24"/>
          <w:szCs w:val="24"/>
        </w:rPr>
        <w:t xml:space="preserve"> The Trust provides staff with a car salary sacrifice scheme which no other healthcare providers offer to their employees</w:t>
      </w:r>
      <w:r w:rsidR="00DD15A3">
        <w:rPr>
          <w:rFonts w:ascii="Trebuchet MS" w:hAnsi="Trebuchet MS"/>
          <w:sz w:val="24"/>
          <w:szCs w:val="24"/>
        </w:rPr>
        <w:t>.</w:t>
      </w:r>
      <w:r w:rsidR="00DD15A3" w:rsidRPr="00DD15A3">
        <w:rPr>
          <w:rFonts w:ascii="Trebuchet MS" w:hAnsi="Trebuchet MS"/>
          <w:sz w:val="24"/>
          <w:szCs w:val="24"/>
        </w:rPr>
        <w:t xml:space="preserve"> </w:t>
      </w:r>
      <w:r w:rsidR="00DD15A3" w:rsidRPr="00BF63EC">
        <w:rPr>
          <w:rFonts w:ascii="Trebuchet MS" w:hAnsi="Trebuchet MS"/>
          <w:sz w:val="24"/>
          <w:szCs w:val="24"/>
        </w:rPr>
        <w:t xml:space="preserve">Having a strong presence in the three London boroughs of Barnet, Enfield and Haringey is an essential asset for the organisation. </w:t>
      </w:r>
      <w:r w:rsidR="00DD15A3" w:rsidRPr="00BF63EC">
        <w:rPr>
          <w:rFonts w:ascii="Trebuchet MS" w:hAnsi="Trebuchet MS"/>
          <w:sz w:val="24"/>
          <w:szCs w:val="24"/>
          <w:lang w:val="x-none"/>
        </w:rPr>
        <w:t>The trust serves a community of almost 1,000,000 residents.</w:t>
      </w:r>
    </w:p>
    <w:p w14:paraId="3AC46F3A" w14:textId="5E86427C" w:rsidR="007E679C" w:rsidRDefault="000C34CD" w:rsidP="00177BB5">
      <w:pPr>
        <w:spacing w:line="360" w:lineRule="auto"/>
        <w:rPr>
          <w:rFonts w:ascii="Trebuchet MS" w:hAnsi="Trebuchet MS"/>
          <w:sz w:val="24"/>
          <w:szCs w:val="24"/>
        </w:rPr>
      </w:pPr>
      <w:r>
        <w:rPr>
          <w:rFonts w:ascii="Trebuchet MS" w:hAnsi="Trebuchet MS"/>
          <w:b/>
          <w:sz w:val="24"/>
          <w:szCs w:val="24"/>
        </w:rPr>
        <w:t>Ini</w:t>
      </w:r>
      <w:r w:rsidR="007E679C" w:rsidRPr="00F438AD">
        <w:rPr>
          <w:rFonts w:ascii="Trebuchet MS" w:hAnsi="Trebuchet MS"/>
          <w:b/>
          <w:sz w:val="24"/>
          <w:szCs w:val="24"/>
          <w:lang w:val="x-none"/>
        </w:rPr>
        <w:t>mitable</w:t>
      </w:r>
      <w:r w:rsidR="007E679C" w:rsidRPr="00BF63EC">
        <w:rPr>
          <w:rFonts w:ascii="Trebuchet MS" w:hAnsi="Trebuchet MS"/>
          <w:sz w:val="24"/>
          <w:szCs w:val="24"/>
        </w:rPr>
        <w:t>;</w:t>
      </w:r>
      <w:r w:rsidR="007E679C" w:rsidRPr="00BF63EC">
        <w:rPr>
          <w:rFonts w:ascii="Trebuchet MS" w:hAnsi="Trebuchet MS"/>
          <w:sz w:val="24"/>
          <w:szCs w:val="24"/>
          <w:lang w:val="x-none"/>
        </w:rPr>
        <w:t>The trust provides highly specialist services in C</w:t>
      </w:r>
      <w:r w:rsidR="007E679C" w:rsidRPr="00BF63EC">
        <w:rPr>
          <w:rFonts w:ascii="Trebuchet MS" w:hAnsi="Trebuchet MS"/>
          <w:sz w:val="24"/>
          <w:szCs w:val="24"/>
        </w:rPr>
        <w:t>AMHS,</w:t>
      </w:r>
      <w:r w:rsidR="007E679C" w:rsidRPr="00BF63EC">
        <w:rPr>
          <w:rFonts w:ascii="Trebuchet MS" w:hAnsi="Trebuchet MS"/>
          <w:sz w:val="24"/>
          <w:szCs w:val="24"/>
          <w:lang w:val="x-none"/>
        </w:rPr>
        <w:t xml:space="preserve">Eating disorders, </w:t>
      </w:r>
      <w:r w:rsidR="007E679C" w:rsidRPr="00BF63EC">
        <w:rPr>
          <w:rFonts w:ascii="Trebuchet MS" w:hAnsi="Trebuchet MS"/>
          <w:sz w:val="24"/>
          <w:szCs w:val="24"/>
        </w:rPr>
        <w:t>Dual</w:t>
      </w:r>
      <w:r w:rsidR="007E679C" w:rsidRPr="00BF63EC">
        <w:rPr>
          <w:rFonts w:ascii="Trebuchet MS" w:hAnsi="Trebuchet MS"/>
          <w:sz w:val="24"/>
          <w:szCs w:val="24"/>
          <w:lang w:val="x-none"/>
        </w:rPr>
        <w:t xml:space="preserve"> diagnosis</w:t>
      </w:r>
      <w:r w:rsidR="007E679C" w:rsidRPr="00BF63EC">
        <w:rPr>
          <w:rFonts w:ascii="Trebuchet MS" w:hAnsi="Trebuchet MS"/>
          <w:sz w:val="24"/>
          <w:szCs w:val="24"/>
        </w:rPr>
        <w:t>,</w:t>
      </w:r>
      <w:r w:rsidR="00F438AD">
        <w:rPr>
          <w:rFonts w:ascii="Trebuchet MS" w:hAnsi="Trebuchet MS"/>
          <w:sz w:val="24"/>
          <w:szCs w:val="24"/>
        </w:rPr>
        <w:t xml:space="preserve"> P</w:t>
      </w:r>
      <w:r w:rsidR="007E679C" w:rsidRPr="00BF63EC">
        <w:rPr>
          <w:rFonts w:ascii="Trebuchet MS" w:hAnsi="Trebuchet MS"/>
          <w:sz w:val="24"/>
          <w:szCs w:val="24"/>
        </w:rPr>
        <w:t>ersonality disorders services</w:t>
      </w:r>
      <w:r w:rsidR="00F438AD">
        <w:rPr>
          <w:rFonts w:ascii="Trebuchet MS" w:hAnsi="Trebuchet MS"/>
          <w:sz w:val="24"/>
          <w:szCs w:val="24"/>
        </w:rPr>
        <w:t xml:space="preserve"> and psychiatric liaison services at Barnet Hospital and North Middlesex Hospital.</w:t>
      </w:r>
    </w:p>
    <w:p w14:paraId="52184AEF" w14:textId="02BF756B" w:rsidR="00F438AD" w:rsidRPr="00BF63EC" w:rsidRDefault="00F438AD" w:rsidP="00177BB5">
      <w:pPr>
        <w:spacing w:line="360" w:lineRule="auto"/>
        <w:rPr>
          <w:rFonts w:ascii="Trebuchet MS" w:hAnsi="Trebuchet MS"/>
          <w:sz w:val="24"/>
          <w:szCs w:val="24"/>
        </w:rPr>
      </w:pPr>
      <w:r w:rsidRPr="00F438AD">
        <w:rPr>
          <w:rFonts w:ascii="Trebuchet MS" w:hAnsi="Trebuchet MS"/>
          <w:b/>
          <w:sz w:val="24"/>
          <w:szCs w:val="24"/>
        </w:rPr>
        <w:t>Organisational Support</w:t>
      </w:r>
      <w:r>
        <w:rPr>
          <w:rFonts w:ascii="Trebuchet MS" w:hAnsi="Trebuchet MS"/>
          <w:sz w:val="24"/>
          <w:szCs w:val="24"/>
        </w:rPr>
        <w:t xml:space="preserve">: Through treating a wide range of conditions and introducing new business units, The Trust is fully harnessing its potential in dominating the healthcare market in the areas of Barnet, Enfield and </w:t>
      </w:r>
      <w:r w:rsidR="00C43425">
        <w:rPr>
          <w:rFonts w:ascii="Trebuchet MS" w:hAnsi="Trebuchet MS"/>
          <w:sz w:val="24"/>
          <w:szCs w:val="24"/>
        </w:rPr>
        <w:t>Haringey. The</w:t>
      </w:r>
      <w:r w:rsidR="00DD15A3">
        <w:rPr>
          <w:rFonts w:ascii="Trebuchet MS" w:hAnsi="Trebuchet MS"/>
          <w:sz w:val="24"/>
          <w:szCs w:val="24"/>
        </w:rPr>
        <w:t xml:space="preserve"> Trust has strong management systems in place across the Trust</w:t>
      </w:r>
    </w:p>
    <w:p w14:paraId="1CEBCDCD" w14:textId="04CB18CD" w:rsidR="007E679C" w:rsidRDefault="00BF63EC" w:rsidP="00177BB5">
      <w:pPr>
        <w:spacing w:line="360" w:lineRule="auto"/>
        <w:rPr>
          <w:rFonts w:ascii="Trebuchet MS" w:hAnsi="Trebuchet MS"/>
          <w:b/>
          <w:sz w:val="24"/>
          <w:szCs w:val="24"/>
          <w:u w:val="single"/>
        </w:rPr>
      </w:pPr>
      <w:r w:rsidRPr="00BF63EC">
        <w:rPr>
          <w:rFonts w:ascii="Trebuchet MS" w:hAnsi="Trebuchet MS"/>
          <w:b/>
          <w:sz w:val="24"/>
          <w:szCs w:val="24"/>
          <w:u w:val="single"/>
        </w:rPr>
        <w:t>4. S.W.O.T Analysis</w:t>
      </w:r>
    </w:p>
    <w:p w14:paraId="5A8395CF" w14:textId="17FBB5FE" w:rsidR="00517D84" w:rsidRPr="00BF63EC" w:rsidRDefault="00BF63EC" w:rsidP="00177BB5">
      <w:pPr>
        <w:spacing w:line="360" w:lineRule="auto"/>
        <w:rPr>
          <w:rFonts w:ascii="Trebuchet MS" w:hAnsi="Trebuchet MS"/>
          <w:sz w:val="24"/>
          <w:szCs w:val="24"/>
        </w:rPr>
      </w:pPr>
      <w:r>
        <w:rPr>
          <w:rFonts w:ascii="Trebuchet MS" w:hAnsi="Trebuchet MS"/>
          <w:sz w:val="24"/>
          <w:szCs w:val="24"/>
        </w:rPr>
        <w:lastRenderedPageBreak/>
        <w:t>According to Johnson et al (2017), SWOT helps in summarising the strengths and weaknesses analysed using the VIRO framework</w:t>
      </w:r>
      <w:r w:rsidR="00517D84">
        <w:rPr>
          <w:rFonts w:ascii="Trebuchet MS" w:hAnsi="Trebuchet MS"/>
          <w:sz w:val="24"/>
          <w:szCs w:val="24"/>
        </w:rPr>
        <w:t xml:space="preserve"> as well as </w:t>
      </w:r>
      <w:r w:rsidR="00C43425">
        <w:rPr>
          <w:rFonts w:ascii="Trebuchet MS" w:hAnsi="Trebuchet MS"/>
          <w:sz w:val="24"/>
          <w:szCs w:val="24"/>
        </w:rPr>
        <w:t>O</w:t>
      </w:r>
      <w:r w:rsidR="00517D84">
        <w:rPr>
          <w:rFonts w:ascii="Trebuchet MS" w:hAnsi="Trebuchet MS"/>
          <w:sz w:val="24"/>
          <w:szCs w:val="24"/>
        </w:rPr>
        <w:t>pportunities</w:t>
      </w:r>
      <w:r w:rsidR="00C43425">
        <w:rPr>
          <w:rFonts w:ascii="Trebuchet MS" w:hAnsi="Trebuchet MS"/>
          <w:sz w:val="24"/>
          <w:szCs w:val="24"/>
        </w:rPr>
        <w:t xml:space="preserve"> and Threats</w:t>
      </w:r>
      <w:r w:rsidR="00517D84">
        <w:rPr>
          <w:rFonts w:ascii="Trebuchet MS" w:hAnsi="Trebuchet MS"/>
          <w:sz w:val="24"/>
          <w:szCs w:val="24"/>
        </w:rPr>
        <w:t xml:space="preserve"> analysed using the 5 forces framework and PESTEL analysis. </w:t>
      </w:r>
    </w:p>
    <w:tbl>
      <w:tblPr>
        <w:tblStyle w:val="TableGrid"/>
        <w:tblW w:w="0" w:type="auto"/>
        <w:tblLook w:val="04A0" w:firstRow="1" w:lastRow="0" w:firstColumn="1" w:lastColumn="0" w:noHBand="0" w:noVBand="1"/>
      </w:tblPr>
      <w:tblGrid>
        <w:gridCol w:w="4621"/>
        <w:gridCol w:w="4621"/>
      </w:tblGrid>
      <w:tr w:rsidR="00517D84" w14:paraId="65BD9630" w14:textId="77777777" w:rsidTr="00517D84">
        <w:tc>
          <w:tcPr>
            <w:tcW w:w="4621" w:type="dxa"/>
          </w:tcPr>
          <w:p w14:paraId="50A68A0A" w14:textId="77777777" w:rsidR="00517D84" w:rsidRDefault="00517D84" w:rsidP="00177BB5">
            <w:pPr>
              <w:spacing w:line="360" w:lineRule="auto"/>
              <w:rPr>
                <w:rFonts w:ascii="Trebuchet MS" w:hAnsi="Trebuchet MS"/>
                <w:sz w:val="24"/>
                <w:szCs w:val="24"/>
                <w:u w:val="single"/>
              </w:rPr>
            </w:pPr>
            <w:r w:rsidRPr="00517D84">
              <w:rPr>
                <w:rFonts w:ascii="Trebuchet MS" w:hAnsi="Trebuchet MS"/>
                <w:sz w:val="24"/>
                <w:szCs w:val="24"/>
                <w:u w:val="single"/>
              </w:rPr>
              <w:t xml:space="preserve">Strengths </w:t>
            </w:r>
          </w:p>
          <w:p w14:paraId="756FC5F0" w14:textId="308EFA90" w:rsidR="00517D84" w:rsidRDefault="00517D84" w:rsidP="00517D84">
            <w:pPr>
              <w:pStyle w:val="ListParagraph"/>
              <w:numPr>
                <w:ilvl w:val="0"/>
                <w:numId w:val="2"/>
              </w:numPr>
              <w:spacing w:line="360" w:lineRule="auto"/>
              <w:rPr>
                <w:rFonts w:ascii="Trebuchet MS" w:hAnsi="Trebuchet MS"/>
                <w:sz w:val="24"/>
                <w:szCs w:val="24"/>
              </w:rPr>
            </w:pPr>
            <w:r>
              <w:rPr>
                <w:rFonts w:ascii="Trebuchet MS" w:hAnsi="Trebuchet MS"/>
                <w:sz w:val="24"/>
                <w:szCs w:val="24"/>
              </w:rPr>
              <w:t xml:space="preserve">Car salary sacrifice scheme </w:t>
            </w:r>
          </w:p>
          <w:p w14:paraId="471ED0F4" w14:textId="77777777" w:rsidR="00517D84" w:rsidRDefault="00517D84" w:rsidP="00517D84">
            <w:pPr>
              <w:pStyle w:val="ListParagraph"/>
              <w:numPr>
                <w:ilvl w:val="0"/>
                <w:numId w:val="2"/>
              </w:numPr>
              <w:spacing w:line="360" w:lineRule="auto"/>
              <w:rPr>
                <w:rFonts w:ascii="Trebuchet MS" w:hAnsi="Trebuchet MS"/>
                <w:sz w:val="24"/>
                <w:szCs w:val="24"/>
              </w:rPr>
            </w:pPr>
            <w:r>
              <w:rPr>
                <w:rFonts w:ascii="Trebuchet MS" w:hAnsi="Trebuchet MS"/>
                <w:sz w:val="24"/>
                <w:szCs w:val="24"/>
              </w:rPr>
              <w:t xml:space="preserve">Ride to scheme </w:t>
            </w:r>
          </w:p>
          <w:p w14:paraId="18C558FA" w14:textId="77777777" w:rsidR="00517D84" w:rsidRDefault="00517D84" w:rsidP="00517D84">
            <w:pPr>
              <w:pStyle w:val="ListParagraph"/>
              <w:numPr>
                <w:ilvl w:val="0"/>
                <w:numId w:val="2"/>
              </w:numPr>
              <w:spacing w:line="360" w:lineRule="auto"/>
              <w:rPr>
                <w:rFonts w:ascii="Trebuchet MS" w:hAnsi="Trebuchet MS"/>
                <w:sz w:val="24"/>
                <w:szCs w:val="24"/>
              </w:rPr>
            </w:pPr>
            <w:r>
              <w:rPr>
                <w:rFonts w:ascii="Trebuchet MS" w:hAnsi="Trebuchet MS"/>
                <w:sz w:val="24"/>
                <w:szCs w:val="24"/>
              </w:rPr>
              <w:t xml:space="preserve">Experienced teams with specialisation </w:t>
            </w:r>
          </w:p>
          <w:p w14:paraId="4BA2D281" w14:textId="77777777" w:rsidR="00517D84" w:rsidRDefault="00517D84" w:rsidP="00517D84">
            <w:pPr>
              <w:pStyle w:val="ListParagraph"/>
              <w:numPr>
                <w:ilvl w:val="0"/>
                <w:numId w:val="2"/>
              </w:numPr>
              <w:spacing w:line="360" w:lineRule="auto"/>
              <w:rPr>
                <w:rFonts w:ascii="Trebuchet MS" w:hAnsi="Trebuchet MS"/>
                <w:sz w:val="24"/>
                <w:szCs w:val="24"/>
              </w:rPr>
            </w:pPr>
            <w:r>
              <w:rPr>
                <w:rFonts w:ascii="Trebuchet MS" w:hAnsi="Trebuchet MS"/>
                <w:sz w:val="24"/>
                <w:szCs w:val="24"/>
              </w:rPr>
              <w:t xml:space="preserve">Academic partnership with Middlesex university </w:t>
            </w:r>
          </w:p>
          <w:p w14:paraId="63713228" w14:textId="1AC265E2" w:rsidR="00517D84" w:rsidRDefault="00517D84" w:rsidP="00517D84">
            <w:pPr>
              <w:pStyle w:val="ListParagraph"/>
              <w:numPr>
                <w:ilvl w:val="0"/>
                <w:numId w:val="2"/>
              </w:numPr>
              <w:spacing w:line="360" w:lineRule="auto"/>
              <w:rPr>
                <w:rFonts w:ascii="Trebuchet MS" w:hAnsi="Trebuchet MS"/>
                <w:sz w:val="24"/>
                <w:szCs w:val="24"/>
              </w:rPr>
            </w:pPr>
            <w:r>
              <w:rPr>
                <w:rFonts w:ascii="Trebuchet MS" w:hAnsi="Trebuchet MS"/>
                <w:sz w:val="24"/>
                <w:szCs w:val="24"/>
              </w:rPr>
              <w:t xml:space="preserve">Strong </w:t>
            </w:r>
            <w:r w:rsidR="00F438AD">
              <w:rPr>
                <w:rFonts w:ascii="Trebuchet MS" w:hAnsi="Trebuchet MS"/>
                <w:sz w:val="24"/>
                <w:szCs w:val="24"/>
              </w:rPr>
              <w:t>real estate portfolio in</w:t>
            </w:r>
            <w:r>
              <w:rPr>
                <w:rFonts w:ascii="Trebuchet MS" w:hAnsi="Trebuchet MS"/>
                <w:sz w:val="24"/>
                <w:szCs w:val="24"/>
              </w:rPr>
              <w:t xml:space="preserve"> Barnet, Enfield and Haringey</w:t>
            </w:r>
          </w:p>
          <w:p w14:paraId="52CAAF6B" w14:textId="77777777" w:rsidR="00517D84" w:rsidRDefault="00517D84" w:rsidP="00517D84">
            <w:pPr>
              <w:pStyle w:val="ListParagraph"/>
              <w:numPr>
                <w:ilvl w:val="0"/>
                <w:numId w:val="2"/>
              </w:numPr>
              <w:spacing w:line="360" w:lineRule="auto"/>
              <w:rPr>
                <w:rFonts w:ascii="Trebuchet MS" w:hAnsi="Trebuchet MS"/>
                <w:sz w:val="24"/>
                <w:szCs w:val="24"/>
              </w:rPr>
            </w:pPr>
            <w:r>
              <w:rPr>
                <w:rFonts w:ascii="Trebuchet MS" w:hAnsi="Trebuchet MS"/>
                <w:sz w:val="24"/>
                <w:szCs w:val="24"/>
              </w:rPr>
              <w:t xml:space="preserve"> Specialisms in </w:t>
            </w:r>
            <w:r w:rsidR="00F438AD">
              <w:rPr>
                <w:rFonts w:ascii="Trebuchet MS" w:hAnsi="Trebuchet MS"/>
                <w:sz w:val="24"/>
                <w:szCs w:val="24"/>
              </w:rPr>
              <w:t>Forensics, CAMHS, Eating Disorders and Dual Diagnosis.</w:t>
            </w:r>
          </w:p>
          <w:p w14:paraId="482F4A7B" w14:textId="0ACD236F" w:rsidR="00F438AD" w:rsidRPr="00517D84" w:rsidRDefault="00B20842" w:rsidP="00517D84">
            <w:pPr>
              <w:pStyle w:val="ListParagraph"/>
              <w:numPr>
                <w:ilvl w:val="0"/>
                <w:numId w:val="2"/>
              </w:numPr>
              <w:spacing w:line="360" w:lineRule="auto"/>
              <w:rPr>
                <w:rFonts w:ascii="Trebuchet MS" w:hAnsi="Trebuchet MS"/>
                <w:sz w:val="24"/>
                <w:szCs w:val="24"/>
              </w:rPr>
            </w:pPr>
            <w:r>
              <w:rPr>
                <w:rFonts w:ascii="Trebuchet MS" w:hAnsi="Trebuchet MS"/>
                <w:sz w:val="24"/>
                <w:szCs w:val="24"/>
              </w:rPr>
              <w:t>Strong HR systems.</w:t>
            </w:r>
          </w:p>
        </w:tc>
        <w:tc>
          <w:tcPr>
            <w:tcW w:w="4621" w:type="dxa"/>
          </w:tcPr>
          <w:p w14:paraId="48437C72" w14:textId="77777777" w:rsidR="00517D84" w:rsidRDefault="00517D84" w:rsidP="00177BB5">
            <w:pPr>
              <w:spacing w:line="360" w:lineRule="auto"/>
              <w:rPr>
                <w:rFonts w:ascii="Trebuchet MS" w:hAnsi="Trebuchet MS"/>
                <w:sz w:val="24"/>
                <w:szCs w:val="24"/>
                <w:u w:val="single"/>
              </w:rPr>
            </w:pPr>
            <w:r w:rsidRPr="00517D84">
              <w:rPr>
                <w:rFonts w:ascii="Trebuchet MS" w:hAnsi="Trebuchet MS"/>
                <w:sz w:val="24"/>
                <w:szCs w:val="24"/>
                <w:u w:val="single"/>
              </w:rPr>
              <w:t>Weaknesses</w:t>
            </w:r>
          </w:p>
          <w:p w14:paraId="36CEE6D1" w14:textId="77777777" w:rsidR="00D97E81" w:rsidRPr="00C43425" w:rsidRDefault="00C43425" w:rsidP="00D97E81">
            <w:pPr>
              <w:pStyle w:val="ListParagraph"/>
              <w:numPr>
                <w:ilvl w:val="0"/>
                <w:numId w:val="3"/>
              </w:numPr>
              <w:spacing w:line="360" w:lineRule="auto"/>
              <w:rPr>
                <w:rFonts w:ascii="Trebuchet MS" w:hAnsi="Trebuchet MS"/>
                <w:sz w:val="24"/>
                <w:szCs w:val="24"/>
                <w:u w:val="single"/>
              </w:rPr>
            </w:pPr>
            <w:r>
              <w:rPr>
                <w:rFonts w:ascii="Trebuchet MS" w:hAnsi="Trebuchet MS"/>
                <w:sz w:val="24"/>
                <w:szCs w:val="24"/>
              </w:rPr>
              <w:t>Poor IT systems.</w:t>
            </w:r>
          </w:p>
          <w:p w14:paraId="135C8363" w14:textId="6E597E01" w:rsidR="00C43425" w:rsidRPr="00C43425" w:rsidRDefault="00C43425" w:rsidP="00D97E81">
            <w:pPr>
              <w:pStyle w:val="ListParagraph"/>
              <w:numPr>
                <w:ilvl w:val="0"/>
                <w:numId w:val="3"/>
              </w:numPr>
              <w:spacing w:line="360" w:lineRule="auto"/>
              <w:rPr>
                <w:rFonts w:ascii="Trebuchet MS" w:hAnsi="Trebuchet MS"/>
                <w:sz w:val="24"/>
                <w:szCs w:val="24"/>
                <w:u w:val="single"/>
              </w:rPr>
            </w:pPr>
            <w:r>
              <w:rPr>
                <w:rFonts w:ascii="Trebuchet MS" w:hAnsi="Trebuchet MS"/>
                <w:sz w:val="24"/>
                <w:szCs w:val="24"/>
              </w:rPr>
              <w:t>Staff shortages</w:t>
            </w:r>
            <w:r w:rsidR="00746DC4">
              <w:rPr>
                <w:rFonts w:ascii="Trebuchet MS" w:hAnsi="Trebuchet MS"/>
                <w:sz w:val="24"/>
                <w:szCs w:val="24"/>
              </w:rPr>
              <w:t>, heavy dependency on temporary staffing</w:t>
            </w:r>
          </w:p>
          <w:p w14:paraId="65E3CC49" w14:textId="77777777" w:rsidR="00C43425" w:rsidRPr="00746DC4" w:rsidRDefault="00B20842" w:rsidP="00D97E81">
            <w:pPr>
              <w:pStyle w:val="ListParagraph"/>
              <w:numPr>
                <w:ilvl w:val="0"/>
                <w:numId w:val="3"/>
              </w:numPr>
              <w:spacing w:line="360" w:lineRule="auto"/>
              <w:rPr>
                <w:rFonts w:ascii="Trebuchet MS" w:hAnsi="Trebuchet MS"/>
                <w:sz w:val="24"/>
                <w:szCs w:val="24"/>
                <w:u w:val="single"/>
              </w:rPr>
            </w:pPr>
            <w:r>
              <w:rPr>
                <w:rFonts w:ascii="Trebuchet MS" w:hAnsi="Trebuchet MS"/>
                <w:sz w:val="24"/>
                <w:szCs w:val="24"/>
              </w:rPr>
              <w:t>Budgetary constraints</w:t>
            </w:r>
          </w:p>
          <w:p w14:paraId="09F603A1" w14:textId="77777777" w:rsidR="00746DC4" w:rsidRPr="00746DC4" w:rsidRDefault="00746DC4" w:rsidP="00D97E81">
            <w:pPr>
              <w:pStyle w:val="ListParagraph"/>
              <w:numPr>
                <w:ilvl w:val="0"/>
                <w:numId w:val="3"/>
              </w:numPr>
              <w:spacing w:line="360" w:lineRule="auto"/>
              <w:rPr>
                <w:rFonts w:ascii="Trebuchet MS" w:hAnsi="Trebuchet MS"/>
                <w:sz w:val="24"/>
                <w:szCs w:val="24"/>
                <w:u w:val="single"/>
              </w:rPr>
            </w:pPr>
            <w:r>
              <w:rPr>
                <w:rFonts w:ascii="Trebuchet MS" w:hAnsi="Trebuchet MS"/>
                <w:sz w:val="24"/>
                <w:szCs w:val="24"/>
              </w:rPr>
              <w:t>Out of date real estate</w:t>
            </w:r>
          </w:p>
          <w:p w14:paraId="59492281" w14:textId="61F83429" w:rsidR="00746DC4" w:rsidRPr="00D97E81" w:rsidRDefault="00746DC4" w:rsidP="00D97E81">
            <w:pPr>
              <w:pStyle w:val="ListParagraph"/>
              <w:numPr>
                <w:ilvl w:val="0"/>
                <w:numId w:val="3"/>
              </w:numPr>
              <w:spacing w:line="360" w:lineRule="auto"/>
              <w:rPr>
                <w:rFonts w:ascii="Trebuchet MS" w:hAnsi="Trebuchet MS"/>
                <w:sz w:val="24"/>
                <w:szCs w:val="24"/>
                <w:u w:val="single"/>
              </w:rPr>
            </w:pPr>
          </w:p>
        </w:tc>
      </w:tr>
      <w:tr w:rsidR="00517D84" w14:paraId="53B1EB9D" w14:textId="77777777" w:rsidTr="00517D84">
        <w:tc>
          <w:tcPr>
            <w:tcW w:w="4621" w:type="dxa"/>
          </w:tcPr>
          <w:p w14:paraId="4CE2061F" w14:textId="7A43DB1B" w:rsidR="00517D84" w:rsidRDefault="00517D84" w:rsidP="00177BB5">
            <w:pPr>
              <w:spacing w:line="360" w:lineRule="auto"/>
              <w:rPr>
                <w:rFonts w:ascii="Trebuchet MS" w:hAnsi="Trebuchet MS"/>
                <w:sz w:val="24"/>
                <w:szCs w:val="24"/>
                <w:u w:val="single"/>
              </w:rPr>
            </w:pPr>
            <w:r w:rsidRPr="00517D84">
              <w:rPr>
                <w:rFonts w:ascii="Trebuchet MS" w:hAnsi="Trebuchet MS"/>
                <w:sz w:val="24"/>
                <w:szCs w:val="24"/>
                <w:u w:val="single"/>
              </w:rPr>
              <w:t>Opportunities</w:t>
            </w:r>
          </w:p>
          <w:p w14:paraId="183986A2" w14:textId="7C90DD3F" w:rsidR="00746DC4" w:rsidRDefault="00746DC4" w:rsidP="00746DC4">
            <w:pPr>
              <w:pStyle w:val="ListParagraph"/>
              <w:numPr>
                <w:ilvl w:val="0"/>
                <w:numId w:val="4"/>
              </w:numPr>
              <w:spacing w:line="360" w:lineRule="auto"/>
              <w:rPr>
                <w:rFonts w:ascii="Trebuchet MS" w:hAnsi="Trebuchet MS"/>
                <w:sz w:val="24"/>
                <w:szCs w:val="24"/>
              </w:rPr>
            </w:pPr>
            <w:r w:rsidRPr="00746DC4">
              <w:rPr>
                <w:rFonts w:ascii="Trebuchet MS" w:hAnsi="Trebuchet MS"/>
                <w:sz w:val="24"/>
                <w:szCs w:val="24"/>
              </w:rPr>
              <w:t>Brexit</w:t>
            </w:r>
          </w:p>
          <w:p w14:paraId="5C84C6E6" w14:textId="2F4A8DF5" w:rsidR="00746DC4" w:rsidRDefault="004967ED" w:rsidP="00746DC4">
            <w:pPr>
              <w:pStyle w:val="ListParagraph"/>
              <w:numPr>
                <w:ilvl w:val="0"/>
                <w:numId w:val="4"/>
              </w:numPr>
              <w:spacing w:line="360" w:lineRule="auto"/>
              <w:rPr>
                <w:rFonts w:ascii="Trebuchet MS" w:hAnsi="Trebuchet MS"/>
                <w:sz w:val="24"/>
                <w:szCs w:val="24"/>
              </w:rPr>
            </w:pPr>
            <w:r>
              <w:rPr>
                <w:rFonts w:ascii="Trebuchet MS" w:hAnsi="Trebuchet MS"/>
                <w:sz w:val="24"/>
                <w:szCs w:val="24"/>
              </w:rPr>
              <w:t>More experienced staff due to aging population</w:t>
            </w:r>
          </w:p>
          <w:p w14:paraId="5A34BBAE" w14:textId="1D245BBE" w:rsidR="004967ED" w:rsidRDefault="004967ED" w:rsidP="00746DC4">
            <w:pPr>
              <w:pStyle w:val="ListParagraph"/>
              <w:numPr>
                <w:ilvl w:val="0"/>
                <w:numId w:val="4"/>
              </w:numPr>
              <w:spacing w:line="360" w:lineRule="auto"/>
              <w:rPr>
                <w:rFonts w:ascii="Trebuchet MS" w:hAnsi="Trebuchet MS"/>
                <w:sz w:val="24"/>
                <w:szCs w:val="24"/>
              </w:rPr>
            </w:pPr>
            <w:r>
              <w:rPr>
                <w:rFonts w:ascii="Trebuchet MS" w:hAnsi="Trebuchet MS"/>
                <w:sz w:val="24"/>
                <w:szCs w:val="24"/>
              </w:rPr>
              <w:t>Newer ways of working due to changing demographics</w:t>
            </w:r>
          </w:p>
          <w:p w14:paraId="16E03B47" w14:textId="6CBA0E81" w:rsidR="004967ED" w:rsidRDefault="004967ED" w:rsidP="00746DC4">
            <w:pPr>
              <w:pStyle w:val="ListParagraph"/>
              <w:numPr>
                <w:ilvl w:val="0"/>
                <w:numId w:val="4"/>
              </w:numPr>
              <w:spacing w:line="360" w:lineRule="auto"/>
              <w:rPr>
                <w:rFonts w:ascii="Trebuchet MS" w:hAnsi="Trebuchet MS"/>
                <w:sz w:val="24"/>
                <w:szCs w:val="24"/>
              </w:rPr>
            </w:pPr>
            <w:r>
              <w:rPr>
                <w:rFonts w:ascii="Trebuchet MS" w:hAnsi="Trebuchet MS"/>
                <w:sz w:val="24"/>
                <w:szCs w:val="24"/>
              </w:rPr>
              <w:t>Novel ways of working due to technological advances</w:t>
            </w:r>
          </w:p>
          <w:p w14:paraId="38CB68AC" w14:textId="36309EA6" w:rsidR="004967ED" w:rsidRDefault="004967ED" w:rsidP="00746DC4">
            <w:pPr>
              <w:pStyle w:val="ListParagraph"/>
              <w:numPr>
                <w:ilvl w:val="0"/>
                <w:numId w:val="4"/>
              </w:numPr>
              <w:spacing w:line="360" w:lineRule="auto"/>
              <w:rPr>
                <w:rFonts w:ascii="Trebuchet MS" w:hAnsi="Trebuchet MS"/>
                <w:sz w:val="24"/>
                <w:szCs w:val="24"/>
              </w:rPr>
            </w:pPr>
            <w:r>
              <w:rPr>
                <w:rFonts w:ascii="Trebuchet MS" w:hAnsi="Trebuchet MS"/>
                <w:sz w:val="24"/>
                <w:szCs w:val="24"/>
              </w:rPr>
              <w:t>Becoming a more ecologically inclined organisation</w:t>
            </w:r>
          </w:p>
          <w:p w14:paraId="0243234B" w14:textId="0A3EF4B6" w:rsidR="009D2ECD" w:rsidRPr="00746DC4" w:rsidRDefault="00097897" w:rsidP="00746DC4">
            <w:pPr>
              <w:pStyle w:val="ListParagraph"/>
              <w:numPr>
                <w:ilvl w:val="0"/>
                <w:numId w:val="4"/>
              </w:numPr>
              <w:spacing w:line="360" w:lineRule="auto"/>
              <w:rPr>
                <w:rFonts w:ascii="Trebuchet MS" w:hAnsi="Trebuchet MS"/>
                <w:sz w:val="24"/>
                <w:szCs w:val="24"/>
              </w:rPr>
            </w:pPr>
            <w:r>
              <w:rPr>
                <w:rFonts w:ascii="Trebuchet MS" w:hAnsi="Trebuchet MS"/>
                <w:sz w:val="24"/>
                <w:szCs w:val="24"/>
              </w:rPr>
              <w:t>Partnerships with Universities and other healthcare providers.</w:t>
            </w:r>
          </w:p>
          <w:p w14:paraId="35379BC9" w14:textId="200A7973" w:rsidR="00517D84" w:rsidRPr="00517D84" w:rsidRDefault="00517D84" w:rsidP="00177BB5">
            <w:pPr>
              <w:spacing w:line="360" w:lineRule="auto"/>
              <w:rPr>
                <w:rFonts w:ascii="Trebuchet MS" w:hAnsi="Trebuchet MS"/>
                <w:sz w:val="24"/>
                <w:szCs w:val="24"/>
              </w:rPr>
            </w:pPr>
          </w:p>
        </w:tc>
        <w:tc>
          <w:tcPr>
            <w:tcW w:w="4621" w:type="dxa"/>
          </w:tcPr>
          <w:p w14:paraId="05E3AA69" w14:textId="77777777" w:rsidR="00517D84" w:rsidRDefault="00517D84" w:rsidP="00177BB5">
            <w:pPr>
              <w:spacing w:line="360" w:lineRule="auto"/>
              <w:rPr>
                <w:rFonts w:ascii="Trebuchet MS" w:hAnsi="Trebuchet MS"/>
                <w:sz w:val="24"/>
                <w:szCs w:val="24"/>
                <w:u w:val="single"/>
              </w:rPr>
            </w:pPr>
            <w:r w:rsidRPr="00517D84">
              <w:rPr>
                <w:rFonts w:ascii="Trebuchet MS" w:hAnsi="Trebuchet MS"/>
                <w:sz w:val="24"/>
                <w:szCs w:val="24"/>
                <w:u w:val="single"/>
              </w:rPr>
              <w:t>Threats</w:t>
            </w:r>
          </w:p>
          <w:p w14:paraId="6AA51EFA" w14:textId="453A5DFA" w:rsidR="00746DC4" w:rsidRDefault="00D617E2" w:rsidP="00746DC4">
            <w:pPr>
              <w:pStyle w:val="ListParagraph"/>
              <w:numPr>
                <w:ilvl w:val="0"/>
                <w:numId w:val="4"/>
              </w:numPr>
              <w:spacing w:line="360" w:lineRule="auto"/>
              <w:rPr>
                <w:rFonts w:ascii="Trebuchet MS" w:hAnsi="Trebuchet MS"/>
                <w:sz w:val="24"/>
                <w:szCs w:val="24"/>
              </w:rPr>
            </w:pPr>
            <w:r>
              <w:rPr>
                <w:rFonts w:ascii="Trebuchet MS" w:hAnsi="Trebuchet MS"/>
                <w:sz w:val="24"/>
                <w:szCs w:val="24"/>
              </w:rPr>
              <w:t>Inability to recruit staff</w:t>
            </w:r>
          </w:p>
          <w:p w14:paraId="361EE892" w14:textId="77777777" w:rsidR="00746DC4" w:rsidRDefault="00746DC4" w:rsidP="00746DC4">
            <w:pPr>
              <w:pStyle w:val="ListParagraph"/>
              <w:numPr>
                <w:ilvl w:val="0"/>
                <w:numId w:val="4"/>
              </w:numPr>
              <w:spacing w:line="360" w:lineRule="auto"/>
              <w:rPr>
                <w:rFonts w:ascii="Trebuchet MS" w:hAnsi="Trebuchet MS"/>
                <w:sz w:val="24"/>
                <w:szCs w:val="24"/>
              </w:rPr>
            </w:pPr>
            <w:r>
              <w:rPr>
                <w:rFonts w:ascii="Trebuchet MS" w:hAnsi="Trebuchet MS"/>
                <w:sz w:val="24"/>
                <w:szCs w:val="24"/>
              </w:rPr>
              <w:t>Delay in getting latest treatments and Drugs due to loss of EMA membership</w:t>
            </w:r>
          </w:p>
          <w:p w14:paraId="29F79BAC" w14:textId="77777777" w:rsidR="00746DC4" w:rsidRDefault="00746DC4" w:rsidP="00746DC4">
            <w:pPr>
              <w:pStyle w:val="ListParagraph"/>
              <w:numPr>
                <w:ilvl w:val="0"/>
                <w:numId w:val="4"/>
              </w:numPr>
              <w:spacing w:line="360" w:lineRule="auto"/>
              <w:rPr>
                <w:rFonts w:ascii="Trebuchet MS" w:hAnsi="Trebuchet MS"/>
                <w:sz w:val="24"/>
                <w:szCs w:val="24"/>
              </w:rPr>
            </w:pPr>
            <w:r>
              <w:rPr>
                <w:rFonts w:ascii="Trebuchet MS" w:hAnsi="Trebuchet MS"/>
                <w:sz w:val="24"/>
                <w:szCs w:val="24"/>
              </w:rPr>
              <w:t>Political interference</w:t>
            </w:r>
          </w:p>
          <w:p w14:paraId="4BDE4DAF" w14:textId="77777777" w:rsidR="00746DC4" w:rsidRDefault="00D617E2" w:rsidP="00746DC4">
            <w:pPr>
              <w:pStyle w:val="ListParagraph"/>
              <w:numPr>
                <w:ilvl w:val="0"/>
                <w:numId w:val="4"/>
              </w:numPr>
              <w:spacing w:line="360" w:lineRule="auto"/>
              <w:rPr>
                <w:rFonts w:ascii="Trebuchet MS" w:hAnsi="Trebuchet MS"/>
                <w:sz w:val="24"/>
                <w:szCs w:val="24"/>
              </w:rPr>
            </w:pPr>
            <w:r>
              <w:rPr>
                <w:rFonts w:ascii="Trebuchet MS" w:hAnsi="Trebuchet MS"/>
                <w:sz w:val="24"/>
                <w:szCs w:val="24"/>
              </w:rPr>
              <w:t>Inability to secure capital loans</w:t>
            </w:r>
          </w:p>
          <w:p w14:paraId="764B776E" w14:textId="77777777" w:rsidR="00D617E2" w:rsidRDefault="00D617E2" w:rsidP="00746DC4">
            <w:pPr>
              <w:pStyle w:val="ListParagraph"/>
              <w:numPr>
                <w:ilvl w:val="0"/>
                <w:numId w:val="4"/>
              </w:numPr>
              <w:spacing w:line="360" w:lineRule="auto"/>
              <w:rPr>
                <w:rFonts w:ascii="Trebuchet MS" w:hAnsi="Trebuchet MS"/>
                <w:sz w:val="24"/>
                <w:szCs w:val="24"/>
              </w:rPr>
            </w:pPr>
            <w:r>
              <w:rPr>
                <w:rFonts w:ascii="Trebuchet MS" w:hAnsi="Trebuchet MS"/>
                <w:sz w:val="24"/>
                <w:szCs w:val="24"/>
              </w:rPr>
              <w:t>Loss of experienced and specialist staff due to Brexit</w:t>
            </w:r>
          </w:p>
          <w:p w14:paraId="0BA3B4C4" w14:textId="77777777" w:rsidR="00D617E2" w:rsidRDefault="004967ED" w:rsidP="00746DC4">
            <w:pPr>
              <w:pStyle w:val="ListParagraph"/>
              <w:numPr>
                <w:ilvl w:val="0"/>
                <w:numId w:val="4"/>
              </w:numPr>
              <w:spacing w:line="360" w:lineRule="auto"/>
              <w:rPr>
                <w:rFonts w:ascii="Trebuchet MS" w:hAnsi="Trebuchet MS"/>
                <w:sz w:val="24"/>
                <w:szCs w:val="24"/>
              </w:rPr>
            </w:pPr>
            <w:r>
              <w:rPr>
                <w:rFonts w:ascii="Trebuchet MS" w:hAnsi="Trebuchet MS"/>
                <w:sz w:val="24"/>
                <w:szCs w:val="24"/>
              </w:rPr>
              <w:t>Reduced funding due to shrinking economy</w:t>
            </w:r>
          </w:p>
          <w:p w14:paraId="31603A86" w14:textId="10779F65" w:rsidR="004967ED" w:rsidRPr="00746DC4" w:rsidRDefault="004967ED" w:rsidP="00746DC4">
            <w:pPr>
              <w:pStyle w:val="ListParagraph"/>
              <w:numPr>
                <w:ilvl w:val="0"/>
                <w:numId w:val="4"/>
              </w:numPr>
              <w:spacing w:line="360" w:lineRule="auto"/>
              <w:rPr>
                <w:rFonts w:ascii="Trebuchet MS" w:hAnsi="Trebuchet MS"/>
                <w:sz w:val="24"/>
                <w:szCs w:val="24"/>
              </w:rPr>
            </w:pPr>
            <w:r>
              <w:rPr>
                <w:rFonts w:ascii="Trebuchet MS" w:hAnsi="Trebuchet MS"/>
                <w:sz w:val="24"/>
                <w:szCs w:val="24"/>
              </w:rPr>
              <w:t>Increased competition from rivals</w:t>
            </w:r>
          </w:p>
        </w:tc>
      </w:tr>
    </w:tbl>
    <w:p w14:paraId="7E831EB3" w14:textId="3513FAA7" w:rsidR="00BF63EC" w:rsidRPr="00BF63EC" w:rsidRDefault="00BF63EC" w:rsidP="00177BB5">
      <w:pPr>
        <w:spacing w:line="360" w:lineRule="auto"/>
        <w:rPr>
          <w:rFonts w:ascii="Trebuchet MS" w:hAnsi="Trebuchet MS"/>
          <w:sz w:val="24"/>
          <w:szCs w:val="24"/>
        </w:rPr>
      </w:pPr>
    </w:p>
    <w:p w14:paraId="720E77E3" w14:textId="27D2F176" w:rsidR="00FD297C" w:rsidRDefault="0015524C" w:rsidP="00177BB5">
      <w:pPr>
        <w:spacing w:line="360" w:lineRule="auto"/>
        <w:rPr>
          <w:rFonts w:ascii="Trebuchet MS" w:hAnsi="Trebuchet MS"/>
          <w:sz w:val="24"/>
          <w:szCs w:val="24"/>
        </w:rPr>
      </w:pPr>
      <w:r>
        <w:rPr>
          <w:rFonts w:ascii="Trebuchet MS" w:hAnsi="Trebuchet MS"/>
          <w:sz w:val="24"/>
          <w:szCs w:val="24"/>
        </w:rPr>
        <w:t>Using the Ansoff product/market growth matrix</w:t>
      </w:r>
      <w:r w:rsidR="008A273A">
        <w:rPr>
          <w:rFonts w:ascii="Trebuchet MS" w:hAnsi="Trebuchet MS"/>
          <w:sz w:val="24"/>
          <w:szCs w:val="24"/>
        </w:rPr>
        <w:t>, the strategic choices of the Trust have been mapped in the table below:</w:t>
      </w:r>
    </w:p>
    <w:p w14:paraId="6285F88F" w14:textId="489D64BC" w:rsidR="008A273A" w:rsidRDefault="008A273A" w:rsidP="00177BB5">
      <w:pPr>
        <w:spacing w:line="360" w:lineRule="auto"/>
        <w:rPr>
          <w:rFonts w:ascii="Trebuchet MS" w:hAnsi="Trebuchet MS"/>
          <w:sz w:val="24"/>
          <w:szCs w:val="24"/>
        </w:rPr>
      </w:pPr>
    </w:p>
    <w:p w14:paraId="592E5185" w14:textId="60FA3142" w:rsidR="008A273A" w:rsidRDefault="008A273A" w:rsidP="00177BB5">
      <w:pPr>
        <w:spacing w:line="360" w:lineRule="auto"/>
        <w:rPr>
          <w:rFonts w:ascii="Trebuchet MS" w:hAnsi="Trebuchet MS"/>
          <w:sz w:val="24"/>
          <w:szCs w:val="24"/>
        </w:rPr>
      </w:pPr>
    </w:p>
    <w:p w14:paraId="794097ED" w14:textId="3E114EF7" w:rsidR="008A273A" w:rsidRDefault="008A273A" w:rsidP="00177BB5">
      <w:pPr>
        <w:spacing w:line="360" w:lineRule="auto"/>
        <w:rPr>
          <w:rFonts w:ascii="Trebuchet MS" w:hAnsi="Trebuchet MS"/>
          <w:sz w:val="24"/>
          <w:szCs w:val="24"/>
        </w:rPr>
      </w:pPr>
    </w:p>
    <w:p w14:paraId="390F3AEA" w14:textId="1853ED0A" w:rsidR="008A273A" w:rsidRDefault="008A273A" w:rsidP="00177BB5">
      <w:pPr>
        <w:spacing w:line="360" w:lineRule="auto"/>
        <w:rPr>
          <w:rFonts w:ascii="Trebuchet MS" w:hAnsi="Trebuchet MS"/>
          <w:sz w:val="24"/>
          <w:szCs w:val="24"/>
        </w:rPr>
      </w:pPr>
    </w:p>
    <w:p w14:paraId="66B95DCA" w14:textId="70500152" w:rsidR="008A273A" w:rsidRDefault="008A273A" w:rsidP="00177BB5">
      <w:pPr>
        <w:spacing w:line="360" w:lineRule="auto"/>
        <w:rPr>
          <w:rFonts w:ascii="Trebuchet MS" w:hAnsi="Trebuchet MS"/>
          <w:sz w:val="24"/>
          <w:szCs w:val="24"/>
        </w:rPr>
      </w:pPr>
    </w:p>
    <w:p w14:paraId="484F990E" w14:textId="30AF8813" w:rsidR="008A273A" w:rsidRDefault="008A273A" w:rsidP="00177BB5">
      <w:pPr>
        <w:spacing w:line="360" w:lineRule="auto"/>
        <w:rPr>
          <w:rFonts w:ascii="Trebuchet MS" w:hAnsi="Trebuchet MS"/>
          <w:sz w:val="24"/>
          <w:szCs w:val="24"/>
        </w:rPr>
      </w:pPr>
    </w:p>
    <w:p w14:paraId="59042082" w14:textId="0E6012BE" w:rsidR="008A273A" w:rsidRDefault="008A273A" w:rsidP="00177BB5">
      <w:pPr>
        <w:spacing w:line="360" w:lineRule="auto"/>
        <w:rPr>
          <w:rFonts w:ascii="Trebuchet MS" w:hAnsi="Trebuchet MS"/>
          <w:sz w:val="24"/>
          <w:szCs w:val="24"/>
        </w:rPr>
      </w:pPr>
    </w:p>
    <w:p w14:paraId="16BBABA3" w14:textId="77777777" w:rsidR="008A273A" w:rsidRDefault="008A273A" w:rsidP="00177BB5">
      <w:pPr>
        <w:spacing w:line="360" w:lineRule="auto"/>
        <w:rPr>
          <w:rFonts w:ascii="Trebuchet MS" w:hAnsi="Trebuchet MS"/>
          <w:sz w:val="24"/>
          <w:szCs w:val="24"/>
        </w:rPr>
      </w:pPr>
    </w:p>
    <w:p w14:paraId="6581B598" w14:textId="77777777" w:rsidR="008A273A" w:rsidRDefault="008A273A" w:rsidP="008A273A">
      <w:pPr>
        <w:rPr>
          <w:rFonts w:ascii="Trebuchet MS" w:hAnsi="Trebuchet MS"/>
        </w:rPr>
      </w:pPr>
    </w:p>
    <w:tbl>
      <w:tblPr>
        <w:tblStyle w:val="TableGrid"/>
        <w:tblW w:w="0" w:type="auto"/>
        <w:tblInd w:w="421" w:type="dxa"/>
        <w:tblLook w:val="04A0" w:firstRow="1" w:lastRow="0" w:firstColumn="1" w:lastColumn="0" w:noHBand="0" w:noVBand="1"/>
      </w:tblPr>
      <w:tblGrid>
        <w:gridCol w:w="4087"/>
        <w:gridCol w:w="4508"/>
      </w:tblGrid>
      <w:tr w:rsidR="008A273A" w14:paraId="30F2D373" w14:textId="77777777" w:rsidTr="00F72E82">
        <w:tc>
          <w:tcPr>
            <w:tcW w:w="4087" w:type="dxa"/>
          </w:tcPr>
          <w:p w14:paraId="3C2067AE" w14:textId="77777777" w:rsidR="008A273A" w:rsidRPr="0024682F" w:rsidRDefault="008A273A" w:rsidP="00F72E82">
            <w:pPr>
              <w:rPr>
                <w:rFonts w:ascii="Trebuchet MS" w:hAnsi="Trebuchet MS"/>
                <w:b/>
              </w:rPr>
            </w:pPr>
            <w:r w:rsidRPr="0024682F">
              <w:rPr>
                <w:rFonts w:ascii="Trebuchet MS" w:hAnsi="Trebuchet MS"/>
                <w:b/>
              </w:rPr>
              <w:t>Existing markets</w:t>
            </w:r>
          </w:p>
          <w:p w14:paraId="4236416C" w14:textId="77777777" w:rsidR="008A273A" w:rsidRDefault="008A273A" w:rsidP="008A273A">
            <w:pPr>
              <w:pStyle w:val="ListParagraph"/>
              <w:numPr>
                <w:ilvl w:val="0"/>
                <w:numId w:val="5"/>
              </w:numPr>
              <w:rPr>
                <w:rFonts w:ascii="Trebuchet MS" w:hAnsi="Trebuchet MS"/>
              </w:rPr>
            </w:pPr>
            <w:r w:rsidRPr="00923E2D">
              <w:rPr>
                <w:rFonts w:ascii="Trebuchet MS" w:hAnsi="Trebuchet MS"/>
              </w:rPr>
              <w:t>Acute mental health services</w:t>
            </w:r>
          </w:p>
          <w:p w14:paraId="3678A374" w14:textId="77777777" w:rsidR="008A273A" w:rsidRDefault="008A273A" w:rsidP="008A273A">
            <w:pPr>
              <w:pStyle w:val="ListParagraph"/>
              <w:numPr>
                <w:ilvl w:val="0"/>
                <w:numId w:val="5"/>
              </w:numPr>
              <w:rPr>
                <w:rFonts w:ascii="Trebuchet MS" w:hAnsi="Trebuchet MS"/>
              </w:rPr>
            </w:pPr>
            <w:r>
              <w:rPr>
                <w:rFonts w:ascii="Trebuchet MS" w:hAnsi="Trebuchet MS"/>
              </w:rPr>
              <w:t>CAMHS</w:t>
            </w:r>
          </w:p>
          <w:p w14:paraId="4D235D1A" w14:textId="77777777" w:rsidR="008A273A" w:rsidRDefault="008A273A" w:rsidP="008A273A">
            <w:pPr>
              <w:pStyle w:val="ListParagraph"/>
              <w:numPr>
                <w:ilvl w:val="0"/>
                <w:numId w:val="5"/>
              </w:numPr>
              <w:rPr>
                <w:rFonts w:ascii="Trebuchet MS" w:hAnsi="Trebuchet MS"/>
              </w:rPr>
            </w:pPr>
            <w:r>
              <w:rPr>
                <w:rFonts w:ascii="Trebuchet MS" w:hAnsi="Trebuchet MS"/>
              </w:rPr>
              <w:t>Mental health liaison services in Barnet and North Middlesex Hospitals</w:t>
            </w:r>
          </w:p>
          <w:p w14:paraId="60B77E9E" w14:textId="77777777" w:rsidR="008A273A" w:rsidRPr="00923E2D" w:rsidRDefault="008A273A" w:rsidP="008A273A">
            <w:pPr>
              <w:pStyle w:val="ListParagraph"/>
              <w:numPr>
                <w:ilvl w:val="0"/>
                <w:numId w:val="5"/>
              </w:numPr>
              <w:rPr>
                <w:rFonts w:ascii="Trebuchet MS" w:hAnsi="Trebuchet MS"/>
              </w:rPr>
            </w:pPr>
            <w:r>
              <w:rPr>
                <w:rFonts w:ascii="Trebuchet MS" w:hAnsi="Trebuchet MS"/>
              </w:rPr>
              <w:t>Place of safety-136 suites</w:t>
            </w:r>
          </w:p>
          <w:p w14:paraId="7A815ADF" w14:textId="77777777" w:rsidR="008A273A" w:rsidRDefault="008A273A" w:rsidP="00F72E82">
            <w:pPr>
              <w:rPr>
                <w:rFonts w:ascii="Trebuchet MS" w:hAnsi="Trebuchet MS"/>
              </w:rPr>
            </w:pPr>
          </w:p>
        </w:tc>
        <w:tc>
          <w:tcPr>
            <w:tcW w:w="4508" w:type="dxa"/>
          </w:tcPr>
          <w:p w14:paraId="4F88174B" w14:textId="77777777" w:rsidR="008A273A" w:rsidRPr="0024682F" w:rsidRDefault="008A273A" w:rsidP="00F72E82">
            <w:pPr>
              <w:rPr>
                <w:rFonts w:ascii="Trebuchet MS" w:hAnsi="Trebuchet MS"/>
                <w:b/>
              </w:rPr>
            </w:pPr>
            <w:r w:rsidRPr="0024682F">
              <w:rPr>
                <w:rFonts w:ascii="Trebuchet MS" w:hAnsi="Trebuchet MS"/>
                <w:b/>
              </w:rPr>
              <w:t>New products</w:t>
            </w:r>
          </w:p>
          <w:p w14:paraId="32F282DF" w14:textId="77777777" w:rsidR="008A273A" w:rsidRDefault="008A273A" w:rsidP="008A273A">
            <w:pPr>
              <w:pStyle w:val="ListParagraph"/>
              <w:numPr>
                <w:ilvl w:val="0"/>
                <w:numId w:val="5"/>
              </w:numPr>
              <w:rPr>
                <w:rFonts w:ascii="Trebuchet MS" w:hAnsi="Trebuchet MS"/>
              </w:rPr>
            </w:pPr>
            <w:r>
              <w:rPr>
                <w:rFonts w:ascii="Trebuchet MS" w:hAnsi="Trebuchet MS"/>
              </w:rPr>
              <w:t>Improving Access to Psychological Therapies (IAPT</w:t>
            </w:r>
          </w:p>
          <w:p w14:paraId="1C936AB3" w14:textId="77777777" w:rsidR="008A273A" w:rsidRDefault="008A273A" w:rsidP="008A273A">
            <w:pPr>
              <w:pStyle w:val="ListParagraph"/>
              <w:numPr>
                <w:ilvl w:val="0"/>
                <w:numId w:val="5"/>
              </w:numPr>
              <w:rPr>
                <w:rFonts w:ascii="Trebuchet MS" w:hAnsi="Trebuchet MS"/>
              </w:rPr>
            </w:pPr>
            <w:r>
              <w:rPr>
                <w:rFonts w:ascii="Trebuchet MS" w:hAnsi="Trebuchet MS"/>
              </w:rPr>
              <w:t>Early intervention services</w:t>
            </w:r>
          </w:p>
          <w:p w14:paraId="5E7105A7" w14:textId="569D918B" w:rsidR="008A273A" w:rsidRPr="0024682F" w:rsidRDefault="008A273A" w:rsidP="008A273A">
            <w:pPr>
              <w:pStyle w:val="ListParagraph"/>
              <w:numPr>
                <w:ilvl w:val="0"/>
                <w:numId w:val="5"/>
              </w:numPr>
              <w:rPr>
                <w:rFonts w:ascii="Trebuchet MS" w:hAnsi="Trebuchet MS"/>
              </w:rPr>
            </w:pPr>
            <w:r>
              <w:rPr>
                <w:rFonts w:ascii="Trebuchet MS" w:hAnsi="Trebuchet MS"/>
              </w:rPr>
              <w:t xml:space="preserve">Combined District nursing and mental health services for older </w:t>
            </w:r>
            <w:r w:rsidR="00525AB9">
              <w:rPr>
                <w:rFonts w:ascii="Trebuchet MS" w:hAnsi="Trebuchet MS"/>
              </w:rPr>
              <w:t>patients (</w:t>
            </w:r>
            <w:r>
              <w:rPr>
                <w:rFonts w:ascii="Trebuchet MS" w:hAnsi="Trebuchet MS"/>
              </w:rPr>
              <w:t>aged 65+)</w:t>
            </w:r>
          </w:p>
        </w:tc>
      </w:tr>
      <w:tr w:rsidR="008A273A" w14:paraId="15D858CA" w14:textId="77777777" w:rsidTr="00F72E82">
        <w:tc>
          <w:tcPr>
            <w:tcW w:w="4087" w:type="dxa"/>
          </w:tcPr>
          <w:p w14:paraId="6EA6BF50" w14:textId="77777777" w:rsidR="008A273A" w:rsidRPr="00615996" w:rsidRDefault="008A273A" w:rsidP="00F72E82">
            <w:pPr>
              <w:rPr>
                <w:rFonts w:ascii="Trebuchet MS" w:hAnsi="Trebuchet MS"/>
                <w:b/>
              </w:rPr>
            </w:pPr>
            <w:r w:rsidRPr="00615996">
              <w:rPr>
                <w:rFonts w:ascii="Trebuchet MS" w:hAnsi="Trebuchet MS"/>
                <w:b/>
              </w:rPr>
              <w:t>Market development</w:t>
            </w:r>
          </w:p>
          <w:p w14:paraId="0E06466B" w14:textId="77777777" w:rsidR="008A273A" w:rsidRDefault="008A273A" w:rsidP="008A273A">
            <w:pPr>
              <w:pStyle w:val="ListParagraph"/>
              <w:numPr>
                <w:ilvl w:val="0"/>
                <w:numId w:val="5"/>
              </w:numPr>
              <w:rPr>
                <w:rFonts w:ascii="Trebuchet MS" w:hAnsi="Trebuchet MS"/>
              </w:rPr>
            </w:pPr>
            <w:r>
              <w:rPr>
                <w:rFonts w:ascii="Trebuchet MS" w:hAnsi="Trebuchet MS"/>
              </w:rPr>
              <w:t>Providing Forensic services within Police custody suites, magistrates courts, Prisons</w:t>
            </w:r>
          </w:p>
          <w:p w14:paraId="21C82F25" w14:textId="77777777" w:rsidR="008A273A" w:rsidRDefault="008A273A" w:rsidP="008A273A">
            <w:pPr>
              <w:pStyle w:val="ListParagraph"/>
              <w:numPr>
                <w:ilvl w:val="0"/>
                <w:numId w:val="5"/>
              </w:numPr>
              <w:rPr>
                <w:rFonts w:ascii="Trebuchet MS" w:hAnsi="Trebuchet MS"/>
              </w:rPr>
            </w:pPr>
            <w:r>
              <w:rPr>
                <w:rFonts w:ascii="Trebuchet MS" w:hAnsi="Trebuchet MS"/>
              </w:rPr>
              <w:t>Expansion of the Forensic mental health services across North London</w:t>
            </w:r>
          </w:p>
          <w:p w14:paraId="17C561BB" w14:textId="77777777" w:rsidR="008A273A" w:rsidRPr="0024682F" w:rsidRDefault="008A273A" w:rsidP="008A273A">
            <w:pPr>
              <w:pStyle w:val="ListParagraph"/>
              <w:numPr>
                <w:ilvl w:val="0"/>
                <w:numId w:val="5"/>
              </w:numPr>
              <w:rPr>
                <w:rFonts w:ascii="Trebuchet MS" w:hAnsi="Trebuchet MS"/>
              </w:rPr>
            </w:pPr>
            <w:r>
              <w:rPr>
                <w:rFonts w:ascii="Trebuchet MS" w:hAnsi="Trebuchet MS"/>
              </w:rPr>
              <w:t>Older people services-Memory clinics across the three boroughs.</w:t>
            </w:r>
          </w:p>
        </w:tc>
        <w:tc>
          <w:tcPr>
            <w:tcW w:w="4508" w:type="dxa"/>
          </w:tcPr>
          <w:p w14:paraId="0A42FAC2" w14:textId="77777777" w:rsidR="008A273A" w:rsidRPr="0024682F" w:rsidRDefault="008A273A" w:rsidP="00F72E82">
            <w:pPr>
              <w:rPr>
                <w:rFonts w:ascii="Trebuchet MS" w:hAnsi="Trebuchet MS"/>
                <w:b/>
              </w:rPr>
            </w:pPr>
            <w:r w:rsidRPr="0024682F">
              <w:rPr>
                <w:rFonts w:ascii="Trebuchet MS" w:hAnsi="Trebuchet MS"/>
                <w:b/>
              </w:rPr>
              <w:t>Diversification</w:t>
            </w:r>
          </w:p>
          <w:p w14:paraId="469AA451" w14:textId="77777777" w:rsidR="008A273A" w:rsidRDefault="008A273A" w:rsidP="008A273A">
            <w:pPr>
              <w:pStyle w:val="ListParagraph"/>
              <w:numPr>
                <w:ilvl w:val="0"/>
                <w:numId w:val="5"/>
              </w:numPr>
              <w:rPr>
                <w:rFonts w:ascii="Trebuchet MS" w:hAnsi="Trebuchet MS"/>
              </w:rPr>
            </w:pPr>
            <w:r>
              <w:rPr>
                <w:rFonts w:ascii="Trebuchet MS" w:hAnsi="Trebuchet MS"/>
              </w:rPr>
              <w:t xml:space="preserve">Enfield Drug and Alcohol services (Enable) started April </w:t>
            </w:r>
          </w:p>
          <w:p w14:paraId="359E87FA" w14:textId="77777777" w:rsidR="008A273A" w:rsidRDefault="008A273A" w:rsidP="008A273A">
            <w:pPr>
              <w:pStyle w:val="ListParagraph"/>
              <w:numPr>
                <w:ilvl w:val="0"/>
                <w:numId w:val="5"/>
              </w:numPr>
              <w:rPr>
                <w:rFonts w:ascii="Trebuchet MS" w:hAnsi="Trebuchet MS"/>
              </w:rPr>
            </w:pPr>
            <w:r>
              <w:rPr>
                <w:rFonts w:ascii="Trebuchet MS" w:hAnsi="Trebuchet MS"/>
              </w:rPr>
              <w:t>Provision of specialised Forensic services such as Fixated Assessment centre, Suicide prevention service</w:t>
            </w:r>
          </w:p>
          <w:p w14:paraId="1DD33F6A" w14:textId="77777777" w:rsidR="008A273A" w:rsidRDefault="008A273A" w:rsidP="008A273A">
            <w:pPr>
              <w:pStyle w:val="ListParagraph"/>
              <w:numPr>
                <w:ilvl w:val="0"/>
                <w:numId w:val="5"/>
              </w:numPr>
              <w:rPr>
                <w:rFonts w:ascii="Trebuchet MS" w:hAnsi="Trebuchet MS"/>
              </w:rPr>
            </w:pPr>
            <w:r>
              <w:rPr>
                <w:rFonts w:ascii="Trebuchet MS" w:hAnsi="Trebuchet MS"/>
              </w:rPr>
              <w:t xml:space="preserve">Community services in Enfield since 2012  </w:t>
            </w:r>
          </w:p>
          <w:p w14:paraId="4C3484D2" w14:textId="77777777" w:rsidR="008A273A" w:rsidRPr="0024682F" w:rsidRDefault="008A273A" w:rsidP="008A273A">
            <w:pPr>
              <w:pStyle w:val="ListParagraph"/>
              <w:numPr>
                <w:ilvl w:val="0"/>
                <w:numId w:val="5"/>
              </w:numPr>
              <w:rPr>
                <w:rFonts w:ascii="Trebuchet MS" w:hAnsi="Trebuchet MS"/>
              </w:rPr>
            </w:pPr>
            <w:r>
              <w:rPr>
                <w:rFonts w:ascii="Trebuchet MS" w:hAnsi="Trebuchet MS"/>
              </w:rPr>
              <w:t>Offering Prevent and diversion services in cooperation with the Metropolitan Police service.</w:t>
            </w:r>
          </w:p>
        </w:tc>
      </w:tr>
    </w:tbl>
    <w:p w14:paraId="2152187A" w14:textId="0D5E79BE" w:rsidR="008A273A" w:rsidRDefault="008A273A" w:rsidP="00177BB5">
      <w:pPr>
        <w:spacing w:line="360" w:lineRule="auto"/>
        <w:rPr>
          <w:rFonts w:ascii="Trebuchet MS" w:hAnsi="Trebuchet MS"/>
          <w:sz w:val="24"/>
          <w:szCs w:val="24"/>
        </w:rPr>
      </w:pPr>
      <w:r>
        <w:rPr>
          <w:rFonts w:ascii="Trebuchet MS" w:hAnsi="Trebuchet MS"/>
          <w:sz w:val="24"/>
          <w:szCs w:val="24"/>
        </w:rPr>
        <w:t>Adapted from Johnson et</w:t>
      </w:r>
      <w:r w:rsidR="001870D0">
        <w:rPr>
          <w:rFonts w:ascii="Trebuchet MS" w:hAnsi="Trebuchet MS"/>
          <w:sz w:val="24"/>
          <w:szCs w:val="24"/>
        </w:rPr>
        <w:t xml:space="preserve"> </w:t>
      </w:r>
      <w:r w:rsidR="00525AB9">
        <w:rPr>
          <w:rFonts w:ascii="Trebuchet MS" w:hAnsi="Trebuchet MS"/>
          <w:sz w:val="24"/>
          <w:szCs w:val="24"/>
        </w:rPr>
        <w:t>al (</w:t>
      </w:r>
      <w:r w:rsidR="001870D0">
        <w:rPr>
          <w:rFonts w:ascii="Trebuchet MS" w:hAnsi="Trebuchet MS"/>
          <w:sz w:val="24"/>
          <w:szCs w:val="24"/>
        </w:rPr>
        <w:t>2017).</w:t>
      </w:r>
    </w:p>
    <w:p w14:paraId="0189E86F" w14:textId="00829390" w:rsidR="001870D0" w:rsidRPr="002814F2" w:rsidRDefault="001870D0" w:rsidP="00177BB5">
      <w:pPr>
        <w:spacing w:line="360" w:lineRule="auto"/>
        <w:rPr>
          <w:rFonts w:ascii="Trebuchet MS" w:hAnsi="Trebuchet MS"/>
          <w:b/>
          <w:sz w:val="24"/>
          <w:szCs w:val="24"/>
          <w:u w:val="single"/>
        </w:rPr>
      </w:pPr>
      <w:r w:rsidRPr="002814F2">
        <w:rPr>
          <w:rFonts w:ascii="Trebuchet MS" w:hAnsi="Trebuchet MS"/>
          <w:b/>
          <w:sz w:val="24"/>
          <w:szCs w:val="24"/>
          <w:u w:val="single"/>
        </w:rPr>
        <w:t>Discussion</w:t>
      </w:r>
    </w:p>
    <w:p w14:paraId="2C63A3DA" w14:textId="268FF953" w:rsidR="001870D0" w:rsidRDefault="001870D0" w:rsidP="00177BB5">
      <w:pPr>
        <w:spacing w:line="360" w:lineRule="auto"/>
        <w:rPr>
          <w:rFonts w:ascii="Trebuchet MS" w:hAnsi="Trebuchet MS"/>
          <w:sz w:val="24"/>
          <w:szCs w:val="24"/>
        </w:rPr>
      </w:pPr>
      <w:r>
        <w:rPr>
          <w:rFonts w:ascii="Trebuchet MS" w:hAnsi="Trebuchet MS"/>
          <w:sz w:val="24"/>
          <w:szCs w:val="24"/>
        </w:rPr>
        <w:t xml:space="preserve">According to the analysis </w:t>
      </w:r>
      <w:r w:rsidR="008F0EB1">
        <w:rPr>
          <w:rFonts w:ascii="Trebuchet MS" w:hAnsi="Trebuchet MS"/>
          <w:sz w:val="24"/>
          <w:szCs w:val="24"/>
        </w:rPr>
        <w:t>conducted, it’s</w:t>
      </w:r>
      <w:r>
        <w:rPr>
          <w:rFonts w:ascii="Trebuchet MS" w:hAnsi="Trebuchet MS"/>
          <w:sz w:val="24"/>
          <w:szCs w:val="24"/>
        </w:rPr>
        <w:t xml:space="preserve"> clear to see that the Trust has taken the strategic choice of </w:t>
      </w:r>
      <w:r w:rsidR="008F0EB1">
        <w:rPr>
          <w:rFonts w:ascii="Trebuchet MS" w:hAnsi="Trebuchet MS"/>
          <w:sz w:val="24"/>
          <w:szCs w:val="24"/>
        </w:rPr>
        <w:t xml:space="preserve">diversification. According to Johnson et </w:t>
      </w:r>
      <w:r w:rsidR="00525AB9">
        <w:rPr>
          <w:rFonts w:ascii="Trebuchet MS" w:hAnsi="Trebuchet MS"/>
          <w:sz w:val="24"/>
          <w:szCs w:val="24"/>
        </w:rPr>
        <w:t>al, (</w:t>
      </w:r>
      <w:r w:rsidR="008F0EB1">
        <w:rPr>
          <w:rFonts w:ascii="Trebuchet MS" w:hAnsi="Trebuchet MS"/>
          <w:sz w:val="24"/>
          <w:szCs w:val="24"/>
        </w:rPr>
        <w:t>2017), when an organisation diversifies, it increases the range of products or markets in which it operates. The Trust has increased its exposure in different markets as well as increasing the products it offers in those markets</w:t>
      </w:r>
      <w:r w:rsidR="00525AB9">
        <w:rPr>
          <w:rFonts w:ascii="Trebuchet MS" w:hAnsi="Trebuchet MS"/>
          <w:sz w:val="24"/>
          <w:szCs w:val="24"/>
        </w:rPr>
        <w:t xml:space="preserve">. In responding to the changing </w:t>
      </w:r>
      <w:r w:rsidR="00525AB9">
        <w:rPr>
          <w:rFonts w:ascii="Trebuchet MS" w:hAnsi="Trebuchet MS"/>
          <w:sz w:val="24"/>
          <w:szCs w:val="24"/>
        </w:rPr>
        <w:lastRenderedPageBreak/>
        <w:t xml:space="preserve">regulatory and competitive environment, the Trust has been able pursue greater product and market diversification, this is inline with research evidence suggesting that increased competition motivates managers to pursue product and market </w:t>
      </w:r>
      <w:r w:rsidR="0055664D">
        <w:rPr>
          <w:rFonts w:ascii="Trebuchet MS" w:hAnsi="Trebuchet MS"/>
          <w:sz w:val="24"/>
          <w:szCs w:val="24"/>
        </w:rPr>
        <w:t xml:space="preserve">diversification (Bowen et al, 2015). Another study found a direct correlation between diversification and profitability (Santarelli and Tran,2016), </w:t>
      </w:r>
      <w:r w:rsidR="00B13D35">
        <w:rPr>
          <w:rFonts w:ascii="Trebuchet MS" w:hAnsi="Trebuchet MS"/>
          <w:sz w:val="24"/>
          <w:szCs w:val="24"/>
        </w:rPr>
        <w:t xml:space="preserve">and evidence from elsewhere in industry suggests that diversified businesses perform better than specialised </w:t>
      </w:r>
      <w:r w:rsidR="00343266">
        <w:rPr>
          <w:rFonts w:ascii="Trebuchet MS" w:hAnsi="Trebuchet MS"/>
          <w:sz w:val="24"/>
          <w:szCs w:val="24"/>
        </w:rPr>
        <w:t>ones (de</w:t>
      </w:r>
      <w:r w:rsidR="00B13D35">
        <w:rPr>
          <w:rFonts w:ascii="Trebuchet MS" w:hAnsi="Trebuchet MS"/>
          <w:sz w:val="24"/>
          <w:szCs w:val="24"/>
        </w:rPr>
        <w:t xml:space="preserve"> Roest et al,2018). T</w:t>
      </w:r>
      <w:r w:rsidR="0055664D">
        <w:rPr>
          <w:rFonts w:ascii="Trebuchet MS" w:hAnsi="Trebuchet MS"/>
          <w:sz w:val="24"/>
          <w:szCs w:val="24"/>
        </w:rPr>
        <w:t>h</w:t>
      </w:r>
      <w:r w:rsidR="00B13D35">
        <w:rPr>
          <w:rFonts w:ascii="Trebuchet MS" w:hAnsi="Trebuchet MS"/>
          <w:sz w:val="24"/>
          <w:szCs w:val="24"/>
        </w:rPr>
        <w:t>ese findings</w:t>
      </w:r>
      <w:r w:rsidR="0055664D">
        <w:rPr>
          <w:rFonts w:ascii="Trebuchet MS" w:hAnsi="Trebuchet MS"/>
          <w:sz w:val="24"/>
          <w:szCs w:val="24"/>
        </w:rPr>
        <w:t xml:space="preserve"> suggest that the managers in the Trust are taking the right decisions to ensure sustainable growth of the organisation.</w:t>
      </w:r>
      <w:r w:rsidR="00525AB9">
        <w:rPr>
          <w:rFonts w:ascii="Trebuchet MS" w:hAnsi="Trebuchet MS"/>
          <w:sz w:val="24"/>
          <w:szCs w:val="24"/>
        </w:rPr>
        <w:t xml:space="preserve"> </w:t>
      </w:r>
    </w:p>
    <w:p w14:paraId="2C48F85F" w14:textId="33F6704F" w:rsidR="00B13D35" w:rsidRPr="002814F2" w:rsidRDefault="00B13D35" w:rsidP="00177BB5">
      <w:pPr>
        <w:spacing w:line="360" w:lineRule="auto"/>
        <w:rPr>
          <w:rFonts w:ascii="Trebuchet MS" w:hAnsi="Trebuchet MS"/>
          <w:b/>
          <w:sz w:val="24"/>
          <w:szCs w:val="24"/>
          <w:u w:val="single"/>
        </w:rPr>
      </w:pPr>
      <w:r w:rsidRPr="002814F2">
        <w:rPr>
          <w:rFonts w:ascii="Trebuchet MS" w:hAnsi="Trebuchet MS"/>
          <w:b/>
          <w:sz w:val="24"/>
          <w:szCs w:val="24"/>
          <w:u w:val="single"/>
        </w:rPr>
        <w:t>Recommendations</w:t>
      </w:r>
    </w:p>
    <w:p w14:paraId="103F52FB" w14:textId="41EB9E39" w:rsidR="00B13D35" w:rsidRDefault="00B13D35" w:rsidP="00177BB5">
      <w:pPr>
        <w:spacing w:line="360" w:lineRule="auto"/>
        <w:rPr>
          <w:rFonts w:ascii="Trebuchet MS" w:hAnsi="Trebuchet MS"/>
          <w:sz w:val="24"/>
          <w:szCs w:val="24"/>
        </w:rPr>
      </w:pPr>
      <w:r>
        <w:rPr>
          <w:rFonts w:ascii="Trebuchet MS" w:hAnsi="Trebuchet MS"/>
          <w:sz w:val="24"/>
          <w:szCs w:val="24"/>
        </w:rPr>
        <w:t xml:space="preserve">In order to continue improving the Trust continues to maintain sustainable competitive </w:t>
      </w:r>
      <w:r w:rsidR="005F0911">
        <w:rPr>
          <w:rFonts w:ascii="Trebuchet MS" w:hAnsi="Trebuchet MS"/>
          <w:sz w:val="24"/>
          <w:szCs w:val="24"/>
        </w:rPr>
        <w:t>advantage;</w:t>
      </w:r>
      <w:r>
        <w:rPr>
          <w:rFonts w:ascii="Trebuchet MS" w:hAnsi="Trebuchet MS"/>
          <w:sz w:val="24"/>
          <w:szCs w:val="24"/>
        </w:rPr>
        <w:t xml:space="preserve"> managers should consider the following recommendations:</w:t>
      </w:r>
    </w:p>
    <w:p w14:paraId="0EA146A7" w14:textId="0B95DEBB" w:rsidR="00B13D35" w:rsidRDefault="005F0911" w:rsidP="00177BB5">
      <w:pPr>
        <w:spacing w:line="360" w:lineRule="auto"/>
        <w:rPr>
          <w:rFonts w:ascii="Trebuchet MS" w:hAnsi="Trebuchet MS"/>
          <w:sz w:val="24"/>
          <w:szCs w:val="24"/>
        </w:rPr>
      </w:pPr>
      <w:r>
        <w:rPr>
          <w:rFonts w:ascii="Trebuchet MS" w:hAnsi="Trebuchet MS"/>
          <w:sz w:val="24"/>
          <w:szCs w:val="24"/>
        </w:rPr>
        <w:t>1. Increase partnerships with</w:t>
      </w:r>
      <w:r w:rsidR="00B13D35">
        <w:rPr>
          <w:rFonts w:ascii="Trebuchet MS" w:hAnsi="Trebuchet MS"/>
          <w:sz w:val="24"/>
          <w:szCs w:val="24"/>
        </w:rPr>
        <w:t xml:space="preserve"> similar organisations </w:t>
      </w:r>
      <w:r w:rsidR="00AD472B">
        <w:rPr>
          <w:rFonts w:ascii="Trebuchet MS" w:hAnsi="Trebuchet MS"/>
          <w:sz w:val="24"/>
          <w:szCs w:val="24"/>
        </w:rPr>
        <w:t xml:space="preserve">and Universities in order to attract highly skilled and specialist staff. Research evidence </w:t>
      </w:r>
      <w:r>
        <w:rPr>
          <w:rFonts w:ascii="Trebuchet MS" w:hAnsi="Trebuchet MS"/>
          <w:sz w:val="24"/>
          <w:szCs w:val="24"/>
        </w:rPr>
        <w:t>suggests</w:t>
      </w:r>
      <w:r w:rsidR="00AD472B">
        <w:rPr>
          <w:rFonts w:ascii="Trebuchet MS" w:hAnsi="Trebuchet MS"/>
          <w:sz w:val="24"/>
          <w:szCs w:val="24"/>
        </w:rPr>
        <w:t xml:space="preserve"> that increased cooperation increases the financial positions of the concerned organisations through increased economies of </w:t>
      </w:r>
      <w:r w:rsidR="000E3A0E">
        <w:rPr>
          <w:rFonts w:ascii="Trebuchet MS" w:hAnsi="Trebuchet MS"/>
          <w:sz w:val="24"/>
          <w:szCs w:val="24"/>
        </w:rPr>
        <w:t>scale (Schutz, 2012)</w:t>
      </w:r>
      <w:r w:rsidR="00343266">
        <w:rPr>
          <w:rFonts w:ascii="Trebuchet MS" w:hAnsi="Trebuchet MS"/>
          <w:sz w:val="24"/>
          <w:szCs w:val="24"/>
        </w:rPr>
        <w:t xml:space="preserve">. Another study found positive outcomes for patients where there was increased do-operation between </w:t>
      </w:r>
      <w:r w:rsidR="001E48E4">
        <w:rPr>
          <w:rFonts w:ascii="Trebuchet MS" w:hAnsi="Trebuchet MS"/>
          <w:sz w:val="24"/>
          <w:szCs w:val="24"/>
        </w:rPr>
        <w:t>organisations (</w:t>
      </w:r>
      <w:r w:rsidR="00343266">
        <w:rPr>
          <w:rFonts w:ascii="Trebuchet MS" w:hAnsi="Trebuchet MS"/>
          <w:sz w:val="24"/>
          <w:szCs w:val="24"/>
        </w:rPr>
        <w:t>Bai et al, 2009).</w:t>
      </w:r>
    </w:p>
    <w:p w14:paraId="3FB5550A" w14:textId="26E4B344" w:rsidR="000E3A0E" w:rsidRDefault="005F0911" w:rsidP="00177BB5">
      <w:pPr>
        <w:spacing w:line="360" w:lineRule="auto"/>
        <w:rPr>
          <w:rFonts w:ascii="Trebuchet MS" w:hAnsi="Trebuchet MS"/>
          <w:sz w:val="24"/>
          <w:szCs w:val="24"/>
        </w:rPr>
      </w:pPr>
      <w:r>
        <w:rPr>
          <w:rFonts w:ascii="Trebuchet MS" w:hAnsi="Trebuchet MS"/>
          <w:sz w:val="24"/>
          <w:szCs w:val="24"/>
        </w:rPr>
        <w:t>2. The</w:t>
      </w:r>
      <w:r w:rsidR="001E48E4">
        <w:rPr>
          <w:rFonts w:ascii="Trebuchet MS" w:hAnsi="Trebuchet MS"/>
          <w:sz w:val="24"/>
          <w:szCs w:val="24"/>
        </w:rPr>
        <w:t xml:space="preserve"> organisation needs to increase investments in newer technologies. Research evidence </w:t>
      </w:r>
      <w:r>
        <w:rPr>
          <w:rFonts w:ascii="Trebuchet MS" w:hAnsi="Trebuchet MS"/>
          <w:sz w:val="24"/>
          <w:szCs w:val="24"/>
        </w:rPr>
        <w:t>suggests</w:t>
      </w:r>
      <w:r w:rsidR="001E48E4">
        <w:rPr>
          <w:rFonts w:ascii="Trebuchet MS" w:hAnsi="Trebuchet MS"/>
          <w:sz w:val="24"/>
          <w:szCs w:val="24"/>
        </w:rPr>
        <w:t xml:space="preserve"> that technological advances have the potential to reshape healthcare provision and medical education (Sultan, 2015).</w:t>
      </w:r>
    </w:p>
    <w:p w14:paraId="684B923C" w14:textId="6565EB19" w:rsidR="00772040" w:rsidRDefault="005F0911" w:rsidP="00177BB5">
      <w:pPr>
        <w:spacing w:line="360" w:lineRule="auto"/>
        <w:rPr>
          <w:rFonts w:ascii="Trebuchet MS" w:hAnsi="Trebuchet MS"/>
          <w:sz w:val="24"/>
          <w:szCs w:val="24"/>
        </w:rPr>
      </w:pPr>
      <w:r>
        <w:rPr>
          <w:rFonts w:ascii="Trebuchet MS" w:hAnsi="Trebuchet MS"/>
          <w:sz w:val="24"/>
          <w:szCs w:val="24"/>
        </w:rPr>
        <w:t>3. The</w:t>
      </w:r>
      <w:r w:rsidR="00772040">
        <w:rPr>
          <w:rFonts w:ascii="Trebuchet MS" w:hAnsi="Trebuchet MS"/>
          <w:sz w:val="24"/>
          <w:szCs w:val="24"/>
        </w:rPr>
        <w:t xml:space="preserve"> Trust can increase its ecological credentials by offering employees </w:t>
      </w:r>
      <w:r w:rsidR="00DB13A5">
        <w:rPr>
          <w:rFonts w:ascii="Trebuchet MS" w:hAnsi="Trebuchet MS"/>
          <w:sz w:val="24"/>
          <w:szCs w:val="24"/>
        </w:rPr>
        <w:t>ultra-low</w:t>
      </w:r>
      <w:r w:rsidR="00772040">
        <w:rPr>
          <w:rFonts w:ascii="Trebuchet MS" w:hAnsi="Trebuchet MS"/>
          <w:sz w:val="24"/>
          <w:szCs w:val="24"/>
        </w:rPr>
        <w:t xml:space="preserve"> emission vehicles to employees through the </w:t>
      </w:r>
      <w:r w:rsidR="00DB13A5">
        <w:rPr>
          <w:rFonts w:ascii="Trebuchet MS" w:hAnsi="Trebuchet MS"/>
          <w:sz w:val="24"/>
          <w:szCs w:val="24"/>
        </w:rPr>
        <w:t>salary sacrifice scheme. The Trust can also insist that on having only low emission vehicles on its premises. This will improve air quality around the Trust premises benefiting the employees, patients and the general public.</w:t>
      </w:r>
    </w:p>
    <w:p w14:paraId="31961EA8" w14:textId="74AB4CC9" w:rsidR="00DB13A5" w:rsidRDefault="005F0911" w:rsidP="00177BB5">
      <w:pPr>
        <w:spacing w:line="360" w:lineRule="auto"/>
        <w:rPr>
          <w:rFonts w:ascii="Trebuchet MS" w:hAnsi="Trebuchet MS"/>
          <w:sz w:val="24"/>
          <w:szCs w:val="24"/>
        </w:rPr>
      </w:pPr>
      <w:r>
        <w:rPr>
          <w:rFonts w:ascii="Trebuchet MS" w:hAnsi="Trebuchet MS"/>
          <w:sz w:val="24"/>
          <w:szCs w:val="24"/>
        </w:rPr>
        <w:t>4. The</w:t>
      </w:r>
      <w:r w:rsidR="00DB13A5">
        <w:rPr>
          <w:rFonts w:ascii="Trebuchet MS" w:hAnsi="Trebuchet MS"/>
          <w:sz w:val="24"/>
          <w:szCs w:val="24"/>
        </w:rPr>
        <w:t xml:space="preserve"> Trust can benefit from investing in newer ways of working including home working, mobile working. This has the potential to reduce emissions through reduction in journeys into work.</w:t>
      </w:r>
    </w:p>
    <w:p w14:paraId="2D4591C7" w14:textId="6AADBEBE" w:rsidR="00DB13A5" w:rsidRPr="005F0911" w:rsidRDefault="005F0911" w:rsidP="00177BB5">
      <w:pPr>
        <w:spacing w:line="360" w:lineRule="auto"/>
        <w:rPr>
          <w:rFonts w:ascii="Trebuchet MS" w:hAnsi="Trebuchet MS"/>
          <w:b/>
          <w:sz w:val="24"/>
          <w:szCs w:val="24"/>
        </w:rPr>
      </w:pPr>
      <w:r w:rsidRPr="005F0911">
        <w:rPr>
          <w:rFonts w:ascii="Trebuchet MS" w:hAnsi="Trebuchet MS"/>
          <w:b/>
          <w:sz w:val="24"/>
          <w:szCs w:val="24"/>
        </w:rPr>
        <w:t>Word Count 4219</w:t>
      </w:r>
      <w:bookmarkStart w:id="0" w:name="_GoBack"/>
      <w:bookmarkEnd w:id="0"/>
    </w:p>
    <w:p w14:paraId="0A67E733" w14:textId="77777777" w:rsidR="002814F2" w:rsidRPr="005131E0" w:rsidRDefault="002814F2" w:rsidP="002814F2">
      <w:pPr>
        <w:spacing w:after="0" w:line="240" w:lineRule="auto"/>
        <w:rPr>
          <w:rFonts w:ascii="Times New Roman" w:eastAsia="Times New Roman" w:hAnsi="Times New Roman" w:cs="Times New Roman"/>
          <w:b/>
          <w:color w:val="222222"/>
          <w:sz w:val="28"/>
          <w:szCs w:val="24"/>
          <w:u w:val="single"/>
          <w:lang w:eastAsia="en-GB"/>
        </w:rPr>
      </w:pPr>
      <w:r w:rsidRPr="005131E0">
        <w:rPr>
          <w:rFonts w:ascii="Times New Roman" w:eastAsia="Times New Roman" w:hAnsi="Times New Roman" w:cs="Times New Roman"/>
          <w:b/>
          <w:color w:val="222222"/>
          <w:sz w:val="28"/>
          <w:szCs w:val="24"/>
          <w:u w:val="single"/>
          <w:lang w:eastAsia="en-GB"/>
        </w:rPr>
        <w:lastRenderedPageBreak/>
        <w:t>References</w:t>
      </w:r>
    </w:p>
    <w:p w14:paraId="4F1D384A"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2F054188" w14:textId="77777777" w:rsidR="002814F2" w:rsidRPr="005D4A35" w:rsidRDefault="002814F2" w:rsidP="002814F2">
      <w:pPr>
        <w:spacing w:after="0" w:line="240" w:lineRule="auto"/>
        <w:rPr>
          <w:rFonts w:ascii="Times New Roman" w:eastAsia="Times New Roman" w:hAnsi="Times New Roman" w:cs="Times New Roman"/>
          <w:color w:val="222222"/>
          <w:sz w:val="24"/>
          <w:szCs w:val="24"/>
          <w:lang w:eastAsia="en-GB"/>
        </w:rPr>
      </w:pPr>
      <w:r w:rsidRPr="005D4A35">
        <w:rPr>
          <w:rFonts w:ascii="Times New Roman" w:eastAsia="Times New Roman" w:hAnsi="Times New Roman" w:cs="Times New Roman"/>
          <w:color w:val="222222"/>
          <w:sz w:val="24"/>
          <w:szCs w:val="24"/>
          <w:lang w:eastAsia="en-GB"/>
        </w:rPr>
        <w:t xml:space="preserve">Alidu, L. and Grunfeld, E.A., 2017. Gender differences in beliefs about health: a comparative qualitative study with Ghanaian and Indian migrants living in the United Kingdom. </w:t>
      </w:r>
      <w:r w:rsidRPr="005D4A35">
        <w:rPr>
          <w:rFonts w:ascii="Times New Roman" w:eastAsia="Times New Roman" w:hAnsi="Times New Roman" w:cs="Times New Roman"/>
          <w:i/>
          <w:iCs/>
          <w:color w:val="222222"/>
          <w:sz w:val="24"/>
          <w:szCs w:val="24"/>
          <w:lang w:eastAsia="en-GB"/>
        </w:rPr>
        <w:t>BMC psychology</w:t>
      </w:r>
      <w:r w:rsidRPr="005D4A35">
        <w:rPr>
          <w:rFonts w:ascii="Times New Roman" w:eastAsia="Times New Roman" w:hAnsi="Times New Roman" w:cs="Times New Roman"/>
          <w:color w:val="222222"/>
          <w:sz w:val="24"/>
          <w:szCs w:val="24"/>
          <w:lang w:eastAsia="en-GB"/>
        </w:rPr>
        <w:t xml:space="preserve">, </w:t>
      </w:r>
      <w:r w:rsidRPr="005D4A35">
        <w:rPr>
          <w:rFonts w:ascii="Times New Roman" w:eastAsia="Times New Roman" w:hAnsi="Times New Roman" w:cs="Times New Roman"/>
          <w:i/>
          <w:iCs/>
          <w:color w:val="222222"/>
          <w:sz w:val="24"/>
          <w:szCs w:val="24"/>
          <w:lang w:eastAsia="en-GB"/>
        </w:rPr>
        <w:t>5</w:t>
      </w:r>
      <w:r w:rsidRPr="005D4A35">
        <w:rPr>
          <w:rFonts w:ascii="Times New Roman" w:eastAsia="Times New Roman" w:hAnsi="Times New Roman" w:cs="Times New Roman"/>
          <w:color w:val="222222"/>
          <w:sz w:val="24"/>
          <w:szCs w:val="24"/>
          <w:lang w:eastAsia="en-GB"/>
        </w:rPr>
        <w:t>(1), p.8.</w:t>
      </w:r>
    </w:p>
    <w:p w14:paraId="77AFBF4B"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2C4A85A0" w14:textId="77777777" w:rsidR="002814F2" w:rsidRPr="00232569" w:rsidRDefault="002814F2" w:rsidP="002814F2">
      <w:pPr>
        <w:spacing w:after="0" w:line="240" w:lineRule="auto"/>
        <w:rPr>
          <w:rFonts w:ascii="Times New Roman" w:eastAsia="Times New Roman" w:hAnsi="Times New Roman" w:cs="Times New Roman"/>
          <w:color w:val="222222"/>
          <w:sz w:val="24"/>
          <w:szCs w:val="24"/>
          <w:lang w:eastAsia="en-GB"/>
        </w:rPr>
      </w:pPr>
      <w:r w:rsidRPr="00232569">
        <w:rPr>
          <w:rFonts w:ascii="Times New Roman" w:eastAsia="Times New Roman" w:hAnsi="Times New Roman" w:cs="Times New Roman"/>
          <w:color w:val="222222"/>
          <w:sz w:val="24"/>
          <w:szCs w:val="24"/>
          <w:lang w:eastAsia="en-GB"/>
        </w:rPr>
        <w:t xml:space="preserve">Allen, K., Treanor, J. and Goodley, S., 2016. Pound slumps to 31-year low following Brexit vote. </w:t>
      </w:r>
      <w:r w:rsidRPr="00232569">
        <w:rPr>
          <w:rFonts w:ascii="Times New Roman" w:eastAsia="Times New Roman" w:hAnsi="Times New Roman" w:cs="Times New Roman"/>
          <w:i/>
          <w:iCs/>
          <w:color w:val="222222"/>
          <w:sz w:val="24"/>
          <w:szCs w:val="24"/>
          <w:lang w:eastAsia="en-GB"/>
        </w:rPr>
        <w:t>The Guardian</w:t>
      </w:r>
      <w:r w:rsidRPr="00232569">
        <w:rPr>
          <w:rFonts w:ascii="Times New Roman" w:eastAsia="Times New Roman" w:hAnsi="Times New Roman" w:cs="Times New Roman"/>
          <w:color w:val="222222"/>
          <w:sz w:val="24"/>
          <w:szCs w:val="24"/>
          <w:lang w:eastAsia="en-GB"/>
        </w:rPr>
        <w:t xml:space="preserve">, </w:t>
      </w:r>
      <w:r w:rsidRPr="00232569">
        <w:rPr>
          <w:rFonts w:ascii="Times New Roman" w:eastAsia="Times New Roman" w:hAnsi="Times New Roman" w:cs="Times New Roman"/>
          <w:i/>
          <w:iCs/>
          <w:color w:val="222222"/>
          <w:sz w:val="24"/>
          <w:szCs w:val="24"/>
          <w:lang w:eastAsia="en-GB"/>
        </w:rPr>
        <w:t>24</w:t>
      </w:r>
      <w:r w:rsidRPr="00232569">
        <w:rPr>
          <w:rFonts w:ascii="Times New Roman" w:eastAsia="Times New Roman" w:hAnsi="Times New Roman" w:cs="Times New Roman"/>
          <w:color w:val="222222"/>
          <w:sz w:val="24"/>
          <w:szCs w:val="24"/>
          <w:lang w:eastAsia="en-GB"/>
        </w:rPr>
        <w:t>.</w:t>
      </w:r>
    </w:p>
    <w:p w14:paraId="41F51BD3"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7339392D"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r w:rsidRPr="00035756">
        <w:rPr>
          <w:rFonts w:ascii="Times New Roman" w:eastAsia="Times New Roman" w:hAnsi="Times New Roman" w:cs="Times New Roman"/>
          <w:color w:val="222222"/>
          <w:sz w:val="24"/>
          <w:szCs w:val="24"/>
          <w:lang w:eastAsia="en-GB"/>
        </w:rPr>
        <w:t xml:space="preserve">Andreu-Perez, J., Poon, C.C., Merrifield, R.D., Wong, S.T. and Yang, G.Z., 2015. Big data for health. </w:t>
      </w:r>
      <w:r w:rsidRPr="00035756">
        <w:rPr>
          <w:rFonts w:ascii="Times New Roman" w:eastAsia="Times New Roman" w:hAnsi="Times New Roman" w:cs="Times New Roman"/>
          <w:i/>
          <w:iCs/>
          <w:color w:val="222222"/>
          <w:sz w:val="24"/>
          <w:szCs w:val="24"/>
          <w:lang w:eastAsia="en-GB"/>
        </w:rPr>
        <w:t>IEEE J Biomed Health Inform</w:t>
      </w:r>
      <w:r w:rsidRPr="00035756">
        <w:rPr>
          <w:rFonts w:ascii="Times New Roman" w:eastAsia="Times New Roman" w:hAnsi="Times New Roman" w:cs="Times New Roman"/>
          <w:color w:val="222222"/>
          <w:sz w:val="24"/>
          <w:szCs w:val="24"/>
          <w:lang w:eastAsia="en-GB"/>
        </w:rPr>
        <w:t xml:space="preserve">, </w:t>
      </w:r>
      <w:r w:rsidRPr="00035756">
        <w:rPr>
          <w:rFonts w:ascii="Times New Roman" w:eastAsia="Times New Roman" w:hAnsi="Times New Roman" w:cs="Times New Roman"/>
          <w:i/>
          <w:iCs/>
          <w:color w:val="222222"/>
          <w:sz w:val="24"/>
          <w:szCs w:val="24"/>
          <w:lang w:eastAsia="en-GB"/>
        </w:rPr>
        <w:t>19</w:t>
      </w:r>
      <w:r w:rsidRPr="00035756">
        <w:rPr>
          <w:rFonts w:ascii="Times New Roman" w:eastAsia="Times New Roman" w:hAnsi="Times New Roman" w:cs="Times New Roman"/>
          <w:color w:val="222222"/>
          <w:sz w:val="24"/>
          <w:szCs w:val="24"/>
          <w:lang w:eastAsia="en-GB"/>
        </w:rPr>
        <w:t>(4), pp.1193-1208.</w:t>
      </w:r>
    </w:p>
    <w:p w14:paraId="75537725"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1E0EB3C4" w14:textId="77777777" w:rsidR="002814F2" w:rsidRPr="00D741F3" w:rsidRDefault="002814F2" w:rsidP="002814F2">
      <w:pPr>
        <w:spacing w:after="0" w:line="240" w:lineRule="auto"/>
        <w:rPr>
          <w:rFonts w:ascii="Times New Roman" w:eastAsia="Times New Roman" w:hAnsi="Times New Roman" w:cs="Times New Roman"/>
          <w:color w:val="222222"/>
          <w:sz w:val="24"/>
          <w:szCs w:val="24"/>
          <w:lang w:eastAsia="en-GB"/>
        </w:rPr>
      </w:pPr>
      <w:r w:rsidRPr="00D741F3">
        <w:rPr>
          <w:rFonts w:ascii="Times New Roman" w:eastAsia="Times New Roman" w:hAnsi="Times New Roman" w:cs="Times New Roman"/>
          <w:color w:val="222222"/>
          <w:sz w:val="24"/>
          <w:szCs w:val="24"/>
          <w:lang w:eastAsia="en-GB"/>
        </w:rPr>
        <w:t xml:space="preserve">Al-Rousan, T., Rubenstein, L., Sieleni, B., Deol, H. and Wallace, R.B., 2017. Inside the nation’s largest mental health institution: a prevalence study in a state prison system. </w:t>
      </w:r>
      <w:r w:rsidRPr="00D741F3">
        <w:rPr>
          <w:rFonts w:ascii="Times New Roman" w:eastAsia="Times New Roman" w:hAnsi="Times New Roman" w:cs="Times New Roman"/>
          <w:i/>
          <w:iCs/>
          <w:color w:val="222222"/>
          <w:sz w:val="24"/>
          <w:szCs w:val="24"/>
          <w:lang w:eastAsia="en-GB"/>
        </w:rPr>
        <w:t>BMC public health</w:t>
      </w:r>
      <w:r w:rsidRPr="00D741F3">
        <w:rPr>
          <w:rFonts w:ascii="Times New Roman" w:eastAsia="Times New Roman" w:hAnsi="Times New Roman" w:cs="Times New Roman"/>
          <w:color w:val="222222"/>
          <w:sz w:val="24"/>
          <w:szCs w:val="24"/>
          <w:lang w:eastAsia="en-GB"/>
        </w:rPr>
        <w:t xml:space="preserve">, </w:t>
      </w:r>
      <w:r w:rsidRPr="00D741F3">
        <w:rPr>
          <w:rFonts w:ascii="Times New Roman" w:eastAsia="Times New Roman" w:hAnsi="Times New Roman" w:cs="Times New Roman"/>
          <w:i/>
          <w:iCs/>
          <w:color w:val="222222"/>
          <w:sz w:val="24"/>
          <w:szCs w:val="24"/>
          <w:lang w:eastAsia="en-GB"/>
        </w:rPr>
        <w:t>17</w:t>
      </w:r>
      <w:r w:rsidRPr="00D741F3">
        <w:rPr>
          <w:rFonts w:ascii="Times New Roman" w:eastAsia="Times New Roman" w:hAnsi="Times New Roman" w:cs="Times New Roman"/>
          <w:color w:val="222222"/>
          <w:sz w:val="24"/>
          <w:szCs w:val="24"/>
          <w:lang w:eastAsia="en-GB"/>
        </w:rPr>
        <w:t>(1), p.342.</w:t>
      </w:r>
    </w:p>
    <w:p w14:paraId="35131A47"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38E3F8D9"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r w:rsidRPr="00DD7B27">
        <w:rPr>
          <w:rFonts w:ascii="Times New Roman" w:eastAsia="Times New Roman" w:hAnsi="Times New Roman" w:cs="Times New Roman"/>
          <w:color w:val="222222"/>
          <w:sz w:val="24"/>
          <w:szCs w:val="24"/>
          <w:lang w:eastAsia="en-GB"/>
        </w:rPr>
        <w:t>Bai, Y., Wells, R. and Hillemeier, M.M., 2009. Coordination between child welfare agencies and mental health service providers, children's service use, and outcomes</w:t>
      </w:r>
    </w:p>
    <w:p w14:paraId="1CCE7B9E"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38692D9F"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r w:rsidRPr="000F5F82">
        <w:rPr>
          <w:rFonts w:ascii="Times New Roman" w:eastAsia="Times New Roman" w:hAnsi="Times New Roman" w:cs="Times New Roman"/>
          <w:color w:val="222222"/>
          <w:sz w:val="24"/>
          <w:szCs w:val="24"/>
          <w:lang w:eastAsia="en-GB"/>
        </w:rPr>
        <w:t xml:space="preserve">Baker, C., 2017. NHS staff from overseas: statistics. </w:t>
      </w:r>
      <w:r w:rsidRPr="000F5F82">
        <w:rPr>
          <w:rFonts w:ascii="Times New Roman" w:eastAsia="Times New Roman" w:hAnsi="Times New Roman" w:cs="Times New Roman"/>
          <w:i/>
          <w:iCs/>
          <w:color w:val="222222"/>
          <w:sz w:val="24"/>
          <w:szCs w:val="24"/>
          <w:lang w:eastAsia="en-GB"/>
        </w:rPr>
        <w:t>House of Commons Library, Briefing Paper</w:t>
      </w:r>
      <w:r w:rsidRPr="000F5F82">
        <w:rPr>
          <w:rFonts w:ascii="Times New Roman" w:eastAsia="Times New Roman" w:hAnsi="Times New Roman" w:cs="Times New Roman"/>
          <w:color w:val="222222"/>
          <w:sz w:val="24"/>
          <w:szCs w:val="24"/>
          <w:lang w:eastAsia="en-GB"/>
        </w:rPr>
        <w:t>, (783).</w:t>
      </w:r>
    </w:p>
    <w:p w14:paraId="360802B5"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6C5C9A57"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 xml:space="preserve">BBC, 2017., </w:t>
      </w:r>
      <w:r w:rsidRPr="003B3739">
        <w:rPr>
          <w:rFonts w:ascii="Times New Roman" w:eastAsia="Times New Roman" w:hAnsi="Times New Roman" w:cs="Times New Roman"/>
          <w:color w:val="222222"/>
          <w:sz w:val="24"/>
          <w:szCs w:val="24"/>
          <w:lang w:eastAsia="en-GB"/>
        </w:rPr>
        <w:t>Southern Health NHS Trust admits guilt over Connor Sparrowhawk's death</w:t>
      </w:r>
    </w:p>
    <w:p w14:paraId="3799EB79"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Available:</w:t>
      </w:r>
      <w:r w:rsidRPr="003B3739">
        <w:t xml:space="preserve"> </w:t>
      </w:r>
      <w:hyperlink r:id="rId8" w:history="1">
        <w:r w:rsidRPr="00D17820">
          <w:rPr>
            <w:rStyle w:val="Hyperlink"/>
            <w:rFonts w:ascii="Times New Roman" w:eastAsia="Times New Roman" w:hAnsi="Times New Roman" w:cs="Times New Roman"/>
            <w:sz w:val="24"/>
            <w:szCs w:val="24"/>
            <w:lang w:eastAsia="en-GB"/>
          </w:rPr>
          <w:t>https://www.bbc.co.uk/news/uk-england-41310641</w:t>
        </w:r>
      </w:hyperlink>
      <w:r>
        <w:rPr>
          <w:rFonts w:ascii="Times New Roman" w:eastAsia="Times New Roman" w:hAnsi="Times New Roman" w:cs="Times New Roman"/>
          <w:color w:val="222222"/>
          <w:sz w:val="24"/>
          <w:szCs w:val="24"/>
          <w:lang w:eastAsia="en-GB"/>
        </w:rPr>
        <w:t xml:space="preserve"> (Accessed 8 August 2018)</w:t>
      </w:r>
    </w:p>
    <w:p w14:paraId="26EB6224"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2F20C91C" w14:textId="77777777" w:rsidR="002814F2" w:rsidRPr="0063709B" w:rsidRDefault="002814F2" w:rsidP="002814F2">
      <w:pPr>
        <w:spacing w:after="0" w:line="240" w:lineRule="auto"/>
        <w:rPr>
          <w:rFonts w:ascii="Times New Roman" w:eastAsia="Times New Roman" w:hAnsi="Times New Roman" w:cs="Times New Roman"/>
          <w:color w:val="222222"/>
          <w:sz w:val="24"/>
          <w:szCs w:val="24"/>
          <w:lang w:eastAsia="en-GB"/>
        </w:rPr>
      </w:pPr>
      <w:r w:rsidRPr="0063709B">
        <w:rPr>
          <w:rFonts w:ascii="Times New Roman" w:eastAsia="Times New Roman" w:hAnsi="Times New Roman" w:cs="Times New Roman"/>
          <w:color w:val="222222"/>
          <w:sz w:val="24"/>
          <w:szCs w:val="24"/>
          <w:lang w:eastAsia="en-GB"/>
        </w:rPr>
        <w:t xml:space="preserve">Blunt, I., Edwards, N. and Merry, L., 2015. What’s behind the A&amp;E ‘crisis’. </w:t>
      </w:r>
      <w:r w:rsidRPr="0063709B">
        <w:rPr>
          <w:rFonts w:ascii="Times New Roman" w:eastAsia="Times New Roman" w:hAnsi="Times New Roman" w:cs="Times New Roman"/>
          <w:i/>
          <w:iCs/>
          <w:color w:val="222222"/>
          <w:sz w:val="24"/>
          <w:szCs w:val="24"/>
          <w:lang w:eastAsia="en-GB"/>
        </w:rPr>
        <w:t>London: Nuffield Trust</w:t>
      </w:r>
      <w:r w:rsidRPr="0063709B">
        <w:rPr>
          <w:rFonts w:ascii="Times New Roman" w:eastAsia="Times New Roman" w:hAnsi="Times New Roman" w:cs="Times New Roman"/>
          <w:color w:val="222222"/>
          <w:sz w:val="24"/>
          <w:szCs w:val="24"/>
          <w:lang w:eastAsia="en-GB"/>
        </w:rPr>
        <w:t>.</w:t>
      </w:r>
    </w:p>
    <w:p w14:paraId="17CFFC55"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21101575"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r w:rsidRPr="004276A9">
        <w:rPr>
          <w:rFonts w:ascii="Times New Roman" w:eastAsia="Times New Roman" w:hAnsi="Times New Roman" w:cs="Times New Roman"/>
          <w:color w:val="222222"/>
          <w:sz w:val="24"/>
          <w:szCs w:val="24"/>
          <w:lang w:eastAsia="en-GB"/>
        </w:rPr>
        <w:t>Brown, J., Apostolova, V., Barton, C., Bolton, P., Dempsey, N., Harari, D., Hawkins, O., McGuinness, F. and Powell, A., 2017. House of Commons Library: Briefing paper: Number 7946, 11 April 2017: Millennials.</w:t>
      </w:r>
    </w:p>
    <w:p w14:paraId="0113F569"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75BA70B1"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r w:rsidRPr="00A36CE4">
        <w:rPr>
          <w:rFonts w:ascii="Times New Roman" w:eastAsia="Times New Roman" w:hAnsi="Times New Roman" w:cs="Times New Roman"/>
          <w:color w:val="222222"/>
          <w:sz w:val="24"/>
          <w:szCs w:val="24"/>
          <w:lang w:eastAsia="en-GB"/>
        </w:rPr>
        <w:t>Bowen, H.P., Baker, H.K. and Powell, G.E., 2015. Globalization and diversification strategy: A managerial perspective. Scandinavian Journal of Management, 31(1), pp.25-39.</w:t>
      </w:r>
    </w:p>
    <w:p w14:paraId="0C82354F"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7A43D237" w14:textId="77777777" w:rsidR="002814F2" w:rsidRPr="00A63D3B" w:rsidRDefault="002814F2" w:rsidP="002814F2">
      <w:pPr>
        <w:spacing w:after="0" w:line="240" w:lineRule="auto"/>
        <w:rPr>
          <w:rFonts w:ascii="Times New Roman" w:eastAsia="Times New Roman" w:hAnsi="Times New Roman" w:cs="Times New Roman"/>
          <w:color w:val="222222"/>
          <w:sz w:val="24"/>
          <w:szCs w:val="24"/>
          <w:lang w:eastAsia="en-GB"/>
        </w:rPr>
      </w:pPr>
      <w:r w:rsidRPr="00A63D3B">
        <w:rPr>
          <w:rFonts w:ascii="Times New Roman" w:eastAsia="Times New Roman" w:hAnsi="Times New Roman" w:cs="Times New Roman"/>
          <w:color w:val="222222"/>
          <w:sz w:val="24"/>
          <w:szCs w:val="24"/>
          <w:lang w:eastAsia="en-GB"/>
        </w:rPr>
        <w:t xml:space="preserve">Checkland, K., McDermott, I., Coleman, A. and Perkins, N., 2016. Complexity in the new NHS: longitudinal case studies of CCGs in England. </w:t>
      </w:r>
      <w:r w:rsidRPr="00A63D3B">
        <w:rPr>
          <w:rFonts w:ascii="Times New Roman" w:eastAsia="Times New Roman" w:hAnsi="Times New Roman" w:cs="Times New Roman"/>
          <w:i/>
          <w:iCs/>
          <w:color w:val="222222"/>
          <w:sz w:val="24"/>
          <w:szCs w:val="24"/>
          <w:lang w:eastAsia="en-GB"/>
        </w:rPr>
        <w:t>BMJ open</w:t>
      </w:r>
      <w:r w:rsidRPr="00A63D3B">
        <w:rPr>
          <w:rFonts w:ascii="Times New Roman" w:eastAsia="Times New Roman" w:hAnsi="Times New Roman" w:cs="Times New Roman"/>
          <w:color w:val="222222"/>
          <w:sz w:val="24"/>
          <w:szCs w:val="24"/>
          <w:lang w:eastAsia="en-GB"/>
        </w:rPr>
        <w:t xml:space="preserve">, </w:t>
      </w:r>
      <w:r w:rsidRPr="00A63D3B">
        <w:rPr>
          <w:rFonts w:ascii="Times New Roman" w:eastAsia="Times New Roman" w:hAnsi="Times New Roman" w:cs="Times New Roman"/>
          <w:i/>
          <w:iCs/>
          <w:color w:val="222222"/>
          <w:sz w:val="24"/>
          <w:szCs w:val="24"/>
          <w:lang w:eastAsia="en-GB"/>
        </w:rPr>
        <w:t>6</w:t>
      </w:r>
      <w:r w:rsidRPr="00A63D3B">
        <w:rPr>
          <w:rFonts w:ascii="Times New Roman" w:eastAsia="Times New Roman" w:hAnsi="Times New Roman" w:cs="Times New Roman"/>
          <w:color w:val="222222"/>
          <w:sz w:val="24"/>
          <w:szCs w:val="24"/>
          <w:lang w:eastAsia="en-GB"/>
        </w:rPr>
        <w:t>(1), p.e010199.</w:t>
      </w:r>
    </w:p>
    <w:p w14:paraId="16E482DE"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577D2DED"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r w:rsidRPr="005160D8">
        <w:rPr>
          <w:rFonts w:ascii="Times New Roman" w:eastAsia="Times New Roman" w:hAnsi="Times New Roman" w:cs="Times New Roman"/>
          <w:color w:val="222222"/>
          <w:sz w:val="24"/>
          <w:szCs w:val="24"/>
          <w:lang w:eastAsia="en-GB"/>
        </w:rPr>
        <w:t>de Roest, K., Ferrari, P. and Knickel, K., 2018. Specialisation and economies of scale or diversification and economies of scope? Assessing different agricultural development pathways. Journal of Rural Studies, 59, pp.222-231.</w:t>
      </w:r>
    </w:p>
    <w:p w14:paraId="7857CE89"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5B9B5E1F" w14:textId="77777777" w:rsidR="002814F2" w:rsidRPr="00232569" w:rsidRDefault="002814F2" w:rsidP="002814F2">
      <w:pPr>
        <w:spacing w:after="0" w:line="240" w:lineRule="auto"/>
        <w:rPr>
          <w:rFonts w:ascii="Times New Roman" w:eastAsia="Times New Roman" w:hAnsi="Times New Roman" w:cs="Times New Roman"/>
          <w:color w:val="222222"/>
          <w:sz w:val="24"/>
          <w:szCs w:val="24"/>
          <w:lang w:eastAsia="en-GB"/>
        </w:rPr>
      </w:pPr>
      <w:r w:rsidRPr="00232569">
        <w:rPr>
          <w:rFonts w:ascii="Times New Roman" w:eastAsia="Times New Roman" w:hAnsi="Times New Roman" w:cs="Times New Roman"/>
          <w:color w:val="222222"/>
          <w:sz w:val="24"/>
          <w:szCs w:val="24"/>
          <w:lang w:eastAsia="en-GB"/>
        </w:rPr>
        <w:t>Dhingra, S., Ottaviano, G.I., Sampson, T. and Reenen, J.V., 2016. The consequences of Brexit for UK trade and living standards.</w:t>
      </w:r>
    </w:p>
    <w:p w14:paraId="7276AAF1"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4D88DE07" w14:textId="77777777" w:rsidR="002814F2" w:rsidRPr="008E2D85" w:rsidRDefault="002814F2" w:rsidP="002814F2">
      <w:pPr>
        <w:spacing w:after="0" w:line="240" w:lineRule="auto"/>
        <w:rPr>
          <w:rFonts w:ascii="Times New Roman" w:eastAsia="Times New Roman" w:hAnsi="Times New Roman" w:cs="Times New Roman"/>
          <w:color w:val="222222"/>
          <w:sz w:val="24"/>
          <w:szCs w:val="24"/>
          <w:lang w:eastAsia="en-GB"/>
        </w:rPr>
      </w:pPr>
      <w:r w:rsidRPr="008E2D85">
        <w:rPr>
          <w:rFonts w:ascii="Times New Roman" w:eastAsia="Times New Roman" w:hAnsi="Times New Roman" w:cs="Times New Roman"/>
          <w:color w:val="222222"/>
          <w:sz w:val="24"/>
          <w:szCs w:val="24"/>
          <w:lang w:eastAsia="en-GB"/>
        </w:rPr>
        <w:t xml:space="preserve">Donovan, A. and Finn, D., 2013. PwC’s NextGen: A global generational study 2013. </w:t>
      </w:r>
      <w:r w:rsidRPr="008E2D85">
        <w:rPr>
          <w:rFonts w:ascii="Times New Roman" w:eastAsia="Times New Roman" w:hAnsi="Times New Roman" w:cs="Times New Roman"/>
          <w:i/>
          <w:iCs/>
          <w:color w:val="222222"/>
          <w:sz w:val="24"/>
          <w:szCs w:val="24"/>
          <w:lang w:eastAsia="en-GB"/>
        </w:rPr>
        <w:t>Summary and compendium of findings, Los Angeles</w:t>
      </w:r>
      <w:r w:rsidRPr="008E2D85">
        <w:rPr>
          <w:rFonts w:ascii="Times New Roman" w:eastAsia="Times New Roman" w:hAnsi="Times New Roman" w:cs="Times New Roman"/>
          <w:color w:val="222222"/>
          <w:sz w:val="24"/>
          <w:szCs w:val="24"/>
          <w:lang w:eastAsia="en-GB"/>
        </w:rPr>
        <w:t>.</w:t>
      </w:r>
    </w:p>
    <w:p w14:paraId="16BAA3C3"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112934ED"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EMA, 2018. What we do.</w:t>
      </w:r>
    </w:p>
    <w:p w14:paraId="74E02DB4"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Available:</w:t>
      </w:r>
    </w:p>
    <w:p w14:paraId="574648C7" w14:textId="77777777" w:rsidR="002814F2" w:rsidRDefault="005F0911" w:rsidP="002814F2">
      <w:pPr>
        <w:spacing w:after="0" w:line="240" w:lineRule="auto"/>
        <w:rPr>
          <w:rFonts w:ascii="Times New Roman" w:eastAsia="Times New Roman" w:hAnsi="Times New Roman" w:cs="Times New Roman"/>
          <w:color w:val="222222"/>
          <w:sz w:val="24"/>
          <w:szCs w:val="24"/>
          <w:lang w:eastAsia="en-GB"/>
        </w:rPr>
      </w:pPr>
      <w:hyperlink r:id="rId9" w:history="1">
        <w:r w:rsidR="002814F2" w:rsidRPr="00D17820">
          <w:rPr>
            <w:rStyle w:val="Hyperlink"/>
            <w:rFonts w:ascii="Times New Roman" w:eastAsia="Times New Roman" w:hAnsi="Times New Roman" w:cs="Times New Roman"/>
            <w:sz w:val="24"/>
            <w:szCs w:val="24"/>
            <w:lang w:eastAsia="en-GB"/>
          </w:rPr>
          <w:t>http://www.ema.europa.eu/ema/index.jsp?curl=pages/about_us/general/general_content_000091.jsp&amp;mid=WC0b01ac0580028a42</w:t>
        </w:r>
      </w:hyperlink>
      <w:r w:rsidR="002814F2">
        <w:rPr>
          <w:rFonts w:ascii="Times New Roman" w:eastAsia="Times New Roman" w:hAnsi="Times New Roman" w:cs="Times New Roman"/>
          <w:color w:val="222222"/>
          <w:sz w:val="24"/>
          <w:szCs w:val="24"/>
          <w:lang w:eastAsia="en-GB"/>
        </w:rPr>
        <w:t xml:space="preserve"> (accessed 7 August 2018).</w:t>
      </w:r>
    </w:p>
    <w:p w14:paraId="3E62D3D5"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70656E8A"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r w:rsidRPr="00FB5F1F">
        <w:rPr>
          <w:rFonts w:ascii="Times New Roman" w:eastAsia="Times New Roman" w:hAnsi="Times New Roman" w:cs="Times New Roman"/>
          <w:color w:val="222222"/>
          <w:sz w:val="24"/>
          <w:szCs w:val="24"/>
          <w:lang w:eastAsia="en-GB"/>
        </w:rPr>
        <w:t>England, N.H.S., 2014. Local health professionals to get more power to improve NHS primary care.</w:t>
      </w:r>
      <w:r>
        <w:rPr>
          <w:rFonts w:ascii="Times New Roman" w:eastAsia="Times New Roman" w:hAnsi="Times New Roman" w:cs="Times New Roman"/>
          <w:color w:val="222222"/>
          <w:sz w:val="24"/>
          <w:szCs w:val="24"/>
          <w:lang w:eastAsia="en-GB"/>
        </w:rPr>
        <w:t xml:space="preserve"> Available: </w:t>
      </w:r>
      <w:hyperlink r:id="rId10" w:history="1">
        <w:r w:rsidRPr="0092054D">
          <w:rPr>
            <w:rStyle w:val="Hyperlink"/>
            <w:rFonts w:ascii="Times New Roman" w:eastAsia="Times New Roman" w:hAnsi="Times New Roman" w:cs="Times New Roman"/>
            <w:sz w:val="24"/>
            <w:szCs w:val="24"/>
            <w:lang w:eastAsia="en-GB"/>
          </w:rPr>
          <w:t>https://www.england.nhs.uk/2014/05/power-improve-pc/</w:t>
        </w:r>
      </w:hyperlink>
    </w:p>
    <w:p w14:paraId="7E4E8E01" w14:textId="77777777" w:rsidR="002814F2" w:rsidRPr="00FB5F1F" w:rsidRDefault="002814F2" w:rsidP="002814F2">
      <w:pPr>
        <w:spacing w:after="0" w:line="240" w:lineRule="auto"/>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(Accessed, 10 August 2018).</w:t>
      </w:r>
    </w:p>
    <w:p w14:paraId="26AAAF88"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7D1CAEEC"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r w:rsidRPr="003800B6">
        <w:rPr>
          <w:rFonts w:ascii="Times New Roman" w:eastAsia="Times New Roman" w:hAnsi="Times New Roman" w:cs="Times New Roman"/>
          <w:color w:val="222222"/>
          <w:sz w:val="24"/>
          <w:szCs w:val="24"/>
          <w:lang w:eastAsia="en-GB"/>
        </w:rPr>
        <w:t xml:space="preserve">Fahy, N., Hervey, T., Greer, S., Jarman, H., Stuckler, D., Galsworthy, M. and McKee, M., 2017. How will Brexit affect health and health services in the UK? Evaluating three possible scenarios. </w:t>
      </w:r>
      <w:r w:rsidRPr="003800B6">
        <w:rPr>
          <w:rFonts w:ascii="Times New Roman" w:eastAsia="Times New Roman" w:hAnsi="Times New Roman" w:cs="Times New Roman"/>
          <w:i/>
          <w:iCs/>
          <w:color w:val="222222"/>
          <w:sz w:val="24"/>
          <w:szCs w:val="24"/>
          <w:lang w:eastAsia="en-GB"/>
        </w:rPr>
        <w:t>The Lancet</w:t>
      </w:r>
      <w:r w:rsidRPr="003800B6">
        <w:rPr>
          <w:rFonts w:ascii="Times New Roman" w:eastAsia="Times New Roman" w:hAnsi="Times New Roman" w:cs="Times New Roman"/>
          <w:color w:val="222222"/>
          <w:sz w:val="24"/>
          <w:szCs w:val="24"/>
          <w:lang w:eastAsia="en-GB"/>
        </w:rPr>
        <w:t xml:space="preserve">, </w:t>
      </w:r>
      <w:r w:rsidRPr="003800B6">
        <w:rPr>
          <w:rFonts w:ascii="Times New Roman" w:eastAsia="Times New Roman" w:hAnsi="Times New Roman" w:cs="Times New Roman"/>
          <w:i/>
          <w:iCs/>
          <w:color w:val="222222"/>
          <w:sz w:val="24"/>
          <w:szCs w:val="24"/>
          <w:lang w:eastAsia="en-GB"/>
        </w:rPr>
        <w:t>390</w:t>
      </w:r>
      <w:r w:rsidRPr="003800B6">
        <w:rPr>
          <w:rFonts w:ascii="Times New Roman" w:eastAsia="Times New Roman" w:hAnsi="Times New Roman" w:cs="Times New Roman"/>
          <w:color w:val="222222"/>
          <w:sz w:val="24"/>
          <w:szCs w:val="24"/>
          <w:lang w:eastAsia="en-GB"/>
        </w:rPr>
        <w:t>(10107), pp.2110-2118.</w:t>
      </w:r>
    </w:p>
    <w:p w14:paraId="506F8E9E" w14:textId="77777777" w:rsidR="002814F2" w:rsidRPr="00F6073F" w:rsidRDefault="002814F2" w:rsidP="002814F2">
      <w:pPr>
        <w:spacing w:after="0" w:line="240" w:lineRule="auto"/>
        <w:rPr>
          <w:rFonts w:ascii="Times New Roman" w:eastAsia="Times New Roman" w:hAnsi="Times New Roman" w:cs="Times New Roman"/>
          <w:color w:val="222222"/>
          <w:sz w:val="24"/>
          <w:szCs w:val="24"/>
          <w:lang w:eastAsia="en-GB"/>
        </w:rPr>
      </w:pPr>
      <w:r w:rsidRPr="00F6073F">
        <w:rPr>
          <w:rFonts w:ascii="Times New Roman" w:eastAsia="Times New Roman" w:hAnsi="Times New Roman" w:cs="Times New Roman"/>
          <w:color w:val="222222"/>
          <w:sz w:val="24"/>
          <w:szCs w:val="24"/>
          <w:lang w:eastAsia="en-GB"/>
        </w:rPr>
        <w:t xml:space="preserve">Fischer, F.H., Lewith, G., Witt, C.M., Linde, K., von Ammon, K., Cardini, F., Falkenberg, T., Fønnebø, V., Johannessen, H., Reiter, B. and Uehleke, B., 2014. High prevalence but limited evidence in complementary and alternative medicine: guidelines for future research. </w:t>
      </w:r>
      <w:r w:rsidRPr="00F6073F">
        <w:rPr>
          <w:rFonts w:ascii="Times New Roman" w:eastAsia="Times New Roman" w:hAnsi="Times New Roman" w:cs="Times New Roman"/>
          <w:i/>
          <w:iCs/>
          <w:color w:val="222222"/>
          <w:sz w:val="24"/>
          <w:szCs w:val="24"/>
          <w:lang w:eastAsia="en-GB"/>
        </w:rPr>
        <w:t>BMC complementary and alternative medicine</w:t>
      </w:r>
      <w:r w:rsidRPr="00F6073F">
        <w:rPr>
          <w:rFonts w:ascii="Times New Roman" w:eastAsia="Times New Roman" w:hAnsi="Times New Roman" w:cs="Times New Roman"/>
          <w:color w:val="222222"/>
          <w:sz w:val="24"/>
          <w:szCs w:val="24"/>
          <w:lang w:eastAsia="en-GB"/>
        </w:rPr>
        <w:t xml:space="preserve">, </w:t>
      </w:r>
      <w:r w:rsidRPr="00F6073F">
        <w:rPr>
          <w:rFonts w:ascii="Times New Roman" w:eastAsia="Times New Roman" w:hAnsi="Times New Roman" w:cs="Times New Roman"/>
          <w:i/>
          <w:iCs/>
          <w:color w:val="222222"/>
          <w:sz w:val="24"/>
          <w:szCs w:val="24"/>
          <w:lang w:eastAsia="en-GB"/>
        </w:rPr>
        <w:t>14</w:t>
      </w:r>
      <w:r w:rsidRPr="00F6073F">
        <w:rPr>
          <w:rFonts w:ascii="Times New Roman" w:eastAsia="Times New Roman" w:hAnsi="Times New Roman" w:cs="Times New Roman"/>
          <w:color w:val="222222"/>
          <w:sz w:val="24"/>
          <w:szCs w:val="24"/>
          <w:lang w:eastAsia="en-GB"/>
        </w:rPr>
        <w:t>(1), p.46.</w:t>
      </w:r>
    </w:p>
    <w:p w14:paraId="62BF190A"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58308613" w14:textId="77777777" w:rsidR="002814F2" w:rsidRPr="0063709B" w:rsidRDefault="002814F2" w:rsidP="002814F2">
      <w:pPr>
        <w:spacing w:after="0" w:line="240" w:lineRule="auto"/>
        <w:rPr>
          <w:rFonts w:ascii="Times New Roman" w:eastAsia="Times New Roman" w:hAnsi="Times New Roman" w:cs="Times New Roman"/>
          <w:color w:val="222222"/>
          <w:sz w:val="24"/>
          <w:szCs w:val="24"/>
          <w:lang w:eastAsia="en-GB"/>
        </w:rPr>
      </w:pPr>
      <w:r w:rsidRPr="0063709B">
        <w:rPr>
          <w:rFonts w:ascii="Times New Roman" w:eastAsia="Times New Roman" w:hAnsi="Times New Roman" w:cs="Times New Roman"/>
          <w:color w:val="222222"/>
          <w:sz w:val="24"/>
          <w:szCs w:val="24"/>
          <w:lang w:eastAsia="en-GB"/>
        </w:rPr>
        <w:t xml:space="preserve">Hajat, S., Vardoulakis, S., Heaviside, C. and Eggen, B., 2014. Climate change effects on human health: projections of temperature-related mortality for the UK during the 2020s, 2050s and 2080s. </w:t>
      </w:r>
      <w:r w:rsidRPr="0063709B">
        <w:rPr>
          <w:rFonts w:ascii="Times New Roman" w:eastAsia="Times New Roman" w:hAnsi="Times New Roman" w:cs="Times New Roman"/>
          <w:i/>
          <w:iCs/>
          <w:color w:val="222222"/>
          <w:sz w:val="24"/>
          <w:szCs w:val="24"/>
          <w:lang w:eastAsia="en-GB"/>
        </w:rPr>
        <w:t>J Epidemiol Community Health</w:t>
      </w:r>
      <w:r w:rsidRPr="0063709B">
        <w:rPr>
          <w:rFonts w:ascii="Times New Roman" w:eastAsia="Times New Roman" w:hAnsi="Times New Roman" w:cs="Times New Roman"/>
          <w:color w:val="222222"/>
          <w:sz w:val="24"/>
          <w:szCs w:val="24"/>
          <w:lang w:eastAsia="en-GB"/>
        </w:rPr>
        <w:t xml:space="preserve">, </w:t>
      </w:r>
      <w:r w:rsidRPr="0063709B">
        <w:rPr>
          <w:rFonts w:ascii="Times New Roman" w:eastAsia="Times New Roman" w:hAnsi="Times New Roman" w:cs="Times New Roman"/>
          <w:i/>
          <w:iCs/>
          <w:color w:val="222222"/>
          <w:sz w:val="24"/>
          <w:szCs w:val="24"/>
          <w:lang w:eastAsia="en-GB"/>
        </w:rPr>
        <w:t>68</w:t>
      </w:r>
      <w:r w:rsidRPr="0063709B">
        <w:rPr>
          <w:rFonts w:ascii="Times New Roman" w:eastAsia="Times New Roman" w:hAnsi="Times New Roman" w:cs="Times New Roman"/>
          <w:color w:val="222222"/>
          <w:sz w:val="24"/>
          <w:szCs w:val="24"/>
          <w:lang w:eastAsia="en-GB"/>
        </w:rPr>
        <w:t>(7), pp.641-648.</w:t>
      </w:r>
    </w:p>
    <w:p w14:paraId="589460E4"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4F55EA70" w14:textId="77777777" w:rsidR="002814F2" w:rsidRPr="00CB0089" w:rsidRDefault="002814F2" w:rsidP="002814F2">
      <w:pPr>
        <w:spacing w:after="0" w:line="240" w:lineRule="auto"/>
        <w:rPr>
          <w:rFonts w:ascii="Times New Roman" w:eastAsia="Times New Roman" w:hAnsi="Times New Roman" w:cs="Times New Roman"/>
          <w:color w:val="222222"/>
          <w:sz w:val="24"/>
          <w:szCs w:val="24"/>
          <w:lang w:eastAsia="en-GB"/>
        </w:rPr>
      </w:pPr>
      <w:r w:rsidRPr="00CB0089">
        <w:rPr>
          <w:rFonts w:ascii="Times New Roman" w:eastAsia="Times New Roman" w:hAnsi="Times New Roman" w:cs="Times New Roman"/>
          <w:color w:val="222222"/>
          <w:sz w:val="24"/>
          <w:szCs w:val="24"/>
          <w:lang w:eastAsia="en-GB"/>
        </w:rPr>
        <w:t xml:space="preserve">Honeyman, M., Dunn, P. and McKenna, H., 2016. A Digital NHS. </w:t>
      </w:r>
      <w:r w:rsidRPr="00CB0089">
        <w:rPr>
          <w:rFonts w:ascii="Times New Roman" w:eastAsia="Times New Roman" w:hAnsi="Times New Roman" w:cs="Times New Roman"/>
          <w:i/>
          <w:iCs/>
          <w:color w:val="222222"/>
          <w:sz w:val="24"/>
          <w:szCs w:val="24"/>
          <w:lang w:eastAsia="en-GB"/>
        </w:rPr>
        <w:t>An introduction to the Digital agenda and plans for implementation</w:t>
      </w:r>
      <w:r w:rsidRPr="00CB0089">
        <w:rPr>
          <w:rFonts w:ascii="Times New Roman" w:eastAsia="Times New Roman" w:hAnsi="Times New Roman" w:cs="Times New Roman"/>
          <w:color w:val="222222"/>
          <w:sz w:val="24"/>
          <w:szCs w:val="24"/>
          <w:lang w:eastAsia="en-GB"/>
        </w:rPr>
        <w:t>.</w:t>
      </w:r>
    </w:p>
    <w:p w14:paraId="2E0F9BD6"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27DA2FB8" w14:textId="77777777" w:rsidR="002814F2" w:rsidRPr="00E80F73" w:rsidRDefault="002814F2" w:rsidP="002814F2">
      <w:pPr>
        <w:spacing w:after="0" w:line="240" w:lineRule="auto"/>
        <w:rPr>
          <w:rFonts w:ascii="Times New Roman" w:eastAsia="Times New Roman" w:hAnsi="Times New Roman" w:cs="Times New Roman"/>
          <w:color w:val="222222"/>
          <w:sz w:val="24"/>
          <w:szCs w:val="24"/>
          <w:lang w:eastAsia="en-GB"/>
        </w:rPr>
      </w:pPr>
      <w:r w:rsidRPr="00E80F73">
        <w:rPr>
          <w:rFonts w:ascii="Times New Roman" w:eastAsia="Times New Roman" w:hAnsi="Times New Roman" w:cs="Times New Roman"/>
          <w:color w:val="222222"/>
          <w:sz w:val="24"/>
          <w:szCs w:val="24"/>
          <w:lang w:eastAsia="en-GB"/>
        </w:rPr>
        <w:t>Kulik, C.T., Ryan, S., Harper, S. and George, G., 2014. Aging populations and management.</w:t>
      </w:r>
    </w:p>
    <w:p w14:paraId="78656A8D"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65B592B7"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r w:rsidRPr="00427F8C">
        <w:rPr>
          <w:rFonts w:ascii="Times New Roman" w:eastAsia="Times New Roman" w:hAnsi="Times New Roman" w:cs="Times New Roman"/>
          <w:color w:val="222222"/>
          <w:sz w:val="24"/>
          <w:szCs w:val="24"/>
          <w:lang w:eastAsia="en-GB"/>
        </w:rPr>
        <w:t xml:space="preserve">Maestas, N., Mullen, K.J. and Powell, D., 2016. </w:t>
      </w:r>
      <w:r w:rsidRPr="00427F8C">
        <w:rPr>
          <w:rFonts w:ascii="Times New Roman" w:eastAsia="Times New Roman" w:hAnsi="Times New Roman" w:cs="Times New Roman"/>
          <w:i/>
          <w:iCs/>
          <w:color w:val="222222"/>
          <w:sz w:val="24"/>
          <w:szCs w:val="24"/>
          <w:lang w:eastAsia="en-GB"/>
        </w:rPr>
        <w:t>The effect of population aging on economic growth, the labor force and productivity</w:t>
      </w:r>
      <w:r w:rsidRPr="00427F8C">
        <w:rPr>
          <w:rFonts w:ascii="Times New Roman" w:eastAsia="Times New Roman" w:hAnsi="Times New Roman" w:cs="Times New Roman"/>
          <w:color w:val="222222"/>
          <w:sz w:val="24"/>
          <w:szCs w:val="24"/>
          <w:lang w:eastAsia="en-GB"/>
        </w:rPr>
        <w:t xml:space="preserve"> (No. w22452). National Bureau of Economic Research.</w:t>
      </w:r>
    </w:p>
    <w:p w14:paraId="01CA5B1D"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4B1618D6" w14:textId="77777777" w:rsidR="002814F2" w:rsidRPr="00427F8C" w:rsidRDefault="002814F2" w:rsidP="002814F2">
      <w:pPr>
        <w:spacing w:after="0" w:line="240" w:lineRule="auto"/>
        <w:rPr>
          <w:rFonts w:ascii="Times New Roman" w:eastAsia="Times New Roman" w:hAnsi="Times New Roman" w:cs="Times New Roman"/>
          <w:color w:val="222222"/>
          <w:sz w:val="24"/>
          <w:szCs w:val="24"/>
          <w:lang w:eastAsia="en-GB"/>
        </w:rPr>
      </w:pPr>
      <w:r w:rsidRPr="0067327C">
        <w:rPr>
          <w:spacing w:val="-5"/>
          <w:lang w:val="en"/>
        </w:rPr>
        <w:t>McKinsey</w:t>
      </w:r>
      <w:r>
        <w:rPr>
          <w:spacing w:val="-5"/>
          <w:lang w:val="en"/>
        </w:rPr>
        <w:t xml:space="preserve">, 2017 How health apps are promising to reshape healthcare Available at:  </w:t>
      </w:r>
      <w:hyperlink r:id="rId11" w:history="1">
        <w:r w:rsidRPr="0092054D">
          <w:rPr>
            <w:rStyle w:val="Hyperlink"/>
            <w:spacing w:val="-5"/>
            <w:lang w:val="en"/>
          </w:rPr>
          <w:t>https://www.mckinsey.com/industries/pharmaceuticals-and-medical-products/our-insights/how-health-apps-are-promising-to-reshape-healthcare</w:t>
        </w:r>
      </w:hyperlink>
      <w:r>
        <w:rPr>
          <w:spacing w:val="-5"/>
          <w:lang w:val="en"/>
        </w:rPr>
        <w:t xml:space="preserve">  (Accessed August 10 2018).</w:t>
      </w:r>
    </w:p>
    <w:p w14:paraId="29C3B784"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54641167" w14:textId="77777777" w:rsidR="002814F2" w:rsidRDefault="002814F2" w:rsidP="002814F2">
      <w:pPr>
        <w:spacing w:after="0" w:line="240" w:lineRule="auto"/>
      </w:pPr>
      <w:r>
        <w:t>NHS Employers (2018) Age in the NHS (infographic) Available at:</w:t>
      </w:r>
    </w:p>
    <w:p w14:paraId="1DFC7D14" w14:textId="77777777" w:rsidR="002814F2" w:rsidRDefault="005F0911" w:rsidP="002814F2">
      <w:pPr>
        <w:spacing w:after="0" w:line="240" w:lineRule="auto"/>
      </w:pPr>
      <w:hyperlink r:id="rId12" w:history="1">
        <w:r w:rsidR="002814F2" w:rsidRPr="00D17820">
          <w:rPr>
            <w:rStyle w:val="Hyperlink"/>
          </w:rPr>
          <w:t>https://www.nhsemployers.org/-/media/Employers/Publications/Age-in-the-NHS.pdf</w:t>
        </w:r>
      </w:hyperlink>
    </w:p>
    <w:p w14:paraId="7A5727E0" w14:textId="77777777" w:rsidR="002814F2" w:rsidRDefault="002814F2" w:rsidP="002814F2">
      <w:pPr>
        <w:spacing w:after="0" w:line="240" w:lineRule="auto"/>
      </w:pPr>
      <w:r>
        <w:t>(Accessed 8 August, 2018)</w:t>
      </w:r>
    </w:p>
    <w:p w14:paraId="7CA1C4BE"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65059D57"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NMC, 2018. The NMC Register</w:t>
      </w:r>
    </w:p>
    <w:p w14:paraId="2371F73C"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 xml:space="preserve">Available: </w:t>
      </w:r>
      <w:hyperlink r:id="rId13" w:history="1">
        <w:r w:rsidRPr="00D17820">
          <w:rPr>
            <w:rStyle w:val="Hyperlink"/>
            <w:rFonts w:ascii="Times New Roman" w:eastAsia="Times New Roman" w:hAnsi="Times New Roman" w:cs="Times New Roman"/>
            <w:sz w:val="24"/>
            <w:szCs w:val="24"/>
            <w:lang w:eastAsia="en-GB"/>
          </w:rPr>
          <w:t>https://www.nmc.org.uk/globalassets/sitedocuments/other-publications/the-nmc-register-2018.pdf</w:t>
        </w:r>
      </w:hyperlink>
      <w:r>
        <w:rPr>
          <w:rFonts w:ascii="Times New Roman" w:eastAsia="Times New Roman" w:hAnsi="Times New Roman" w:cs="Times New Roman"/>
          <w:color w:val="222222"/>
          <w:sz w:val="24"/>
          <w:szCs w:val="24"/>
          <w:lang w:eastAsia="en-GB"/>
        </w:rPr>
        <w:t xml:space="preserve"> (accessed 5 August 2018)</w:t>
      </w:r>
    </w:p>
    <w:p w14:paraId="66269076"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7080ECA2" w14:textId="77777777" w:rsidR="002814F2" w:rsidRPr="00D87B55" w:rsidRDefault="002814F2" w:rsidP="002814F2">
      <w:pPr>
        <w:spacing w:after="0" w:line="240" w:lineRule="auto"/>
        <w:rPr>
          <w:rFonts w:ascii="Times New Roman" w:eastAsia="Times New Roman" w:hAnsi="Times New Roman" w:cs="Times New Roman"/>
          <w:color w:val="222222"/>
          <w:sz w:val="24"/>
          <w:szCs w:val="24"/>
          <w:lang w:eastAsia="en-GB"/>
        </w:rPr>
      </w:pPr>
      <w:r w:rsidRPr="00D87B55">
        <w:rPr>
          <w:rFonts w:ascii="Times New Roman" w:eastAsia="Times New Roman" w:hAnsi="Times New Roman" w:cs="Times New Roman"/>
          <w:color w:val="222222"/>
          <w:sz w:val="24"/>
          <w:szCs w:val="24"/>
          <w:lang w:eastAsia="en-GB"/>
        </w:rPr>
        <w:t>Office of National Statistics, 2017. Overview of the UK population: July 2017.</w:t>
      </w:r>
    </w:p>
    <w:p w14:paraId="1D030707"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 xml:space="preserve">Available: </w:t>
      </w:r>
      <w:hyperlink r:id="rId14" w:history="1">
        <w:r w:rsidRPr="00D17820">
          <w:rPr>
            <w:rStyle w:val="Hyperlink"/>
            <w:rFonts w:ascii="Times New Roman" w:eastAsia="Times New Roman" w:hAnsi="Times New Roman" w:cs="Times New Roman"/>
            <w:sz w:val="24"/>
            <w:szCs w:val="24"/>
            <w:lang w:eastAsia="en-GB"/>
          </w:rPr>
          <w:t>https://www.ons.gov.uk/peoplepopulationandcommunity/populationandmigration/populationestimates/articles/overviewoftheukpopulation/july2017</w:t>
        </w:r>
      </w:hyperlink>
      <w:r>
        <w:rPr>
          <w:rFonts w:ascii="Times New Roman" w:eastAsia="Times New Roman" w:hAnsi="Times New Roman" w:cs="Times New Roman"/>
          <w:color w:val="222222"/>
          <w:sz w:val="24"/>
          <w:szCs w:val="24"/>
          <w:lang w:eastAsia="en-GB"/>
        </w:rPr>
        <w:t>(Accessed 7August,2018)</w:t>
      </w:r>
    </w:p>
    <w:p w14:paraId="18315AE8"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38793512" w14:textId="77777777" w:rsidR="002814F2" w:rsidRPr="00D2414A" w:rsidRDefault="002814F2" w:rsidP="002814F2">
      <w:pPr>
        <w:spacing w:after="0" w:line="240" w:lineRule="auto"/>
        <w:rPr>
          <w:rFonts w:ascii="Times New Roman" w:eastAsia="Times New Roman" w:hAnsi="Times New Roman" w:cs="Times New Roman"/>
          <w:color w:val="222222"/>
          <w:sz w:val="24"/>
          <w:szCs w:val="24"/>
          <w:lang w:eastAsia="en-GB"/>
        </w:rPr>
      </w:pPr>
      <w:r w:rsidRPr="00D2414A">
        <w:rPr>
          <w:rFonts w:ascii="Times New Roman" w:eastAsia="Times New Roman" w:hAnsi="Times New Roman" w:cs="Times New Roman"/>
          <w:color w:val="222222"/>
          <w:sz w:val="24"/>
          <w:szCs w:val="24"/>
          <w:lang w:eastAsia="en-GB"/>
        </w:rPr>
        <w:t xml:space="preserve">Ospina, J.E., Orcau, À., Millet, J.P., Ros, M., Gil, S., Caylà, J.A. and Barcelona Tuberculosis Immigration Working Group, 2016. Epidemiology of tuberculosis in immigrants in a large city with large-scale immigration (1991-2013). </w:t>
      </w:r>
      <w:r w:rsidRPr="00D2414A">
        <w:rPr>
          <w:rFonts w:ascii="Times New Roman" w:eastAsia="Times New Roman" w:hAnsi="Times New Roman" w:cs="Times New Roman"/>
          <w:i/>
          <w:iCs/>
          <w:color w:val="222222"/>
          <w:sz w:val="24"/>
          <w:szCs w:val="24"/>
          <w:lang w:eastAsia="en-GB"/>
        </w:rPr>
        <w:t>PloS one</w:t>
      </w:r>
      <w:r w:rsidRPr="00D2414A">
        <w:rPr>
          <w:rFonts w:ascii="Times New Roman" w:eastAsia="Times New Roman" w:hAnsi="Times New Roman" w:cs="Times New Roman"/>
          <w:color w:val="222222"/>
          <w:sz w:val="24"/>
          <w:szCs w:val="24"/>
          <w:lang w:eastAsia="en-GB"/>
        </w:rPr>
        <w:t xml:space="preserve">, </w:t>
      </w:r>
      <w:r w:rsidRPr="00D2414A">
        <w:rPr>
          <w:rFonts w:ascii="Times New Roman" w:eastAsia="Times New Roman" w:hAnsi="Times New Roman" w:cs="Times New Roman"/>
          <w:i/>
          <w:iCs/>
          <w:color w:val="222222"/>
          <w:sz w:val="24"/>
          <w:szCs w:val="24"/>
          <w:lang w:eastAsia="en-GB"/>
        </w:rPr>
        <w:t>11</w:t>
      </w:r>
      <w:r w:rsidRPr="00D2414A">
        <w:rPr>
          <w:rFonts w:ascii="Times New Roman" w:eastAsia="Times New Roman" w:hAnsi="Times New Roman" w:cs="Times New Roman"/>
          <w:color w:val="222222"/>
          <w:sz w:val="24"/>
          <w:szCs w:val="24"/>
          <w:lang w:eastAsia="en-GB"/>
        </w:rPr>
        <w:t>(10), p.e0164736.</w:t>
      </w:r>
    </w:p>
    <w:p w14:paraId="1CF5D59F"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1E1105B0" w14:textId="77777777" w:rsidR="002814F2" w:rsidRPr="00232569" w:rsidRDefault="002814F2" w:rsidP="002814F2">
      <w:pPr>
        <w:spacing w:after="0" w:line="240" w:lineRule="auto"/>
        <w:rPr>
          <w:rFonts w:ascii="Times New Roman" w:eastAsia="Times New Roman" w:hAnsi="Times New Roman" w:cs="Times New Roman"/>
          <w:color w:val="222222"/>
          <w:sz w:val="24"/>
          <w:szCs w:val="24"/>
          <w:lang w:eastAsia="en-GB"/>
        </w:rPr>
      </w:pPr>
      <w:r w:rsidRPr="00232569">
        <w:rPr>
          <w:rFonts w:ascii="Times New Roman" w:eastAsia="Times New Roman" w:hAnsi="Times New Roman" w:cs="Times New Roman"/>
          <w:color w:val="222222"/>
          <w:sz w:val="24"/>
          <w:szCs w:val="24"/>
          <w:lang w:eastAsia="en-GB"/>
        </w:rPr>
        <w:t xml:space="preserve">Pollard, J.S., 2018. Brexit and the wider UK economy. </w:t>
      </w:r>
      <w:r w:rsidRPr="00232569">
        <w:rPr>
          <w:rFonts w:ascii="Times New Roman" w:eastAsia="Times New Roman" w:hAnsi="Times New Roman" w:cs="Times New Roman"/>
          <w:i/>
          <w:iCs/>
          <w:color w:val="222222"/>
          <w:sz w:val="24"/>
          <w:szCs w:val="24"/>
          <w:lang w:eastAsia="en-GB"/>
        </w:rPr>
        <w:t>Geoforum</w:t>
      </w:r>
      <w:r w:rsidRPr="00232569">
        <w:rPr>
          <w:rFonts w:ascii="Times New Roman" w:eastAsia="Times New Roman" w:hAnsi="Times New Roman" w:cs="Times New Roman"/>
          <w:color w:val="222222"/>
          <w:sz w:val="24"/>
          <w:szCs w:val="24"/>
          <w:lang w:eastAsia="en-GB"/>
        </w:rPr>
        <w:t>.</w:t>
      </w:r>
    </w:p>
    <w:p w14:paraId="0E13EB03"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2D2B7CCD"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 xml:space="preserve">RCN, 2018. </w:t>
      </w:r>
      <w:r w:rsidRPr="000B4D1A">
        <w:rPr>
          <w:rFonts w:ascii="Times New Roman" w:eastAsia="Times New Roman" w:hAnsi="Times New Roman" w:cs="Times New Roman"/>
          <w:color w:val="222222"/>
          <w:sz w:val="24"/>
          <w:szCs w:val="24"/>
          <w:lang w:eastAsia="en-GB"/>
        </w:rPr>
        <w:t>NHS reveals staffing crisis in new recruitment figures</w:t>
      </w:r>
      <w:r>
        <w:rPr>
          <w:rFonts w:ascii="Times New Roman" w:eastAsia="Times New Roman" w:hAnsi="Times New Roman" w:cs="Times New Roman"/>
          <w:color w:val="222222"/>
          <w:sz w:val="24"/>
          <w:szCs w:val="24"/>
          <w:lang w:eastAsia="en-GB"/>
        </w:rPr>
        <w:t>.</w:t>
      </w:r>
    </w:p>
    <w:p w14:paraId="785F8C7A"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 xml:space="preserve">Available: </w:t>
      </w:r>
      <w:hyperlink r:id="rId15" w:history="1">
        <w:r w:rsidRPr="00D17820">
          <w:rPr>
            <w:rStyle w:val="Hyperlink"/>
            <w:rFonts w:ascii="Times New Roman" w:eastAsia="Times New Roman" w:hAnsi="Times New Roman" w:cs="Times New Roman"/>
            <w:sz w:val="24"/>
            <w:szCs w:val="24"/>
            <w:lang w:eastAsia="en-GB"/>
          </w:rPr>
          <w:t>https://www.rcn.org.uk/news-and-events/news/nhs-reveals-staffing-crisis-in-new-recruitment-figures</w:t>
        </w:r>
      </w:hyperlink>
      <w:r>
        <w:rPr>
          <w:rFonts w:ascii="Times New Roman" w:eastAsia="Times New Roman" w:hAnsi="Times New Roman" w:cs="Times New Roman"/>
          <w:color w:val="222222"/>
          <w:sz w:val="24"/>
          <w:szCs w:val="24"/>
          <w:lang w:eastAsia="en-GB"/>
        </w:rPr>
        <w:t xml:space="preserve"> (accessed 5 August 2018)</w:t>
      </w:r>
    </w:p>
    <w:p w14:paraId="049D1385"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190277B6"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 xml:space="preserve">Royal Society, 2015 </w:t>
      </w:r>
      <w:r w:rsidRPr="008A4A4D">
        <w:rPr>
          <w:rFonts w:ascii="Times New Roman" w:eastAsia="Times New Roman" w:hAnsi="Times New Roman" w:cs="Times New Roman"/>
          <w:color w:val="222222"/>
          <w:sz w:val="24"/>
          <w:szCs w:val="24"/>
          <w:lang w:eastAsia="en-GB"/>
        </w:rPr>
        <w:t xml:space="preserve">UK </w:t>
      </w:r>
      <w:r>
        <w:rPr>
          <w:rFonts w:ascii="Times New Roman" w:eastAsia="Times New Roman" w:hAnsi="Times New Roman" w:cs="Times New Roman"/>
          <w:color w:val="222222"/>
          <w:sz w:val="24"/>
          <w:szCs w:val="24"/>
          <w:lang w:eastAsia="en-GB"/>
        </w:rPr>
        <w:t xml:space="preserve">research and the European Union: </w:t>
      </w:r>
      <w:r w:rsidRPr="008A4A4D">
        <w:rPr>
          <w:rFonts w:ascii="Times New Roman" w:eastAsia="Times New Roman" w:hAnsi="Times New Roman" w:cs="Times New Roman"/>
          <w:color w:val="222222"/>
          <w:sz w:val="24"/>
          <w:szCs w:val="24"/>
          <w:lang w:eastAsia="en-GB"/>
        </w:rPr>
        <w:t>The role of the EU in funding UK research</w:t>
      </w:r>
      <w:r>
        <w:rPr>
          <w:rFonts w:ascii="Times New Roman" w:eastAsia="Times New Roman" w:hAnsi="Times New Roman" w:cs="Times New Roman"/>
          <w:color w:val="222222"/>
          <w:sz w:val="24"/>
          <w:szCs w:val="24"/>
          <w:lang w:eastAsia="en-GB"/>
        </w:rPr>
        <w:t xml:space="preserve"> Available: </w:t>
      </w:r>
      <w:hyperlink r:id="rId16" w:history="1">
        <w:r w:rsidRPr="00D17820">
          <w:rPr>
            <w:rStyle w:val="Hyperlink"/>
            <w:rFonts w:ascii="Times New Roman" w:eastAsia="Times New Roman" w:hAnsi="Times New Roman" w:cs="Times New Roman"/>
            <w:sz w:val="24"/>
            <w:szCs w:val="24"/>
            <w:lang w:eastAsia="en-GB"/>
          </w:rPr>
          <w:t>https://royalsociety.org/~/media/policy/projects/eu-uk-funding/uk-membership-of-eu.pdf</w:t>
        </w:r>
      </w:hyperlink>
      <w:r>
        <w:rPr>
          <w:rFonts w:ascii="Times New Roman" w:eastAsia="Times New Roman" w:hAnsi="Times New Roman" w:cs="Times New Roman"/>
          <w:color w:val="222222"/>
          <w:sz w:val="24"/>
          <w:szCs w:val="24"/>
          <w:lang w:eastAsia="en-GB"/>
        </w:rPr>
        <w:t xml:space="preserve"> (accessed 5 August 2018)</w:t>
      </w:r>
    </w:p>
    <w:p w14:paraId="0EB742E8"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278E8431"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r w:rsidRPr="00552943">
        <w:rPr>
          <w:rFonts w:ascii="Times New Roman" w:eastAsia="Times New Roman" w:hAnsi="Times New Roman" w:cs="Times New Roman"/>
          <w:color w:val="222222"/>
          <w:sz w:val="24"/>
          <w:szCs w:val="24"/>
          <w:lang w:eastAsia="en-GB"/>
        </w:rPr>
        <w:t>Santarelli, E. and Tran, H.T., 2016. Diversification strategies and firm performance in Vietnam: Evidence from parametric and semi</w:t>
      </w:r>
      <w:r w:rsidRPr="00552943">
        <w:rPr>
          <w:rFonts w:ascii="Calibri" w:eastAsia="Times New Roman" w:hAnsi="Calibri" w:cs="Calibri"/>
          <w:color w:val="222222"/>
          <w:sz w:val="24"/>
          <w:szCs w:val="24"/>
          <w:lang w:eastAsia="en-GB"/>
        </w:rPr>
        <w:t>‐</w:t>
      </w:r>
      <w:r w:rsidRPr="00552943">
        <w:rPr>
          <w:rFonts w:ascii="Times New Roman" w:eastAsia="Times New Roman" w:hAnsi="Times New Roman" w:cs="Times New Roman"/>
          <w:color w:val="222222"/>
          <w:sz w:val="24"/>
          <w:szCs w:val="24"/>
          <w:lang w:eastAsia="en-GB"/>
        </w:rPr>
        <w:t>parametric approaches. Economics of Transition, 24(1), pp.31-68.</w:t>
      </w:r>
    </w:p>
    <w:p w14:paraId="21721156"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300FD94C"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r w:rsidRPr="00501D5F">
        <w:rPr>
          <w:rFonts w:ascii="Times New Roman" w:eastAsia="Times New Roman" w:hAnsi="Times New Roman" w:cs="Times New Roman"/>
          <w:color w:val="222222"/>
          <w:sz w:val="24"/>
          <w:szCs w:val="24"/>
          <w:lang w:eastAsia="en-GB"/>
        </w:rPr>
        <w:t xml:space="preserve">Simpkin, V.L. and Mossialos, E., 2017. Brexit and the NHS: challenges, uncertainties andopportunities. </w:t>
      </w:r>
      <w:r w:rsidRPr="00501D5F">
        <w:rPr>
          <w:rFonts w:ascii="Times New Roman" w:eastAsia="Times New Roman" w:hAnsi="Times New Roman" w:cs="Times New Roman"/>
          <w:i/>
          <w:iCs/>
          <w:color w:val="222222"/>
          <w:sz w:val="24"/>
          <w:szCs w:val="24"/>
          <w:lang w:eastAsia="en-GB"/>
        </w:rPr>
        <w:t>Health Policy</w:t>
      </w:r>
      <w:r w:rsidRPr="00501D5F">
        <w:rPr>
          <w:rFonts w:ascii="Times New Roman" w:eastAsia="Times New Roman" w:hAnsi="Times New Roman" w:cs="Times New Roman"/>
          <w:color w:val="222222"/>
          <w:sz w:val="24"/>
          <w:szCs w:val="24"/>
          <w:lang w:eastAsia="en-GB"/>
        </w:rPr>
        <w:t xml:space="preserve">, </w:t>
      </w:r>
      <w:r w:rsidRPr="00501D5F">
        <w:rPr>
          <w:rFonts w:ascii="Times New Roman" w:eastAsia="Times New Roman" w:hAnsi="Times New Roman" w:cs="Times New Roman"/>
          <w:i/>
          <w:iCs/>
          <w:color w:val="222222"/>
          <w:sz w:val="24"/>
          <w:szCs w:val="24"/>
          <w:lang w:eastAsia="en-GB"/>
        </w:rPr>
        <w:t>121</w:t>
      </w:r>
      <w:r w:rsidRPr="00501D5F">
        <w:rPr>
          <w:rFonts w:ascii="Times New Roman" w:eastAsia="Times New Roman" w:hAnsi="Times New Roman" w:cs="Times New Roman"/>
          <w:color w:val="222222"/>
          <w:sz w:val="24"/>
          <w:szCs w:val="24"/>
          <w:lang w:eastAsia="en-GB"/>
        </w:rPr>
        <w:t>(5), pp.447-480.</w:t>
      </w:r>
    </w:p>
    <w:p w14:paraId="6B101644"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633330DA" w14:textId="77777777" w:rsidR="002814F2" w:rsidRDefault="002814F2" w:rsidP="002814F2">
      <w:pPr>
        <w:pStyle w:val="Default"/>
        <w:rPr>
          <w:sz w:val="22"/>
          <w:szCs w:val="22"/>
        </w:rPr>
      </w:pPr>
      <w:r>
        <w:rPr>
          <w:rFonts w:ascii="Times New Roman" w:eastAsia="Times New Roman" w:hAnsi="Times New Roman" w:cs="Times New Roman"/>
          <w:color w:val="222222"/>
          <w:lang w:eastAsia="en-GB"/>
        </w:rPr>
        <w:t xml:space="preserve">Smart, W., 2018. </w:t>
      </w:r>
      <w:r w:rsidRPr="004804AC">
        <w:rPr>
          <w:sz w:val="22"/>
          <w:szCs w:val="22"/>
        </w:rPr>
        <w:t xml:space="preserve">Lessons learned review of the WannaCry Ransomware Cyber Attack </w:t>
      </w:r>
      <w:r>
        <w:rPr>
          <w:sz w:val="22"/>
          <w:szCs w:val="22"/>
        </w:rPr>
        <w:t>. Available:</w:t>
      </w:r>
    </w:p>
    <w:p w14:paraId="3DE608AA" w14:textId="77777777" w:rsidR="002814F2" w:rsidRDefault="005F0911" w:rsidP="002814F2">
      <w:pPr>
        <w:pStyle w:val="Default"/>
        <w:rPr>
          <w:sz w:val="22"/>
          <w:szCs w:val="22"/>
        </w:rPr>
      </w:pPr>
      <w:hyperlink r:id="rId17" w:history="1">
        <w:r w:rsidR="002814F2" w:rsidRPr="00D17820">
          <w:rPr>
            <w:rStyle w:val="Hyperlink"/>
            <w:sz w:val="22"/>
            <w:szCs w:val="22"/>
          </w:rPr>
          <w:t>https://www.england.nhs.uk/wp-content/uploads/2018/02/lessons-learned-review-wannacry-ransomware-cyber-attack-cio-review.pdf(Accessed,9</w:t>
        </w:r>
      </w:hyperlink>
      <w:r w:rsidR="002814F2">
        <w:rPr>
          <w:sz w:val="22"/>
          <w:szCs w:val="22"/>
        </w:rPr>
        <w:t xml:space="preserve"> August,2018).</w:t>
      </w:r>
    </w:p>
    <w:p w14:paraId="3CE74A0F"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1010F54C"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r w:rsidRPr="00914CCA">
        <w:rPr>
          <w:rFonts w:ascii="Times New Roman" w:eastAsia="Times New Roman" w:hAnsi="Times New Roman" w:cs="Times New Roman"/>
          <w:color w:val="222222"/>
          <w:sz w:val="24"/>
          <w:szCs w:val="24"/>
          <w:lang w:eastAsia="en-GB"/>
        </w:rPr>
        <w:t xml:space="preserve">Spence, D., 2011. Flawed ideology drives the NHS reforms. </w:t>
      </w:r>
      <w:r w:rsidRPr="00914CCA">
        <w:rPr>
          <w:rFonts w:ascii="Times New Roman" w:eastAsia="Times New Roman" w:hAnsi="Times New Roman" w:cs="Times New Roman"/>
          <w:i/>
          <w:iCs/>
          <w:color w:val="222222"/>
          <w:sz w:val="24"/>
          <w:szCs w:val="24"/>
          <w:lang w:eastAsia="en-GB"/>
        </w:rPr>
        <w:t>BMJ: British Medical Journal (Online)</w:t>
      </w:r>
      <w:r w:rsidRPr="00914CCA">
        <w:rPr>
          <w:rFonts w:ascii="Times New Roman" w:eastAsia="Times New Roman" w:hAnsi="Times New Roman" w:cs="Times New Roman"/>
          <w:color w:val="222222"/>
          <w:sz w:val="24"/>
          <w:szCs w:val="24"/>
          <w:lang w:eastAsia="en-GB"/>
        </w:rPr>
        <w:t xml:space="preserve">, </w:t>
      </w:r>
      <w:r w:rsidRPr="00914CCA">
        <w:rPr>
          <w:rFonts w:ascii="Times New Roman" w:eastAsia="Times New Roman" w:hAnsi="Times New Roman" w:cs="Times New Roman"/>
          <w:i/>
          <w:iCs/>
          <w:color w:val="222222"/>
          <w:sz w:val="24"/>
          <w:szCs w:val="24"/>
          <w:lang w:eastAsia="en-GB"/>
        </w:rPr>
        <w:t>342</w:t>
      </w:r>
      <w:r w:rsidRPr="00914CCA">
        <w:rPr>
          <w:rFonts w:ascii="Times New Roman" w:eastAsia="Times New Roman" w:hAnsi="Times New Roman" w:cs="Times New Roman"/>
          <w:color w:val="222222"/>
          <w:sz w:val="24"/>
          <w:szCs w:val="24"/>
          <w:lang w:eastAsia="en-GB"/>
        </w:rPr>
        <w:t>.</w:t>
      </w:r>
      <w:r>
        <w:rPr>
          <w:rFonts w:ascii="Times New Roman" w:eastAsia="Times New Roman" w:hAnsi="Times New Roman" w:cs="Times New Roman"/>
          <w:color w:val="222222"/>
          <w:sz w:val="24"/>
          <w:szCs w:val="24"/>
          <w:lang w:eastAsia="en-GB"/>
        </w:rPr>
        <w:t xml:space="preserve"> Available: </w:t>
      </w:r>
      <w:hyperlink r:id="rId18" w:history="1">
        <w:r w:rsidRPr="00D17820">
          <w:rPr>
            <w:rStyle w:val="Hyperlink"/>
            <w:rFonts w:ascii="Times New Roman" w:eastAsia="Times New Roman" w:hAnsi="Times New Roman" w:cs="Times New Roman"/>
            <w:sz w:val="24"/>
            <w:szCs w:val="24"/>
            <w:lang w:eastAsia="en-GB"/>
          </w:rPr>
          <w:t>https://search.proquest.com/openview/42e12c1f5fef0aa1952538040748d1d7/1?pq-origsite=gscholar&amp;cbl=2043523</w:t>
        </w:r>
      </w:hyperlink>
      <w:r>
        <w:rPr>
          <w:rFonts w:ascii="Times New Roman" w:eastAsia="Times New Roman" w:hAnsi="Times New Roman" w:cs="Times New Roman"/>
          <w:color w:val="222222"/>
          <w:sz w:val="24"/>
          <w:szCs w:val="24"/>
          <w:lang w:eastAsia="en-GB"/>
        </w:rPr>
        <w:t xml:space="preserve"> (Accessed 8 August 2018)</w:t>
      </w:r>
    </w:p>
    <w:p w14:paraId="759F21E6"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74E464B8"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 xml:space="preserve">Statista, 2018. </w:t>
      </w:r>
      <w:r w:rsidRPr="00C70921">
        <w:rPr>
          <w:rFonts w:ascii="Times New Roman" w:eastAsia="Times New Roman" w:hAnsi="Times New Roman" w:cs="Times New Roman"/>
          <w:color w:val="222222"/>
          <w:sz w:val="24"/>
          <w:szCs w:val="24"/>
          <w:lang w:eastAsia="en-GB"/>
        </w:rPr>
        <w:t>Forecasted Bank Rate in the United Kingdom (UK) from 1st quarter 2017 to 1st quarter 2023</w:t>
      </w:r>
    </w:p>
    <w:p w14:paraId="78F8E3E5"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 xml:space="preserve">Available: </w:t>
      </w:r>
      <w:hyperlink r:id="rId19" w:history="1">
        <w:r w:rsidRPr="00D17820">
          <w:rPr>
            <w:rStyle w:val="Hyperlink"/>
            <w:rFonts w:ascii="Times New Roman" w:eastAsia="Times New Roman" w:hAnsi="Times New Roman" w:cs="Times New Roman"/>
            <w:sz w:val="24"/>
            <w:szCs w:val="24"/>
            <w:lang w:eastAsia="en-GB"/>
          </w:rPr>
          <w:t>https://www.statista.com/statistics/374875/forecasted-bank-rate-united-kingdom-uk/</w:t>
        </w:r>
      </w:hyperlink>
      <w:r>
        <w:rPr>
          <w:rFonts w:ascii="Times New Roman" w:eastAsia="Times New Roman" w:hAnsi="Times New Roman" w:cs="Times New Roman"/>
          <w:color w:val="222222"/>
          <w:sz w:val="24"/>
          <w:szCs w:val="24"/>
          <w:lang w:eastAsia="en-GB"/>
        </w:rPr>
        <w:t xml:space="preserve">  (Accessed 8 August 2018)</w:t>
      </w:r>
    </w:p>
    <w:p w14:paraId="7F4BCE89"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1A3F51D6"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r w:rsidRPr="00F1535C">
        <w:rPr>
          <w:rFonts w:ascii="Times New Roman" w:eastAsia="Times New Roman" w:hAnsi="Times New Roman" w:cs="Times New Roman"/>
          <w:color w:val="222222"/>
          <w:sz w:val="24"/>
          <w:szCs w:val="24"/>
          <w:lang w:eastAsia="en-GB"/>
        </w:rPr>
        <w:t xml:space="preserve">Stewart, J.S., Oliver, E.G., Cravens, K.S. and Oishi, S., 2017. Managing millennials: Embracing generational differences. </w:t>
      </w:r>
      <w:r w:rsidRPr="00F1535C">
        <w:rPr>
          <w:rFonts w:ascii="Times New Roman" w:eastAsia="Times New Roman" w:hAnsi="Times New Roman" w:cs="Times New Roman"/>
          <w:i/>
          <w:iCs/>
          <w:color w:val="222222"/>
          <w:sz w:val="24"/>
          <w:szCs w:val="24"/>
          <w:lang w:eastAsia="en-GB"/>
        </w:rPr>
        <w:t>Business Horizons</w:t>
      </w:r>
      <w:r w:rsidRPr="00F1535C">
        <w:rPr>
          <w:rFonts w:ascii="Times New Roman" w:eastAsia="Times New Roman" w:hAnsi="Times New Roman" w:cs="Times New Roman"/>
          <w:color w:val="222222"/>
          <w:sz w:val="24"/>
          <w:szCs w:val="24"/>
          <w:lang w:eastAsia="en-GB"/>
        </w:rPr>
        <w:t xml:space="preserve">, </w:t>
      </w:r>
      <w:r w:rsidRPr="00F1535C">
        <w:rPr>
          <w:rFonts w:ascii="Times New Roman" w:eastAsia="Times New Roman" w:hAnsi="Times New Roman" w:cs="Times New Roman"/>
          <w:i/>
          <w:iCs/>
          <w:color w:val="222222"/>
          <w:sz w:val="24"/>
          <w:szCs w:val="24"/>
          <w:lang w:eastAsia="en-GB"/>
        </w:rPr>
        <w:t>60</w:t>
      </w:r>
      <w:r w:rsidRPr="00F1535C">
        <w:rPr>
          <w:rFonts w:ascii="Times New Roman" w:eastAsia="Times New Roman" w:hAnsi="Times New Roman" w:cs="Times New Roman"/>
          <w:color w:val="222222"/>
          <w:sz w:val="24"/>
          <w:szCs w:val="24"/>
          <w:lang w:eastAsia="en-GB"/>
        </w:rPr>
        <w:t>(1), pp.45-54.</w:t>
      </w:r>
    </w:p>
    <w:p w14:paraId="0A334028"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6B3107F5"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r w:rsidRPr="00D9404B">
        <w:rPr>
          <w:rFonts w:ascii="Times New Roman" w:eastAsia="Times New Roman" w:hAnsi="Times New Roman" w:cs="Times New Roman"/>
          <w:color w:val="222222"/>
          <w:sz w:val="24"/>
          <w:szCs w:val="24"/>
          <w:lang w:eastAsia="en-GB"/>
        </w:rPr>
        <w:t>Sultan, N., 2015. Reflective thoughts on the potential and challenges of wearable technology for healthcare provision and medical education. International Journal of Information Management, 35(5), pp.521-526.</w:t>
      </w:r>
    </w:p>
    <w:p w14:paraId="530B4281"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72033C7B"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r w:rsidRPr="00030199">
        <w:rPr>
          <w:rFonts w:ascii="Times New Roman" w:eastAsia="Times New Roman" w:hAnsi="Times New Roman" w:cs="Times New Roman"/>
          <w:color w:val="222222"/>
          <w:sz w:val="24"/>
          <w:szCs w:val="24"/>
          <w:lang w:eastAsia="en-GB"/>
        </w:rPr>
        <w:t>Torjesen, I., 2018. NHS can lead in reducing pollution to improve public health, says chief medical officer.</w:t>
      </w:r>
    </w:p>
    <w:p w14:paraId="013430ED" w14:textId="77777777" w:rsidR="002814F2" w:rsidRPr="00760EBF" w:rsidRDefault="002814F2" w:rsidP="002814F2">
      <w:pPr>
        <w:spacing w:after="0" w:line="240" w:lineRule="auto"/>
        <w:rPr>
          <w:rFonts w:ascii="Times New Roman" w:eastAsia="Times New Roman" w:hAnsi="Times New Roman" w:cs="Times New Roman"/>
          <w:color w:val="222222"/>
          <w:sz w:val="24"/>
          <w:szCs w:val="24"/>
          <w:lang w:eastAsia="en-GB"/>
        </w:rPr>
      </w:pPr>
      <w:r w:rsidRPr="00760EBF">
        <w:rPr>
          <w:rFonts w:ascii="Times New Roman" w:eastAsia="Times New Roman" w:hAnsi="Times New Roman" w:cs="Times New Roman"/>
          <w:color w:val="222222"/>
          <w:sz w:val="24"/>
          <w:szCs w:val="24"/>
          <w:lang w:eastAsia="en-GB"/>
        </w:rPr>
        <w:t xml:space="preserve">Williams, O.E., Elghenzai, S., Subbe, C., Wyatt, J.C. and Williams, J., 2017. The use of telemedicine to enhance secondary care: some lessons from the front line. </w:t>
      </w:r>
      <w:r w:rsidRPr="00760EBF">
        <w:rPr>
          <w:rFonts w:ascii="Times New Roman" w:eastAsia="Times New Roman" w:hAnsi="Times New Roman" w:cs="Times New Roman"/>
          <w:i/>
          <w:iCs/>
          <w:color w:val="222222"/>
          <w:sz w:val="24"/>
          <w:szCs w:val="24"/>
          <w:lang w:eastAsia="en-GB"/>
        </w:rPr>
        <w:t>Future Hospital Journal</w:t>
      </w:r>
      <w:r w:rsidRPr="00760EBF">
        <w:rPr>
          <w:rFonts w:ascii="Times New Roman" w:eastAsia="Times New Roman" w:hAnsi="Times New Roman" w:cs="Times New Roman"/>
          <w:color w:val="222222"/>
          <w:sz w:val="24"/>
          <w:szCs w:val="24"/>
          <w:lang w:eastAsia="en-GB"/>
        </w:rPr>
        <w:t xml:space="preserve">, </w:t>
      </w:r>
      <w:r w:rsidRPr="00760EBF">
        <w:rPr>
          <w:rFonts w:ascii="Times New Roman" w:eastAsia="Times New Roman" w:hAnsi="Times New Roman" w:cs="Times New Roman"/>
          <w:i/>
          <w:iCs/>
          <w:color w:val="222222"/>
          <w:sz w:val="24"/>
          <w:szCs w:val="24"/>
          <w:lang w:eastAsia="en-GB"/>
        </w:rPr>
        <w:t>4</w:t>
      </w:r>
      <w:r w:rsidRPr="00760EBF">
        <w:rPr>
          <w:rFonts w:ascii="Times New Roman" w:eastAsia="Times New Roman" w:hAnsi="Times New Roman" w:cs="Times New Roman"/>
          <w:color w:val="222222"/>
          <w:sz w:val="24"/>
          <w:szCs w:val="24"/>
          <w:lang w:eastAsia="en-GB"/>
        </w:rPr>
        <w:t>(2), pp.109-114.</w:t>
      </w:r>
    </w:p>
    <w:p w14:paraId="4A45997D" w14:textId="77777777" w:rsidR="002814F2" w:rsidRDefault="002814F2" w:rsidP="002814F2">
      <w:pPr>
        <w:spacing w:after="0" w:line="240" w:lineRule="auto"/>
        <w:rPr>
          <w:rFonts w:ascii="Times New Roman" w:eastAsia="Times New Roman" w:hAnsi="Times New Roman" w:cs="Times New Roman"/>
          <w:color w:val="222222"/>
          <w:sz w:val="24"/>
          <w:szCs w:val="24"/>
          <w:lang w:eastAsia="en-GB"/>
        </w:rPr>
      </w:pPr>
    </w:p>
    <w:p w14:paraId="6B1E1C63" w14:textId="77777777" w:rsidR="002814F2" w:rsidRPr="00914CCA" w:rsidRDefault="002814F2" w:rsidP="002814F2">
      <w:pPr>
        <w:spacing w:after="0" w:line="240" w:lineRule="auto"/>
        <w:rPr>
          <w:rFonts w:ascii="Times New Roman" w:eastAsia="Times New Roman" w:hAnsi="Times New Roman" w:cs="Times New Roman"/>
          <w:color w:val="222222"/>
          <w:sz w:val="24"/>
          <w:szCs w:val="24"/>
          <w:lang w:eastAsia="en-GB"/>
        </w:rPr>
      </w:pPr>
      <w:r w:rsidRPr="00914CCA">
        <w:rPr>
          <w:rFonts w:ascii="Times New Roman" w:eastAsia="Times New Roman" w:hAnsi="Times New Roman" w:cs="Times New Roman"/>
          <w:color w:val="222222"/>
          <w:sz w:val="24"/>
          <w:szCs w:val="24"/>
          <w:lang w:eastAsia="en-GB"/>
        </w:rPr>
        <w:t xml:space="preserve">Wollaston, S., 2017. Commentary:“The political response has been dismal”. </w:t>
      </w:r>
      <w:r w:rsidRPr="00914CCA">
        <w:rPr>
          <w:rFonts w:ascii="Times New Roman" w:eastAsia="Times New Roman" w:hAnsi="Times New Roman" w:cs="Times New Roman"/>
          <w:i/>
          <w:iCs/>
          <w:color w:val="222222"/>
          <w:sz w:val="24"/>
          <w:szCs w:val="24"/>
          <w:lang w:eastAsia="en-GB"/>
        </w:rPr>
        <w:t>BMJ</w:t>
      </w:r>
      <w:r w:rsidRPr="00914CCA">
        <w:rPr>
          <w:rFonts w:ascii="Times New Roman" w:eastAsia="Times New Roman" w:hAnsi="Times New Roman" w:cs="Times New Roman"/>
          <w:color w:val="222222"/>
          <w:sz w:val="24"/>
          <w:szCs w:val="24"/>
          <w:lang w:eastAsia="en-GB"/>
        </w:rPr>
        <w:t xml:space="preserve">, </w:t>
      </w:r>
      <w:r w:rsidRPr="00914CCA">
        <w:rPr>
          <w:rFonts w:ascii="Times New Roman" w:eastAsia="Times New Roman" w:hAnsi="Times New Roman" w:cs="Times New Roman"/>
          <w:i/>
          <w:iCs/>
          <w:color w:val="222222"/>
          <w:sz w:val="24"/>
          <w:szCs w:val="24"/>
          <w:lang w:eastAsia="en-GB"/>
        </w:rPr>
        <w:t>356</w:t>
      </w:r>
      <w:r w:rsidRPr="00914CCA">
        <w:rPr>
          <w:rFonts w:ascii="Times New Roman" w:eastAsia="Times New Roman" w:hAnsi="Times New Roman" w:cs="Times New Roman"/>
          <w:color w:val="222222"/>
          <w:sz w:val="24"/>
          <w:szCs w:val="24"/>
          <w:lang w:eastAsia="en-GB"/>
        </w:rPr>
        <w:t>, p.j5.</w:t>
      </w:r>
    </w:p>
    <w:p w14:paraId="7D33EE4F" w14:textId="77777777" w:rsidR="002814F2" w:rsidRPr="003800B6" w:rsidRDefault="002814F2" w:rsidP="002814F2">
      <w:pPr>
        <w:spacing w:after="0" w:line="240" w:lineRule="auto"/>
        <w:rPr>
          <w:rFonts w:ascii="Times New Roman" w:eastAsia="Times New Roman" w:hAnsi="Times New Roman" w:cs="Times New Roman"/>
          <w:color w:val="222222"/>
          <w:sz w:val="24"/>
          <w:szCs w:val="24"/>
          <w:lang w:eastAsia="en-GB"/>
        </w:rPr>
      </w:pPr>
    </w:p>
    <w:p w14:paraId="4C4A3FB7" w14:textId="77777777" w:rsidR="002814F2" w:rsidRDefault="002814F2" w:rsidP="002814F2"/>
    <w:p w14:paraId="200F2371" w14:textId="77777777" w:rsidR="001E48E4" w:rsidRPr="00274D39" w:rsidRDefault="001E48E4" w:rsidP="00177BB5">
      <w:pPr>
        <w:spacing w:line="360" w:lineRule="auto"/>
        <w:rPr>
          <w:rFonts w:ascii="Trebuchet MS" w:hAnsi="Trebuchet MS"/>
          <w:sz w:val="24"/>
          <w:szCs w:val="24"/>
        </w:rPr>
      </w:pPr>
    </w:p>
    <w:sectPr w:rsidR="001E48E4" w:rsidRPr="00274D39">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0E77E6" w14:textId="77777777" w:rsidR="000F51B3" w:rsidRDefault="000F51B3" w:rsidP="000F51B3">
      <w:pPr>
        <w:spacing w:after="0" w:line="240" w:lineRule="auto"/>
      </w:pPr>
      <w:r>
        <w:separator/>
      </w:r>
    </w:p>
  </w:endnote>
  <w:endnote w:type="continuationSeparator" w:id="0">
    <w:p w14:paraId="720E77E7" w14:textId="77777777" w:rsidR="000F51B3" w:rsidRDefault="000F51B3" w:rsidP="000F5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7495647"/>
      <w:docPartObj>
        <w:docPartGallery w:val="Page Numbers (Bottom of Page)"/>
        <w:docPartUnique/>
      </w:docPartObj>
    </w:sdtPr>
    <w:sdtEndPr>
      <w:rPr>
        <w:noProof/>
      </w:rPr>
    </w:sdtEndPr>
    <w:sdtContent>
      <w:p w14:paraId="720E77E8" w14:textId="77777777" w:rsidR="000F51B3" w:rsidRDefault="000F51B3">
        <w:pPr>
          <w:pStyle w:val="Footer"/>
          <w:jc w:val="right"/>
        </w:pPr>
        <w:r>
          <w:fldChar w:fldCharType="begin"/>
        </w:r>
        <w:r>
          <w:instrText xml:space="preserve"> PAGE   \* MERGEFORMAT </w:instrText>
        </w:r>
        <w:r>
          <w:fldChar w:fldCharType="separate"/>
        </w:r>
        <w:r w:rsidR="005F0911">
          <w:rPr>
            <w:noProof/>
          </w:rPr>
          <w:t>13</w:t>
        </w:r>
        <w:r>
          <w:rPr>
            <w:noProof/>
          </w:rPr>
          <w:fldChar w:fldCharType="end"/>
        </w:r>
      </w:p>
    </w:sdtContent>
  </w:sdt>
  <w:p w14:paraId="720E77E9" w14:textId="77777777" w:rsidR="000F51B3" w:rsidRDefault="000F51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0E77E4" w14:textId="77777777" w:rsidR="000F51B3" w:rsidRDefault="000F51B3" w:rsidP="000F51B3">
      <w:pPr>
        <w:spacing w:after="0" w:line="240" w:lineRule="auto"/>
      </w:pPr>
      <w:r>
        <w:separator/>
      </w:r>
    </w:p>
  </w:footnote>
  <w:footnote w:type="continuationSeparator" w:id="0">
    <w:p w14:paraId="720E77E5" w14:textId="77777777" w:rsidR="000F51B3" w:rsidRDefault="000F51B3" w:rsidP="000F51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06478B" w14:textId="4999BB40" w:rsidR="002814F2" w:rsidRDefault="002814F2">
    <w:pPr>
      <w:pStyle w:val="Header"/>
    </w:pPr>
    <w:r>
      <w:t>Strategic Management</w:t>
    </w:r>
  </w:p>
  <w:p w14:paraId="29B15214" w14:textId="016C03E2" w:rsidR="002814F2" w:rsidRDefault="002814F2">
    <w:pPr>
      <w:pStyle w:val="Header"/>
    </w:pPr>
    <w:r>
      <w:t>SBMA7103D</w:t>
    </w:r>
  </w:p>
  <w:p w14:paraId="27DD97F2" w14:textId="5FD1F9AE" w:rsidR="002814F2" w:rsidRDefault="002814F2">
    <w:pPr>
      <w:pStyle w:val="Header"/>
    </w:pPr>
    <w:r>
      <w:t>1603816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52177"/>
    <w:multiLevelType w:val="hybridMultilevel"/>
    <w:tmpl w:val="60C28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113E86"/>
    <w:multiLevelType w:val="hybridMultilevel"/>
    <w:tmpl w:val="A2727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E983883"/>
    <w:multiLevelType w:val="hybridMultilevel"/>
    <w:tmpl w:val="72ACBF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EC04431"/>
    <w:multiLevelType w:val="hybridMultilevel"/>
    <w:tmpl w:val="59F0E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00977DE"/>
    <w:multiLevelType w:val="hybridMultilevel"/>
    <w:tmpl w:val="92707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EE4"/>
    <w:rsid w:val="00034CC4"/>
    <w:rsid w:val="00052FBA"/>
    <w:rsid w:val="00053D8F"/>
    <w:rsid w:val="00097897"/>
    <w:rsid w:val="000A3C29"/>
    <w:rsid w:val="000C028F"/>
    <w:rsid w:val="000C34CD"/>
    <w:rsid w:val="000E3A0E"/>
    <w:rsid w:val="000F51B3"/>
    <w:rsid w:val="00123CF1"/>
    <w:rsid w:val="0015524C"/>
    <w:rsid w:val="00177BB5"/>
    <w:rsid w:val="00186B37"/>
    <w:rsid w:val="001870D0"/>
    <w:rsid w:val="00193B8F"/>
    <w:rsid w:val="001B1B09"/>
    <w:rsid w:val="001B733B"/>
    <w:rsid w:val="001C477F"/>
    <w:rsid w:val="001D5F8D"/>
    <w:rsid w:val="001E1A1F"/>
    <w:rsid w:val="001E48E4"/>
    <w:rsid w:val="002134C4"/>
    <w:rsid w:val="00225721"/>
    <w:rsid w:val="002407BE"/>
    <w:rsid w:val="00274D39"/>
    <w:rsid w:val="002814F2"/>
    <w:rsid w:val="002956F8"/>
    <w:rsid w:val="002A7C12"/>
    <w:rsid w:val="002B7503"/>
    <w:rsid w:val="00307C73"/>
    <w:rsid w:val="003136DD"/>
    <w:rsid w:val="00317C9B"/>
    <w:rsid w:val="00341EB6"/>
    <w:rsid w:val="00343266"/>
    <w:rsid w:val="0035146F"/>
    <w:rsid w:val="00351AF0"/>
    <w:rsid w:val="00360086"/>
    <w:rsid w:val="003F7D14"/>
    <w:rsid w:val="00415CEA"/>
    <w:rsid w:val="004373EF"/>
    <w:rsid w:val="00442519"/>
    <w:rsid w:val="004903B4"/>
    <w:rsid w:val="00494FB8"/>
    <w:rsid w:val="004967ED"/>
    <w:rsid w:val="004C5E49"/>
    <w:rsid w:val="004D52FA"/>
    <w:rsid w:val="004F47E1"/>
    <w:rsid w:val="00517D84"/>
    <w:rsid w:val="00525AB9"/>
    <w:rsid w:val="00542951"/>
    <w:rsid w:val="00555BEE"/>
    <w:rsid w:val="0055664D"/>
    <w:rsid w:val="00570443"/>
    <w:rsid w:val="005A5BE4"/>
    <w:rsid w:val="005F0911"/>
    <w:rsid w:val="005F3BA8"/>
    <w:rsid w:val="00625401"/>
    <w:rsid w:val="00654014"/>
    <w:rsid w:val="00673099"/>
    <w:rsid w:val="00673106"/>
    <w:rsid w:val="00685331"/>
    <w:rsid w:val="00692E31"/>
    <w:rsid w:val="006D2088"/>
    <w:rsid w:val="006D70F1"/>
    <w:rsid w:val="006E5DE9"/>
    <w:rsid w:val="006F4AA3"/>
    <w:rsid w:val="00746DC4"/>
    <w:rsid w:val="007528AA"/>
    <w:rsid w:val="00766446"/>
    <w:rsid w:val="00772040"/>
    <w:rsid w:val="00773F1E"/>
    <w:rsid w:val="007E679C"/>
    <w:rsid w:val="0080641F"/>
    <w:rsid w:val="008242E5"/>
    <w:rsid w:val="008574DF"/>
    <w:rsid w:val="00864254"/>
    <w:rsid w:val="008A273A"/>
    <w:rsid w:val="008B05F1"/>
    <w:rsid w:val="008C4F84"/>
    <w:rsid w:val="008F0EB1"/>
    <w:rsid w:val="009251DC"/>
    <w:rsid w:val="00953066"/>
    <w:rsid w:val="009912B9"/>
    <w:rsid w:val="009D2ECD"/>
    <w:rsid w:val="009E04BE"/>
    <w:rsid w:val="009E4873"/>
    <w:rsid w:val="009E683A"/>
    <w:rsid w:val="009F4981"/>
    <w:rsid w:val="00A45B61"/>
    <w:rsid w:val="00AD472B"/>
    <w:rsid w:val="00B12847"/>
    <w:rsid w:val="00B13D35"/>
    <w:rsid w:val="00B20842"/>
    <w:rsid w:val="00B46464"/>
    <w:rsid w:val="00B56230"/>
    <w:rsid w:val="00B60EE4"/>
    <w:rsid w:val="00BF63EC"/>
    <w:rsid w:val="00C43425"/>
    <w:rsid w:val="00C55D69"/>
    <w:rsid w:val="00C708A6"/>
    <w:rsid w:val="00C75A18"/>
    <w:rsid w:val="00CD2D1F"/>
    <w:rsid w:val="00CD6CD8"/>
    <w:rsid w:val="00D06889"/>
    <w:rsid w:val="00D145D2"/>
    <w:rsid w:val="00D617E2"/>
    <w:rsid w:val="00D62F7E"/>
    <w:rsid w:val="00D97E81"/>
    <w:rsid w:val="00DA5EA8"/>
    <w:rsid w:val="00DA7E8B"/>
    <w:rsid w:val="00DB13A5"/>
    <w:rsid w:val="00DD15A3"/>
    <w:rsid w:val="00E12695"/>
    <w:rsid w:val="00E5499D"/>
    <w:rsid w:val="00E6366F"/>
    <w:rsid w:val="00E91AA3"/>
    <w:rsid w:val="00EB2869"/>
    <w:rsid w:val="00EF2B4A"/>
    <w:rsid w:val="00F24151"/>
    <w:rsid w:val="00F438AD"/>
    <w:rsid w:val="00F46AA5"/>
    <w:rsid w:val="00F53D40"/>
    <w:rsid w:val="00FA0C37"/>
    <w:rsid w:val="00FB2690"/>
    <w:rsid w:val="00FC3088"/>
    <w:rsid w:val="00FC4501"/>
    <w:rsid w:val="00FD0FF1"/>
    <w:rsid w:val="00FD297C"/>
    <w:rsid w:val="00FE5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E7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068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6889"/>
    <w:rPr>
      <w:rFonts w:ascii="Tahoma" w:hAnsi="Tahoma" w:cs="Tahoma"/>
      <w:sz w:val="16"/>
      <w:szCs w:val="16"/>
    </w:rPr>
  </w:style>
  <w:style w:type="paragraph" w:styleId="Header">
    <w:name w:val="header"/>
    <w:basedOn w:val="Normal"/>
    <w:link w:val="HeaderChar"/>
    <w:uiPriority w:val="99"/>
    <w:unhideWhenUsed/>
    <w:rsid w:val="000F51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51B3"/>
  </w:style>
  <w:style w:type="paragraph" w:styleId="Footer">
    <w:name w:val="footer"/>
    <w:basedOn w:val="Normal"/>
    <w:link w:val="FooterChar"/>
    <w:uiPriority w:val="99"/>
    <w:unhideWhenUsed/>
    <w:rsid w:val="000F51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51B3"/>
  </w:style>
  <w:style w:type="table" w:styleId="TableGrid">
    <w:name w:val="Table Grid"/>
    <w:basedOn w:val="TableNormal"/>
    <w:uiPriority w:val="39"/>
    <w:rsid w:val="00FD29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F63EC"/>
    <w:pPr>
      <w:ind w:left="720"/>
      <w:contextualSpacing/>
    </w:pPr>
  </w:style>
  <w:style w:type="character" w:styleId="Hyperlink">
    <w:name w:val="Hyperlink"/>
    <w:basedOn w:val="DefaultParagraphFont"/>
    <w:uiPriority w:val="99"/>
    <w:unhideWhenUsed/>
    <w:rsid w:val="002814F2"/>
    <w:rPr>
      <w:color w:val="0000FF" w:themeColor="hyperlink"/>
      <w:u w:val="single"/>
    </w:rPr>
  </w:style>
  <w:style w:type="paragraph" w:customStyle="1" w:styleId="Default">
    <w:name w:val="Default"/>
    <w:rsid w:val="002814F2"/>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068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6889"/>
    <w:rPr>
      <w:rFonts w:ascii="Tahoma" w:hAnsi="Tahoma" w:cs="Tahoma"/>
      <w:sz w:val="16"/>
      <w:szCs w:val="16"/>
    </w:rPr>
  </w:style>
  <w:style w:type="paragraph" w:styleId="Header">
    <w:name w:val="header"/>
    <w:basedOn w:val="Normal"/>
    <w:link w:val="HeaderChar"/>
    <w:uiPriority w:val="99"/>
    <w:unhideWhenUsed/>
    <w:rsid w:val="000F51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51B3"/>
  </w:style>
  <w:style w:type="paragraph" w:styleId="Footer">
    <w:name w:val="footer"/>
    <w:basedOn w:val="Normal"/>
    <w:link w:val="FooterChar"/>
    <w:uiPriority w:val="99"/>
    <w:unhideWhenUsed/>
    <w:rsid w:val="000F51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51B3"/>
  </w:style>
  <w:style w:type="table" w:styleId="TableGrid">
    <w:name w:val="Table Grid"/>
    <w:basedOn w:val="TableNormal"/>
    <w:uiPriority w:val="39"/>
    <w:rsid w:val="00FD29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F63EC"/>
    <w:pPr>
      <w:ind w:left="720"/>
      <w:contextualSpacing/>
    </w:pPr>
  </w:style>
  <w:style w:type="character" w:styleId="Hyperlink">
    <w:name w:val="Hyperlink"/>
    <w:basedOn w:val="DefaultParagraphFont"/>
    <w:uiPriority w:val="99"/>
    <w:unhideWhenUsed/>
    <w:rsid w:val="002814F2"/>
    <w:rPr>
      <w:color w:val="0000FF" w:themeColor="hyperlink"/>
      <w:u w:val="single"/>
    </w:rPr>
  </w:style>
  <w:style w:type="paragraph" w:customStyle="1" w:styleId="Default">
    <w:name w:val="Default"/>
    <w:rsid w:val="002814F2"/>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england-41310641" TargetMode="External"/><Relationship Id="rId13" Type="http://schemas.openxmlformats.org/officeDocument/2006/relationships/hyperlink" Target="https://www.nmc.org.uk/globalassets/sitedocuments/other-publications/the-nmc-register-2018.pdf" TargetMode="External"/><Relationship Id="rId18" Type="http://schemas.openxmlformats.org/officeDocument/2006/relationships/hyperlink" Target="https://search.proquest.com/openview/42e12c1f5fef0aa1952538040748d1d7/1?pq-origsite=gscholar&amp;cbl=2043523" TargetMode="Externa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nhsemployers.org/-/media/Employers/Publications/Age-in-the-NHS.pdf" TargetMode="External"/><Relationship Id="rId17" Type="http://schemas.openxmlformats.org/officeDocument/2006/relationships/hyperlink" Target="https://www.england.nhs.uk/wp-content/uploads/2018/02/lessons-learned-review-wannacry-ransomware-cyber-attack-cio-review.pdf(Accessed,9" TargetMode="External"/><Relationship Id="rId2" Type="http://schemas.openxmlformats.org/officeDocument/2006/relationships/styles" Target="styles.xml"/><Relationship Id="rId16" Type="http://schemas.openxmlformats.org/officeDocument/2006/relationships/hyperlink" Target="https://royalsociety.org/~/media/policy/projects/eu-uk-funding/uk-membership-of-eu.pdf"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mckinsey.com/industries/pharmaceuticals-and-medical-products/our-insights/how-health-apps-are-promising-to-reshape-healthcare" TargetMode="External"/><Relationship Id="rId5" Type="http://schemas.openxmlformats.org/officeDocument/2006/relationships/webSettings" Target="webSettings.xml"/><Relationship Id="rId15" Type="http://schemas.openxmlformats.org/officeDocument/2006/relationships/hyperlink" Target="https://www.rcn.org.uk/news-and-events/news/nhs-reveals-staffing-crisis-in-new-recruitment-figures" TargetMode="External"/><Relationship Id="rId23" Type="http://schemas.openxmlformats.org/officeDocument/2006/relationships/theme" Target="theme/theme1.xml"/><Relationship Id="rId10" Type="http://schemas.openxmlformats.org/officeDocument/2006/relationships/hyperlink" Target="https://www.england.nhs.uk/2014/05/power-improve-pc/" TargetMode="External"/><Relationship Id="rId19" Type="http://schemas.openxmlformats.org/officeDocument/2006/relationships/hyperlink" Target="https://www.statista.com/statistics/374875/forecasted-bank-rate-united-kingdom-uk/" TargetMode="External"/><Relationship Id="rId4" Type="http://schemas.openxmlformats.org/officeDocument/2006/relationships/settings" Target="settings.xml"/><Relationship Id="rId9" Type="http://schemas.openxmlformats.org/officeDocument/2006/relationships/hyperlink" Target="http://www.ema.europa.eu/ema/index.jsp?curl=pages/about_us/general/general_content_000091.jsp&amp;mid=WC0b01ac0580028a42" TargetMode="External"/><Relationship Id="rId14" Type="http://schemas.openxmlformats.org/officeDocument/2006/relationships/hyperlink" Target="https://www.ons.gov.uk/peoplepopulationandcommunity/populationandmigration/populationestimates/articles/overviewoftheukpopulation/july201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5383</Words>
  <Characters>30685</Characters>
  <Application>Microsoft Office Word</Application>
  <DocSecurity>4</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North Middlesex University Hospital NHS Trust</Company>
  <LinksUpToDate>false</LinksUpToDate>
  <CharactersWithSpaces>35997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Garikayi Teera</dc:creator>
  <cp:lastModifiedBy>Garikayi Teera</cp:lastModifiedBy>
  <cp:revision>2</cp:revision>
  <cp:lastPrinted>2018-08-11T17:17:00Z</cp:lastPrinted>
  <dcterms:created xsi:type="dcterms:W3CDTF">2018-08-20T08:54:00Z</dcterms:created>
  <dcterms:modified xsi:type="dcterms:W3CDTF">2018-08-20T08:54:00Z</dcterms:modified>
</cp:coreProperties>
</file>