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A5283E" w14:textId="77777777" w:rsidR="009A56BB" w:rsidRDefault="009A56BB" w:rsidP="0076769B">
      <w:pPr>
        <w:pStyle w:val="Title"/>
        <w:jc w:val="center"/>
        <w:rPr>
          <w:b/>
        </w:rPr>
      </w:pPr>
    </w:p>
    <w:p w14:paraId="5B057A4F" w14:textId="77777777" w:rsidR="009A56BB" w:rsidRDefault="009A56BB" w:rsidP="0076769B">
      <w:pPr>
        <w:pStyle w:val="Title"/>
        <w:jc w:val="center"/>
        <w:rPr>
          <w:b/>
        </w:rPr>
      </w:pPr>
    </w:p>
    <w:p w14:paraId="7C3213D8" w14:textId="77777777" w:rsidR="009A56BB" w:rsidRDefault="009A56BB" w:rsidP="0076769B">
      <w:pPr>
        <w:pStyle w:val="Title"/>
        <w:jc w:val="center"/>
        <w:rPr>
          <w:b/>
        </w:rPr>
      </w:pPr>
    </w:p>
    <w:p w14:paraId="28304765" w14:textId="77777777" w:rsidR="00134AA7" w:rsidRDefault="00134AA7" w:rsidP="00134AA7">
      <w:pPr>
        <w:pStyle w:val="Title"/>
        <w:jc w:val="center"/>
        <w:rPr>
          <w:sz w:val="36"/>
        </w:rPr>
      </w:pPr>
      <w:r>
        <w:rPr>
          <w:sz w:val="36"/>
        </w:rPr>
        <w:t>Contemporary Themes in the Hotel and Hospitality Sector</w:t>
      </w:r>
    </w:p>
    <w:p w14:paraId="44870F95" w14:textId="77777777" w:rsidR="00A13395" w:rsidRPr="00A13395" w:rsidRDefault="00A13395" w:rsidP="00A13395"/>
    <w:p w14:paraId="5F2FC654" w14:textId="77777777" w:rsidR="00DE5BDA" w:rsidRDefault="00DE5BDA" w:rsidP="0076769B">
      <w:pPr>
        <w:pStyle w:val="Title"/>
        <w:jc w:val="center"/>
        <w:rPr>
          <w:b/>
        </w:rPr>
      </w:pPr>
    </w:p>
    <w:p w14:paraId="5B319B68" w14:textId="77777777" w:rsidR="00A13395" w:rsidRDefault="00A13395" w:rsidP="0076769B">
      <w:pPr>
        <w:jc w:val="center"/>
      </w:pPr>
      <w:r w:rsidRPr="00A13395">
        <w:t xml:space="preserve">BA International Hotel Management  </w:t>
      </w:r>
    </w:p>
    <w:p w14:paraId="7570ACC5" w14:textId="6AE23072" w:rsidR="00022148" w:rsidRDefault="00022148" w:rsidP="0076769B">
      <w:pPr>
        <w:jc w:val="center"/>
      </w:pPr>
      <w:r w:rsidRPr="00022148">
        <w:t>BMIH6001</w:t>
      </w:r>
    </w:p>
    <w:p w14:paraId="276D4F63" w14:textId="21F04F5D" w:rsidR="00856144" w:rsidRDefault="00856144" w:rsidP="0076769B">
      <w:pPr>
        <w:jc w:val="center"/>
      </w:pPr>
      <w:r>
        <w:t>Lecturer:</w:t>
      </w:r>
      <w:r w:rsidR="00327603" w:rsidRPr="00327603">
        <w:t xml:space="preserve"> Dr Ernest </w:t>
      </w:r>
      <w:proofErr w:type="spellStart"/>
      <w:r w:rsidR="00327603" w:rsidRPr="00327603">
        <w:t>Balutie</w:t>
      </w:r>
      <w:proofErr w:type="spellEnd"/>
      <w:r w:rsidR="00327603" w:rsidRPr="00327603">
        <w:t xml:space="preserve"> </w:t>
      </w:r>
      <w:proofErr w:type="spellStart"/>
      <w:r w:rsidR="00327603" w:rsidRPr="00327603">
        <w:t>Wavei</w:t>
      </w:r>
      <w:proofErr w:type="spellEnd"/>
    </w:p>
    <w:p w14:paraId="6173D256" w14:textId="63A5BF83" w:rsidR="00BC4275" w:rsidRDefault="00BC4275" w:rsidP="0076769B">
      <w:pPr>
        <w:jc w:val="center"/>
      </w:pPr>
      <w:r w:rsidRPr="00BC4275">
        <w:t>Assignment One</w:t>
      </w:r>
      <w:r>
        <w:t>:</w:t>
      </w:r>
      <w:r w:rsidRPr="00BC4275">
        <w:t xml:space="preserve"> Conference Research Paper</w:t>
      </w:r>
    </w:p>
    <w:p w14:paraId="5CABDA2F" w14:textId="10C140D2" w:rsidR="00BC4275" w:rsidRDefault="00BC4275" w:rsidP="0076769B">
      <w:pPr>
        <w:jc w:val="center"/>
      </w:pPr>
      <w:r>
        <w:t>Student: Alina Radoi</w:t>
      </w:r>
    </w:p>
    <w:p w14:paraId="6554659D" w14:textId="6776C3BE" w:rsidR="00BC4275" w:rsidRDefault="00AE7385" w:rsidP="0076769B">
      <w:pPr>
        <w:jc w:val="center"/>
      </w:pPr>
      <w:r>
        <w:t>Student No: 2126976</w:t>
      </w:r>
    </w:p>
    <w:p w14:paraId="46D88026" w14:textId="76F2D8DD" w:rsidR="009A56BB" w:rsidRPr="00EA0AFA" w:rsidRDefault="009A56BB" w:rsidP="00BC4275"/>
    <w:p w14:paraId="7AB90067" w14:textId="5F24C7E8" w:rsidR="00247F9C" w:rsidRPr="00EA0AFA" w:rsidRDefault="00247F9C" w:rsidP="0076769B">
      <w:pPr>
        <w:jc w:val="center"/>
      </w:pPr>
    </w:p>
    <w:p w14:paraId="26515E04" w14:textId="77777777" w:rsidR="00247F9C" w:rsidRPr="00EA0AFA" w:rsidRDefault="00247F9C" w:rsidP="0076769B">
      <w:pPr>
        <w:rPr>
          <w:rFonts w:eastAsiaTheme="majorEastAsia" w:cstheme="majorBidi"/>
          <w:spacing w:val="-10"/>
          <w:kern w:val="28"/>
          <w:sz w:val="32"/>
          <w:szCs w:val="56"/>
        </w:rPr>
      </w:pPr>
      <w:r w:rsidRPr="00EA0AFA">
        <w:br w:type="page"/>
      </w:r>
    </w:p>
    <w:sdt>
      <w:sdtPr>
        <w:rPr>
          <w:rFonts w:ascii="Times New Roman" w:eastAsiaTheme="minorHAnsi" w:hAnsi="Times New Roman" w:cstheme="minorBidi"/>
          <w:color w:val="auto"/>
          <w:sz w:val="24"/>
          <w:szCs w:val="22"/>
        </w:rPr>
        <w:id w:val="860084977"/>
        <w:docPartObj>
          <w:docPartGallery w:val="Table of Contents"/>
          <w:docPartUnique/>
        </w:docPartObj>
      </w:sdtPr>
      <w:sdtEndPr>
        <w:rPr>
          <w:b/>
          <w:bCs/>
          <w:noProof/>
        </w:rPr>
      </w:sdtEndPr>
      <w:sdtContent>
        <w:p w14:paraId="1A9076D4" w14:textId="77777777" w:rsidR="00247F9C" w:rsidRPr="00EA0AFA" w:rsidRDefault="00247F9C" w:rsidP="0076769B">
          <w:pPr>
            <w:pStyle w:val="TOCHeading"/>
            <w:spacing w:line="360" w:lineRule="auto"/>
            <w:jc w:val="center"/>
            <w:rPr>
              <w:rFonts w:ascii="Times New Roman" w:hAnsi="Times New Roman" w:cs="Times New Roman"/>
              <w:b/>
              <w:color w:val="auto"/>
            </w:rPr>
          </w:pPr>
          <w:r w:rsidRPr="00EA0AFA">
            <w:rPr>
              <w:rFonts w:ascii="Times New Roman" w:hAnsi="Times New Roman" w:cs="Times New Roman"/>
              <w:b/>
              <w:color w:val="auto"/>
            </w:rPr>
            <w:t>Table of Contents</w:t>
          </w:r>
        </w:p>
        <w:p w14:paraId="332B5F69" w14:textId="77777777" w:rsidR="00247F9C" w:rsidRPr="00EA0AFA" w:rsidRDefault="00247F9C" w:rsidP="0076769B">
          <w:pPr>
            <w:pStyle w:val="TOC1"/>
            <w:tabs>
              <w:tab w:val="right" w:leader="dot" w:pos="9350"/>
            </w:tabs>
            <w:rPr>
              <w:noProof/>
            </w:rPr>
          </w:pPr>
          <w:r w:rsidRPr="00EA0AFA">
            <w:fldChar w:fldCharType="begin"/>
          </w:r>
          <w:r w:rsidRPr="00EA0AFA">
            <w:instrText xml:space="preserve"> TOC \o "1-3" \h \z \u </w:instrText>
          </w:r>
          <w:r w:rsidRPr="00EA0AFA">
            <w:fldChar w:fldCharType="separate"/>
          </w:r>
          <w:hyperlink w:anchor="_Toc188384936" w:history="1">
            <w:r w:rsidRPr="00EA0AFA">
              <w:rPr>
                <w:rStyle w:val="Hyperlink"/>
                <w:noProof/>
              </w:rPr>
              <w:t>Introduction</w:t>
            </w:r>
            <w:r w:rsidRPr="00EA0AFA">
              <w:rPr>
                <w:noProof/>
                <w:webHidden/>
              </w:rPr>
              <w:tab/>
            </w:r>
            <w:r w:rsidRPr="00EA0AFA">
              <w:rPr>
                <w:noProof/>
                <w:webHidden/>
              </w:rPr>
              <w:fldChar w:fldCharType="begin"/>
            </w:r>
            <w:r w:rsidRPr="00EA0AFA">
              <w:rPr>
                <w:noProof/>
                <w:webHidden/>
              </w:rPr>
              <w:instrText xml:space="preserve"> PAGEREF _Toc188384936 \h </w:instrText>
            </w:r>
            <w:r w:rsidRPr="00EA0AFA">
              <w:rPr>
                <w:noProof/>
                <w:webHidden/>
              </w:rPr>
            </w:r>
            <w:r w:rsidRPr="00EA0AFA">
              <w:rPr>
                <w:noProof/>
                <w:webHidden/>
              </w:rPr>
              <w:fldChar w:fldCharType="separate"/>
            </w:r>
            <w:r w:rsidRPr="00EA0AFA">
              <w:rPr>
                <w:noProof/>
                <w:webHidden/>
              </w:rPr>
              <w:t>3</w:t>
            </w:r>
            <w:r w:rsidRPr="00EA0AFA">
              <w:rPr>
                <w:noProof/>
                <w:webHidden/>
              </w:rPr>
              <w:fldChar w:fldCharType="end"/>
            </w:r>
          </w:hyperlink>
        </w:p>
        <w:p w14:paraId="21F8020F" w14:textId="77777777" w:rsidR="00247F9C" w:rsidRPr="00EA0AFA" w:rsidRDefault="00247F9C" w:rsidP="0076769B">
          <w:pPr>
            <w:pStyle w:val="TOC1"/>
            <w:tabs>
              <w:tab w:val="right" w:leader="dot" w:pos="9350"/>
            </w:tabs>
            <w:rPr>
              <w:noProof/>
            </w:rPr>
          </w:pPr>
          <w:hyperlink w:anchor="_Toc188384937" w:history="1">
            <w:r w:rsidRPr="00EA0AFA">
              <w:rPr>
                <w:rStyle w:val="Hyperlink"/>
                <w:noProof/>
              </w:rPr>
              <w:t>Literature Review</w:t>
            </w:r>
            <w:r w:rsidRPr="00EA0AFA">
              <w:rPr>
                <w:noProof/>
                <w:webHidden/>
              </w:rPr>
              <w:tab/>
            </w:r>
            <w:r w:rsidRPr="00EA0AFA">
              <w:rPr>
                <w:noProof/>
                <w:webHidden/>
              </w:rPr>
              <w:fldChar w:fldCharType="begin"/>
            </w:r>
            <w:r w:rsidRPr="00EA0AFA">
              <w:rPr>
                <w:noProof/>
                <w:webHidden/>
              </w:rPr>
              <w:instrText xml:space="preserve"> PAGEREF _Toc188384937 \h </w:instrText>
            </w:r>
            <w:r w:rsidRPr="00EA0AFA">
              <w:rPr>
                <w:noProof/>
                <w:webHidden/>
              </w:rPr>
            </w:r>
            <w:r w:rsidRPr="00EA0AFA">
              <w:rPr>
                <w:noProof/>
                <w:webHidden/>
              </w:rPr>
              <w:fldChar w:fldCharType="separate"/>
            </w:r>
            <w:r w:rsidRPr="00EA0AFA">
              <w:rPr>
                <w:noProof/>
                <w:webHidden/>
              </w:rPr>
              <w:t>3</w:t>
            </w:r>
            <w:r w:rsidRPr="00EA0AFA">
              <w:rPr>
                <w:noProof/>
                <w:webHidden/>
              </w:rPr>
              <w:fldChar w:fldCharType="end"/>
            </w:r>
          </w:hyperlink>
        </w:p>
        <w:p w14:paraId="4273B4CB" w14:textId="77777777" w:rsidR="00247F9C" w:rsidRPr="00EA0AFA" w:rsidRDefault="00247F9C" w:rsidP="0076769B">
          <w:pPr>
            <w:pStyle w:val="TOC1"/>
            <w:tabs>
              <w:tab w:val="right" w:leader="dot" w:pos="9350"/>
            </w:tabs>
            <w:rPr>
              <w:noProof/>
            </w:rPr>
          </w:pPr>
          <w:hyperlink w:anchor="_Toc188384938" w:history="1">
            <w:r w:rsidRPr="00EA0AFA">
              <w:rPr>
                <w:rStyle w:val="Hyperlink"/>
                <w:noProof/>
              </w:rPr>
              <w:t>Methods</w:t>
            </w:r>
            <w:r w:rsidRPr="00EA0AFA">
              <w:rPr>
                <w:noProof/>
                <w:webHidden/>
              </w:rPr>
              <w:tab/>
            </w:r>
            <w:r w:rsidRPr="00EA0AFA">
              <w:rPr>
                <w:noProof/>
                <w:webHidden/>
              </w:rPr>
              <w:fldChar w:fldCharType="begin"/>
            </w:r>
            <w:r w:rsidRPr="00EA0AFA">
              <w:rPr>
                <w:noProof/>
                <w:webHidden/>
              </w:rPr>
              <w:instrText xml:space="preserve"> PAGEREF _Toc188384938 \h </w:instrText>
            </w:r>
            <w:r w:rsidRPr="00EA0AFA">
              <w:rPr>
                <w:noProof/>
                <w:webHidden/>
              </w:rPr>
            </w:r>
            <w:r w:rsidRPr="00EA0AFA">
              <w:rPr>
                <w:noProof/>
                <w:webHidden/>
              </w:rPr>
              <w:fldChar w:fldCharType="separate"/>
            </w:r>
            <w:r w:rsidRPr="00EA0AFA">
              <w:rPr>
                <w:noProof/>
                <w:webHidden/>
              </w:rPr>
              <w:t>5</w:t>
            </w:r>
            <w:r w:rsidRPr="00EA0AFA">
              <w:rPr>
                <w:noProof/>
                <w:webHidden/>
              </w:rPr>
              <w:fldChar w:fldCharType="end"/>
            </w:r>
          </w:hyperlink>
        </w:p>
        <w:p w14:paraId="6BEBA430" w14:textId="77777777" w:rsidR="00247F9C" w:rsidRPr="00EA0AFA" w:rsidRDefault="00247F9C" w:rsidP="0076769B">
          <w:pPr>
            <w:pStyle w:val="TOC1"/>
            <w:tabs>
              <w:tab w:val="right" w:leader="dot" w:pos="9350"/>
            </w:tabs>
            <w:rPr>
              <w:noProof/>
            </w:rPr>
          </w:pPr>
          <w:hyperlink w:anchor="_Toc188384939" w:history="1">
            <w:r w:rsidRPr="00EA0AFA">
              <w:rPr>
                <w:rStyle w:val="Hyperlink"/>
                <w:noProof/>
              </w:rPr>
              <w:t>Theme impact analysis</w:t>
            </w:r>
            <w:r w:rsidRPr="00EA0AFA">
              <w:rPr>
                <w:noProof/>
                <w:webHidden/>
              </w:rPr>
              <w:tab/>
            </w:r>
            <w:r w:rsidRPr="00EA0AFA">
              <w:rPr>
                <w:noProof/>
                <w:webHidden/>
              </w:rPr>
              <w:fldChar w:fldCharType="begin"/>
            </w:r>
            <w:r w:rsidRPr="00EA0AFA">
              <w:rPr>
                <w:noProof/>
                <w:webHidden/>
              </w:rPr>
              <w:instrText xml:space="preserve"> PAGEREF _Toc188384939 \h </w:instrText>
            </w:r>
            <w:r w:rsidRPr="00EA0AFA">
              <w:rPr>
                <w:noProof/>
                <w:webHidden/>
              </w:rPr>
            </w:r>
            <w:r w:rsidRPr="00EA0AFA">
              <w:rPr>
                <w:noProof/>
                <w:webHidden/>
              </w:rPr>
              <w:fldChar w:fldCharType="separate"/>
            </w:r>
            <w:r w:rsidRPr="00EA0AFA">
              <w:rPr>
                <w:noProof/>
                <w:webHidden/>
              </w:rPr>
              <w:t>6</w:t>
            </w:r>
            <w:r w:rsidRPr="00EA0AFA">
              <w:rPr>
                <w:noProof/>
                <w:webHidden/>
              </w:rPr>
              <w:fldChar w:fldCharType="end"/>
            </w:r>
          </w:hyperlink>
        </w:p>
        <w:p w14:paraId="4A06BA7A" w14:textId="77777777" w:rsidR="00247F9C" w:rsidRPr="00EA0AFA" w:rsidRDefault="00247F9C" w:rsidP="0076769B">
          <w:pPr>
            <w:pStyle w:val="TOC2"/>
            <w:tabs>
              <w:tab w:val="right" w:leader="dot" w:pos="9350"/>
            </w:tabs>
            <w:rPr>
              <w:noProof/>
            </w:rPr>
          </w:pPr>
          <w:hyperlink w:anchor="_Toc188384940" w:history="1">
            <w:r w:rsidRPr="00EA0AFA">
              <w:rPr>
                <w:rStyle w:val="Hyperlink"/>
                <w:noProof/>
              </w:rPr>
              <w:t>Political Factors</w:t>
            </w:r>
            <w:r w:rsidRPr="00EA0AFA">
              <w:rPr>
                <w:noProof/>
                <w:webHidden/>
              </w:rPr>
              <w:tab/>
            </w:r>
            <w:r w:rsidRPr="00EA0AFA">
              <w:rPr>
                <w:noProof/>
                <w:webHidden/>
              </w:rPr>
              <w:fldChar w:fldCharType="begin"/>
            </w:r>
            <w:r w:rsidRPr="00EA0AFA">
              <w:rPr>
                <w:noProof/>
                <w:webHidden/>
              </w:rPr>
              <w:instrText xml:space="preserve"> PAGEREF _Toc188384940 \h </w:instrText>
            </w:r>
            <w:r w:rsidRPr="00EA0AFA">
              <w:rPr>
                <w:noProof/>
                <w:webHidden/>
              </w:rPr>
            </w:r>
            <w:r w:rsidRPr="00EA0AFA">
              <w:rPr>
                <w:noProof/>
                <w:webHidden/>
              </w:rPr>
              <w:fldChar w:fldCharType="separate"/>
            </w:r>
            <w:r w:rsidRPr="00EA0AFA">
              <w:rPr>
                <w:noProof/>
                <w:webHidden/>
              </w:rPr>
              <w:t>6</w:t>
            </w:r>
            <w:r w:rsidRPr="00EA0AFA">
              <w:rPr>
                <w:noProof/>
                <w:webHidden/>
              </w:rPr>
              <w:fldChar w:fldCharType="end"/>
            </w:r>
          </w:hyperlink>
        </w:p>
        <w:p w14:paraId="7F2CA9AA" w14:textId="77777777" w:rsidR="00247F9C" w:rsidRPr="00EA0AFA" w:rsidRDefault="00247F9C" w:rsidP="0076769B">
          <w:pPr>
            <w:pStyle w:val="TOC2"/>
            <w:tabs>
              <w:tab w:val="right" w:leader="dot" w:pos="9350"/>
            </w:tabs>
            <w:rPr>
              <w:noProof/>
            </w:rPr>
          </w:pPr>
          <w:hyperlink w:anchor="_Toc188384941" w:history="1">
            <w:r w:rsidRPr="00EA0AFA">
              <w:rPr>
                <w:rStyle w:val="Hyperlink"/>
                <w:noProof/>
              </w:rPr>
              <w:t>Economic Factors</w:t>
            </w:r>
            <w:r w:rsidRPr="00EA0AFA">
              <w:rPr>
                <w:noProof/>
                <w:webHidden/>
              </w:rPr>
              <w:tab/>
            </w:r>
            <w:r w:rsidRPr="00EA0AFA">
              <w:rPr>
                <w:noProof/>
                <w:webHidden/>
              </w:rPr>
              <w:fldChar w:fldCharType="begin"/>
            </w:r>
            <w:r w:rsidRPr="00EA0AFA">
              <w:rPr>
                <w:noProof/>
                <w:webHidden/>
              </w:rPr>
              <w:instrText xml:space="preserve"> PAGEREF _Toc188384941 \h </w:instrText>
            </w:r>
            <w:r w:rsidRPr="00EA0AFA">
              <w:rPr>
                <w:noProof/>
                <w:webHidden/>
              </w:rPr>
            </w:r>
            <w:r w:rsidRPr="00EA0AFA">
              <w:rPr>
                <w:noProof/>
                <w:webHidden/>
              </w:rPr>
              <w:fldChar w:fldCharType="separate"/>
            </w:r>
            <w:r w:rsidRPr="00EA0AFA">
              <w:rPr>
                <w:noProof/>
                <w:webHidden/>
              </w:rPr>
              <w:t>7</w:t>
            </w:r>
            <w:r w:rsidRPr="00EA0AFA">
              <w:rPr>
                <w:noProof/>
                <w:webHidden/>
              </w:rPr>
              <w:fldChar w:fldCharType="end"/>
            </w:r>
          </w:hyperlink>
        </w:p>
        <w:p w14:paraId="6F75ECAB" w14:textId="77777777" w:rsidR="00247F9C" w:rsidRPr="00EA0AFA" w:rsidRDefault="00247F9C" w:rsidP="0076769B">
          <w:pPr>
            <w:pStyle w:val="TOC2"/>
            <w:tabs>
              <w:tab w:val="right" w:leader="dot" w:pos="9350"/>
            </w:tabs>
            <w:rPr>
              <w:noProof/>
            </w:rPr>
          </w:pPr>
          <w:hyperlink w:anchor="_Toc188384942" w:history="1">
            <w:r w:rsidRPr="00EA0AFA">
              <w:rPr>
                <w:rStyle w:val="Hyperlink"/>
                <w:noProof/>
              </w:rPr>
              <w:t>Social Factors</w:t>
            </w:r>
            <w:r w:rsidRPr="00EA0AFA">
              <w:rPr>
                <w:noProof/>
                <w:webHidden/>
              </w:rPr>
              <w:tab/>
            </w:r>
            <w:r w:rsidRPr="00EA0AFA">
              <w:rPr>
                <w:noProof/>
                <w:webHidden/>
              </w:rPr>
              <w:fldChar w:fldCharType="begin"/>
            </w:r>
            <w:r w:rsidRPr="00EA0AFA">
              <w:rPr>
                <w:noProof/>
                <w:webHidden/>
              </w:rPr>
              <w:instrText xml:space="preserve"> PAGEREF _Toc188384942 \h </w:instrText>
            </w:r>
            <w:r w:rsidRPr="00EA0AFA">
              <w:rPr>
                <w:noProof/>
                <w:webHidden/>
              </w:rPr>
            </w:r>
            <w:r w:rsidRPr="00EA0AFA">
              <w:rPr>
                <w:noProof/>
                <w:webHidden/>
              </w:rPr>
              <w:fldChar w:fldCharType="separate"/>
            </w:r>
            <w:r w:rsidRPr="00EA0AFA">
              <w:rPr>
                <w:noProof/>
                <w:webHidden/>
              </w:rPr>
              <w:t>7</w:t>
            </w:r>
            <w:r w:rsidRPr="00EA0AFA">
              <w:rPr>
                <w:noProof/>
                <w:webHidden/>
              </w:rPr>
              <w:fldChar w:fldCharType="end"/>
            </w:r>
          </w:hyperlink>
        </w:p>
        <w:p w14:paraId="1A055D86" w14:textId="77777777" w:rsidR="00247F9C" w:rsidRPr="00EA0AFA" w:rsidRDefault="00247F9C" w:rsidP="0076769B">
          <w:pPr>
            <w:pStyle w:val="TOC2"/>
            <w:tabs>
              <w:tab w:val="right" w:leader="dot" w:pos="9350"/>
            </w:tabs>
            <w:rPr>
              <w:noProof/>
            </w:rPr>
          </w:pPr>
          <w:hyperlink w:anchor="_Toc188384943" w:history="1">
            <w:r w:rsidRPr="00EA0AFA">
              <w:rPr>
                <w:rStyle w:val="Hyperlink"/>
                <w:noProof/>
              </w:rPr>
              <w:t>Technological Factors</w:t>
            </w:r>
            <w:r w:rsidRPr="00EA0AFA">
              <w:rPr>
                <w:noProof/>
                <w:webHidden/>
              </w:rPr>
              <w:tab/>
            </w:r>
            <w:r w:rsidRPr="00EA0AFA">
              <w:rPr>
                <w:noProof/>
                <w:webHidden/>
              </w:rPr>
              <w:fldChar w:fldCharType="begin"/>
            </w:r>
            <w:r w:rsidRPr="00EA0AFA">
              <w:rPr>
                <w:noProof/>
                <w:webHidden/>
              </w:rPr>
              <w:instrText xml:space="preserve"> PAGEREF _Toc188384943 \h </w:instrText>
            </w:r>
            <w:r w:rsidRPr="00EA0AFA">
              <w:rPr>
                <w:noProof/>
                <w:webHidden/>
              </w:rPr>
            </w:r>
            <w:r w:rsidRPr="00EA0AFA">
              <w:rPr>
                <w:noProof/>
                <w:webHidden/>
              </w:rPr>
              <w:fldChar w:fldCharType="separate"/>
            </w:r>
            <w:r w:rsidRPr="00EA0AFA">
              <w:rPr>
                <w:noProof/>
                <w:webHidden/>
              </w:rPr>
              <w:t>8</w:t>
            </w:r>
            <w:r w:rsidRPr="00EA0AFA">
              <w:rPr>
                <w:noProof/>
                <w:webHidden/>
              </w:rPr>
              <w:fldChar w:fldCharType="end"/>
            </w:r>
          </w:hyperlink>
        </w:p>
        <w:p w14:paraId="5AE1ABD4" w14:textId="77777777" w:rsidR="00247F9C" w:rsidRPr="00EA0AFA" w:rsidRDefault="00247F9C" w:rsidP="0076769B">
          <w:pPr>
            <w:pStyle w:val="TOC1"/>
            <w:tabs>
              <w:tab w:val="right" w:leader="dot" w:pos="9350"/>
            </w:tabs>
            <w:rPr>
              <w:noProof/>
            </w:rPr>
          </w:pPr>
          <w:hyperlink w:anchor="_Toc188384944" w:history="1">
            <w:r w:rsidRPr="00EA0AFA">
              <w:rPr>
                <w:rStyle w:val="Hyperlink"/>
                <w:noProof/>
              </w:rPr>
              <w:t>Conclusion</w:t>
            </w:r>
            <w:r w:rsidRPr="00EA0AFA">
              <w:rPr>
                <w:noProof/>
                <w:webHidden/>
              </w:rPr>
              <w:tab/>
            </w:r>
            <w:r w:rsidRPr="00EA0AFA">
              <w:rPr>
                <w:noProof/>
                <w:webHidden/>
              </w:rPr>
              <w:fldChar w:fldCharType="begin"/>
            </w:r>
            <w:r w:rsidRPr="00EA0AFA">
              <w:rPr>
                <w:noProof/>
                <w:webHidden/>
              </w:rPr>
              <w:instrText xml:space="preserve"> PAGEREF _Toc188384944 \h </w:instrText>
            </w:r>
            <w:r w:rsidRPr="00EA0AFA">
              <w:rPr>
                <w:noProof/>
                <w:webHidden/>
              </w:rPr>
            </w:r>
            <w:r w:rsidRPr="00EA0AFA">
              <w:rPr>
                <w:noProof/>
                <w:webHidden/>
              </w:rPr>
              <w:fldChar w:fldCharType="separate"/>
            </w:r>
            <w:r w:rsidRPr="00EA0AFA">
              <w:rPr>
                <w:noProof/>
                <w:webHidden/>
              </w:rPr>
              <w:t>8</w:t>
            </w:r>
            <w:r w:rsidRPr="00EA0AFA">
              <w:rPr>
                <w:noProof/>
                <w:webHidden/>
              </w:rPr>
              <w:fldChar w:fldCharType="end"/>
            </w:r>
          </w:hyperlink>
        </w:p>
        <w:p w14:paraId="1E89CF2A" w14:textId="77777777" w:rsidR="00247F9C" w:rsidRPr="00EA0AFA" w:rsidRDefault="00247F9C" w:rsidP="0076769B">
          <w:pPr>
            <w:pStyle w:val="TOC1"/>
            <w:tabs>
              <w:tab w:val="right" w:leader="dot" w:pos="9350"/>
            </w:tabs>
            <w:rPr>
              <w:noProof/>
            </w:rPr>
          </w:pPr>
          <w:hyperlink w:anchor="_Toc188384945" w:history="1">
            <w:r w:rsidRPr="00EA0AFA">
              <w:rPr>
                <w:rStyle w:val="Hyperlink"/>
                <w:noProof/>
              </w:rPr>
              <w:t>Recommendation</w:t>
            </w:r>
            <w:r w:rsidRPr="00EA0AFA">
              <w:rPr>
                <w:noProof/>
                <w:webHidden/>
              </w:rPr>
              <w:tab/>
            </w:r>
            <w:r w:rsidRPr="00EA0AFA">
              <w:rPr>
                <w:noProof/>
                <w:webHidden/>
              </w:rPr>
              <w:fldChar w:fldCharType="begin"/>
            </w:r>
            <w:r w:rsidRPr="00EA0AFA">
              <w:rPr>
                <w:noProof/>
                <w:webHidden/>
              </w:rPr>
              <w:instrText xml:space="preserve"> PAGEREF _Toc188384945 \h </w:instrText>
            </w:r>
            <w:r w:rsidRPr="00EA0AFA">
              <w:rPr>
                <w:noProof/>
                <w:webHidden/>
              </w:rPr>
            </w:r>
            <w:r w:rsidRPr="00EA0AFA">
              <w:rPr>
                <w:noProof/>
                <w:webHidden/>
              </w:rPr>
              <w:fldChar w:fldCharType="separate"/>
            </w:r>
            <w:r w:rsidRPr="00EA0AFA">
              <w:rPr>
                <w:noProof/>
                <w:webHidden/>
              </w:rPr>
              <w:t>9</w:t>
            </w:r>
            <w:r w:rsidRPr="00EA0AFA">
              <w:rPr>
                <w:noProof/>
                <w:webHidden/>
              </w:rPr>
              <w:fldChar w:fldCharType="end"/>
            </w:r>
          </w:hyperlink>
        </w:p>
        <w:p w14:paraId="27DD4E5C" w14:textId="77777777" w:rsidR="00247F9C" w:rsidRPr="00EA0AFA" w:rsidRDefault="00247F9C" w:rsidP="0076769B">
          <w:pPr>
            <w:pStyle w:val="TOC1"/>
            <w:tabs>
              <w:tab w:val="right" w:leader="dot" w:pos="9350"/>
            </w:tabs>
            <w:rPr>
              <w:noProof/>
            </w:rPr>
          </w:pPr>
          <w:hyperlink w:anchor="_Toc188384946" w:history="1">
            <w:r w:rsidRPr="00EA0AFA">
              <w:rPr>
                <w:rStyle w:val="Hyperlink"/>
                <w:noProof/>
              </w:rPr>
              <w:t>References</w:t>
            </w:r>
            <w:r w:rsidRPr="00EA0AFA">
              <w:rPr>
                <w:noProof/>
                <w:webHidden/>
              </w:rPr>
              <w:tab/>
            </w:r>
            <w:r w:rsidRPr="00EA0AFA">
              <w:rPr>
                <w:noProof/>
                <w:webHidden/>
              </w:rPr>
              <w:fldChar w:fldCharType="begin"/>
            </w:r>
            <w:r w:rsidRPr="00EA0AFA">
              <w:rPr>
                <w:noProof/>
                <w:webHidden/>
              </w:rPr>
              <w:instrText xml:space="preserve"> PAGEREF _Toc188384946 \h </w:instrText>
            </w:r>
            <w:r w:rsidRPr="00EA0AFA">
              <w:rPr>
                <w:noProof/>
                <w:webHidden/>
              </w:rPr>
            </w:r>
            <w:r w:rsidRPr="00EA0AFA">
              <w:rPr>
                <w:noProof/>
                <w:webHidden/>
              </w:rPr>
              <w:fldChar w:fldCharType="separate"/>
            </w:r>
            <w:r w:rsidRPr="00EA0AFA">
              <w:rPr>
                <w:noProof/>
                <w:webHidden/>
              </w:rPr>
              <w:t>11</w:t>
            </w:r>
            <w:r w:rsidRPr="00EA0AFA">
              <w:rPr>
                <w:noProof/>
                <w:webHidden/>
              </w:rPr>
              <w:fldChar w:fldCharType="end"/>
            </w:r>
          </w:hyperlink>
        </w:p>
        <w:p w14:paraId="7013D990" w14:textId="77777777" w:rsidR="00247F9C" w:rsidRPr="00EA0AFA" w:rsidRDefault="00247F9C" w:rsidP="0076769B">
          <w:r w:rsidRPr="00EA0AFA">
            <w:rPr>
              <w:b/>
              <w:bCs/>
              <w:noProof/>
            </w:rPr>
            <w:fldChar w:fldCharType="end"/>
          </w:r>
        </w:p>
      </w:sdtContent>
    </w:sdt>
    <w:p w14:paraId="448E67B7" w14:textId="77777777" w:rsidR="009A56BB" w:rsidRPr="00EA0AFA" w:rsidRDefault="009A56BB" w:rsidP="0076769B">
      <w:pPr>
        <w:pStyle w:val="Title"/>
        <w:jc w:val="center"/>
        <w:rPr>
          <w:b/>
        </w:rPr>
      </w:pPr>
    </w:p>
    <w:p w14:paraId="262DC1CE" w14:textId="77777777" w:rsidR="009A56BB" w:rsidRPr="00EA0AFA" w:rsidRDefault="009A56BB" w:rsidP="0076769B">
      <w:pPr>
        <w:jc w:val="left"/>
        <w:rPr>
          <w:rFonts w:eastAsiaTheme="majorEastAsia" w:cstheme="majorBidi"/>
          <w:b/>
          <w:szCs w:val="32"/>
        </w:rPr>
      </w:pPr>
      <w:r w:rsidRPr="00EA0AFA">
        <w:br w:type="page"/>
      </w:r>
    </w:p>
    <w:p w14:paraId="4470CC02" w14:textId="77777777" w:rsidR="00AC6853" w:rsidRPr="00EA0AFA" w:rsidRDefault="00A75F0C" w:rsidP="0076769B">
      <w:pPr>
        <w:pStyle w:val="Heading1"/>
      </w:pPr>
      <w:bookmarkStart w:id="0" w:name="_Toc188384936"/>
      <w:r w:rsidRPr="00EA0AFA">
        <w:lastRenderedPageBreak/>
        <w:t>Introduction</w:t>
      </w:r>
      <w:bookmarkEnd w:id="0"/>
    </w:p>
    <w:p w14:paraId="364F5034" w14:textId="77777777" w:rsidR="00E23753" w:rsidRPr="00EA0AFA" w:rsidRDefault="00E23753" w:rsidP="0076769B">
      <w:pPr>
        <w:ind w:firstLine="720"/>
      </w:pPr>
      <w:r w:rsidRPr="00EA0AFA">
        <w:t xml:space="preserve">The tourism and hospitality industry </w:t>
      </w:r>
      <w:r w:rsidR="00DE5BDA" w:rsidRPr="00EA0AFA">
        <w:t>face</w:t>
      </w:r>
      <w:r w:rsidRPr="00EA0AFA">
        <w:t xml:space="preserve"> numerous challenges that threaten its stability and growth, including global health crises, geopolitical conflicts, and natural disasters. One of the key themes that has emerged in recent years is the industry's ability to respond to and recover from such shocks sustainably</w:t>
      </w:r>
      <w:r w:rsidR="00DB0FEB" w:rsidRPr="00EA0AFA">
        <w:t xml:space="preserve"> (</w:t>
      </w:r>
      <w:r w:rsidR="00DB0FEB" w:rsidRPr="00EA0AFA">
        <w:rPr>
          <w:rFonts w:cs="Times New Roman"/>
          <w:color w:val="222222"/>
          <w:szCs w:val="24"/>
          <w:shd w:val="clear" w:color="auto" w:fill="FFFFFF"/>
        </w:rPr>
        <w:t>Brada et al., 2021).</w:t>
      </w:r>
      <w:r w:rsidRPr="00EA0AFA">
        <w:t xml:space="preserve"> This is the most </w:t>
      </w:r>
      <w:r w:rsidR="00A031EB" w:rsidRPr="00EA0AFA">
        <w:t>relevant</w:t>
      </w:r>
      <w:r w:rsidRPr="00EA0AFA">
        <w:t xml:space="preserve"> theme because the sector has been adversely affected by occurrences like the COVID-19 pandemic, regional wars, and environmental disasters, including the California wildfires in 2025. </w:t>
      </w:r>
      <w:r w:rsidR="00A031EB" w:rsidRPr="00EA0AFA">
        <w:t>T</w:t>
      </w:r>
      <w:r w:rsidRPr="00EA0AFA">
        <w:t xml:space="preserve">he industry is becoming more focused on building resilience </w:t>
      </w:r>
      <w:r w:rsidR="00584F4E" w:rsidRPr="00EA0AFA">
        <w:t>to</w:t>
      </w:r>
      <w:r w:rsidRPr="00EA0AFA">
        <w:t xml:space="preserve"> prepare for future shocks. Resilience in this sense refers to developing flexible strategies that allow businesses to adapt, recover, and thrive despite external shocks</w:t>
      </w:r>
      <w:r w:rsidR="00DB0FEB" w:rsidRPr="00EA0AFA">
        <w:t xml:space="preserve"> (</w:t>
      </w:r>
      <w:r w:rsidR="00DB0FEB" w:rsidRPr="00EA0AFA">
        <w:rPr>
          <w:rFonts w:cs="Times New Roman"/>
          <w:color w:val="222222"/>
          <w:szCs w:val="24"/>
          <w:shd w:val="clear" w:color="auto" w:fill="FFFFFF"/>
        </w:rPr>
        <w:t>Gudmundsson et al., 2021).</w:t>
      </w:r>
    </w:p>
    <w:p w14:paraId="1BC4AED0" w14:textId="0CE9478B" w:rsidR="00E23753" w:rsidRPr="00EA0AFA" w:rsidRDefault="00572DB0" w:rsidP="0076769B">
      <w:pPr>
        <w:ind w:firstLine="720"/>
      </w:pPr>
      <w:r w:rsidRPr="00EA0AFA">
        <w:t>T</w:t>
      </w:r>
      <w:r w:rsidR="00E23753" w:rsidRPr="00EA0AFA">
        <w:t xml:space="preserve">he hotel and hospitality sectors are sensitive to fluctuations in consumer travel </w:t>
      </w:r>
      <w:r w:rsidR="00AD10FD" w:rsidRPr="00EA0AFA">
        <w:t>behaviors</w:t>
      </w:r>
      <w:r w:rsidR="00E23753" w:rsidRPr="00EA0AFA">
        <w:t xml:space="preserve"> and trends as well as economic shocks and stressors. Recovery would require an innovation in crisis management and sustainability practices to assist in re-engaging consumers. Consumers are becoming </w:t>
      </w:r>
      <w:r w:rsidRPr="00EA0AFA">
        <w:t>“</w:t>
      </w:r>
      <w:r w:rsidR="00E23753" w:rsidRPr="00EA0AFA">
        <w:t>healthy and seeking safety</w:t>
      </w:r>
      <w:r w:rsidRPr="00EA0AFA">
        <w:t>”</w:t>
      </w:r>
      <w:r w:rsidR="00E23753" w:rsidRPr="00EA0AFA">
        <w:t xml:space="preserve"> as well as wanting to assume responsibility towards the environment</w:t>
      </w:r>
      <w:r w:rsidRPr="00EA0AFA">
        <w:t xml:space="preserve"> and</w:t>
      </w:r>
      <w:r w:rsidR="00E23753" w:rsidRPr="00EA0AFA">
        <w:t xml:space="preserve"> these will need to be integrated into the operational models </w:t>
      </w:r>
      <w:r w:rsidR="00AD10FD" w:rsidRPr="00EA0AFA">
        <w:t>utilized</w:t>
      </w:r>
      <w:r w:rsidR="00E23753" w:rsidRPr="00EA0AFA">
        <w:t xml:space="preserve"> by the sector. This modern theme of resilience and recovery is key to the long-term sustainability and growth of </w:t>
      </w:r>
      <w:r w:rsidR="007E0F5D" w:rsidRPr="00EA0AFA">
        <w:t>industry</w:t>
      </w:r>
      <w:r w:rsidR="00DB0FEB" w:rsidRPr="00EA0AFA">
        <w:t xml:space="preserve"> (</w:t>
      </w:r>
      <w:r w:rsidR="00DB0FEB" w:rsidRPr="00EA0AFA">
        <w:rPr>
          <w:rFonts w:cs="Times New Roman"/>
          <w:color w:val="222222"/>
          <w:szCs w:val="24"/>
          <w:shd w:val="clear" w:color="auto" w:fill="FFFFFF"/>
        </w:rPr>
        <w:t>Okafor et al., 2022).</w:t>
      </w:r>
    </w:p>
    <w:p w14:paraId="637325D2" w14:textId="77777777" w:rsidR="00A75F0C" w:rsidRPr="00EA0AFA" w:rsidRDefault="00A75F0C" w:rsidP="0076769B">
      <w:pPr>
        <w:pStyle w:val="Heading1"/>
      </w:pPr>
      <w:bookmarkStart w:id="1" w:name="_Toc188384937"/>
      <w:r w:rsidRPr="00EA0AFA">
        <w:t>Literature Review</w:t>
      </w:r>
      <w:bookmarkEnd w:id="1"/>
    </w:p>
    <w:p w14:paraId="537ED556" w14:textId="77777777" w:rsidR="00E23753" w:rsidRPr="00EA0AFA" w:rsidRDefault="00E23753" w:rsidP="0076769B">
      <w:pPr>
        <w:ind w:firstLine="720"/>
      </w:pPr>
      <w:r w:rsidRPr="00EA0AFA">
        <w:t xml:space="preserve">Within the tourism and hospitality industry, particularly in the context of unexpected global disruptions, interest in the concept of building resilience has been </w:t>
      </w:r>
      <w:r w:rsidR="00584F4E" w:rsidRPr="00EA0AFA">
        <w:t>observed</w:t>
      </w:r>
      <w:r w:rsidRPr="00EA0AFA">
        <w:t xml:space="preserve">. Included in this theme is the impact of health-related crises such as the COVID-19 pandemic on the resilience and recovery strategies of the hospitality sector. The impact of health crises on travel patterns, consumer </w:t>
      </w:r>
      <w:proofErr w:type="spellStart"/>
      <w:r w:rsidR="00584F4E" w:rsidRPr="00EA0AFA">
        <w:t>behaviour</w:t>
      </w:r>
      <w:proofErr w:type="spellEnd"/>
      <w:r w:rsidRPr="00EA0AFA">
        <w:t>, and business operations has had a deep influence on the industry, which must reconsider crisis management, sustainability, and recovery</w:t>
      </w:r>
      <w:r w:rsidR="00DB0FEB" w:rsidRPr="00EA0AFA">
        <w:t xml:space="preserve"> (</w:t>
      </w:r>
      <w:r w:rsidR="00DB0FEB" w:rsidRPr="00EA0AFA">
        <w:rPr>
          <w:rFonts w:cs="Times New Roman"/>
          <w:color w:val="222222"/>
          <w:szCs w:val="24"/>
          <w:shd w:val="clear" w:color="auto" w:fill="FFFFFF"/>
        </w:rPr>
        <w:t>Lee et al., 2021).</w:t>
      </w:r>
      <w:r w:rsidRPr="00EA0AFA">
        <w:t xml:space="preserve"> The objective of such a literature review is</w:t>
      </w:r>
      <w:r w:rsidR="00572DB0" w:rsidRPr="00EA0AFA">
        <w:t xml:space="preserve"> </w:t>
      </w:r>
      <w:r w:rsidRPr="00EA0AFA">
        <w:t xml:space="preserve">something of a close, good-faith look at </w:t>
      </w:r>
      <w:r w:rsidR="00584F4E" w:rsidRPr="00EA0AFA">
        <w:t xml:space="preserve">the </w:t>
      </w:r>
      <w:r w:rsidRPr="00EA0AFA">
        <w:t>effects health crises deliver to the sector of hospitality because of what it has been popularly referred to as resilience</w:t>
      </w:r>
      <w:r w:rsidR="00572DB0" w:rsidRPr="00EA0AFA">
        <w:t xml:space="preserve"> </w:t>
      </w:r>
      <w:r w:rsidRPr="00EA0AFA">
        <w:t>building within current journal article provision of noted scholarship sources on its nature and associated strategies formulated-conflicting views on whether this response does so.</w:t>
      </w:r>
    </w:p>
    <w:p w14:paraId="43CB1B3C" w14:textId="77777777" w:rsidR="00E23753" w:rsidRPr="00EA0AFA" w:rsidRDefault="00E23753" w:rsidP="0076769B">
      <w:pPr>
        <w:ind w:firstLine="720"/>
      </w:pPr>
      <w:r w:rsidRPr="00EA0AFA">
        <w:t xml:space="preserve">The literature is well-documented with studies on the immediate financial impacts of health crises on the hospitality industry. </w:t>
      </w:r>
      <w:proofErr w:type="spellStart"/>
      <w:r w:rsidR="00DB0FEB" w:rsidRPr="00EA0AFA">
        <w:rPr>
          <w:rFonts w:cs="Times New Roman"/>
          <w:color w:val="222222"/>
          <w:szCs w:val="24"/>
          <w:shd w:val="clear" w:color="auto" w:fill="FFFFFF"/>
        </w:rPr>
        <w:t>Škare</w:t>
      </w:r>
      <w:proofErr w:type="spellEnd"/>
      <w:r w:rsidRPr="00EA0AFA">
        <w:t xml:space="preserve"> et al. (202</w:t>
      </w:r>
      <w:r w:rsidR="00DB0FEB" w:rsidRPr="00EA0AFA">
        <w:t>1</w:t>
      </w:r>
      <w:r w:rsidRPr="00EA0AFA">
        <w:t>)</w:t>
      </w:r>
      <w:r w:rsidR="00DB0FEB" w:rsidRPr="00EA0AFA">
        <w:t>,</w:t>
      </w:r>
      <w:r w:rsidRPr="00EA0AFA">
        <w:t xml:space="preserve"> argue that COVID-19 collapsed global </w:t>
      </w:r>
      <w:r w:rsidRPr="00EA0AFA">
        <w:lastRenderedPageBreak/>
        <w:t xml:space="preserve">tourism unprecedentedly, leading to massive shutdowns, mass employee layoffs, and huge revenue losses for hotels and the entire hospitality </w:t>
      </w:r>
      <w:r w:rsidR="00584F4E" w:rsidRPr="00EA0AFA">
        <w:t>business</w:t>
      </w:r>
      <w:r w:rsidRPr="00EA0AFA">
        <w:t>. They noted that because of its high reliance on international tourism and face-to-face interaction, the industry is more sensitive to disruptions caused by health-related crises.</w:t>
      </w:r>
    </w:p>
    <w:p w14:paraId="61E0A237" w14:textId="0E841281" w:rsidR="00E23753" w:rsidRPr="00EA0AFA" w:rsidRDefault="00E23753" w:rsidP="0076769B">
      <w:pPr>
        <w:ind w:firstLine="720"/>
      </w:pPr>
      <w:r w:rsidRPr="00EA0AFA">
        <w:t xml:space="preserve">They </w:t>
      </w:r>
      <w:r w:rsidR="007E0F5D" w:rsidRPr="00EA0AFA">
        <w:t>emphasize</w:t>
      </w:r>
      <w:r w:rsidRPr="00EA0AFA">
        <w:t xml:space="preserve"> the exceptional suddenness and severity of the pandemic, which could almost be said to have blighted businesses, in that many reactive crisis management strategies were pursued by businesses, while survival rather than long-term recovery might have been the best course for some businesses</w:t>
      </w:r>
      <w:r w:rsidR="00DB0FEB" w:rsidRPr="00EA0AFA">
        <w:t xml:space="preserve"> (</w:t>
      </w:r>
      <w:r w:rsidR="00DB0FEB" w:rsidRPr="00EA0AFA">
        <w:rPr>
          <w:rFonts w:cs="Times New Roman"/>
          <w:color w:val="222222"/>
          <w:szCs w:val="24"/>
          <w:shd w:val="clear" w:color="auto" w:fill="FFFFFF"/>
        </w:rPr>
        <w:t>Garcia-Perez-de-Lema et al., 2021).</w:t>
      </w:r>
      <w:r w:rsidRPr="00EA0AFA">
        <w:t xml:space="preserve"> Other studies</w:t>
      </w:r>
      <w:r w:rsidR="00572DB0" w:rsidRPr="00EA0AFA">
        <w:t xml:space="preserve"> </w:t>
      </w:r>
      <w:r w:rsidRPr="00EA0AFA">
        <w:t xml:space="preserve">suggested that the immediate financial losses due to the pandemic were not </w:t>
      </w:r>
      <w:r w:rsidR="00584F4E" w:rsidRPr="00EA0AFA">
        <w:t xml:space="preserve">the </w:t>
      </w:r>
      <w:r w:rsidRPr="00EA0AFA">
        <w:t xml:space="preserve">poorest in the long view, and businesses that quickly adapted to new consumer demands and changing regulations showed resilience. For instance, </w:t>
      </w:r>
      <w:r w:rsidR="00DB0FEB" w:rsidRPr="00EA0AFA">
        <w:rPr>
          <w:rFonts w:cs="Times New Roman"/>
          <w:color w:val="222222"/>
          <w:szCs w:val="24"/>
          <w:shd w:val="clear" w:color="auto" w:fill="FFFFFF"/>
        </w:rPr>
        <w:t>Okafor</w:t>
      </w:r>
      <w:r w:rsidRPr="00EA0AFA">
        <w:t xml:space="preserve"> et al. (202</w:t>
      </w:r>
      <w:r w:rsidR="00DB0FEB" w:rsidRPr="00EA0AFA">
        <w:t>2</w:t>
      </w:r>
      <w:r w:rsidRPr="00EA0AFA">
        <w:t>)</w:t>
      </w:r>
      <w:r w:rsidR="00DB0FEB" w:rsidRPr="00EA0AFA">
        <w:t>,</w:t>
      </w:r>
      <w:r w:rsidRPr="00EA0AFA">
        <w:t xml:space="preserve"> argue that the swift adoption of digital technologies- contactless check-ins, virtual tours, </w:t>
      </w:r>
      <w:r w:rsidR="00584F4E" w:rsidRPr="00EA0AFA">
        <w:t xml:space="preserve">and </w:t>
      </w:r>
      <w:r w:rsidRPr="00EA0AFA">
        <w:t>mobile applications-along with their use allowed hospitality businesses to operate despite lockdowns and social distancing.</w:t>
      </w:r>
    </w:p>
    <w:p w14:paraId="01BBF485" w14:textId="05C2781E" w:rsidR="00572DB0" w:rsidRPr="00EA0AFA" w:rsidRDefault="00E23753" w:rsidP="0076769B">
      <w:pPr>
        <w:ind w:firstLine="720"/>
      </w:pPr>
      <w:r w:rsidRPr="00EA0AFA">
        <w:t xml:space="preserve">Where </w:t>
      </w:r>
      <w:r w:rsidR="009A156F" w:rsidRPr="00EA0AFA">
        <w:t>an</w:t>
      </w:r>
      <w:r w:rsidRPr="00EA0AFA">
        <w:t xml:space="preserve"> </w:t>
      </w:r>
      <w:r w:rsidR="00572DB0" w:rsidRPr="00EA0AFA">
        <w:t>agreement</w:t>
      </w:r>
      <w:r w:rsidRPr="00EA0AFA">
        <w:t xml:space="preserve"> seems to exist among many authors regarding the vulnerability that health crises reveal within the hospitality industry, but the debate picks up when it comes to determining what place sustainability would play in recovery strategies. </w:t>
      </w:r>
      <w:r w:rsidR="00572DB0" w:rsidRPr="00EA0AFA">
        <w:t>A</w:t>
      </w:r>
      <w:r w:rsidRPr="00EA0AFA">
        <w:t xml:space="preserve"> growing consensus exists that long-term resilience will require integrating sustainability into business practice. According to </w:t>
      </w:r>
      <w:r w:rsidR="00DB0FEB" w:rsidRPr="00EA0AFA">
        <w:rPr>
          <w:rFonts w:cs="Times New Roman"/>
          <w:color w:val="222222"/>
          <w:szCs w:val="24"/>
          <w:shd w:val="clear" w:color="auto" w:fill="FFFFFF"/>
        </w:rPr>
        <w:t>Ali</w:t>
      </w:r>
      <w:r w:rsidRPr="00EA0AFA">
        <w:t xml:space="preserve"> et al. (202</w:t>
      </w:r>
      <w:r w:rsidR="00DB0FEB" w:rsidRPr="00EA0AFA">
        <w:t>2</w:t>
      </w:r>
      <w:r w:rsidRPr="00EA0AFA">
        <w:t xml:space="preserve">), the COVID-19 pandemic accelerated the industry's need to adopt sustainability and environmental care in an attempt to regain the trust of customers and ensure that </w:t>
      </w:r>
      <w:r w:rsidR="004A0A8F" w:rsidRPr="00EA0AFA">
        <w:t>travelers</w:t>
      </w:r>
      <w:r w:rsidRPr="00EA0AFA">
        <w:t xml:space="preserve"> arrive during the post-pandemic period. </w:t>
      </w:r>
    </w:p>
    <w:p w14:paraId="22A0524F" w14:textId="77777777" w:rsidR="00E23753" w:rsidRPr="00EA0AFA" w:rsidRDefault="00E23753" w:rsidP="0076769B">
      <w:pPr>
        <w:ind w:firstLine="720"/>
      </w:pPr>
      <w:r w:rsidRPr="00EA0AFA">
        <w:t>Their work</w:t>
      </w:r>
      <w:r w:rsidR="00572DB0" w:rsidRPr="00EA0AFA">
        <w:t xml:space="preserve"> </w:t>
      </w:r>
      <w:r w:rsidR="009A156F" w:rsidRPr="00EA0AFA">
        <w:t>focuses</w:t>
      </w:r>
      <w:r w:rsidRPr="00EA0AFA">
        <w:t xml:space="preserve"> on sustainability </w:t>
      </w:r>
      <w:r w:rsidR="009A156F" w:rsidRPr="00EA0AFA">
        <w:t xml:space="preserve">and </w:t>
      </w:r>
      <w:r w:rsidRPr="00EA0AFA">
        <w:t xml:space="preserve">discusses how energy-efficient operations, reduced waste, and eco-friendly infrastructures have been some of the </w:t>
      </w:r>
      <w:r w:rsidR="00DE5BDA" w:rsidRPr="00EA0AFA">
        <w:t>way’s</w:t>
      </w:r>
      <w:r w:rsidRPr="00EA0AFA">
        <w:t xml:space="preserve"> hotels have adapted to the new consumer preferences as consumers are showing growing concern about the environmental impact of their decisions. This also is in line with the findings of </w:t>
      </w:r>
      <w:proofErr w:type="spellStart"/>
      <w:r w:rsidR="00DB0FEB" w:rsidRPr="00EA0AFA">
        <w:rPr>
          <w:rFonts w:cs="Times New Roman"/>
          <w:color w:val="222222"/>
          <w:szCs w:val="24"/>
          <w:shd w:val="clear" w:color="auto" w:fill="FFFFFF"/>
        </w:rPr>
        <w:t>Dunz</w:t>
      </w:r>
      <w:proofErr w:type="spellEnd"/>
      <w:r w:rsidR="00DB0FEB" w:rsidRPr="00EA0AFA">
        <w:rPr>
          <w:rFonts w:cs="Times New Roman"/>
          <w:color w:val="222222"/>
          <w:szCs w:val="24"/>
          <w:shd w:val="clear" w:color="auto" w:fill="FFFFFF"/>
        </w:rPr>
        <w:t xml:space="preserve"> et al.</w:t>
      </w:r>
      <w:r w:rsidRPr="00EA0AFA">
        <w:t xml:space="preserve"> (202</w:t>
      </w:r>
      <w:r w:rsidR="00DB0FEB" w:rsidRPr="00EA0AFA">
        <w:t>3</w:t>
      </w:r>
      <w:r w:rsidRPr="00EA0AFA">
        <w:t>), which point out that sustainable tourism practices have been associated with better brand reputation and customer loyalty, especially after a crisis.</w:t>
      </w:r>
    </w:p>
    <w:p w14:paraId="7B8258D2" w14:textId="2ED4A5C8" w:rsidR="00E23753" w:rsidRPr="00EA0AFA" w:rsidRDefault="00E23753" w:rsidP="0076769B">
      <w:pPr>
        <w:ind w:firstLine="720"/>
      </w:pPr>
      <w:r w:rsidRPr="00EA0AFA">
        <w:t xml:space="preserve">There is a contrasting view regarding the application of sustainability initiatives during the recovery stage, considering that such an action is either workable or </w:t>
      </w:r>
      <w:r w:rsidR="004A0A8F" w:rsidRPr="00EA0AFA">
        <w:t>emphasized</w:t>
      </w:r>
      <w:r w:rsidRPr="00EA0AFA">
        <w:t xml:space="preserve">. </w:t>
      </w:r>
      <w:r w:rsidR="00572DB0" w:rsidRPr="00EA0AFA">
        <w:t>O</w:t>
      </w:r>
      <w:r w:rsidRPr="00EA0AFA">
        <w:t xml:space="preserve">ther authors sound a warning note that while sustainability is a must, short-run health crises will put enormous financial burdens on businesses to set aside such initiatives for more direct recovery activities. For </w:t>
      </w:r>
      <w:r w:rsidRPr="00EA0AFA">
        <w:lastRenderedPageBreak/>
        <w:t xml:space="preserve">example, </w:t>
      </w:r>
      <w:r w:rsidR="00DB0FEB" w:rsidRPr="00EA0AFA">
        <w:rPr>
          <w:rFonts w:cs="Times New Roman"/>
          <w:color w:val="222222"/>
          <w:szCs w:val="24"/>
          <w:shd w:val="clear" w:color="auto" w:fill="FFFFFF"/>
        </w:rPr>
        <w:t>Wang and Liu (2022</w:t>
      </w:r>
      <w:r w:rsidRPr="00EA0AFA">
        <w:t>)</w:t>
      </w:r>
      <w:r w:rsidR="00DB0FEB" w:rsidRPr="00EA0AFA">
        <w:t>.</w:t>
      </w:r>
      <w:r w:rsidRPr="00EA0AFA">
        <w:t xml:space="preserve"> observes most hospitality businesses SMEs, have limited financial resources and may not be in a position to invest in long-term sustainability initiatives when faced with urgent cash flow problems. </w:t>
      </w:r>
      <w:r w:rsidR="00572DB0" w:rsidRPr="00EA0AFA">
        <w:t>M</w:t>
      </w:r>
      <w:r w:rsidRPr="00EA0AFA">
        <w:t xml:space="preserve">any businesses are likely preoccupied with mere operational survival, such as overhead cost reduction and the sustenance of </w:t>
      </w:r>
      <w:r w:rsidR="00572DB0" w:rsidRPr="00EA0AFA">
        <w:t>dynamic</w:t>
      </w:r>
      <w:r w:rsidRPr="00EA0AFA">
        <w:t xml:space="preserve"> services, rather than the ambitious pursuit of sustainability goals. This assertion is supported by </w:t>
      </w:r>
      <w:r w:rsidR="00966635" w:rsidRPr="00EA0AFA">
        <w:rPr>
          <w:rFonts w:cs="Times New Roman"/>
          <w:color w:val="222222"/>
          <w:szCs w:val="24"/>
          <w:shd w:val="clear" w:color="auto" w:fill="FFFFFF"/>
        </w:rPr>
        <w:t>Mikheeva (2021</w:t>
      </w:r>
      <w:r w:rsidRPr="00EA0AFA">
        <w:t>), suggest</w:t>
      </w:r>
      <w:r w:rsidR="00966635" w:rsidRPr="00EA0AFA">
        <w:t>ed</w:t>
      </w:r>
      <w:r w:rsidRPr="00EA0AFA">
        <w:t xml:space="preserve"> that when businesses face any kind of crisis, they may consider sustainability as a </w:t>
      </w:r>
      <w:r w:rsidR="00572DB0" w:rsidRPr="00EA0AFA">
        <w:t>“</w:t>
      </w:r>
      <w:r w:rsidRPr="00EA0AFA">
        <w:t>luxury</w:t>
      </w:r>
      <w:r w:rsidR="00572DB0" w:rsidRPr="00EA0AFA">
        <w:t>”</w:t>
      </w:r>
      <w:r w:rsidRPr="00EA0AFA">
        <w:t xml:space="preserve"> that can be postponed until some financial stability has been regained.</w:t>
      </w:r>
    </w:p>
    <w:p w14:paraId="52966301" w14:textId="0AAA01D9" w:rsidR="00E23753" w:rsidRPr="00EA0AFA" w:rsidRDefault="00E23753" w:rsidP="0076769B">
      <w:pPr>
        <w:ind w:firstLine="720"/>
      </w:pPr>
      <w:r w:rsidRPr="00EA0AFA">
        <w:t xml:space="preserve">Another important debate in the literature involves the role that consumer </w:t>
      </w:r>
      <w:r w:rsidR="004A0A8F" w:rsidRPr="00EA0AFA">
        <w:t>behavior</w:t>
      </w:r>
      <w:r w:rsidRPr="00EA0AFA">
        <w:t xml:space="preserve"> could play in determining recovery strategies. The pandemic has brought about quite a few shifts in consumer attitude, with health, safety, and hygiene taking </w:t>
      </w:r>
      <w:r w:rsidR="004A0A8F" w:rsidRPr="00EA0AFA">
        <w:t>center</w:t>
      </w:r>
      <w:r w:rsidRPr="00EA0AFA">
        <w:t xml:space="preserve"> stage within the accommodation choice of </w:t>
      </w:r>
      <w:r w:rsidR="004A0A8F" w:rsidRPr="00EA0AFA">
        <w:t>travelers</w:t>
      </w:r>
      <w:r w:rsidRPr="00EA0AFA">
        <w:t xml:space="preserve">. This forced hotels to develop new sanitation protocols, invest in hygiene-related technologies, and enhance communication of such measures to customers. According to Koza (2021), consumers are increasingly seeking </w:t>
      </w:r>
      <w:r w:rsidR="00572DB0" w:rsidRPr="00EA0AFA">
        <w:t>“</w:t>
      </w:r>
      <w:r w:rsidRPr="00EA0AFA">
        <w:t>safe</w:t>
      </w:r>
      <w:r w:rsidR="00572DB0" w:rsidRPr="00EA0AFA">
        <w:t>”</w:t>
      </w:r>
      <w:r w:rsidRPr="00EA0AFA">
        <w:t xml:space="preserve"> travel options and a large number of them are interested in destinations and accommodations that can demonstrate a commitment to health and safety measures. The authors have indicated that those hotels which quickly adapted to the new consumer expectations were more prepared for recovery since they could regain customer confidence and attract new bookings despite uncertainty</w:t>
      </w:r>
      <w:r w:rsidR="00966635" w:rsidRPr="00EA0AFA">
        <w:t xml:space="preserve"> (</w:t>
      </w:r>
      <w:proofErr w:type="spellStart"/>
      <w:r w:rsidR="00966635" w:rsidRPr="00EA0AFA">
        <w:rPr>
          <w:rFonts w:cs="Times New Roman"/>
          <w:color w:val="222222"/>
          <w:szCs w:val="24"/>
          <w:shd w:val="clear" w:color="auto" w:fill="FFFFFF"/>
        </w:rPr>
        <w:t>Miklian</w:t>
      </w:r>
      <w:proofErr w:type="spellEnd"/>
      <w:r w:rsidR="00966635" w:rsidRPr="00EA0AFA">
        <w:rPr>
          <w:rFonts w:cs="Times New Roman"/>
          <w:color w:val="222222"/>
          <w:szCs w:val="24"/>
          <w:shd w:val="clear" w:color="auto" w:fill="FFFFFF"/>
        </w:rPr>
        <w:t xml:space="preserve"> and Hoelscher, 2022).</w:t>
      </w:r>
    </w:p>
    <w:p w14:paraId="6E60FACC" w14:textId="77777777" w:rsidR="00E23753" w:rsidRPr="00EA0AFA" w:rsidRDefault="00E23753" w:rsidP="0076769B">
      <w:pPr>
        <w:ind w:firstLine="720"/>
      </w:pPr>
      <w:r w:rsidRPr="00EA0AFA">
        <w:t xml:space="preserve">However, other researchers argue that health is not the sole factor affecting consumer buying </w:t>
      </w:r>
      <w:proofErr w:type="spellStart"/>
      <w:r w:rsidR="00584F4E" w:rsidRPr="00EA0AFA">
        <w:t>behaviour</w:t>
      </w:r>
      <w:proofErr w:type="spellEnd"/>
      <w:r w:rsidRPr="00EA0AFA">
        <w:t xml:space="preserve"> in the post-crisis period. In as much as consumers were handcuffed to health and safety, other factors include price sensitivity, preference for local travel, and a desire to see flexible booking policies. According to </w:t>
      </w:r>
      <w:r w:rsidR="00966635" w:rsidRPr="00EA0AFA">
        <w:rPr>
          <w:rFonts w:cs="Times New Roman"/>
          <w:color w:val="222222"/>
          <w:szCs w:val="24"/>
          <w:shd w:val="clear" w:color="auto" w:fill="FFFFFF"/>
        </w:rPr>
        <w:t>Jiang et al.</w:t>
      </w:r>
      <w:r w:rsidRPr="00EA0AFA">
        <w:t xml:space="preserve"> (202</w:t>
      </w:r>
      <w:r w:rsidR="00966635" w:rsidRPr="00EA0AFA">
        <w:t>3</w:t>
      </w:r>
      <w:r w:rsidRPr="00EA0AFA">
        <w:t>), because of economic uncertainty caused by the pandemic, consumers are increasingly becoming conscious of prices and more value-seeking.</w:t>
      </w:r>
    </w:p>
    <w:p w14:paraId="1982515C" w14:textId="77777777" w:rsidR="00A75F0C" w:rsidRPr="00EA0AFA" w:rsidRDefault="00A75F0C" w:rsidP="0076769B">
      <w:pPr>
        <w:pStyle w:val="Heading1"/>
      </w:pPr>
      <w:bookmarkStart w:id="2" w:name="_Toc188384938"/>
      <w:r w:rsidRPr="00EA0AFA">
        <w:t>Methods</w:t>
      </w:r>
      <w:bookmarkEnd w:id="2"/>
    </w:p>
    <w:p w14:paraId="3777E39B" w14:textId="5549AFA0" w:rsidR="00E23753" w:rsidRPr="00EA0AFA" w:rsidRDefault="00E23753" w:rsidP="0076769B">
      <w:pPr>
        <w:ind w:firstLine="720"/>
      </w:pPr>
      <w:r w:rsidRPr="00EA0AFA">
        <w:t xml:space="preserve">This study </w:t>
      </w:r>
      <w:r w:rsidR="00584F4E" w:rsidRPr="00EA0AFA">
        <w:t>will</w:t>
      </w:r>
      <w:r w:rsidRPr="00EA0AFA">
        <w:t xml:space="preserve"> employ a </w:t>
      </w:r>
      <w:r w:rsidR="00572DB0" w:rsidRPr="00EA0AFA">
        <w:t xml:space="preserve">secondary </w:t>
      </w:r>
      <w:r w:rsidRPr="00EA0AFA">
        <w:t xml:space="preserve">qualitative approach to explore the strategies of resilience and recovery in the tourism and hospitality industry, especially </w:t>
      </w:r>
      <w:r w:rsidR="00584F4E" w:rsidRPr="00EA0AFA">
        <w:t xml:space="preserve">in </w:t>
      </w:r>
      <w:r w:rsidRPr="00EA0AFA">
        <w:t xml:space="preserve">health-related crises. Data </w:t>
      </w:r>
      <w:r w:rsidR="00584F4E" w:rsidRPr="00EA0AFA">
        <w:t>will</w:t>
      </w:r>
      <w:r w:rsidRPr="00EA0AFA">
        <w:t xml:space="preserve"> be collected via in-depth semi-structured interviews with pertinent key informants among hotel managers, crisis management experts, and policymakers interested in tourism</w:t>
      </w:r>
      <w:r w:rsidR="00966635" w:rsidRPr="00EA0AFA">
        <w:t xml:space="preserve"> (</w:t>
      </w:r>
      <w:r w:rsidR="00966635" w:rsidRPr="00EA0AFA">
        <w:rPr>
          <w:rFonts w:cs="Times New Roman"/>
          <w:color w:val="222222"/>
          <w:szCs w:val="24"/>
          <w:shd w:val="clear" w:color="auto" w:fill="FFFFFF"/>
        </w:rPr>
        <w:t>Saxena et al., 2022).</w:t>
      </w:r>
      <w:r w:rsidRPr="00EA0AFA">
        <w:t xml:space="preserve"> This will give very deep insights into how businesses change during and after health crises, especially in operational changes, shifts in consumer </w:t>
      </w:r>
      <w:r w:rsidR="004A0A8F" w:rsidRPr="00EA0AFA">
        <w:t>behavior</w:t>
      </w:r>
      <w:r w:rsidRPr="00EA0AFA">
        <w:t xml:space="preserve">, and sustainability efforts. </w:t>
      </w:r>
      <w:r w:rsidRPr="00EA0AFA">
        <w:lastRenderedPageBreak/>
        <w:t>The research will apply a purposive sampling method to ensure that participants have experience relevant to the topic, such as crisis management and recovery strategies</w:t>
      </w:r>
      <w:r w:rsidR="00966635" w:rsidRPr="00EA0AFA">
        <w:t xml:space="preserve"> (</w:t>
      </w:r>
      <w:r w:rsidR="00966635" w:rsidRPr="00EA0AFA">
        <w:rPr>
          <w:rFonts w:cs="Times New Roman"/>
          <w:color w:val="222222"/>
          <w:szCs w:val="24"/>
          <w:shd w:val="clear" w:color="auto" w:fill="FFFFFF"/>
        </w:rPr>
        <w:t>Hu et al., 2022).</w:t>
      </w:r>
    </w:p>
    <w:p w14:paraId="0D637918" w14:textId="72007F28" w:rsidR="00E23753" w:rsidRPr="00EA0AFA" w:rsidRDefault="00E23753" w:rsidP="0076769B">
      <w:pPr>
        <w:ind w:firstLine="720"/>
      </w:pPr>
      <w:r w:rsidRPr="00EA0AFA">
        <w:t xml:space="preserve">The secondary data will be gathered from sources such as industry reports, journal articles, and case studies for a wider perspective to complement the primary data. The thematic analysis will be used to </w:t>
      </w:r>
      <w:r w:rsidR="008E3D62" w:rsidRPr="00EA0AFA">
        <w:t>analyze</w:t>
      </w:r>
      <w:r w:rsidRPr="00EA0AFA">
        <w:t xml:space="preserve"> the data, where patterns and trends in responses are identified. Thematic coding will be applied to </w:t>
      </w:r>
      <w:r w:rsidR="008E3D62" w:rsidRPr="00EA0AFA">
        <w:t>categorize</w:t>
      </w:r>
      <w:r w:rsidRPr="00EA0AFA">
        <w:t xml:space="preserve"> the key themes of changes in consumer </w:t>
      </w:r>
      <w:r w:rsidR="004A0A8F" w:rsidRPr="00EA0AFA">
        <w:t>behavior</w:t>
      </w:r>
      <w:r w:rsidRPr="00EA0AFA">
        <w:t>, measures for health and safety, sustainability, and government interventions</w:t>
      </w:r>
      <w:r w:rsidR="00966635" w:rsidRPr="00EA0AFA">
        <w:t xml:space="preserve"> (</w:t>
      </w:r>
      <w:r w:rsidR="00966635" w:rsidRPr="00EA0AFA">
        <w:rPr>
          <w:rFonts w:cs="Times New Roman"/>
          <w:color w:val="222222"/>
          <w:szCs w:val="24"/>
          <w:shd w:val="clear" w:color="auto" w:fill="FFFFFF"/>
        </w:rPr>
        <w:t>De Vet et al., 2021).</w:t>
      </w:r>
    </w:p>
    <w:p w14:paraId="3C2941A5" w14:textId="4A444CB0" w:rsidR="00E23753" w:rsidRPr="00EA0AFA" w:rsidRDefault="00E23753" w:rsidP="0076769B">
      <w:pPr>
        <w:ind w:firstLine="720"/>
      </w:pPr>
      <w:r w:rsidRPr="00EA0AFA">
        <w:t xml:space="preserve">To guide the </w:t>
      </w:r>
      <w:r w:rsidR="00C8628D" w:rsidRPr="00EA0AFA">
        <w:t>analysis and</w:t>
      </w:r>
      <w:r w:rsidR="009A156F" w:rsidRPr="00EA0AFA">
        <w:t xml:space="preserve"> </w:t>
      </w:r>
      <w:r w:rsidRPr="00EA0AFA">
        <w:t>process the appropriate theoretical frameworks here will be two</w:t>
      </w:r>
      <w:r w:rsidR="00572DB0" w:rsidRPr="00EA0AFA">
        <w:t xml:space="preserve"> such as</w:t>
      </w:r>
      <w:r w:rsidRPr="00EA0AFA">
        <w:t xml:space="preserve"> Resilience Theory, and Crisis Management Framework. These are meant to give a basic skeleton that will help in </w:t>
      </w:r>
      <w:r w:rsidR="008E3D62" w:rsidRPr="00EA0AFA">
        <w:t>organizing</w:t>
      </w:r>
      <w:r w:rsidRPr="00EA0AFA">
        <w:t xml:space="preserve"> the data accordingly in such an all-encompassing way that the maximum depth is also captured about the hospitality industry going about the mechanism of negotiations surrounding disruptions and as it carries its recovery processes accordingly</w:t>
      </w:r>
      <w:r w:rsidR="00966635" w:rsidRPr="00EA0AFA">
        <w:t xml:space="preserve"> (</w:t>
      </w:r>
      <w:r w:rsidR="00966635" w:rsidRPr="00EA0AFA">
        <w:rPr>
          <w:rFonts w:cs="Times New Roman"/>
          <w:color w:val="222222"/>
          <w:szCs w:val="24"/>
          <w:shd w:val="clear" w:color="auto" w:fill="FFFFFF"/>
        </w:rPr>
        <w:t>Neise et al., 2021).</w:t>
      </w:r>
    </w:p>
    <w:p w14:paraId="15C82C10" w14:textId="77777777" w:rsidR="00A75F0C" w:rsidRPr="00EA0AFA" w:rsidRDefault="00A75F0C" w:rsidP="0076769B">
      <w:pPr>
        <w:pStyle w:val="Heading1"/>
      </w:pPr>
      <w:bookmarkStart w:id="3" w:name="_Toc188384939"/>
      <w:r w:rsidRPr="00EA0AFA">
        <w:t>Theme impact analysis</w:t>
      </w:r>
      <w:bookmarkEnd w:id="3"/>
    </w:p>
    <w:p w14:paraId="3B4F227A" w14:textId="0F078C9D" w:rsidR="00E23753" w:rsidRPr="00EA0AFA" w:rsidRDefault="00E23753" w:rsidP="0076769B">
      <w:pPr>
        <w:ind w:firstLine="720"/>
      </w:pPr>
      <w:r w:rsidRPr="00EA0AFA">
        <w:t xml:space="preserve">A study based on the theme of resilience and recovery in contemporary times, very important for the hospitality and hotel industry when responding to health-related crises, will be </w:t>
      </w:r>
      <w:r w:rsidR="008E3D62" w:rsidRPr="00EA0AFA">
        <w:t>analyzed</w:t>
      </w:r>
      <w:r w:rsidRPr="00EA0AFA">
        <w:t xml:space="preserve"> well within the PEST framework that addresses Political, Economic, Social, and Technological factors affecting the sector.</w:t>
      </w:r>
      <w:r w:rsidR="00572DB0" w:rsidRPr="00EA0AFA">
        <w:t xml:space="preserve"> E</w:t>
      </w:r>
      <w:r w:rsidRPr="00EA0AFA">
        <w:t>ach one of these dimensions has an important role to play in shaping the way a crisis is responded to and how such an industry sustains and develops its recovery capacities sustainably and adaptively</w:t>
      </w:r>
      <w:r w:rsidR="00966635" w:rsidRPr="00EA0AFA">
        <w:t xml:space="preserve"> (</w:t>
      </w:r>
      <w:r w:rsidR="00966635" w:rsidRPr="00EA0AFA">
        <w:rPr>
          <w:rFonts w:cs="Times New Roman"/>
          <w:color w:val="222222"/>
          <w:szCs w:val="24"/>
          <w:shd w:val="clear" w:color="auto" w:fill="FFFFFF"/>
        </w:rPr>
        <w:t>Rahman et al., 2021).</w:t>
      </w:r>
      <w:r w:rsidRPr="00EA0AFA">
        <w:t xml:space="preserve"> The analysis, rooted in academic research, industry expertise, and case studies, focuses on how the health crisis of COVID-19 impacted the hospitality industry and </w:t>
      </w:r>
      <w:r w:rsidR="00584F4E" w:rsidRPr="00EA0AFA">
        <w:t>underlines</w:t>
      </w:r>
      <w:r w:rsidRPr="00EA0AFA">
        <w:t xml:space="preserve"> various strengths and weaknesses that emerged in response from the sector.</w:t>
      </w:r>
    </w:p>
    <w:p w14:paraId="65EA72CB" w14:textId="77777777" w:rsidR="00A75F0C" w:rsidRPr="00EA0AFA" w:rsidRDefault="00A75F0C" w:rsidP="0076769B">
      <w:pPr>
        <w:pStyle w:val="Heading2"/>
      </w:pPr>
      <w:bookmarkStart w:id="4" w:name="_Toc188384940"/>
      <w:r w:rsidRPr="00EA0AFA">
        <w:t>Political Factors</w:t>
      </w:r>
      <w:bookmarkEnd w:id="4"/>
    </w:p>
    <w:p w14:paraId="6E42B2BB" w14:textId="77777777" w:rsidR="00CB7D3E" w:rsidRPr="00EA0AFA" w:rsidRDefault="00CB7D3E" w:rsidP="0076769B">
      <w:pPr>
        <w:ind w:firstLine="720"/>
      </w:pPr>
      <w:r w:rsidRPr="00EA0AFA">
        <w:t xml:space="preserve">Political factors like government policies, health policies, and international travel bans play a major role in the hospitality sector during health-related crises. For example, the COVID-19 pandemic reflected political decisions influencing the industry through lockdowns, border closures, and quarantine measures that therefore </w:t>
      </w:r>
      <w:r w:rsidR="00584F4E" w:rsidRPr="00EA0AFA">
        <w:t>had</w:t>
      </w:r>
      <w:r w:rsidRPr="00EA0AFA">
        <w:t xml:space="preserve"> a direct effect on the tourism flow and hotel enterprise</w:t>
      </w:r>
      <w:r w:rsidR="00966635" w:rsidRPr="00EA0AFA">
        <w:t xml:space="preserve"> (</w:t>
      </w:r>
      <w:proofErr w:type="spellStart"/>
      <w:r w:rsidR="00966635" w:rsidRPr="00EA0AFA">
        <w:rPr>
          <w:rFonts w:cs="Times New Roman"/>
          <w:color w:val="222222"/>
          <w:szCs w:val="24"/>
          <w:shd w:val="clear" w:color="auto" w:fill="FFFFFF"/>
        </w:rPr>
        <w:t>Xiuzhen</w:t>
      </w:r>
      <w:proofErr w:type="spellEnd"/>
      <w:r w:rsidR="00966635" w:rsidRPr="00EA0AFA">
        <w:rPr>
          <w:rFonts w:cs="Times New Roman"/>
          <w:color w:val="222222"/>
          <w:szCs w:val="24"/>
          <w:shd w:val="clear" w:color="auto" w:fill="FFFFFF"/>
        </w:rPr>
        <w:t xml:space="preserve"> et al., 2022).</w:t>
      </w:r>
      <w:r w:rsidRPr="00EA0AFA">
        <w:t xml:space="preserve"> In response, governments came up with packages for financial </w:t>
      </w:r>
      <w:r w:rsidRPr="00EA0AFA">
        <w:lastRenderedPageBreak/>
        <w:t>relief, tax cuts, and other initiatives to support businesses in surviving. For example, the United States, through the CARES Act, extended massive support to the hospitality industry through loans and grants to hotels struggling to survive</w:t>
      </w:r>
      <w:r w:rsidR="00966635" w:rsidRPr="00EA0AFA">
        <w:t xml:space="preserve"> (</w:t>
      </w:r>
      <w:r w:rsidR="00966635" w:rsidRPr="00EA0AFA">
        <w:rPr>
          <w:rFonts w:cs="Times New Roman"/>
          <w:color w:val="222222"/>
          <w:szCs w:val="24"/>
          <w:shd w:val="clear" w:color="auto" w:fill="FFFFFF"/>
        </w:rPr>
        <w:t>Anguera-Torrell et al., 2021).</w:t>
      </w:r>
    </w:p>
    <w:p w14:paraId="0FCF99BC" w14:textId="77777777" w:rsidR="00CB7D3E" w:rsidRPr="00EA0AFA" w:rsidRDefault="00CB7D3E" w:rsidP="0076769B">
      <w:pPr>
        <w:ind w:firstLine="720"/>
      </w:pPr>
      <w:r w:rsidRPr="00EA0AFA">
        <w:t xml:space="preserve">However, the political response went up and down businesses suffered, especially in regions that received late or no government support at all. In many countries, for instance, small and </w:t>
      </w:r>
      <w:r w:rsidR="009A156F" w:rsidRPr="00EA0AFA">
        <w:t>medium-sized</w:t>
      </w:r>
      <w:r w:rsidRPr="00EA0AFA">
        <w:t xml:space="preserve"> hotels, which are a significant part of the sector, found it difficult to access government support. This thus has brought out one of the limitations of the political support of </w:t>
      </w:r>
      <w:r w:rsidR="00584F4E" w:rsidRPr="00EA0AFA">
        <w:t xml:space="preserve">the </w:t>
      </w:r>
      <w:r w:rsidRPr="00EA0AFA">
        <w:t>uneven distribution of resources that created inequalities among different types of business recoveries</w:t>
      </w:r>
      <w:r w:rsidR="00966635" w:rsidRPr="00EA0AFA">
        <w:t xml:space="preserve"> (</w:t>
      </w:r>
      <w:r w:rsidR="00966635" w:rsidRPr="00EA0AFA">
        <w:rPr>
          <w:rFonts w:cs="Times New Roman"/>
          <w:color w:val="222222"/>
          <w:szCs w:val="24"/>
          <w:shd w:val="clear" w:color="auto" w:fill="FFFFFF"/>
        </w:rPr>
        <w:t>Xuan et al., 2021).</w:t>
      </w:r>
      <w:r w:rsidRPr="00EA0AFA">
        <w:t xml:space="preserve"> Moreover, the ever-changing political decisions on lockdowns or </w:t>
      </w:r>
      <w:r w:rsidR="00584F4E" w:rsidRPr="00EA0AFA">
        <w:t>travelling</w:t>
      </w:r>
      <w:r w:rsidRPr="00EA0AFA">
        <w:t xml:space="preserve"> policy changes, for instance, have created uncertainty and a need for constant changes in strategy for businesses.</w:t>
      </w:r>
    </w:p>
    <w:p w14:paraId="2A49870F" w14:textId="77777777" w:rsidR="00A75F0C" w:rsidRPr="00EA0AFA" w:rsidRDefault="00A75F0C" w:rsidP="0076769B">
      <w:pPr>
        <w:pStyle w:val="Heading2"/>
      </w:pPr>
      <w:bookmarkStart w:id="5" w:name="_Toc188384941"/>
      <w:r w:rsidRPr="00EA0AFA">
        <w:t>Economic Factors</w:t>
      </w:r>
      <w:bookmarkEnd w:id="5"/>
    </w:p>
    <w:p w14:paraId="61CF020B" w14:textId="77777777" w:rsidR="002B6864" w:rsidRPr="00EA0AFA" w:rsidRDefault="00572DB0" w:rsidP="0076769B">
      <w:pPr>
        <w:ind w:firstLine="720"/>
      </w:pPr>
      <w:r w:rsidRPr="00EA0AFA">
        <w:t>E</w:t>
      </w:r>
      <w:r w:rsidR="002B6864" w:rsidRPr="00EA0AFA">
        <w:t xml:space="preserve">conomically the hospitality industry is very susceptible to any crises that disrupt consumer spending and </w:t>
      </w:r>
      <w:r w:rsidR="00584F4E" w:rsidRPr="00EA0AFA">
        <w:t>travelling</w:t>
      </w:r>
      <w:r w:rsidR="002B6864" w:rsidRPr="00EA0AFA">
        <w:t xml:space="preserve"> habits. During the COVID-19 pandemic, hotels experienced a historic decline in occupancy rates due to plummeting consumer demand. According to  </w:t>
      </w:r>
      <w:r w:rsidR="00966635" w:rsidRPr="00EA0AFA">
        <w:rPr>
          <w:rFonts w:cs="Times New Roman"/>
          <w:color w:val="222222"/>
          <w:szCs w:val="24"/>
          <w:shd w:val="clear" w:color="auto" w:fill="FFFFFF"/>
        </w:rPr>
        <w:t>Chang et al (2022)</w:t>
      </w:r>
      <w:r w:rsidR="002B6864" w:rsidRPr="00EA0AFA">
        <w:t>, U.S. hotel occupancy rates declined by over 60% during the peak of the pandemic. This drastic drop in revenues overstretched businesses, compelling many to reduce staffing levels, temporarily close properties, and slash operating costs.</w:t>
      </w:r>
    </w:p>
    <w:p w14:paraId="5D8E57A8" w14:textId="77777777" w:rsidR="002B6864" w:rsidRPr="00EA0AFA" w:rsidRDefault="00572DB0" w:rsidP="0076769B">
      <w:pPr>
        <w:ind w:firstLine="720"/>
      </w:pPr>
      <w:r w:rsidRPr="00EA0AFA">
        <w:t>M</w:t>
      </w:r>
      <w:r w:rsidR="002B6864" w:rsidRPr="00EA0AFA">
        <w:t xml:space="preserve">any hotels shifted to adapt to local and domestic tourism </w:t>
      </w:r>
      <w:r w:rsidR="009A156F" w:rsidRPr="00EA0AFA">
        <w:t xml:space="preserve">and </w:t>
      </w:r>
      <w:r w:rsidR="002B6864" w:rsidRPr="00EA0AFA">
        <w:t xml:space="preserve">embraced staycations, and flexible booking policies in response to changing consumer preferences. For instance, Marriott had flexible booking policies that allowed guests to change or even cancel their reservations with no penalties since it was aware of the fact that uncertainty was a critical travel constraint for </w:t>
      </w:r>
      <w:r w:rsidR="00966635" w:rsidRPr="00EA0AFA">
        <w:t>travelers (</w:t>
      </w:r>
      <w:r w:rsidR="00966635" w:rsidRPr="00EA0AFA">
        <w:rPr>
          <w:rFonts w:cs="Times New Roman"/>
          <w:color w:val="222222"/>
          <w:szCs w:val="24"/>
          <w:shd w:val="clear" w:color="auto" w:fill="FFFFFF"/>
        </w:rPr>
        <w:t>Sharma et al., 2021).</w:t>
      </w:r>
      <w:r w:rsidR="002B6864" w:rsidRPr="00EA0AFA">
        <w:t xml:space="preserve"> While these strategies helped to maintain some level of business activity, the economic impact of health crises remains a significant limitation, as even adaptable strategies cannot completely offset a drastic reduction in consumer demand.</w:t>
      </w:r>
    </w:p>
    <w:p w14:paraId="38C5A4F1" w14:textId="77777777" w:rsidR="00A75F0C" w:rsidRPr="00EA0AFA" w:rsidRDefault="00A75F0C" w:rsidP="0076769B">
      <w:pPr>
        <w:pStyle w:val="Heading2"/>
      </w:pPr>
      <w:bookmarkStart w:id="6" w:name="_Toc188384942"/>
      <w:r w:rsidRPr="00EA0AFA">
        <w:t>Social Factors</w:t>
      </w:r>
      <w:bookmarkEnd w:id="6"/>
    </w:p>
    <w:p w14:paraId="11559462" w14:textId="5AD38C48" w:rsidR="002B6864" w:rsidRPr="00EA0AFA" w:rsidRDefault="00572DB0" w:rsidP="0076769B">
      <w:pPr>
        <w:ind w:firstLine="720"/>
      </w:pPr>
      <w:r w:rsidRPr="00EA0AFA">
        <w:t>S</w:t>
      </w:r>
      <w:r w:rsidR="002B6864" w:rsidRPr="00EA0AFA">
        <w:t>ocial factors</w:t>
      </w:r>
      <w:r w:rsidRPr="00EA0AFA">
        <w:t xml:space="preserve"> are</w:t>
      </w:r>
      <w:r w:rsidR="002B6864" w:rsidRPr="00EA0AFA">
        <w:t xml:space="preserve"> changing consumer </w:t>
      </w:r>
      <w:r w:rsidR="00584F4E" w:rsidRPr="00EA0AFA">
        <w:t>preferences</w:t>
      </w:r>
      <w:r w:rsidR="002B6864" w:rsidRPr="00EA0AFA">
        <w:t xml:space="preserve"> and </w:t>
      </w:r>
      <w:r w:rsidR="00C8628D" w:rsidRPr="00EA0AFA">
        <w:t>behavior</w:t>
      </w:r>
      <w:r w:rsidR="002B6864" w:rsidRPr="00EA0AFA">
        <w:t xml:space="preserve">, </w:t>
      </w:r>
      <w:r w:rsidR="009A156F" w:rsidRPr="00EA0AFA">
        <w:t xml:space="preserve">and </w:t>
      </w:r>
      <w:r w:rsidR="002B6864" w:rsidRPr="00EA0AFA">
        <w:t xml:space="preserve">have </w:t>
      </w:r>
      <w:r w:rsidRPr="00EA0AFA">
        <w:t xml:space="preserve">the core </w:t>
      </w:r>
      <w:r w:rsidR="002B6864" w:rsidRPr="00EA0AFA">
        <w:t xml:space="preserve">of the industry in terms of the varying response levels towards health-related crises. During the COVID-19 pandemic, health and safety became </w:t>
      </w:r>
      <w:r w:rsidR="00C8628D" w:rsidRPr="00EA0AFA">
        <w:t>travelers’</w:t>
      </w:r>
      <w:r w:rsidR="002B6864" w:rsidRPr="00EA0AFA">
        <w:t xml:space="preserve"> utmost priority. The consumer started becoming concerned with health risks and started selecting accommodations for reasons including </w:t>
      </w:r>
      <w:r w:rsidR="002B6864" w:rsidRPr="00EA0AFA">
        <w:lastRenderedPageBreak/>
        <w:t>cleanliness, sanitation, and hygiene. Hotels which responded faster to these concerns bounced back fas</w:t>
      </w:r>
      <w:r w:rsidR="00966635" w:rsidRPr="00EA0AFA">
        <w:t>t (</w:t>
      </w:r>
      <w:r w:rsidR="00966635" w:rsidRPr="00EA0AFA">
        <w:rPr>
          <w:rFonts w:cs="Times New Roman"/>
          <w:color w:val="222222"/>
          <w:szCs w:val="24"/>
          <w:shd w:val="clear" w:color="auto" w:fill="FFFFFF"/>
        </w:rPr>
        <w:t>Huang, 2022).</w:t>
      </w:r>
      <w:r w:rsidR="002B6864" w:rsidRPr="00EA0AFA">
        <w:t xml:space="preserve"> For example, Hilton implemented the </w:t>
      </w:r>
      <w:r w:rsidRPr="00EA0AFA">
        <w:t>“</w:t>
      </w:r>
      <w:proofErr w:type="spellStart"/>
      <w:r w:rsidR="002B6864" w:rsidRPr="00EA0AFA">
        <w:t>CleanStay</w:t>
      </w:r>
      <w:proofErr w:type="spellEnd"/>
      <w:r w:rsidRPr="00EA0AFA">
        <w:t>”</w:t>
      </w:r>
      <w:r w:rsidR="002B6864" w:rsidRPr="00EA0AFA">
        <w:t xml:space="preserve"> program, which included enhanced cleaning processes, contactless check-in, and expert-approved disinfectant products. The measures proved effective in winning back consumer confidence, as Hilton recorded strong performance in regions where the measures were fully implemented</w:t>
      </w:r>
      <w:r w:rsidR="00966635" w:rsidRPr="00EA0AFA">
        <w:t xml:space="preserve"> (</w:t>
      </w:r>
      <w:r w:rsidR="00966635" w:rsidRPr="00EA0AFA">
        <w:rPr>
          <w:rFonts w:cs="Times New Roman"/>
          <w:color w:val="222222"/>
          <w:szCs w:val="24"/>
          <w:shd w:val="clear" w:color="auto" w:fill="FFFFFF"/>
        </w:rPr>
        <w:t xml:space="preserve">Sutton and </w:t>
      </w:r>
      <w:proofErr w:type="spellStart"/>
      <w:r w:rsidR="00966635" w:rsidRPr="00EA0AFA">
        <w:rPr>
          <w:rFonts w:cs="Times New Roman"/>
          <w:color w:val="222222"/>
          <w:szCs w:val="24"/>
          <w:shd w:val="clear" w:color="auto" w:fill="FFFFFF"/>
        </w:rPr>
        <w:t>Arku</w:t>
      </w:r>
      <w:proofErr w:type="spellEnd"/>
      <w:r w:rsidR="00966635" w:rsidRPr="00EA0AFA">
        <w:rPr>
          <w:rFonts w:cs="Times New Roman"/>
          <w:color w:val="222222"/>
          <w:szCs w:val="24"/>
          <w:shd w:val="clear" w:color="auto" w:fill="FFFFFF"/>
        </w:rPr>
        <w:t>, 2022).</w:t>
      </w:r>
    </w:p>
    <w:p w14:paraId="1B2A3D7C" w14:textId="77696D5F" w:rsidR="002B6864" w:rsidRPr="00EA0AFA" w:rsidRDefault="002B6864" w:rsidP="0076769B">
      <w:pPr>
        <w:ind w:firstLine="720"/>
      </w:pPr>
      <w:r w:rsidRPr="00EA0AFA">
        <w:t>However, while the social factors driving health awareness gave opportunities to the hotels to restore consumer confidence, they also exposed the system to its limits</w:t>
      </w:r>
      <w:r w:rsidR="00572DB0" w:rsidRPr="00EA0AFA">
        <w:t xml:space="preserve"> such as</w:t>
      </w:r>
      <w:r w:rsidRPr="00EA0AFA">
        <w:t xml:space="preserve"> social impacts of pandemics go further than the hygienic </w:t>
      </w:r>
      <w:r w:rsidR="00584F4E" w:rsidRPr="00EA0AFA">
        <w:t>ones</w:t>
      </w:r>
      <w:r w:rsidRPr="00EA0AFA">
        <w:t xml:space="preserve"> and include changes in consumer </w:t>
      </w:r>
      <w:r w:rsidR="00544C0C" w:rsidRPr="00EA0AFA">
        <w:t>behavior</w:t>
      </w:r>
      <w:r w:rsidRPr="00EA0AFA">
        <w:t>, such as increased interest in outdoor activities, working from home, and more flexible stay requirements. For instance, the trend of working from home led to the popularity of workcations, a combination of work and leisure, which increased demand for hotels offering extended stays, high-speed internet access, and quiet areas to work (</w:t>
      </w:r>
      <w:r w:rsidR="00966635" w:rsidRPr="00EA0AFA">
        <w:rPr>
          <w:rFonts w:cs="Times New Roman"/>
          <w:color w:val="222222"/>
          <w:szCs w:val="24"/>
          <w:shd w:val="clear" w:color="auto" w:fill="FFFFFF"/>
        </w:rPr>
        <w:t>Brada et al., 2021</w:t>
      </w:r>
      <w:r w:rsidRPr="00EA0AFA">
        <w:t>). This is indicative of a larger societal trend toward more flexible, personalized travel experiences that required hotels to rethink their offerings.</w:t>
      </w:r>
    </w:p>
    <w:p w14:paraId="3E857545" w14:textId="77777777" w:rsidR="00A75F0C" w:rsidRPr="00EA0AFA" w:rsidRDefault="00A75F0C" w:rsidP="0076769B">
      <w:pPr>
        <w:pStyle w:val="Heading2"/>
      </w:pPr>
      <w:bookmarkStart w:id="7" w:name="_Toc188384943"/>
      <w:r w:rsidRPr="00EA0AFA">
        <w:t>Technological Factors</w:t>
      </w:r>
      <w:bookmarkEnd w:id="7"/>
    </w:p>
    <w:p w14:paraId="20F0ACE3" w14:textId="03160243" w:rsidR="002B6864" w:rsidRPr="00EA0AFA" w:rsidRDefault="002B6864" w:rsidP="0076769B">
      <w:pPr>
        <w:ind w:firstLine="720"/>
      </w:pPr>
      <w:r w:rsidRPr="00EA0AFA">
        <w:t xml:space="preserve">Technology has been at the frontline in changing how hospitality responds to health-related crises. The use of digital solutions, such as contactless check-in, mobile key cards, and remote guest services, reduced physical interactions that could lead to health concerns in hotels. </w:t>
      </w:r>
      <w:r w:rsidR="00584F4E" w:rsidRPr="00EA0AFA">
        <w:t>To</w:t>
      </w:r>
      <w:r w:rsidRPr="00EA0AFA">
        <w:t xml:space="preserve"> that effect, many have embraced automation and </w:t>
      </w:r>
      <w:r w:rsidR="00544C0C" w:rsidRPr="00EA0AFA">
        <w:t>digitalization</w:t>
      </w:r>
      <w:r w:rsidRPr="00EA0AFA">
        <w:t xml:space="preserve"> to enhance efficiency while trying to </w:t>
      </w:r>
      <w:r w:rsidR="00544C0C" w:rsidRPr="00EA0AFA">
        <w:t>minimize</w:t>
      </w:r>
      <w:r w:rsidRPr="00EA0AFA">
        <w:t xml:space="preserve"> losses. For example, Accor Hotels integrated mobile applications for check-in, ordering room service, and virtual concierge. These innovative technologies helped regain guest confidence and allowed operations to continue with decreases in traditional in-person services</w:t>
      </w:r>
      <w:r w:rsidR="00966635" w:rsidRPr="00EA0AFA">
        <w:t xml:space="preserve"> (</w:t>
      </w:r>
      <w:r w:rsidR="00966635" w:rsidRPr="00EA0AFA">
        <w:rPr>
          <w:rFonts w:cs="Times New Roman"/>
          <w:color w:val="222222"/>
          <w:szCs w:val="24"/>
          <w:shd w:val="clear" w:color="auto" w:fill="FFFFFF"/>
        </w:rPr>
        <w:t>Gudmundsson et al., 2021).</w:t>
      </w:r>
    </w:p>
    <w:p w14:paraId="4C254B9E" w14:textId="77777777" w:rsidR="00A75F0C" w:rsidRPr="00EA0AFA" w:rsidRDefault="00A75F0C" w:rsidP="0076769B">
      <w:pPr>
        <w:pStyle w:val="Heading1"/>
      </w:pPr>
      <w:bookmarkStart w:id="8" w:name="_Toc188384944"/>
      <w:r w:rsidRPr="00EA0AFA">
        <w:t>Conclusion</w:t>
      </w:r>
      <w:bookmarkEnd w:id="8"/>
    </w:p>
    <w:p w14:paraId="4DD2CD5B" w14:textId="6F75AFC7" w:rsidR="00020CA9" w:rsidRPr="00EA0AFA" w:rsidRDefault="00020CA9" w:rsidP="0076769B">
      <w:pPr>
        <w:ind w:firstLine="720"/>
      </w:pPr>
      <w:r w:rsidRPr="00EA0AFA">
        <w:t xml:space="preserve">The political, economic, social, and technological factors will, therefore, determine the resilience or recovery of the hospitality industry from health-related crises such as COVID-19. While the industry has been very agile through innovations, including health improvements and </w:t>
      </w:r>
      <w:r w:rsidR="00544C0C" w:rsidRPr="00EA0AFA">
        <w:t>digitalization</w:t>
      </w:r>
      <w:r w:rsidRPr="00EA0AFA">
        <w:t xml:space="preserve">, economic challenges and changes in consumer </w:t>
      </w:r>
      <w:r w:rsidR="00544C0C" w:rsidRPr="00EA0AFA">
        <w:t>behavior</w:t>
      </w:r>
      <w:r w:rsidRPr="00EA0AFA">
        <w:t xml:space="preserve"> persist. </w:t>
      </w:r>
      <w:r w:rsidR="00572DB0" w:rsidRPr="00EA0AFA">
        <w:t>B</w:t>
      </w:r>
      <w:r w:rsidRPr="00EA0AFA">
        <w:t>alancing short-term strategies of recovery with long-term sustainability, businesses should remain flexible to be ready for disruptions in the future.</w:t>
      </w:r>
    </w:p>
    <w:p w14:paraId="2B1CF78C" w14:textId="77777777" w:rsidR="00A75F0C" w:rsidRPr="00EA0AFA" w:rsidRDefault="00A75F0C" w:rsidP="0076769B">
      <w:pPr>
        <w:pStyle w:val="Heading1"/>
      </w:pPr>
      <w:bookmarkStart w:id="9" w:name="_Toc188384945"/>
      <w:r w:rsidRPr="00EA0AFA">
        <w:lastRenderedPageBreak/>
        <w:t>Recommendation</w:t>
      </w:r>
      <w:bookmarkEnd w:id="9"/>
    </w:p>
    <w:p w14:paraId="11518762" w14:textId="77777777" w:rsidR="00020CA9" w:rsidRPr="00EA0AFA" w:rsidRDefault="009A156F" w:rsidP="0076769B">
      <w:pPr>
        <w:ind w:firstLine="720"/>
      </w:pPr>
      <w:r w:rsidRPr="00EA0AFA">
        <w:t>In an</w:t>
      </w:r>
      <w:r w:rsidR="00572DB0" w:rsidRPr="00EA0AFA">
        <w:t xml:space="preserve"> </w:t>
      </w:r>
      <w:r w:rsidR="00020CA9" w:rsidRPr="00EA0AFA">
        <w:t>analysis of strategies related to the resilience and recovery of the hospitality industry in light of health crises, some important recommendations are raised to guide businesses toward developing long-term resilience to cope with any disruptions in the future effectively. Recommendations pertain to strategic adaptations across four areas of concern</w:t>
      </w:r>
      <w:r w:rsidR="00572DB0" w:rsidRPr="00EA0AFA">
        <w:t xml:space="preserve"> such as</w:t>
      </w:r>
      <w:r w:rsidR="00020CA9" w:rsidRPr="00EA0AFA">
        <w:t xml:space="preserve"> operational flexibility, technological innovation, sustainability, and consumer engagement</w:t>
      </w:r>
      <w:r w:rsidR="00966635" w:rsidRPr="00EA0AFA">
        <w:t xml:space="preserve"> (</w:t>
      </w:r>
      <w:r w:rsidR="00966635" w:rsidRPr="00EA0AFA">
        <w:rPr>
          <w:rFonts w:cs="Times New Roman"/>
          <w:color w:val="222222"/>
          <w:szCs w:val="24"/>
          <w:shd w:val="clear" w:color="auto" w:fill="FFFFFF"/>
        </w:rPr>
        <w:t>Okafor et al., 2022).</w:t>
      </w:r>
    </w:p>
    <w:p w14:paraId="7FC3860D" w14:textId="77777777" w:rsidR="00020CA9" w:rsidRPr="00EA0AFA" w:rsidRDefault="00020CA9" w:rsidP="0076769B">
      <w:pPr>
        <w:ind w:firstLine="720"/>
      </w:pPr>
      <w:r w:rsidRPr="00EA0AFA">
        <w:t>Speedy adaptability of operations during a crisis is vital in the hospitality industry</w:t>
      </w:r>
      <w:r w:rsidR="00572DB0" w:rsidRPr="00EA0AFA">
        <w:t xml:space="preserve"> and </w:t>
      </w:r>
      <w:r w:rsidRPr="00EA0AFA">
        <w:t>hotels and hospitality companies need to formulate and implement comprehensive crisis management plans that would be responsive and adaptable to a variety of disruptions, whether health-related, geopolitical, or environmental</w:t>
      </w:r>
      <w:r w:rsidR="00966635" w:rsidRPr="00EA0AFA">
        <w:t xml:space="preserve"> (</w:t>
      </w:r>
      <w:r w:rsidR="00966635" w:rsidRPr="00EA0AFA">
        <w:rPr>
          <w:rFonts w:cs="Times New Roman"/>
          <w:color w:val="222222"/>
          <w:szCs w:val="24"/>
          <w:shd w:val="clear" w:color="auto" w:fill="FFFFFF"/>
        </w:rPr>
        <w:t>Lee et al., 2021).</w:t>
      </w:r>
      <w:r w:rsidRPr="00EA0AFA">
        <w:t xml:space="preserve"> These plans need to categorically detail business continuity, the reduction of operational costs, and </w:t>
      </w:r>
      <w:r w:rsidR="00584F4E" w:rsidRPr="00EA0AFA">
        <w:t xml:space="preserve">the </w:t>
      </w:r>
      <w:r w:rsidRPr="00EA0AFA">
        <w:t xml:space="preserve">protection of employee welfare. The focus should also be on </w:t>
      </w:r>
      <w:r w:rsidR="00584F4E" w:rsidRPr="00EA0AFA">
        <w:t xml:space="preserve">the </w:t>
      </w:r>
      <w:r w:rsidRPr="00EA0AFA">
        <w:t>diversification of revenues, for instance, by incorporating local and regional tourism during international travel restrictions. Standard practices that are required to help businesses attract and retain customers in times of uncertainty are flexible booking policies, such as free cancellation or issuance of vouchers for a future stay</w:t>
      </w:r>
      <w:r w:rsidR="00966635" w:rsidRPr="00EA0AFA">
        <w:t xml:space="preserve"> (</w:t>
      </w:r>
      <w:proofErr w:type="spellStart"/>
      <w:r w:rsidR="00966635" w:rsidRPr="00EA0AFA">
        <w:rPr>
          <w:rFonts w:cs="Times New Roman"/>
          <w:color w:val="222222"/>
          <w:szCs w:val="24"/>
          <w:shd w:val="clear" w:color="auto" w:fill="FFFFFF"/>
        </w:rPr>
        <w:t>Škare</w:t>
      </w:r>
      <w:proofErr w:type="spellEnd"/>
      <w:r w:rsidR="00966635" w:rsidRPr="00EA0AFA">
        <w:t xml:space="preserve"> et al., 2021).</w:t>
      </w:r>
    </w:p>
    <w:p w14:paraId="0AFA9D8F" w14:textId="5B2EC24A" w:rsidR="00020CA9" w:rsidRPr="00EA0AFA" w:rsidRDefault="00020CA9" w:rsidP="0076769B">
      <w:pPr>
        <w:ind w:firstLine="720"/>
      </w:pPr>
      <w:r w:rsidRPr="00EA0AFA">
        <w:t xml:space="preserve">The pandemic </w:t>
      </w:r>
      <w:r w:rsidR="00572DB0" w:rsidRPr="00EA0AFA">
        <w:t>highlighted</w:t>
      </w:r>
      <w:r w:rsidRPr="00EA0AFA">
        <w:t xml:space="preserve"> how important </w:t>
      </w:r>
      <w:r w:rsidR="00544C0C" w:rsidRPr="00EA0AFA">
        <w:t>digitalization</w:t>
      </w:r>
      <w:r w:rsidRPr="00EA0AFA">
        <w:t xml:space="preserve"> is to maintain guest services and operational efficiency. As consumer demand for contactless services and digital solutions will further increase, investing in technology for guest experience improvement, operational </w:t>
      </w:r>
      <w:r w:rsidR="00544C0C" w:rsidRPr="00EA0AFA">
        <w:t>optimization</w:t>
      </w:r>
      <w:r w:rsidRPr="00EA0AFA">
        <w:t>, and safety enhancement becomes imperative. Mobile check-in, digital room keys, and in-room automation systems are solutions that will be of prime importance to ensure that guests are satisfied while safe</w:t>
      </w:r>
      <w:r w:rsidR="00966635" w:rsidRPr="00EA0AFA">
        <w:t xml:space="preserve"> (</w:t>
      </w:r>
      <w:r w:rsidR="00966635" w:rsidRPr="00EA0AFA">
        <w:rPr>
          <w:rFonts w:cs="Times New Roman"/>
          <w:color w:val="222222"/>
          <w:szCs w:val="24"/>
          <w:shd w:val="clear" w:color="auto" w:fill="FFFFFF"/>
        </w:rPr>
        <w:t xml:space="preserve">Ali et al., 2022). </w:t>
      </w:r>
      <w:r w:rsidRPr="00EA0AFA">
        <w:t xml:space="preserve"> Moreover, AI and data analytics can also be used to predict consumer </w:t>
      </w:r>
      <w:r w:rsidR="00544C0C" w:rsidRPr="00EA0AFA">
        <w:t>behavior</w:t>
      </w:r>
      <w:r w:rsidRPr="00EA0AFA">
        <w:t xml:space="preserve"> and create </w:t>
      </w:r>
      <w:r w:rsidR="00544C0C" w:rsidRPr="00EA0AFA">
        <w:t>personalized</w:t>
      </w:r>
      <w:r w:rsidRPr="00EA0AFA">
        <w:t xml:space="preserve"> guest experiences. Driven by AI, hotels can offer </w:t>
      </w:r>
      <w:r w:rsidR="00544C0C" w:rsidRPr="00EA0AFA">
        <w:t>personalized</w:t>
      </w:r>
      <w:r w:rsidRPr="00EA0AFA">
        <w:t xml:space="preserve"> recommendations, </w:t>
      </w:r>
      <w:r w:rsidR="00544C0C" w:rsidRPr="00EA0AFA">
        <w:t>optimize</w:t>
      </w:r>
      <w:r w:rsidRPr="00EA0AFA">
        <w:t xml:space="preserve"> pricing strategies, and even anticipate customer needs to drive operational efficiency and customer loyalty</w:t>
      </w:r>
      <w:r w:rsidR="00966635" w:rsidRPr="00EA0AFA">
        <w:t xml:space="preserve"> (</w:t>
      </w:r>
      <w:proofErr w:type="spellStart"/>
      <w:r w:rsidR="00966635" w:rsidRPr="00EA0AFA">
        <w:rPr>
          <w:rFonts w:cs="Times New Roman"/>
          <w:color w:val="222222"/>
          <w:szCs w:val="24"/>
          <w:shd w:val="clear" w:color="auto" w:fill="FFFFFF"/>
        </w:rPr>
        <w:t>Dunz</w:t>
      </w:r>
      <w:proofErr w:type="spellEnd"/>
      <w:r w:rsidR="00966635" w:rsidRPr="00EA0AFA">
        <w:rPr>
          <w:rFonts w:cs="Times New Roman"/>
          <w:color w:val="222222"/>
          <w:szCs w:val="24"/>
          <w:shd w:val="clear" w:color="auto" w:fill="FFFFFF"/>
        </w:rPr>
        <w:t xml:space="preserve"> et al., 2023).</w:t>
      </w:r>
    </w:p>
    <w:p w14:paraId="4B7B1BBD" w14:textId="77777777" w:rsidR="00020CA9" w:rsidRPr="00EA0AFA" w:rsidRDefault="00020CA9" w:rsidP="0076769B">
      <w:pPr>
        <w:ind w:firstLine="720"/>
      </w:pPr>
      <w:r w:rsidRPr="00EA0AFA">
        <w:t xml:space="preserve">The global trend of sustainability and responsible tourism has further gained momentum due to the pandemic, as more consumers demand business operations that give priority to the environment. For hotels, that means adopting sustainability in all its </w:t>
      </w:r>
      <w:r w:rsidR="00584F4E" w:rsidRPr="00EA0AFA">
        <w:t>operations</w:t>
      </w:r>
      <w:r w:rsidRPr="00EA0AFA">
        <w:t xml:space="preserve"> lessening energy usage and waste, sourcing locally, and using environmentally friendly materials</w:t>
      </w:r>
      <w:r w:rsidR="00966635" w:rsidRPr="00EA0AFA">
        <w:t xml:space="preserve"> (</w:t>
      </w:r>
      <w:r w:rsidR="00966635" w:rsidRPr="00EA0AFA">
        <w:rPr>
          <w:rFonts w:cs="Times New Roman"/>
          <w:color w:val="222222"/>
          <w:szCs w:val="24"/>
          <w:shd w:val="clear" w:color="auto" w:fill="FFFFFF"/>
        </w:rPr>
        <w:t>Wang and Liu, 2022).</w:t>
      </w:r>
      <w:r w:rsidRPr="00EA0AFA">
        <w:t xml:space="preserve"> Beyond responding to changing consumer needs, sustainability efforts also help save in the </w:t>
      </w:r>
      <w:r w:rsidRPr="00EA0AFA">
        <w:lastRenderedPageBreak/>
        <w:t>long term. Those hotels adopting green certifications LEED</w:t>
      </w:r>
      <w:r w:rsidR="00CC06D5" w:rsidRPr="00EA0AFA">
        <w:t xml:space="preserve"> </w:t>
      </w:r>
      <w:r w:rsidRPr="00EA0AFA">
        <w:t>possibly coupled with investments in renewable energy</w:t>
      </w:r>
      <w:r w:rsidR="00CC06D5" w:rsidRPr="00EA0AFA">
        <w:t xml:space="preserve"> </w:t>
      </w:r>
      <w:r w:rsidRPr="00EA0AFA">
        <w:t>will forge ahead in positive marketability and differentiation within today's competitive environment</w:t>
      </w:r>
      <w:r w:rsidR="00966635" w:rsidRPr="00EA0AFA">
        <w:t xml:space="preserve"> (</w:t>
      </w:r>
      <w:r w:rsidR="00966635" w:rsidRPr="00EA0AFA">
        <w:rPr>
          <w:rFonts w:cs="Times New Roman"/>
          <w:color w:val="222222"/>
          <w:szCs w:val="24"/>
          <w:shd w:val="clear" w:color="auto" w:fill="FFFFFF"/>
        </w:rPr>
        <w:t>Mikheeva, 2021).</w:t>
      </w:r>
    </w:p>
    <w:p w14:paraId="4CE4029E" w14:textId="7F30EF52" w:rsidR="009A56BB" w:rsidRPr="00EA0AFA" w:rsidRDefault="00020CA9" w:rsidP="0076769B">
      <w:pPr>
        <w:ind w:firstLine="720"/>
      </w:pPr>
      <w:r w:rsidRPr="00EA0AFA">
        <w:t xml:space="preserve">As the pandemic goes </w:t>
      </w:r>
      <w:r w:rsidR="00584F4E" w:rsidRPr="00EA0AFA">
        <w:t>on</w:t>
      </w:r>
      <w:r w:rsidRPr="00EA0AFA">
        <w:t xml:space="preserve">, consumers always change very sharply </w:t>
      </w:r>
      <w:r w:rsidR="00584F4E" w:rsidRPr="00EA0AFA">
        <w:t>about</w:t>
      </w:r>
      <w:r w:rsidRPr="00EA0AFA">
        <w:t xml:space="preserve"> crises. This changes the demands consumers have. </w:t>
      </w:r>
      <w:r w:rsidR="00CC06D5" w:rsidRPr="00EA0AFA">
        <w:t>H</w:t>
      </w:r>
      <w:r w:rsidRPr="00EA0AFA">
        <w:t xml:space="preserve">ospitality businesses have to continually </w:t>
      </w:r>
      <w:r w:rsidR="00544C0C" w:rsidRPr="00EA0AFA">
        <w:t>analyze</w:t>
      </w:r>
      <w:r w:rsidRPr="00EA0AFA">
        <w:t xml:space="preserve"> the consumer psyche and take quicker action for alterations in tastes demanded by customers</w:t>
      </w:r>
      <w:r w:rsidR="00CC06D5" w:rsidRPr="00EA0AFA">
        <w:t xml:space="preserve"> and</w:t>
      </w:r>
      <w:r w:rsidRPr="00EA0AFA">
        <w:t xml:space="preserve"> health and wellness will also never be of so much significance if </w:t>
      </w:r>
      <w:r w:rsidR="00544C0C" w:rsidRPr="00EA0AFA">
        <w:t>travelers</w:t>
      </w:r>
      <w:r w:rsidRPr="00EA0AFA">
        <w:t xml:space="preserve"> remain mindful of staying completely safe. Guests might want that word to keep resounding</w:t>
      </w:r>
      <w:r w:rsidR="00CC06D5" w:rsidRPr="00EA0AFA">
        <w:t xml:space="preserve"> </w:t>
      </w:r>
      <w:r w:rsidRPr="00EA0AFA">
        <w:t xml:space="preserve">with hotels as more transparent on measures taken at them </w:t>
      </w:r>
      <w:r w:rsidR="00584F4E" w:rsidRPr="00EA0AFA">
        <w:t>to maintain</w:t>
      </w:r>
      <w:r w:rsidRPr="00EA0AFA">
        <w:t xml:space="preserve"> perfect safety</w:t>
      </w:r>
      <w:r w:rsidR="00966635" w:rsidRPr="00EA0AFA">
        <w:t xml:space="preserve"> (</w:t>
      </w:r>
      <w:r w:rsidR="00966635" w:rsidRPr="00EA0AFA">
        <w:rPr>
          <w:rFonts w:cs="Times New Roman"/>
          <w:color w:val="222222"/>
          <w:szCs w:val="24"/>
          <w:shd w:val="clear" w:color="auto" w:fill="FFFFFF"/>
        </w:rPr>
        <w:t>Jiang et al., 2022).</w:t>
      </w:r>
      <w:r w:rsidR="009A56BB" w:rsidRPr="00EA0AFA">
        <w:br w:type="page"/>
      </w:r>
    </w:p>
    <w:p w14:paraId="624542E2" w14:textId="77777777" w:rsidR="00A75F0C" w:rsidRPr="00EA0AFA" w:rsidRDefault="009A56BB" w:rsidP="0076769B">
      <w:pPr>
        <w:pStyle w:val="Heading1"/>
      </w:pPr>
      <w:bookmarkStart w:id="10" w:name="_Toc188384946"/>
      <w:r w:rsidRPr="00EA0AFA">
        <w:lastRenderedPageBreak/>
        <w:t>References</w:t>
      </w:r>
      <w:bookmarkEnd w:id="10"/>
    </w:p>
    <w:p w14:paraId="1623CFFD" w14:textId="77777777" w:rsidR="00E37567" w:rsidRPr="00EA0AFA" w:rsidRDefault="00E37567" w:rsidP="0076769B">
      <w:pPr>
        <w:ind w:left="720" w:hanging="720"/>
        <w:rPr>
          <w:rFonts w:cs="Times New Roman"/>
          <w:color w:val="222222"/>
          <w:szCs w:val="24"/>
          <w:shd w:val="clear" w:color="auto" w:fill="FFFFFF"/>
        </w:rPr>
      </w:pPr>
      <w:bookmarkStart w:id="11" w:name="_Hlk188383766"/>
      <w:r w:rsidRPr="00EA0AFA">
        <w:rPr>
          <w:rFonts w:cs="Times New Roman"/>
          <w:color w:val="222222"/>
          <w:szCs w:val="24"/>
          <w:shd w:val="clear" w:color="auto" w:fill="FFFFFF"/>
        </w:rPr>
        <w:t xml:space="preserve">Ali, I., Arslan, A., Chowdhury, M., Khan, Z. and </w:t>
      </w:r>
      <w:proofErr w:type="spellStart"/>
      <w:r w:rsidRPr="00EA0AFA">
        <w:rPr>
          <w:rFonts w:cs="Times New Roman"/>
          <w:color w:val="222222"/>
          <w:szCs w:val="24"/>
          <w:shd w:val="clear" w:color="auto" w:fill="FFFFFF"/>
        </w:rPr>
        <w:t>Tarba</w:t>
      </w:r>
      <w:proofErr w:type="spellEnd"/>
      <w:r w:rsidRPr="00EA0AFA">
        <w:rPr>
          <w:rFonts w:cs="Times New Roman"/>
          <w:color w:val="222222"/>
          <w:szCs w:val="24"/>
          <w:shd w:val="clear" w:color="auto" w:fill="FFFFFF"/>
        </w:rPr>
        <w:t>, S.Y., 2022. Reimagining global food value chains through effective resilience to COVID-19 shocks and similar future events: A dynamic capability perspective. </w:t>
      </w:r>
      <w:r w:rsidRPr="00EA0AFA">
        <w:rPr>
          <w:rFonts w:cs="Times New Roman"/>
          <w:i/>
          <w:iCs/>
          <w:color w:val="222222"/>
          <w:szCs w:val="24"/>
          <w:shd w:val="clear" w:color="auto" w:fill="FFFFFF"/>
        </w:rPr>
        <w:t>Journal of Business Research</w:t>
      </w:r>
      <w:r w:rsidRPr="00EA0AFA">
        <w:rPr>
          <w:rFonts w:cs="Times New Roman"/>
          <w:color w:val="222222"/>
          <w:szCs w:val="24"/>
          <w:shd w:val="clear" w:color="auto" w:fill="FFFFFF"/>
        </w:rPr>
        <w:t>, </w:t>
      </w:r>
      <w:r w:rsidRPr="00EA0AFA">
        <w:rPr>
          <w:rFonts w:cs="Times New Roman"/>
          <w:i/>
          <w:iCs/>
          <w:color w:val="222222"/>
          <w:szCs w:val="24"/>
          <w:shd w:val="clear" w:color="auto" w:fill="FFFFFF"/>
        </w:rPr>
        <w:t>141</w:t>
      </w:r>
      <w:r w:rsidRPr="00EA0AFA">
        <w:rPr>
          <w:rFonts w:cs="Times New Roman"/>
          <w:color w:val="222222"/>
          <w:szCs w:val="24"/>
          <w:shd w:val="clear" w:color="auto" w:fill="FFFFFF"/>
        </w:rPr>
        <w:t>, pp.1-12.</w:t>
      </w:r>
    </w:p>
    <w:p w14:paraId="76EEE85C"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Anguera-Torrell, O., Aznar-Alarcón, J.P. and Vives-Perez, J., 2021. COVID-19: hotel industry response to the pandemic evolution and to the public sector economic measures. </w:t>
      </w:r>
      <w:r w:rsidRPr="00EA0AFA">
        <w:rPr>
          <w:rFonts w:cs="Times New Roman"/>
          <w:i/>
          <w:iCs/>
          <w:color w:val="222222"/>
          <w:szCs w:val="24"/>
          <w:shd w:val="clear" w:color="auto" w:fill="FFFFFF"/>
        </w:rPr>
        <w:t>Tourism Recreation Research</w:t>
      </w:r>
      <w:r w:rsidRPr="00EA0AFA">
        <w:rPr>
          <w:rFonts w:cs="Times New Roman"/>
          <w:color w:val="222222"/>
          <w:szCs w:val="24"/>
          <w:shd w:val="clear" w:color="auto" w:fill="FFFFFF"/>
        </w:rPr>
        <w:t>, </w:t>
      </w:r>
      <w:r w:rsidRPr="00EA0AFA">
        <w:rPr>
          <w:rFonts w:cs="Times New Roman"/>
          <w:i/>
          <w:iCs/>
          <w:color w:val="222222"/>
          <w:szCs w:val="24"/>
          <w:shd w:val="clear" w:color="auto" w:fill="FFFFFF"/>
        </w:rPr>
        <w:t>46</w:t>
      </w:r>
      <w:r w:rsidRPr="00EA0AFA">
        <w:rPr>
          <w:rFonts w:cs="Times New Roman"/>
          <w:color w:val="222222"/>
          <w:szCs w:val="24"/>
          <w:shd w:val="clear" w:color="auto" w:fill="FFFFFF"/>
        </w:rPr>
        <w:t>(2), pp.148-157.</w:t>
      </w:r>
    </w:p>
    <w:p w14:paraId="46550E41"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 xml:space="preserve">Brada, J.C., Gajewski, P. and </w:t>
      </w:r>
      <w:proofErr w:type="spellStart"/>
      <w:r w:rsidRPr="00EA0AFA">
        <w:rPr>
          <w:rFonts w:cs="Times New Roman"/>
          <w:color w:val="222222"/>
          <w:szCs w:val="24"/>
          <w:shd w:val="clear" w:color="auto" w:fill="FFFFFF"/>
        </w:rPr>
        <w:t>Kutan</w:t>
      </w:r>
      <w:proofErr w:type="spellEnd"/>
      <w:r w:rsidRPr="00EA0AFA">
        <w:rPr>
          <w:rFonts w:cs="Times New Roman"/>
          <w:color w:val="222222"/>
          <w:szCs w:val="24"/>
          <w:shd w:val="clear" w:color="auto" w:fill="FFFFFF"/>
        </w:rPr>
        <w:t>, A.M., 2021. Economic resiliency and recovery, lessons from the financial crisis for the COVID-19 pandemic: A regional perspective from Central and Eastern Europe. </w:t>
      </w:r>
      <w:r w:rsidRPr="00EA0AFA">
        <w:rPr>
          <w:rFonts w:cs="Times New Roman"/>
          <w:i/>
          <w:iCs/>
          <w:color w:val="222222"/>
          <w:szCs w:val="24"/>
          <w:shd w:val="clear" w:color="auto" w:fill="FFFFFF"/>
        </w:rPr>
        <w:t>International Review of Financial Analysis</w:t>
      </w:r>
      <w:r w:rsidRPr="00EA0AFA">
        <w:rPr>
          <w:rFonts w:cs="Times New Roman"/>
          <w:color w:val="222222"/>
          <w:szCs w:val="24"/>
          <w:shd w:val="clear" w:color="auto" w:fill="FFFFFF"/>
        </w:rPr>
        <w:t>, </w:t>
      </w:r>
      <w:r w:rsidRPr="00EA0AFA">
        <w:rPr>
          <w:rFonts w:cs="Times New Roman"/>
          <w:i/>
          <w:iCs/>
          <w:color w:val="222222"/>
          <w:szCs w:val="24"/>
          <w:shd w:val="clear" w:color="auto" w:fill="FFFFFF"/>
        </w:rPr>
        <w:t>74</w:t>
      </w:r>
      <w:r w:rsidRPr="00EA0AFA">
        <w:rPr>
          <w:rFonts w:cs="Times New Roman"/>
          <w:color w:val="222222"/>
          <w:szCs w:val="24"/>
          <w:shd w:val="clear" w:color="auto" w:fill="FFFFFF"/>
        </w:rPr>
        <w:t>, p.101658.</w:t>
      </w:r>
    </w:p>
    <w:p w14:paraId="48109EC4"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Chang, L., Gan, X. and Mohsin, M., 2022. Studying corporate liquidity and regulatory responses for economic recovery in COVID-19 crises. </w:t>
      </w:r>
      <w:r w:rsidRPr="00EA0AFA">
        <w:rPr>
          <w:rFonts w:cs="Times New Roman"/>
          <w:i/>
          <w:iCs/>
          <w:color w:val="222222"/>
          <w:szCs w:val="24"/>
          <w:shd w:val="clear" w:color="auto" w:fill="FFFFFF"/>
        </w:rPr>
        <w:t>Economic Analysis and Policy</w:t>
      </w:r>
      <w:r w:rsidRPr="00EA0AFA">
        <w:rPr>
          <w:rFonts w:cs="Times New Roman"/>
          <w:color w:val="222222"/>
          <w:szCs w:val="24"/>
          <w:shd w:val="clear" w:color="auto" w:fill="FFFFFF"/>
        </w:rPr>
        <w:t>, </w:t>
      </w:r>
      <w:r w:rsidRPr="00EA0AFA">
        <w:rPr>
          <w:rFonts w:cs="Times New Roman"/>
          <w:i/>
          <w:iCs/>
          <w:color w:val="222222"/>
          <w:szCs w:val="24"/>
          <w:shd w:val="clear" w:color="auto" w:fill="FFFFFF"/>
        </w:rPr>
        <w:t>76</w:t>
      </w:r>
      <w:r w:rsidRPr="00EA0AFA">
        <w:rPr>
          <w:rFonts w:cs="Times New Roman"/>
          <w:color w:val="222222"/>
          <w:szCs w:val="24"/>
          <w:shd w:val="clear" w:color="auto" w:fill="FFFFFF"/>
        </w:rPr>
        <w:t>, pp.211-225.</w:t>
      </w:r>
    </w:p>
    <w:p w14:paraId="40A7A629"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 xml:space="preserve">De Vet, J.M., </w:t>
      </w:r>
      <w:proofErr w:type="spellStart"/>
      <w:r w:rsidRPr="00EA0AFA">
        <w:rPr>
          <w:rFonts w:cs="Times New Roman"/>
          <w:color w:val="222222"/>
          <w:szCs w:val="24"/>
          <w:shd w:val="clear" w:color="auto" w:fill="FFFFFF"/>
        </w:rPr>
        <w:t>Nigohosyan</w:t>
      </w:r>
      <w:proofErr w:type="spellEnd"/>
      <w:r w:rsidRPr="00EA0AFA">
        <w:rPr>
          <w:rFonts w:cs="Times New Roman"/>
          <w:color w:val="222222"/>
          <w:szCs w:val="24"/>
          <w:shd w:val="clear" w:color="auto" w:fill="FFFFFF"/>
        </w:rPr>
        <w:t xml:space="preserve">, D., Ferrer, J.N., Gross, A.K., Kuehl, S. and </w:t>
      </w:r>
      <w:proofErr w:type="spellStart"/>
      <w:r w:rsidRPr="00EA0AFA">
        <w:rPr>
          <w:rFonts w:cs="Times New Roman"/>
          <w:color w:val="222222"/>
          <w:szCs w:val="24"/>
          <w:shd w:val="clear" w:color="auto" w:fill="FFFFFF"/>
        </w:rPr>
        <w:t>Flickenschild</w:t>
      </w:r>
      <w:proofErr w:type="spellEnd"/>
      <w:r w:rsidRPr="00EA0AFA">
        <w:rPr>
          <w:rFonts w:cs="Times New Roman"/>
          <w:color w:val="222222"/>
          <w:szCs w:val="24"/>
          <w:shd w:val="clear" w:color="auto" w:fill="FFFFFF"/>
        </w:rPr>
        <w:t>, M., 2021. </w:t>
      </w:r>
      <w:r w:rsidRPr="00EA0AFA">
        <w:rPr>
          <w:rFonts w:cs="Times New Roman"/>
          <w:i/>
          <w:iCs/>
          <w:color w:val="222222"/>
          <w:szCs w:val="24"/>
          <w:shd w:val="clear" w:color="auto" w:fill="FFFFFF"/>
        </w:rPr>
        <w:t>Impacts of the COVID-19 pandemic on EU industries</w:t>
      </w:r>
      <w:r w:rsidRPr="00EA0AFA">
        <w:rPr>
          <w:rFonts w:cs="Times New Roman"/>
          <w:color w:val="222222"/>
          <w:szCs w:val="24"/>
          <w:shd w:val="clear" w:color="auto" w:fill="FFFFFF"/>
        </w:rPr>
        <w:t> (pp. 1-86). Strasbourg, France: European Parliament.</w:t>
      </w:r>
    </w:p>
    <w:p w14:paraId="7A9E4E61" w14:textId="77777777" w:rsidR="00E37567" w:rsidRPr="00EA0AFA" w:rsidRDefault="00E37567" w:rsidP="0076769B">
      <w:pPr>
        <w:ind w:left="720" w:hanging="720"/>
        <w:rPr>
          <w:rFonts w:cs="Times New Roman"/>
          <w:color w:val="222222"/>
          <w:szCs w:val="24"/>
          <w:shd w:val="clear" w:color="auto" w:fill="FFFFFF"/>
        </w:rPr>
      </w:pPr>
      <w:proofErr w:type="spellStart"/>
      <w:r w:rsidRPr="00EA0AFA">
        <w:rPr>
          <w:rFonts w:cs="Times New Roman"/>
          <w:color w:val="222222"/>
          <w:szCs w:val="24"/>
          <w:shd w:val="clear" w:color="auto" w:fill="FFFFFF"/>
        </w:rPr>
        <w:t>Dunz</w:t>
      </w:r>
      <w:proofErr w:type="spellEnd"/>
      <w:r w:rsidRPr="00EA0AFA">
        <w:rPr>
          <w:rFonts w:cs="Times New Roman"/>
          <w:color w:val="222222"/>
          <w:szCs w:val="24"/>
          <w:shd w:val="clear" w:color="auto" w:fill="FFFFFF"/>
        </w:rPr>
        <w:t xml:space="preserve">, N., </w:t>
      </w:r>
      <w:proofErr w:type="spellStart"/>
      <w:r w:rsidRPr="00EA0AFA">
        <w:rPr>
          <w:rFonts w:cs="Times New Roman"/>
          <w:color w:val="222222"/>
          <w:szCs w:val="24"/>
          <w:shd w:val="clear" w:color="auto" w:fill="FFFFFF"/>
        </w:rPr>
        <w:t>Essenfelder</w:t>
      </w:r>
      <w:proofErr w:type="spellEnd"/>
      <w:r w:rsidRPr="00EA0AFA">
        <w:rPr>
          <w:rFonts w:cs="Times New Roman"/>
          <w:color w:val="222222"/>
          <w:szCs w:val="24"/>
          <w:shd w:val="clear" w:color="auto" w:fill="FFFFFF"/>
        </w:rPr>
        <w:t xml:space="preserve">, A.H., </w:t>
      </w:r>
      <w:proofErr w:type="spellStart"/>
      <w:r w:rsidRPr="00EA0AFA">
        <w:rPr>
          <w:rFonts w:cs="Times New Roman"/>
          <w:color w:val="222222"/>
          <w:szCs w:val="24"/>
          <w:shd w:val="clear" w:color="auto" w:fill="FFFFFF"/>
        </w:rPr>
        <w:t>Mazzocchetti</w:t>
      </w:r>
      <w:proofErr w:type="spellEnd"/>
      <w:r w:rsidRPr="00EA0AFA">
        <w:rPr>
          <w:rFonts w:cs="Times New Roman"/>
          <w:color w:val="222222"/>
          <w:szCs w:val="24"/>
          <w:shd w:val="clear" w:color="auto" w:fill="FFFFFF"/>
        </w:rPr>
        <w:t xml:space="preserve">, A., </w:t>
      </w:r>
      <w:proofErr w:type="spellStart"/>
      <w:r w:rsidRPr="00EA0AFA">
        <w:rPr>
          <w:rFonts w:cs="Times New Roman"/>
          <w:color w:val="222222"/>
          <w:szCs w:val="24"/>
          <w:shd w:val="clear" w:color="auto" w:fill="FFFFFF"/>
        </w:rPr>
        <w:t>Monasterolo</w:t>
      </w:r>
      <w:proofErr w:type="spellEnd"/>
      <w:r w:rsidRPr="00EA0AFA">
        <w:rPr>
          <w:rFonts w:cs="Times New Roman"/>
          <w:color w:val="222222"/>
          <w:szCs w:val="24"/>
          <w:shd w:val="clear" w:color="auto" w:fill="FFFFFF"/>
        </w:rPr>
        <w:t>, I. and Raberto, M., 2023. Compounding COVID-19 and climate risks: The interplay of banks’ lending and government’s policy in the shock recovery. </w:t>
      </w:r>
      <w:r w:rsidRPr="00EA0AFA">
        <w:rPr>
          <w:rFonts w:cs="Times New Roman"/>
          <w:i/>
          <w:iCs/>
          <w:color w:val="222222"/>
          <w:szCs w:val="24"/>
          <w:shd w:val="clear" w:color="auto" w:fill="FFFFFF"/>
        </w:rPr>
        <w:t>Journal of Banking &amp; Finance</w:t>
      </w:r>
      <w:r w:rsidRPr="00EA0AFA">
        <w:rPr>
          <w:rFonts w:cs="Times New Roman"/>
          <w:color w:val="222222"/>
          <w:szCs w:val="24"/>
          <w:shd w:val="clear" w:color="auto" w:fill="FFFFFF"/>
        </w:rPr>
        <w:t>, </w:t>
      </w:r>
      <w:r w:rsidRPr="00EA0AFA">
        <w:rPr>
          <w:rFonts w:cs="Times New Roman"/>
          <w:i/>
          <w:iCs/>
          <w:color w:val="222222"/>
          <w:szCs w:val="24"/>
          <w:shd w:val="clear" w:color="auto" w:fill="FFFFFF"/>
        </w:rPr>
        <w:t>152</w:t>
      </w:r>
      <w:r w:rsidRPr="00EA0AFA">
        <w:rPr>
          <w:rFonts w:cs="Times New Roman"/>
          <w:color w:val="222222"/>
          <w:szCs w:val="24"/>
          <w:shd w:val="clear" w:color="auto" w:fill="FFFFFF"/>
        </w:rPr>
        <w:t>, p.106306.</w:t>
      </w:r>
    </w:p>
    <w:p w14:paraId="2631D720"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 xml:space="preserve">Garcia-Perez-de-Lema, D., Madrid-Guijarro, A. and </w:t>
      </w:r>
      <w:proofErr w:type="spellStart"/>
      <w:r w:rsidRPr="00EA0AFA">
        <w:rPr>
          <w:rFonts w:cs="Times New Roman"/>
          <w:color w:val="222222"/>
          <w:szCs w:val="24"/>
          <w:shd w:val="clear" w:color="auto" w:fill="FFFFFF"/>
        </w:rPr>
        <w:t>Durendez</w:t>
      </w:r>
      <w:proofErr w:type="spellEnd"/>
      <w:r w:rsidRPr="00EA0AFA">
        <w:rPr>
          <w:rFonts w:cs="Times New Roman"/>
          <w:color w:val="222222"/>
          <w:szCs w:val="24"/>
          <w:shd w:val="clear" w:color="auto" w:fill="FFFFFF"/>
        </w:rPr>
        <w:t>, A., 2022. Operating, financial and investment impacts of COVID-19 in SMEs: Public policy demands sustainable recovery considering the economic sector moderating effect. </w:t>
      </w:r>
      <w:r w:rsidRPr="00EA0AFA">
        <w:rPr>
          <w:rFonts w:cs="Times New Roman"/>
          <w:i/>
          <w:iCs/>
          <w:color w:val="222222"/>
          <w:szCs w:val="24"/>
          <w:shd w:val="clear" w:color="auto" w:fill="FFFFFF"/>
        </w:rPr>
        <w:t>International Journal of Disaster Risk Reduction</w:t>
      </w:r>
      <w:r w:rsidRPr="00EA0AFA">
        <w:rPr>
          <w:rFonts w:cs="Times New Roman"/>
          <w:color w:val="222222"/>
          <w:szCs w:val="24"/>
          <w:shd w:val="clear" w:color="auto" w:fill="FFFFFF"/>
        </w:rPr>
        <w:t>, </w:t>
      </w:r>
      <w:r w:rsidRPr="00EA0AFA">
        <w:rPr>
          <w:rFonts w:cs="Times New Roman"/>
          <w:i/>
          <w:iCs/>
          <w:color w:val="222222"/>
          <w:szCs w:val="24"/>
          <w:shd w:val="clear" w:color="auto" w:fill="FFFFFF"/>
        </w:rPr>
        <w:t>75</w:t>
      </w:r>
      <w:r w:rsidRPr="00EA0AFA">
        <w:rPr>
          <w:rFonts w:cs="Times New Roman"/>
          <w:color w:val="222222"/>
          <w:szCs w:val="24"/>
          <w:shd w:val="clear" w:color="auto" w:fill="FFFFFF"/>
        </w:rPr>
        <w:t>, p.102951.</w:t>
      </w:r>
    </w:p>
    <w:p w14:paraId="6116B213"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 xml:space="preserve">Gudmundsson, S.V., Cattaneo, M. and </w:t>
      </w:r>
      <w:proofErr w:type="spellStart"/>
      <w:r w:rsidRPr="00EA0AFA">
        <w:rPr>
          <w:rFonts w:cs="Times New Roman"/>
          <w:color w:val="222222"/>
          <w:szCs w:val="24"/>
          <w:shd w:val="clear" w:color="auto" w:fill="FFFFFF"/>
        </w:rPr>
        <w:t>Redondi</w:t>
      </w:r>
      <w:proofErr w:type="spellEnd"/>
      <w:r w:rsidRPr="00EA0AFA">
        <w:rPr>
          <w:rFonts w:cs="Times New Roman"/>
          <w:color w:val="222222"/>
          <w:szCs w:val="24"/>
          <w:shd w:val="clear" w:color="auto" w:fill="FFFFFF"/>
        </w:rPr>
        <w:t>, R., 2021. Forecasting temporal world recovery in air transport markets in the presence of large economic shocks: The case of COVID-19. </w:t>
      </w:r>
      <w:r w:rsidRPr="00EA0AFA">
        <w:rPr>
          <w:rFonts w:cs="Times New Roman"/>
          <w:i/>
          <w:iCs/>
          <w:color w:val="222222"/>
          <w:szCs w:val="24"/>
          <w:shd w:val="clear" w:color="auto" w:fill="FFFFFF"/>
        </w:rPr>
        <w:t>Journal of Air Transport Management</w:t>
      </w:r>
      <w:r w:rsidRPr="00EA0AFA">
        <w:rPr>
          <w:rFonts w:cs="Times New Roman"/>
          <w:color w:val="222222"/>
          <w:szCs w:val="24"/>
          <w:shd w:val="clear" w:color="auto" w:fill="FFFFFF"/>
        </w:rPr>
        <w:t>, </w:t>
      </w:r>
      <w:r w:rsidRPr="00EA0AFA">
        <w:rPr>
          <w:rFonts w:cs="Times New Roman"/>
          <w:i/>
          <w:iCs/>
          <w:color w:val="222222"/>
          <w:szCs w:val="24"/>
          <w:shd w:val="clear" w:color="auto" w:fill="FFFFFF"/>
        </w:rPr>
        <w:t>91</w:t>
      </w:r>
      <w:r w:rsidRPr="00EA0AFA">
        <w:rPr>
          <w:rFonts w:cs="Times New Roman"/>
          <w:color w:val="222222"/>
          <w:szCs w:val="24"/>
          <w:shd w:val="clear" w:color="auto" w:fill="FFFFFF"/>
        </w:rPr>
        <w:t>, p.102007.</w:t>
      </w:r>
    </w:p>
    <w:p w14:paraId="3EBA7FBC"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Hu, X., Li, L. and Dong, K., 2022. What matters for regional economic resilience amid COVID-19? Evidence from cities in Northeast China. </w:t>
      </w:r>
      <w:r w:rsidRPr="00EA0AFA">
        <w:rPr>
          <w:rFonts w:cs="Times New Roman"/>
          <w:i/>
          <w:iCs/>
          <w:color w:val="222222"/>
          <w:szCs w:val="24"/>
          <w:shd w:val="clear" w:color="auto" w:fill="FFFFFF"/>
        </w:rPr>
        <w:t>Cities</w:t>
      </w:r>
      <w:r w:rsidRPr="00EA0AFA">
        <w:rPr>
          <w:rFonts w:cs="Times New Roman"/>
          <w:color w:val="222222"/>
          <w:szCs w:val="24"/>
          <w:shd w:val="clear" w:color="auto" w:fill="FFFFFF"/>
        </w:rPr>
        <w:t>, </w:t>
      </w:r>
      <w:r w:rsidRPr="00EA0AFA">
        <w:rPr>
          <w:rFonts w:cs="Times New Roman"/>
          <w:i/>
          <w:iCs/>
          <w:color w:val="222222"/>
          <w:szCs w:val="24"/>
          <w:shd w:val="clear" w:color="auto" w:fill="FFFFFF"/>
        </w:rPr>
        <w:t>120</w:t>
      </w:r>
      <w:r w:rsidRPr="00EA0AFA">
        <w:rPr>
          <w:rFonts w:cs="Times New Roman"/>
          <w:color w:val="222222"/>
          <w:szCs w:val="24"/>
          <w:shd w:val="clear" w:color="auto" w:fill="FFFFFF"/>
        </w:rPr>
        <w:t>, p.103440.</w:t>
      </w:r>
    </w:p>
    <w:p w14:paraId="13C31A4E"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lastRenderedPageBreak/>
        <w:t>Huang, S.Z., 2022. Do green financing and industrial structure matter for green economic recovery? Fresh empirical insights from Vietnam. </w:t>
      </w:r>
      <w:r w:rsidRPr="00EA0AFA">
        <w:rPr>
          <w:rFonts w:cs="Times New Roman"/>
          <w:i/>
          <w:iCs/>
          <w:color w:val="222222"/>
          <w:szCs w:val="24"/>
          <w:shd w:val="clear" w:color="auto" w:fill="FFFFFF"/>
        </w:rPr>
        <w:t>Economic Analysis and Policy</w:t>
      </w:r>
      <w:r w:rsidRPr="00EA0AFA">
        <w:rPr>
          <w:rFonts w:cs="Times New Roman"/>
          <w:color w:val="222222"/>
          <w:szCs w:val="24"/>
          <w:shd w:val="clear" w:color="auto" w:fill="FFFFFF"/>
        </w:rPr>
        <w:t>, </w:t>
      </w:r>
      <w:r w:rsidRPr="00EA0AFA">
        <w:rPr>
          <w:rFonts w:cs="Times New Roman"/>
          <w:i/>
          <w:iCs/>
          <w:color w:val="222222"/>
          <w:szCs w:val="24"/>
          <w:shd w:val="clear" w:color="auto" w:fill="FFFFFF"/>
        </w:rPr>
        <w:t>75</w:t>
      </w:r>
      <w:r w:rsidRPr="00EA0AFA">
        <w:rPr>
          <w:rFonts w:cs="Times New Roman"/>
          <w:color w:val="222222"/>
          <w:szCs w:val="24"/>
          <w:shd w:val="clear" w:color="auto" w:fill="FFFFFF"/>
        </w:rPr>
        <w:t>, pp.61-73.</w:t>
      </w:r>
    </w:p>
    <w:p w14:paraId="3ED4CEFE"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Jiang, D., Wang, X. and Zhao, R., 2022. Analysis on the economic recovery in the post-COVID-19 era: Evidence from China. </w:t>
      </w:r>
      <w:r w:rsidRPr="00EA0AFA">
        <w:rPr>
          <w:rFonts w:cs="Times New Roman"/>
          <w:i/>
          <w:iCs/>
          <w:color w:val="222222"/>
          <w:szCs w:val="24"/>
          <w:shd w:val="clear" w:color="auto" w:fill="FFFFFF"/>
        </w:rPr>
        <w:t>Frontiers in Public Health</w:t>
      </w:r>
      <w:r w:rsidRPr="00EA0AFA">
        <w:rPr>
          <w:rFonts w:cs="Times New Roman"/>
          <w:color w:val="222222"/>
          <w:szCs w:val="24"/>
          <w:shd w:val="clear" w:color="auto" w:fill="FFFFFF"/>
        </w:rPr>
        <w:t>, </w:t>
      </w:r>
      <w:r w:rsidRPr="00EA0AFA">
        <w:rPr>
          <w:rFonts w:cs="Times New Roman"/>
          <w:i/>
          <w:iCs/>
          <w:color w:val="222222"/>
          <w:szCs w:val="24"/>
          <w:shd w:val="clear" w:color="auto" w:fill="FFFFFF"/>
        </w:rPr>
        <w:t>9</w:t>
      </w:r>
      <w:r w:rsidRPr="00EA0AFA">
        <w:rPr>
          <w:rFonts w:cs="Times New Roman"/>
          <w:color w:val="222222"/>
          <w:szCs w:val="24"/>
          <w:shd w:val="clear" w:color="auto" w:fill="FFFFFF"/>
        </w:rPr>
        <w:t>, p.787190.</w:t>
      </w:r>
    </w:p>
    <w:p w14:paraId="0515CA02"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Lee, S.Y.T., Park, M. and Shin, Y., 2021. </w:t>
      </w:r>
      <w:r w:rsidRPr="00EA0AFA">
        <w:rPr>
          <w:rFonts w:cs="Times New Roman"/>
          <w:i/>
          <w:iCs/>
          <w:color w:val="222222"/>
          <w:szCs w:val="24"/>
          <w:shd w:val="clear" w:color="auto" w:fill="FFFFFF"/>
        </w:rPr>
        <w:t>Hit harder, recover slower? Unequal employment effects of the COVID-19 shock</w:t>
      </w:r>
      <w:r w:rsidRPr="00EA0AFA">
        <w:rPr>
          <w:rFonts w:cs="Times New Roman"/>
          <w:color w:val="222222"/>
          <w:szCs w:val="24"/>
          <w:shd w:val="clear" w:color="auto" w:fill="FFFFFF"/>
        </w:rPr>
        <w:t> (No. w28354). National Bureau of Economic Research.</w:t>
      </w:r>
    </w:p>
    <w:p w14:paraId="2FF35923"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Mikheeva, N.N., 2021. The resilience of Russian regions to economic shocks. </w:t>
      </w:r>
      <w:r w:rsidRPr="00EA0AFA">
        <w:rPr>
          <w:rFonts w:cs="Times New Roman"/>
          <w:i/>
          <w:iCs/>
          <w:color w:val="222222"/>
          <w:szCs w:val="24"/>
          <w:shd w:val="clear" w:color="auto" w:fill="FFFFFF"/>
        </w:rPr>
        <w:t>Studies on Russian Economic Development</w:t>
      </w:r>
      <w:r w:rsidRPr="00EA0AFA">
        <w:rPr>
          <w:rFonts w:cs="Times New Roman"/>
          <w:color w:val="222222"/>
          <w:szCs w:val="24"/>
          <w:shd w:val="clear" w:color="auto" w:fill="FFFFFF"/>
        </w:rPr>
        <w:t>, </w:t>
      </w:r>
      <w:r w:rsidRPr="00EA0AFA">
        <w:rPr>
          <w:rFonts w:cs="Times New Roman"/>
          <w:i/>
          <w:iCs/>
          <w:color w:val="222222"/>
          <w:szCs w:val="24"/>
          <w:shd w:val="clear" w:color="auto" w:fill="FFFFFF"/>
        </w:rPr>
        <w:t>32</w:t>
      </w:r>
      <w:r w:rsidRPr="00EA0AFA">
        <w:rPr>
          <w:rFonts w:cs="Times New Roman"/>
          <w:color w:val="222222"/>
          <w:szCs w:val="24"/>
          <w:shd w:val="clear" w:color="auto" w:fill="FFFFFF"/>
        </w:rPr>
        <w:t>, pp.68-77.</w:t>
      </w:r>
    </w:p>
    <w:p w14:paraId="25AF6636" w14:textId="77777777" w:rsidR="00E37567" w:rsidRPr="00EA0AFA" w:rsidRDefault="00E37567" w:rsidP="0076769B">
      <w:pPr>
        <w:ind w:left="720" w:hanging="720"/>
        <w:rPr>
          <w:rFonts w:cs="Times New Roman"/>
          <w:color w:val="222222"/>
          <w:szCs w:val="24"/>
          <w:shd w:val="clear" w:color="auto" w:fill="FFFFFF"/>
        </w:rPr>
      </w:pPr>
      <w:proofErr w:type="spellStart"/>
      <w:r w:rsidRPr="00EA0AFA">
        <w:rPr>
          <w:rFonts w:cs="Times New Roman"/>
          <w:color w:val="222222"/>
          <w:szCs w:val="24"/>
          <w:shd w:val="clear" w:color="auto" w:fill="FFFFFF"/>
        </w:rPr>
        <w:t>Miklian</w:t>
      </w:r>
      <w:proofErr w:type="spellEnd"/>
      <w:r w:rsidRPr="00EA0AFA">
        <w:rPr>
          <w:rFonts w:cs="Times New Roman"/>
          <w:color w:val="222222"/>
          <w:szCs w:val="24"/>
          <w:shd w:val="clear" w:color="auto" w:fill="FFFFFF"/>
        </w:rPr>
        <w:t>, J. and Hoelscher, K., 2022. SMEs and exogenous shocks: A conceptual literature review and forward research agenda. </w:t>
      </w:r>
      <w:r w:rsidRPr="00EA0AFA">
        <w:rPr>
          <w:rFonts w:cs="Times New Roman"/>
          <w:i/>
          <w:iCs/>
          <w:color w:val="222222"/>
          <w:szCs w:val="24"/>
          <w:shd w:val="clear" w:color="auto" w:fill="FFFFFF"/>
        </w:rPr>
        <w:t>International Small Business Journal</w:t>
      </w:r>
      <w:r w:rsidRPr="00EA0AFA">
        <w:rPr>
          <w:rFonts w:cs="Times New Roman"/>
          <w:color w:val="222222"/>
          <w:szCs w:val="24"/>
          <w:shd w:val="clear" w:color="auto" w:fill="FFFFFF"/>
        </w:rPr>
        <w:t>, </w:t>
      </w:r>
      <w:r w:rsidRPr="00EA0AFA">
        <w:rPr>
          <w:rFonts w:cs="Times New Roman"/>
          <w:i/>
          <w:iCs/>
          <w:color w:val="222222"/>
          <w:szCs w:val="24"/>
          <w:shd w:val="clear" w:color="auto" w:fill="FFFFFF"/>
        </w:rPr>
        <w:t>40</w:t>
      </w:r>
      <w:r w:rsidRPr="00EA0AFA">
        <w:rPr>
          <w:rFonts w:cs="Times New Roman"/>
          <w:color w:val="222222"/>
          <w:szCs w:val="24"/>
          <w:shd w:val="clear" w:color="auto" w:fill="FFFFFF"/>
        </w:rPr>
        <w:t>(2), pp.178-204.</w:t>
      </w:r>
    </w:p>
    <w:p w14:paraId="54F0FEEE"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 xml:space="preserve">Neise, T., </w:t>
      </w:r>
      <w:proofErr w:type="spellStart"/>
      <w:r w:rsidRPr="00EA0AFA">
        <w:rPr>
          <w:rFonts w:cs="Times New Roman"/>
          <w:color w:val="222222"/>
          <w:szCs w:val="24"/>
          <w:shd w:val="clear" w:color="auto" w:fill="FFFFFF"/>
        </w:rPr>
        <w:t>Verfürth</w:t>
      </w:r>
      <w:proofErr w:type="spellEnd"/>
      <w:r w:rsidRPr="00EA0AFA">
        <w:rPr>
          <w:rFonts w:cs="Times New Roman"/>
          <w:color w:val="222222"/>
          <w:szCs w:val="24"/>
          <w:shd w:val="clear" w:color="auto" w:fill="FFFFFF"/>
        </w:rPr>
        <w:t>, P. and Franz, M., 2021. Rapid responding to the COVID-19 crisis: Assessing the resilience in the German restaurant and bar industry. </w:t>
      </w:r>
      <w:r w:rsidRPr="00EA0AFA">
        <w:rPr>
          <w:rFonts w:cs="Times New Roman"/>
          <w:i/>
          <w:iCs/>
          <w:color w:val="222222"/>
          <w:szCs w:val="24"/>
          <w:shd w:val="clear" w:color="auto" w:fill="FFFFFF"/>
        </w:rPr>
        <w:t>International Journal of Hospitality Management</w:t>
      </w:r>
      <w:r w:rsidRPr="00EA0AFA">
        <w:rPr>
          <w:rFonts w:cs="Times New Roman"/>
          <w:color w:val="222222"/>
          <w:szCs w:val="24"/>
          <w:shd w:val="clear" w:color="auto" w:fill="FFFFFF"/>
        </w:rPr>
        <w:t>, </w:t>
      </w:r>
      <w:r w:rsidRPr="00EA0AFA">
        <w:rPr>
          <w:rFonts w:cs="Times New Roman"/>
          <w:i/>
          <w:iCs/>
          <w:color w:val="222222"/>
          <w:szCs w:val="24"/>
          <w:shd w:val="clear" w:color="auto" w:fill="FFFFFF"/>
        </w:rPr>
        <w:t>96</w:t>
      </w:r>
      <w:r w:rsidRPr="00EA0AFA">
        <w:rPr>
          <w:rFonts w:cs="Times New Roman"/>
          <w:color w:val="222222"/>
          <w:szCs w:val="24"/>
          <w:shd w:val="clear" w:color="auto" w:fill="FFFFFF"/>
        </w:rPr>
        <w:t>, p.102960.</w:t>
      </w:r>
    </w:p>
    <w:p w14:paraId="3C70DE15"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Okafor, L., Khalid, U. and Gopalan, S., 2022. COVID-19 economic policy response, resilience and tourism recovery. </w:t>
      </w:r>
      <w:r w:rsidRPr="00EA0AFA">
        <w:rPr>
          <w:rFonts w:cs="Times New Roman"/>
          <w:i/>
          <w:iCs/>
          <w:color w:val="222222"/>
          <w:szCs w:val="24"/>
          <w:shd w:val="clear" w:color="auto" w:fill="FFFFFF"/>
        </w:rPr>
        <w:t>Annals of Tourism Research Empirical Insights</w:t>
      </w:r>
      <w:r w:rsidRPr="00EA0AFA">
        <w:rPr>
          <w:rFonts w:cs="Times New Roman"/>
          <w:color w:val="222222"/>
          <w:szCs w:val="24"/>
          <w:shd w:val="clear" w:color="auto" w:fill="FFFFFF"/>
        </w:rPr>
        <w:t>, </w:t>
      </w:r>
      <w:r w:rsidRPr="00EA0AFA">
        <w:rPr>
          <w:rFonts w:cs="Times New Roman"/>
          <w:i/>
          <w:iCs/>
          <w:color w:val="222222"/>
          <w:szCs w:val="24"/>
          <w:shd w:val="clear" w:color="auto" w:fill="FFFFFF"/>
        </w:rPr>
        <w:t>3</w:t>
      </w:r>
      <w:r w:rsidRPr="00EA0AFA">
        <w:rPr>
          <w:rFonts w:cs="Times New Roman"/>
          <w:color w:val="222222"/>
          <w:szCs w:val="24"/>
          <w:shd w:val="clear" w:color="auto" w:fill="FFFFFF"/>
        </w:rPr>
        <w:t>(2), p.100073.</w:t>
      </w:r>
    </w:p>
    <w:p w14:paraId="51049B80"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 xml:space="preserve">Okafor, L.E., Khalid, U. and </w:t>
      </w:r>
      <w:proofErr w:type="spellStart"/>
      <w:r w:rsidRPr="00EA0AFA">
        <w:rPr>
          <w:rFonts w:cs="Times New Roman"/>
          <w:color w:val="222222"/>
          <w:szCs w:val="24"/>
          <w:shd w:val="clear" w:color="auto" w:fill="FFFFFF"/>
        </w:rPr>
        <w:t>Burzynska</w:t>
      </w:r>
      <w:proofErr w:type="spellEnd"/>
      <w:r w:rsidRPr="00EA0AFA">
        <w:rPr>
          <w:rFonts w:cs="Times New Roman"/>
          <w:color w:val="222222"/>
          <w:szCs w:val="24"/>
          <w:shd w:val="clear" w:color="auto" w:fill="FFFFFF"/>
        </w:rPr>
        <w:t>, K., 2022. Does the level of a country's resilience moderate the link between the tourism industry and the economic policy response to the COVID-19 pandemic? </w:t>
      </w:r>
      <w:r w:rsidRPr="00EA0AFA">
        <w:rPr>
          <w:rFonts w:cs="Times New Roman"/>
          <w:i/>
          <w:iCs/>
          <w:color w:val="222222"/>
          <w:szCs w:val="24"/>
          <w:shd w:val="clear" w:color="auto" w:fill="FFFFFF"/>
        </w:rPr>
        <w:t>Current Issues in Tourism</w:t>
      </w:r>
      <w:r w:rsidRPr="00EA0AFA">
        <w:rPr>
          <w:rFonts w:cs="Times New Roman"/>
          <w:color w:val="222222"/>
          <w:szCs w:val="24"/>
          <w:shd w:val="clear" w:color="auto" w:fill="FFFFFF"/>
        </w:rPr>
        <w:t>, </w:t>
      </w:r>
      <w:r w:rsidRPr="00EA0AFA">
        <w:rPr>
          <w:rFonts w:cs="Times New Roman"/>
          <w:i/>
          <w:iCs/>
          <w:color w:val="222222"/>
          <w:szCs w:val="24"/>
          <w:shd w:val="clear" w:color="auto" w:fill="FFFFFF"/>
        </w:rPr>
        <w:t>25</w:t>
      </w:r>
      <w:r w:rsidRPr="00EA0AFA">
        <w:rPr>
          <w:rFonts w:cs="Times New Roman"/>
          <w:color w:val="222222"/>
          <w:szCs w:val="24"/>
          <w:shd w:val="clear" w:color="auto" w:fill="FFFFFF"/>
        </w:rPr>
        <w:t>(2), pp.303-318.</w:t>
      </w:r>
    </w:p>
    <w:p w14:paraId="38CE6F77"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 xml:space="preserve">Rahman, T., </w:t>
      </w:r>
      <w:proofErr w:type="spellStart"/>
      <w:r w:rsidRPr="00EA0AFA">
        <w:rPr>
          <w:rFonts w:cs="Times New Roman"/>
          <w:color w:val="222222"/>
          <w:szCs w:val="24"/>
          <w:shd w:val="clear" w:color="auto" w:fill="FFFFFF"/>
        </w:rPr>
        <w:t>Taghikhah</w:t>
      </w:r>
      <w:proofErr w:type="spellEnd"/>
      <w:r w:rsidRPr="00EA0AFA">
        <w:rPr>
          <w:rFonts w:cs="Times New Roman"/>
          <w:color w:val="222222"/>
          <w:szCs w:val="24"/>
          <w:shd w:val="clear" w:color="auto" w:fill="FFFFFF"/>
        </w:rPr>
        <w:t>, F., Paul, S.K., Shukla, N. and Agarwal, R., 2021. An agent-based model for supply chain recovery in the wake of the COVID-19 pandemic. </w:t>
      </w:r>
      <w:r w:rsidRPr="00EA0AFA">
        <w:rPr>
          <w:rFonts w:cs="Times New Roman"/>
          <w:i/>
          <w:iCs/>
          <w:color w:val="222222"/>
          <w:szCs w:val="24"/>
          <w:shd w:val="clear" w:color="auto" w:fill="FFFFFF"/>
        </w:rPr>
        <w:t>Computers &amp; Industrial Engineering</w:t>
      </w:r>
      <w:r w:rsidRPr="00EA0AFA">
        <w:rPr>
          <w:rFonts w:cs="Times New Roman"/>
          <w:color w:val="222222"/>
          <w:szCs w:val="24"/>
          <w:shd w:val="clear" w:color="auto" w:fill="FFFFFF"/>
        </w:rPr>
        <w:t>, </w:t>
      </w:r>
      <w:r w:rsidRPr="00EA0AFA">
        <w:rPr>
          <w:rFonts w:cs="Times New Roman"/>
          <w:i/>
          <w:iCs/>
          <w:color w:val="222222"/>
          <w:szCs w:val="24"/>
          <w:shd w:val="clear" w:color="auto" w:fill="FFFFFF"/>
        </w:rPr>
        <w:t>158</w:t>
      </w:r>
      <w:r w:rsidRPr="00EA0AFA">
        <w:rPr>
          <w:rFonts w:cs="Times New Roman"/>
          <w:color w:val="222222"/>
          <w:szCs w:val="24"/>
          <w:shd w:val="clear" w:color="auto" w:fill="FFFFFF"/>
        </w:rPr>
        <w:t>, p.107401.</w:t>
      </w:r>
    </w:p>
    <w:p w14:paraId="62970CA2"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Saxena, A., Dutta, A., Fischer, H.W., Saxena, A.K. and Jantz, P., 2021. Forest livelihoods and a “green recovery” from the COVID-19 pandemic: Insights and emerging research priorities from India. </w:t>
      </w:r>
      <w:r w:rsidRPr="00EA0AFA">
        <w:rPr>
          <w:rFonts w:cs="Times New Roman"/>
          <w:i/>
          <w:iCs/>
          <w:color w:val="222222"/>
          <w:szCs w:val="24"/>
          <w:shd w:val="clear" w:color="auto" w:fill="FFFFFF"/>
        </w:rPr>
        <w:t>Forest Policy and Economics</w:t>
      </w:r>
      <w:r w:rsidRPr="00EA0AFA">
        <w:rPr>
          <w:rFonts w:cs="Times New Roman"/>
          <w:color w:val="222222"/>
          <w:szCs w:val="24"/>
          <w:shd w:val="clear" w:color="auto" w:fill="FFFFFF"/>
        </w:rPr>
        <w:t>, </w:t>
      </w:r>
      <w:r w:rsidRPr="00EA0AFA">
        <w:rPr>
          <w:rFonts w:cs="Times New Roman"/>
          <w:i/>
          <w:iCs/>
          <w:color w:val="222222"/>
          <w:szCs w:val="24"/>
          <w:shd w:val="clear" w:color="auto" w:fill="FFFFFF"/>
        </w:rPr>
        <w:t>131</w:t>
      </w:r>
      <w:r w:rsidRPr="00EA0AFA">
        <w:rPr>
          <w:rFonts w:cs="Times New Roman"/>
          <w:color w:val="222222"/>
          <w:szCs w:val="24"/>
          <w:shd w:val="clear" w:color="auto" w:fill="FFFFFF"/>
        </w:rPr>
        <w:t>, p.102550.</w:t>
      </w:r>
    </w:p>
    <w:p w14:paraId="57CC8BFA"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Sharma, G.D., Thomas, A. and Paul, J., 2021. Reviving tourism industry post-COVID-19: A resilience-based framework. </w:t>
      </w:r>
      <w:r w:rsidRPr="00EA0AFA">
        <w:rPr>
          <w:rFonts w:cs="Times New Roman"/>
          <w:i/>
          <w:iCs/>
          <w:color w:val="222222"/>
          <w:szCs w:val="24"/>
          <w:shd w:val="clear" w:color="auto" w:fill="FFFFFF"/>
        </w:rPr>
        <w:t>Tourism management perspectives</w:t>
      </w:r>
      <w:r w:rsidRPr="00EA0AFA">
        <w:rPr>
          <w:rFonts w:cs="Times New Roman"/>
          <w:color w:val="222222"/>
          <w:szCs w:val="24"/>
          <w:shd w:val="clear" w:color="auto" w:fill="FFFFFF"/>
        </w:rPr>
        <w:t>, </w:t>
      </w:r>
      <w:r w:rsidRPr="00EA0AFA">
        <w:rPr>
          <w:rFonts w:cs="Times New Roman"/>
          <w:i/>
          <w:iCs/>
          <w:color w:val="222222"/>
          <w:szCs w:val="24"/>
          <w:shd w:val="clear" w:color="auto" w:fill="FFFFFF"/>
        </w:rPr>
        <w:t>37</w:t>
      </w:r>
      <w:r w:rsidRPr="00EA0AFA">
        <w:rPr>
          <w:rFonts w:cs="Times New Roman"/>
          <w:color w:val="222222"/>
          <w:szCs w:val="24"/>
          <w:shd w:val="clear" w:color="auto" w:fill="FFFFFF"/>
        </w:rPr>
        <w:t>, p.100786.</w:t>
      </w:r>
    </w:p>
    <w:p w14:paraId="5D22C997" w14:textId="77777777" w:rsidR="00E37567" w:rsidRPr="00EA0AFA" w:rsidRDefault="00E37567" w:rsidP="0076769B">
      <w:pPr>
        <w:ind w:left="720" w:hanging="720"/>
        <w:rPr>
          <w:rFonts w:cs="Times New Roman"/>
          <w:color w:val="222222"/>
          <w:szCs w:val="24"/>
          <w:shd w:val="clear" w:color="auto" w:fill="FFFFFF"/>
        </w:rPr>
      </w:pPr>
      <w:proofErr w:type="spellStart"/>
      <w:r w:rsidRPr="00EA0AFA">
        <w:rPr>
          <w:rFonts w:cs="Times New Roman"/>
          <w:color w:val="222222"/>
          <w:szCs w:val="24"/>
          <w:shd w:val="clear" w:color="auto" w:fill="FFFFFF"/>
        </w:rPr>
        <w:lastRenderedPageBreak/>
        <w:t>Škare</w:t>
      </w:r>
      <w:proofErr w:type="spellEnd"/>
      <w:r w:rsidRPr="00EA0AFA">
        <w:rPr>
          <w:rFonts w:cs="Times New Roman"/>
          <w:color w:val="222222"/>
          <w:szCs w:val="24"/>
          <w:shd w:val="clear" w:color="auto" w:fill="FFFFFF"/>
        </w:rPr>
        <w:t>, M., Soriano, D.R. and Porada-</w:t>
      </w:r>
      <w:proofErr w:type="spellStart"/>
      <w:r w:rsidRPr="00EA0AFA">
        <w:rPr>
          <w:rFonts w:cs="Times New Roman"/>
          <w:color w:val="222222"/>
          <w:szCs w:val="24"/>
          <w:shd w:val="clear" w:color="auto" w:fill="FFFFFF"/>
        </w:rPr>
        <w:t>Rochoń</w:t>
      </w:r>
      <w:proofErr w:type="spellEnd"/>
      <w:r w:rsidRPr="00EA0AFA">
        <w:rPr>
          <w:rFonts w:cs="Times New Roman"/>
          <w:color w:val="222222"/>
          <w:szCs w:val="24"/>
          <w:shd w:val="clear" w:color="auto" w:fill="FFFFFF"/>
        </w:rPr>
        <w:t>, M., 2021. Impact of COVID-19 on the travel and tourism industry. </w:t>
      </w:r>
      <w:r w:rsidRPr="00EA0AFA">
        <w:rPr>
          <w:rFonts w:cs="Times New Roman"/>
          <w:i/>
          <w:iCs/>
          <w:color w:val="222222"/>
          <w:szCs w:val="24"/>
          <w:shd w:val="clear" w:color="auto" w:fill="FFFFFF"/>
        </w:rPr>
        <w:t>Technological forecasting and social change</w:t>
      </w:r>
      <w:r w:rsidRPr="00EA0AFA">
        <w:rPr>
          <w:rFonts w:cs="Times New Roman"/>
          <w:color w:val="222222"/>
          <w:szCs w:val="24"/>
          <w:shd w:val="clear" w:color="auto" w:fill="FFFFFF"/>
        </w:rPr>
        <w:t>, </w:t>
      </w:r>
      <w:r w:rsidRPr="00EA0AFA">
        <w:rPr>
          <w:rFonts w:cs="Times New Roman"/>
          <w:i/>
          <w:iCs/>
          <w:color w:val="222222"/>
          <w:szCs w:val="24"/>
          <w:shd w:val="clear" w:color="auto" w:fill="FFFFFF"/>
        </w:rPr>
        <w:t>163</w:t>
      </w:r>
      <w:r w:rsidRPr="00EA0AFA">
        <w:rPr>
          <w:rFonts w:cs="Times New Roman"/>
          <w:color w:val="222222"/>
          <w:szCs w:val="24"/>
          <w:shd w:val="clear" w:color="auto" w:fill="FFFFFF"/>
        </w:rPr>
        <w:t>, p.120469.</w:t>
      </w:r>
    </w:p>
    <w:p w14:paraId="1A9C828B" w14:textId="77777777" w:rsidR="00E37567" w:rsidRPr="00EA0AFA" w:rsidRDefault="00E37567" w:rsidP="0076769B">
      <w:pPr>
        <w:ind w:left="720" w:hanging="720"/>
        <w:rPr>
          <w:rFonts w:cs="Times New Roman"/>
          <w:szCs w:val="24"/>
        </w:rPr>
      </w:pPr>
      <w:r w:rsidRPr="00EA0AFA">
        <w:rPr>
          <w:rFonts w:cs="Times New Roman"/>
          <w:color w:val="222222"/>
          <w:szCs w:val="24"/>
          <w:shd w:val="clear" w:color="auto" w:fill="FFFFFF"/>
        </w:rPr>
        <w:t xml:space="preserve">Sutton, J. and </w:t>
      </w:r>
      <w:proofErr w:type="spellStart"/>
      <w:r w:rsidRPr="00EA0AFA">
        <w:rPr>
          <w:rFonts w:cs="Times New Roman"/>
          <w:color w:val="222222"/>
          <w:szCs w:val="24"/>
          <w:shd w:val="clear" w:color="auto" w:fill="FFFFFF"/>
        </w:rPr>
        <w:t>Arku</w:t>
      </w:r>
      <w:proofErr w:type="spellEnd"/>
      <w:r w:rsidRPr="00EA0AFA">
        <w:rPr>
          <w:rFonts w:cs="Times New Roman"/>
          <w:color w:val="222222"/>
          <w:szCs w:val="24"/>
          <w:shd w:val="clear" w:color="auto" w:fill="FFFFFF"/>
        </w:rPr>
        <w:t>, G., 2022. Regional economic resilience: towards a system approach. </w:t>
      </w:r>
      <w:r w:rsidRPr="00EA0AFA">
        <w:rPr>
          <w:rFonts w:cs="Times New Roman"/>
          <w:i/>
          <w:iCs/>
          <w:color w:val="222222"/>
          <w:szCs w:val="24"/>
          <w:shd w:val="clear" w:color="auto" w:fill="FFFFFF"/>
        </w:rPr>
        <w:t>Regional Studies, Regional Science</w:t>
      </w:r>
      <w:r w:rsidRPr="00EA0AFA">
        <w:rPr>
          <w:rFonts w:cs="Times New Roman"/>
          <w:color w:val="222222"/>
          <w:szCs w:val="24"/>
          <w:shd w:val="clear" w:color="auto" w:fill="FFFFFF"/>
        </w:rPr>
        <w:t>, </w:t>
      </w:r>
      <w:r w:rsidRPr="00EA0AFA">
        <w:rPr>
          <w:rFonts w:cs="Times New Roman"/>
          <w:i/>
          <w:iCs/>
          <w:color w:val="222222"/>
          <w:szCs w:val="24"/>
          <w:shd w:val="clear" w:color="auto" w:fill="FFFFFF"/>
        </w:rPr>
        <w:t>9</w:t>
      </w:r>
      <w:r w:rsidRPr="00EA0AFA">
        <w:rPr>
          <w:rFonts w:cs="Times New Roman"/>
          <w:color w:val="222222"/>
          <w:szCs w:val="24"/>
          <w:shd w:val="clear" w:color="auto" w:fill="FFFFFF"/>
        </w:rPr>
        <w:t>(1), pp.497-512.</w:t>
      </w:r>
    </w:p>
    <w:p w14:paraId="0148DC6D" w14:textId="77777777" w:rsidR="00E37567" w:rsidRPr="00EA0AFA"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Wang, Q. and Liu, L., 2022. Pandemic or panic? A firm-level study on the psychological and industrial impacts of COVID-19 on the Chinese stock market. </w:t>
      </w:r>
      <w:r w:rsidRPr="00EA0AFA">
        <w:rPr>
          <w:rFonts w:cs="Times New Roman"/>
          <w:i/>
          <w:iCs/>
          <w:color w:val="222222"/>
          <w:szCs w:val="24"/>
          <w:shd w:val="clear" w:color="auto" w:fill="FFFFFF"/>
        </w:rPr>
        <w:t>Financial Innovation</w:t>
      </w:r>
      <w:r w:rsidRPr="00EA0AFA">
        <w:rPr>
          <w:rFonts w:cs="Times New Roman"/>
          <w:color w:val="222222"/>
          <w:szCs w:val="24"/>
          <w:shd w:val="clear" w:color="auto" w:fill="FFFFFF"/>
        </w:rPr>
        <w:t>, </w:t>
      </w:r>
      <w:r w:rsidRPr="00EA0AFA">
        <w:rPr>
          <w:rFonts w:cs="Times New Roman"/>
          <w:i/>
          <w:iCs/>
          <w:color w:val="222222"/>
          <w:szCs w:val="24"/>
          <w:shd w:val="clear" w:color="auto" w:fill="FFFFFF"/>
        </w:rPr>
        <w:t>8</w:t>
      </w:r>
      <w:r w:rsidRPr="00EA0AFA">
        <w:rPr>
          <w:rFonts w:cs="Times New Roman"/>
          <w:color w:val="222222"/>
          <w:szCs w:val="24"/>
          <w:shd w:val="clear" w:color="auto" w:fill="FFFFFF"/>
        </w:rPr>
        <w:t>(1), p.36.</w:t>
      </w:r>
    </w:p>
    <w:p w14:paraId="633CF17A" w14:textId="77777777" w:rsidR="00E37567" w:rsidRPr="00EA0AFA" w:rsidRDefault="00E37567" w:rsidP="0076769B">
      <w:pPr>
        <w:ind w:left="720" w:hanging="720"/>
        <w:rPr>
          <w:rFonts w:cs="Times New Roman"/>
          <w:color w:val="222222"/>
          <w:szCs w:val="24"/>
          <w:shd w:val="clear" w:color="auto" w:fill="FFFFFF"/>
        </w:rPr>
      </w:pPr>
      <w:proofErr w:type="spellStart"/>
      <w:r w:rsidRPr="00EA0AFA">
        <w:rPr>
          <w:rFonts w:cs="Times New Roman"/>
          <w:color w:val="222222"/>
          <w:szCs w:val="24"/>
          <w:shd w:val="clear" w:color="auto" w:fill="FFFFFF"/>
        </w:rPr>
        <w:t>Xiuzhen</w:t>
      </w:r>
      <w:proofErr w:type="spellEnd"/>
      <w:r w:rsidRPr="00EA0AFA">
        <w:rPr>
          <w:rFonts w:cs="Times New Roman"/>
          <w:color w:val="222222"/>
          <w:szCs w:val="24"/>
          <w:shd w:val="clear" w:color="auto" w:fill="FFFFFF"/>
        </w:rPr>
        <w:t>, X., Zheng, W. and Umair, M., 2022. Testing the fluctuations of oil resource price volatility: a hurdle for economic recovery. </w:t>
      </w:r>
      <w:r w:rsidRPr="00EA0AFA">
        <w:rPr>
          <w:rFonts w:cs="Times New Roman"/>
          <w:i/>
          <w:iCs/>
          <w:color w:val="222222"/>
          <w:szCs w:val="24"/>
          <w:shd w:val="clear" w:color="auto" w:fill="FFFFFF"/>
        </w:rPr>
        <w:t>Resources Policy</w:t>
      </w:r>
      <w:r w:rsidRPr="00EA0AFA">
        <w:rPr>
          <w:rFonts w:cs="Times New Roman"/>
          <w:color w:val="222222"/>
          <w:szCs w:val="24"/>
          <w:shd w:val="clear" w:color="auto" w:fill="FFFFFF"/>
        </w:rPr>
        <w:t>, </w:t>
      </w:r>
      <w:r w:rsidRPr="00EA0AFA">
        <w:rPr>
          <w:rFonts w:cs="Times New Roman"/>
          <w:i/>
          <w:iCs/>
          <w:color w:val="222222"/>
          <w:szCs w:val="24"/>
          <w:shd w:val="clear" w:color="auto" w:fill="FFFFFF"/>
        </w:rPr>
        <w:t>79</w:t>
      </w:r>
      <w:r w:rsidRPr="00EA0AFA">
        <w:rPr>
          <w:rFonts w:cs="Times New Roman"/>
          <w:color w:val="222222"/>
          <w:szCs w:val="24"/>
          <w:shd w:val="clear" w:color="auto" w:fill="FFFFFF"/>
        </w:rPr>
        <w:t>, p.102982.</w:t>
      </w:r>
    </w:p>
    <w:bookmarkEnd w:id="11"/>
    <w:p w14:paraId="3408B1C9" w14:textId="77777777" w:rsidR="001E15D0" w:rsidRPr="007E143D" w:rsidRDefault="00E37567" w:rsidP="0076769B">
      <w:pPr>
        <w:ind w:left="720" w:hanging="720"/>
        <w:rPr>
          <w:rFonts w:cs="Times New Roman"/>
          <w:color w:val="222222"/>
          <w:szCs w:val="24"/>
          <w:shd w:val="clear" w:color="auto" w:fill="FFFFFF"/>
        </w:rPr>
      </w:pPr>
      <w:r w:rsidRPr="00EA0AFA">
        <w:rPr>
          <w:rFonts w:cs="Times New Roman"/>
          <w:color w:val="222222"/>
          <w:szCs w:val="24"/>
          <w:shd w:val="clear" w:color="auto" w:fill="FFFFFF"/>
        </w:rPr>
        <w:t>Xuan, X., Khan, K., Su, C.W. and Khurshid, A., 2021. Will COVID-19 threaten the survival of the airline industry? </w:t>
      </w:r>
      <w:r w:rsidRPr="00EA0AFA">
        <w:rPr>
          <w:rFonts w:cs="Times New Roman"/>
          <w:i/>
          <w:iCs/>
          <w:color w:val="222222"/>
          <w:szCs w:val="24"/>
          <w:shd w:val="clear" w:color="auto" w:fill="FFFFFF"/>
        </w:rPr>
        <w:t>Sustainability</w:t>
      </w:r>
      <w:r w:rsidRPr="00EA0AFA">
        <w:rPr>
          <w:rFonts w:cs="Times New Roman"/>
          <w:color w:val="222222"/>
          <w:szCs w:val="24"/>
          <w:shd w:val="clear" w:color="auto" w:fill="FFFFFF"/>
        </w:rPr>
        <w:t>, </w:t>
      </w:r>
      <w:r w:rsidRPr="00EA0AFA">
        <w:rPr>
          <w:rFonts w:cs="Times New Roman"/>
          <w:i/>
          <w:iCs/>
          <w:color w:val="222222"/>
          <w:szCs w:val="24"/>
          <w:shd w:val="clear" w:color="auto" w:fill="FFFFFF"/>
        </w:rPr>
        <w:t>13</w:t>
      </w:r>
      <w:r w:rsidRPr="00EA0AFA">
        <w:rPr>
          <w:rFonts w:cs="Times New Roman"/>
          <w:color w:val="222222"/>
          <w:szCs w:val="24"/>
          <w:shd w:val="clear" w:color="auto" w:fill="FFFFFF"/>
        </w:rPr>
        <w:t>(21), p.11666.</w:t>
      </w:r>
      <w:r w:rsidR="004132FE">
        <w:rPr>
          <w:rFonts w:cs="Times New Roman"/>
          <w:color w:val="222222"/>
          <w:szCs w:val="24"/>
          <w:shd w:val="clear" w:color="auto" w:fill="FFFFFF"/>
        </w:rPr>
        <w:t xml:space="preserve"> </w:t>
      </w:r>
    </w:p>
    <w:sectPr w:rsidR="001E15D0" w:rsidRPr="007E143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0D20B" w14:textId="77777777" w:rsidR="00461A61" w:rsidRDefault="00461A61" w:rsidP="005F7FC4">
      <w:pPr>
        <w:spacing w:after="0" w:line="240" w:lineRule="auto"/>
      </w:pPr>
      <w:r>
        <w:separator/>
      </w:r>
    </w:p>
  </w:endnote>
  <w:endnote w:type="continuationSeparator" w:id="0">
    <w:p w14:paraId="0DE05633" w14:textId="77777777" w:rsidR="00461A61" w:rsidRDefault="00461A61" w:rsidP="005F7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1342372"/>
      <w:docPartObj>
        <w:docPartGallery w:val="Page Numbers (Bottom of Page)"/>
        <w:docPartUnique/>
      </w:docPartObj>
    </w:sdtPr>
    <w:sdtEndPr>
      <w:rPr>
        <w:noProof/>
      </w:rPr>
    </w:sdtEndPr>
    <w:sdtContent>
      <w:p w14:paraId="0A51D877" w14:textId="77777777" w:rsidR="005F7FC4" w:rsidRDefault="005F7F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EA1252" w14:textId="77777777" w:rsidR="005F7FC4" w:rsidRDefault="005F7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A6638C" w14:textId="77777777" w:rsidR="00461A61" w:rsidRDefault="00461A61" w:rsidP="005F7FC4">
      <w:pPr>
        <w:spacing w:after="0" w:line="240" w:lineRule="auto"/>
      </w:pPr>
      <w:r>
        <w:separator/>
      </w:r>
    </w:p>
  </w:footnote>
  <w:footnote w:type="continuationSeparator" w:id="0">
    <w:p w14:paraId="288B5E6A" w14:textId="77777777" w:rsidR="00461A61" w:rsidRDefault="00461A61" w:rsidP="005F7F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14643"/>
    <w:multiLevelType w:val="multilevel"/>
    <w:tmpl w:val="50C03EF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35442C89"/>
    <w:multiLevelType w:val="hybridMultilevel"/>
    <w:tmpl w:val="8AB6E5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CB10E8"/>
    <w:multiLevelType w:val="hybridMultilevel"/>
    <w:tmpl w:val="41887890"/>
    <w:lvl w:ilvl="0" w:tplc="AB849854">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BC17D9"/>
    <w:multiLevelType w:val="multilevel"/>
    <w:tmpl w:val="BCEC5334"/>
    <w:lvl w:ilvl="0">
      <w:start w:val="1"/>
      <w:numFmt w:val="decimal"/>
      <w:lvlText w:val="%1"/>
      <w:lvlJc w:val="left"/>
      <w:pPr>
        <w:ind w:left="432" w:hanging="432"/>
      </w:pPr>
      <w:rPr>
        <w:rFonts w:hint="default"/>
      </w:r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537814639">
    <w:abstractNumId w:val="2"/>
  </w:num>
  <w:num w:numId="2" w16cid:durableId="1192263144">
    <w:abstractNumId w:val="3"/>
  </w:num>
  <w:num w:numId="3" w16cid:durableId="532496884">
    <w:abstractNumId w:val="3"/>
  </w:num>
  <w:num w:numId="4" w16cid:durableId="1530332210">
    <w:abstractNumId w:val="3"/>
  </w:num>
  <w:num w:numId="5" w16cid:durableId="623078009">
    <w:abstractNumId w:val="3"/>
  </w:num>
  <w:num w:numId="6" w16cid:durableId="906838208">
    <w:abstractNumId w:val="3"/>
  </w:num>
  <w:num w:numId="7" w16cid:durableId="1370255351">
    <w:abstractNumId w:val="0"/>
  </w:num>
  <w:num w:numId="8" w16cid:durableId="682316989">
    <w:abstractNumId w:val="0"/>
  </w:num>
  <w:num w:numId="9" w16cid:durableId="1573853468">
    <w:abstractNumId w:val="3"/>
  </w:num>
  <w:num w:numId="10" w16cid:durableId="1682127342">
    <w:abstractNumId w:val="3"/>
  </w:num>
  <w:num w:numId="11" w16cid:durableId="2137020315">
    <w:abstractNumId w:val="3"/>
  </w:num>
  <w:num w:numId="12" w16cid:durableId="790516693">
    <w:abstractNumId w:val="3"/>
  </w:num>
  <w:num w:numId="13" w16cid:durableId="685985707">
    <w:abstractNumId w:val="3"/>
  </w:num>
  <w:num w:numId="14" w16cid:durableId="1102649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F0C"/>
    <w:rsid w:val="00000404"/>
    <w:rsid w:val="00020CA9"/>
    <w:rsid w:val="00022148"/>
    <w:rsid w:val="00036AB2"/>
    <w:rsid w:val="000672A7"/>
    <w:rsid w:val="00096DDA"/>
    <w:rsid w:val="00132647"/>
    <w:rsid w:val="0013300F"/>
    <w:rsid w:val="00134AA7"/>
    <w:rsid w:val="001E15D0"/>
    <w:rsid w:val="00244F7D"/>
    <w:rsid w:val="00247F9C"/>
    <w:rsid w:val="0028265C"/>
    <w:rsid w:val="002B5DB6"/>
    <w:rsid w:val="002B6864"/>
    <w:rsid w:val="002F06F7"/>
    <w:rsid w:val="00327603"/>
    <w:rsid w:val="00331403"/>
    <w:rsid w:val="003939CB"/>
    <w:rsid w:val="003E179C"/>
    <w:rsid w:val="004028C5"/>
    <w:rsid w:val="004132FE"/>
    <w:rsid w:val="00415AEE"/>
    <w:rsid w:val="00424DF5"/>
    <w:rsid w:val="00426BE7"/>
    <w:rsid w:val="00461A61"/>
    <w:rsid w:val="00463AE5"/>
    <w:rsid w:val="004A0A8F"/>
    <w:rsid w:val="004B5136"/>
    <w:rsid w:val="004E0DA3"/>
    <w:rsid w:val="00513528"/>
    <w:rsid w:val="00544C0C"/>
    <w:rsid w:val="00572DB0"/>
    <w:rsid w:val="00583234"/>
    <w:rsid w:val="00584F4E"/>
    <w:rsid w:val="005F7FC4"/>
    <w:rsid w:val="00616B3C"/>
    <w:rsid w:val="007507C4"/>
    <w:rsid w:val="0076769B"/>
    <w:rsid w:val="00785E71"/>
    <w:rsid w:val="0079313B"/>
    <w:rsid w:val="007E0F5D"/>
    <w:rsid w:val="007E143D"/>
    <w:rsid w:val="007F2A6F"/>
    <w:rsid w:val="00812D1B"/>
    <w:rsid w:val="00856144"/>
    <w:rsid w:val="008B4EB7"/>
    <w:rsid w:val="008E3D62"/>
    <w:rsid w:val="008E4404"/>
    <w:rsid w:val="00934C50"/>
    <w:rsid w:val="00940E41"/>
    <w:rsid w:val="00966635"/>
    <w:rsid w:val="009A156F"/>
    <w:rsid w:val="009A56BB"/>
    <w:rsid w:val="009E2E32"/>
    <w:rsid w:val="009E4F6C"/>
    <w:rsid w:val="00A031EB"/>
    <w:rsid w:val="00A13395"/>
    <w:rsid w:val="00A40575"/>
    <w:rsid w:val="00A55C17"/>
    <w:rsid w:val="00A75F0C"/>
    <w:rsid w:val="00AA191A"/>
    <w:rsid w:val="00AC6853"/>
    <w:rsid w:val="00AD10FD"/>
    <w:rsid w:val="00AE7385"/>
    <w:rsid w:val="00B5436F"/>
    <w:rsid w:val="00BB372E"/>
    <w:rsid w:val="00BC4275"/>
    <w:rsid w:val="00C2256B"/>
    <w:rsid w:val="00C8628D"/>
    <w:rsid w:val="00CB7D3E"/>
    <w:rsid w:val="00CC06D5"/>
    <w:rsid w:val="00D20D82"/>
    <w:rsid w:val="00D278CE"/>
    <w:rsid w:val="00D53F4F"/>
    <w:rsid w:val="00D76C4D"/>
    <w:rsid w:val="00DB0FEB"/>
    <w:rsid w:val="00DE5BDA"/>
    <w:rsid w:val="00E23753"/>
    <w:rsid w:val="00E37567"/>
    <w:rsid w:val="00E46A5E"/>
    <w:rsid w:val="00E53A6A"/>
    <w:rsid w:val="00E56D59"/>
    <w:rsid w:val="00E628EC"/>
    <w:rsid w:val="00E74B2A"/>
    <w:rsid w:val="00E74D8F"/>
    <w:rsid w:val="00EA0AFA"/>
    <w:rsid w:val="00F23B91"/>
    <w:rsid w:val="00F61EC0"/>
    <w:rsid w:val="00F70A47"/>
    <w:rsid w:val="00F70B0A"/>
    <w:rsid w:val="00FB1185"/>
    <w:rsid w:val="00FE1C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CDFA88"/>
  <w15:chartTrackingRefBased/>
  <w15:docId w15:val="{BB08DE1B-66B9-467A-BB96-EC3477A14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F4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53F4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53F4F"/>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F23B91"/>
    <w:pPr>
      <w:keepNext/>
      <w:keepLines/>
      <w:numPr>
        <w:ilvl w:val="2"/>
        <w:numId w:val="6"/>
      </w:numPr>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3F4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53F4F"/>
    <w:rPr>
      <w:rFonts w:ascii="Times New Roman" w:eastAsiaTheme="majorEastAsia" w:hAnsi="Times New Roman" w:cstheme="majorBidi"/>
      <w:b/>
      <w:i/>
      <w:sz w:val="24"/>
      <w:szCs w:val="26"/>
    </w:rPr>
  </w:style>
  <w:style w:type="paragraph" w:styleId="Title">
    <w:name w:val="Title"/>
    <w:basedOn w:val="Normal"/>
    <w:next w:val="Normal"/>
    <w:link w:val="TitleChar"/>
    <w:uiPriority w:val="10"/>
    <w:qFormat/>
    <w:rsid w:val="007507C4"/>
    <w:pPr>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7507C4"/>
    <w:rPr>
      <w:rFonts w:ascii="Times New Roman" w:eastAsiaTheme="majorEastAsia" w:hAnsi="Times New Roman" w:cstheme="majorBidi"/>
      <w:spacing w:val="-10"/>
      <w:kern w:val="28"/>
      <w:sz w:val="32"/>
      <w:szCs w:val="56"/>
    </w:rPr>
  </w:style>
  <w:style w:type="character" w:customStyle="1" w:styleId="Heading3Char">
    <w:name w:val="Heading 3 Char"/>
    <w:basedOn w:val="DefaultParagraphFont"/>
    <w:link w:val="Heading3"/>
    <w:uiPriority w:val="9"/>
    <w:rsid w:val="00F23B91"/>
    <w:rPr>
      <w:rFonts w:ascii="Times New Roman" w:eastAsiaTheme="majorEastAsia" w:hAnsi="Times New Roman" w:cstheme="majorBidi"/>
      <w:i/>
      <w:sz w:val="24"/>
      <w:szCs w:val="24"/>
    </w:rPr>
  </w:style>
  <w:style w:type="paragraph" w:customStyle="1" w:styleId="Heading11">
    <w:name w:val="Heading 11"/>
    <w:basedOn w:val="Normal"/>
    <w:link w:val="heading1Char0"/>
    <w:qFormat/>
    <w:rsid w:val="00E628EC"/>
    <w:rPr>
      <w:rFonts w:cs="Arial"/>
      <w:b/>
    </w:rPr>
  </w:style>
  <w:style w:type="character" w:customStyle="1" w:styleId="heading1Char0">
    <w:name w:val="heading 1 Char"/>
    <w:basedOn w:val="DefaultParagraphFont"/>
    <w:link w:val="Heading11"/>
    <w:rsid w:val="00E628EC"/>
    <w:rPr>
      <w:rFonts w:ascii="Arial" w:hAnsi="Arial" w:cs="Arial"/>
      <w:b/>
      <w:sz w:val="24"/>
    </w:rPr>
  </w:style>
  <w:style w:type="paragraph" w:styleId="NoSpacing">
    <w:name w:val="No Spacing"/>
    <w:uiPriority w:val="1"/>
    <w:qFormat/>
    <w:rsid w:val="00934C50"/>
    <w:pPr>
      <w:spacing w:after="0" w:line="360" w:lineRule="auto"/>
    </w:pPr>
    <w:rPr>
      <w:rFonts w:ascii="Times New Roman" w:hAnsi="Times New Roman"/>
      <w:sz w:val="24"/>
    </w:rPr>
  </w:style>
  <w:style w:type="paragraph" w:styleId="Header">
    <w:name w:val="header"/>
    <w:basedOn w:val="Normal"/>
    <w:link w:val="HeaderChar"/>
    <w:uiPriority w:val="99"/>
    <w:unhideWhenUsed/>
    <w:rsid w:val="005F7F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7FC4"/>
    <w:rPr>
      <w:rFonts w:ascii="Times New Roman" w:hAnsi="Times New Roman"/>
      <w:sz w:val="24"/>
    </w:rPr>
  </w:style>
  <w:style w:type="paragraph" w:styleId="Footer">
    <w:name w:val="footer"/>
    <w:basedOn w:val="Normal"/>
    <w:link w:val="FooterChar"/>
    <w:uiPriority w:val="99"/>
    <w:unhideWhenUsed/>
    <w:rsid w:val="005F7F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7FC4"/>
    <w:rPr>
      <w:rFonts w:ascii="Times New Roman" w:hAnsi="Times New Roman"/>
      <w:sz w:val="24"/>
    </w:rPr>
  </w:style>
  <w:style w:type="paragraph" w:styleId="ListParagraph">
    <w:name w:val="List Paragraph"/>
    <w:basedOn w:val="Normal"/>
    <w:uiPriority w:val="34"/>
    <w:qFormat/>
    <w:rsid w:val="007E143D"/>
    <w:pPr>
      <w:ind w:left="720"/>
      <w:contextualSpacing/>
    </w:pPr>
  </w:style>
  <w:style w:type="paragraph" w:styleId="TOCHeading">
    <w:name w:val="TOC Heading"/>
    <w:basedOn w:val="Heading1"/>
    <w:next w:val="Normal"/>
    <w:uiPriority w:val="39"/>
    <w:unhideWhenUsed/>
    <w:qFormat/>
    <w:rsid w:val="00247F9C"/>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47F9C"/>
    <w:pPr>
      <w:spacing w:after="100"/>
    </w:pPr>
  </w:style>
  <w:style w:type="paragraph" w:styleId="TOC2">
    <w:name w:val="toc 2"/>
    <w:basedOn w:val="Normal"/>
    <w:next w:val="Normal"/>
    <w:autoRedefine/>
    <w:uiPriority w:val="39"/>
    <w:unhideWhenUsed/>
    <w:rsid w:val="00247F9C"/>
    <w:pPr>
      <w:spacing w:after="100"/>
      <w:ind w:left="240"/>
    </w:pPr>
  </w:style>
  <w:style w:type="character" w:styleId="Hyperlink">
    <w:name w:val="Hyperlink"/>
    <w:basedOn w:val="DefaultParagraphFont"/>
    <w:uiPriority w:val="99"/>
    <w:unhideWhenUsed/>
    <w:rsid w:val="00247F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060493">
      <w:bodyDiv w:val="1"/>
      <w:marLeft w:val="0"/>
      <w:marRight w:val="0"/>
      <w:marTop w:val="0"/>
      <w:marBottom w:val="0"/>
      <w:divBdr>
        <w:top w:val="none" w:sz="0" w:space="0" w:color="auto"/>
        <w:left w:val="none" w:sz="0" w:space="0" w:color="auto"/>
        <w:bottom w:val="none" w:sz="0" w:space="0" w:color="auto"/>
        <w:right w:val="none" w:sz="0" w:space="0" w:color="auto"/>
      </w:divBdr>
    </w:div>
    <w:div w:id="968583399">
      <w:bodyDiv w:val="1"/>
      <w:marLeft w:val="0"/>
      <w:marRight w:val="0"/>
      <w:marTop w:val="0"/>
      <w:marBottom w:val="0"/>
      <w:divBdr>
        <w:top w:val="none" w:sz="0" w:space="0" w:color="auto"/>
        <w:left w:val="none" w:sz="0" w:space="0" w:color="auto"/>
        <w:bottom w:val="none" w:sz="0" w:space="0" w:color="auto"/>
        <w:right w:val="none" w:sz="0" w:space="0" w:color="auto"/>
      </w:divBdr>
    </w:div>
    <w:div w:id="1050957932">
      <w:bodyDiv w:val="1"/>
      <w:marLeft w:val="0"/>
      <w:marRight w:val="0"/>
      <w:marTop w:val="0"/>
      <w:marBottom w:val="0"/>
      <w:divBdr>
        <w:top w:val="none" w:sz="0" w:space="0" w:color="auto"/>
        <w:left w:val="none" w:sz="0" w:space="0" w:color="auto"/>
        <w:bottom w:val="none" w:sz="0" w:space="0" w:color="auto"/>
        <w:right w:val="none" w:sz="0" w:space="0" w:color="auto"/>
      </w:divBdr>
    </w:div>
    <w:div w:id="1205026141">
      <w:bodyDiv w:val="1"/>
      <w:marLeft w:val="0"/>
      <w:marRight w:val="0"/>
      <w:marTop w:val="0"/>
      <w:marBottom w:val="0"/>
      <w:divBdr>
        <w:top w:val="none" w:sz="0" w:space="0" w:color="auto"/>
        <w:left w:val="none" w:sz="0" w:space="0" w:color="auto"/>
        <w:bottom w:val="none" w:sz="0" w:space="0" w:color="auto"/>
        <w:right w:val="none" w:sz="0" w:space="0" w:color="auto"/>
      </w:divBdr>
    </w:div>
    <w:div w:id="1246650824">
      <w:bodyDiv w:val="1"/>
      <w:marLeft w:val="0"/>
      <w:marRight w:val="0"/>
      <w:marTop w:val="0"/>
      <w:marBottom w:val="0"/>
      <w:divBdr>
        <w:top w:val="none" w:sz="0" w:space="0" w:color="auto"/>
        <w:left w:val="none" w:sz="0" w:space="0" w:color="auto"/>
        <w:bottom w:val="none" w:sz="0" w:space="0" w:color="auto"/>
        <w:right w:val="none" w:sz="0" w:space="0" w:color="auto"/>
      </w:divBdr>
    </w:div>
    <w:div w:id="1260720599">
      <w:bodyDiv w:val="1"/>
      <w:marLeft w:val="0"/>
      <w:marRight w:val="0"/>
      <w:marTop w:val="0"/>
      <w:marBottom w:val="0"/>
      <w:divBdr>
        <w:top w:val="none" w:sz="0" w:space="0" w:color="auto"/>
        <w:left w:val="none" w:sz="0" w:space="0" w:color="auto"/>
        <w:bottom w:val="none" w:sz="0" w:space="0" w:color="auto"/>
        <w:right w:val="none" w:sz="0" w:space="0" w:color="auto"/>
      </w:divBdr>
    </w:div>
    <w:div w:id="1333098087">
      <w:bodyDiv w:val="1"/>
      <w:marLeft w:val="0"/>
      <w:marRight w:val="0"/>
      <w:marTop w:val="0"/>
      <w:marBottom w:val="0"/>
      <w:divBdr>
        <w:top w:val="none" w:sz="0" w:space="0" w:color="auto"/>
        <w:left w:val="none" w:sz="0" w:space="0" w:color="auto"/>
        <w:bottom w:val="none" w:sz="0" w:space="0" w:color="auto"/>
        <w:right w:val="none" w:sz="0" w:space="0" w:color="auto"/>
      </w:divBdr>
    </w:div>
    <w:div w:id="1528446301">
      <w:bodyDiv w:val="1"/>
      <w:marLeft w:val="0"/>
      <w:marRight w:val="0"/>
      <w:marTop w:val="0"/>
      <w:marBottom w:val="0"/>
      <w:divBdr>
        <w:top w:val="none" w:sz="0" w:space="0" w:color="auto"/>
        <w:left w:val="none" w:sz="0" w:space="0" w:color="auto"/>
        <w:bottom w:val="none" w:sz="0" w:space="0" w:color="auto"/>
        <w:right w:val="none" w:sz="0" w:space="0" w:color="auto"/>
      </w:divBdr>
    </w:div>
    <w:div w:id="1726100807">
      <w:bodyDiv w:val="1"/>
      <w:marLeft w:val="0"/>
      <w:marRight w:val="0"/>
      <w:marTop w:val="0"/>
      <w:marBottom w:val="0"/>
      <w:divBdr>
        <w:top w:val="none" w:sz="0" w:space="0" w:color="auto"/>
        <w:left w:val="none" w:sz="0" w:space="0" w:color="auto"/>
        <w:bottom w:val="none" w:sz="0" w:space="0" w:color="auto"/>
        <w:right w:val="none" w:sz="0" w:space="0" w:color="auto"/>
      </w:divBdr>
    </w:div>
    <w:div w:id="1732651605">
      <w:bodyDiv w:val="1"/>
      <w:marLeft w:val="0"/>
      <w:marRight w:val="0"/>
      <w:marTop w:val="0"/>
      <w:marBottom w:val="0"/>
      <w:divBdr>
        <w:top w:val="none" w:sz="0" w:space="0" w:color="auto"/>
        <w:left w:val="none" w:sz="0" w:space="0" w:color="auto"/>
        <w:bottom w:val="none" w:sz="0" w:space="0" w:color="auto"/>
        <w:right w:val="none" w:sz="0" w:space="0" w:color="auto"/>
      </w:divBdr>
    </w:div>
    <w:div w:id="1898277898">
      <w:bodyDiv w:val="1"/>
      <w:marLeft w:val="0"/>
      <w:marRight w:val="0"/>
      <w:marTop w:val="0"/>
      <w:marBottom w:val="0"/>
      <w:divBdr>
        <w:top w:val="none" w:sz="0" w:space="0" w:color="auto"/>
        <w:left w:val="none" w:sz="0" w:space="0" w:color="auto"/>
        <w:bottom w:val="none" w:sz="0" w:space="0" w:color="auto"/>
        <w:right w:val="none" w:sz="0" w:space="0" w:color="auto"/>
      </w:divBdr>
    </w:div>
    <w:div w:id="1936547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0F4EF0-7F29-48F0-91D1-3F1747A02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13</Pages>
  <Words>3720</Words>
  <Characters>21208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Radoi</cp:lastModifiedBy>
  <cp:revision>87</cp:revision>
  <dcterms:created xsi:type="dcterms:W3CDTF">2025-01-21T11:22:00Z</dcterms:created>
  <dcterms:modified xsi:type="dcterms:W3CDTF">2025-02-07T16:38:00Z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8922ca60-218d-47fb-9e36-a86f9be6fded</vt:lpwstr>
  </property>
</Properties>
</file>