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1DD466" w14:textId="77777777" w:rsidR="00656274" w:rsidRDefault="00656274" w:rsidP="009A0028">
      <w:pPr>
        <w:spacing w:line="360" w:lineRule="auto"/>
        <w:jc w:val="both"/>
        <w:rPr>
          <w:rFonts w:ascii="Arial" w:hAnsi="Arial"/>
          <w:b/>
          <w:bCs/>
          <w:sz w:val="28"/>
          <w:szCs w:val="28"/>
        </w:rPr>
      </w:pPr>
    </w:p>
    <w:p w14:paraId="5A3E63FF" w14:textId="10410307" w:rsidR="009A0028" w:rsidRDefault="009A0028" w:rsidP="009A0028">
      <w:pPr>
        <w:spacing w:line="360" w:lineRule="auto"/>
        <w:jc w:val="both"/>
        <w:rPr>
          <w:rFonts w:ascii="Arial" w:hAnsi="Arial"/>
          <w:b/>
          <w:bCs/>
          <w:sz w:val="28"/>
          <w:szCs w:val="28"/>
        </w:rPr>
      </w:pPr>
      <w:r>
        <w:rPr>
          <w:rFonts w:ascii="Arial" w:hAnsi="Arial"/>
          <w:b/>
          <w:bCs/>
          <w:sz w:val="28"/>
          <w:szCs w:val="28"/>
        </w:rPr>
        <w:t>Organisational Analysis of Hilton Hotel Group</w:t>
      </w:r>
    </w:p>
    <w:p w14:paraId="268F1869" w14:textId="77777777" w:rsidR="009A0028" w:rsidRDefault="009A0028" w:rsidP="009A0028">
      <w:pPr>
        <w:spacing w:line="360" w:lineRule="auto"/>
        <w:jc w:val="both"/>
        <w:rPr>
          <w:rFonts w:ascii="Arial" w:hAnsi="Arial"/>
          <w:b/>
          <w:bCs/>
          <w:sz w:val="28"/>
          <w:szCs w:val="28"/>
        </w:rPr>
      </w:pPr>
    </w:p>
    <w:p w14:paraId="5AA847C3" w14:textId="77777777" w:rsidR="009A0028" w:rsidRDefault="009A0028" w:rsidP="009A0028">
      <w:pPr>
        <w:spacing w:line="360" w:lineRule="auto"/>
        <w:jc w:val="both"/>
        <w:rPr>
          <w:rFonts w:ascii="Arial" w:hAnsi="Arial"/>
          <w:b/>
          <w:bCs/>
          <w:sz w:val="28"/>
          <w:szCs w:val="28"/>
        </w:rPr>
      </w:pPr>
    </w:p>
    <w:p w14:paraId="04D5F8F5" w14:textId="77777777" w:rsidR="009A0028" w:rsidRDefault="009A0028" w:rsidP="009A0028">
      <w:pPr>
        <w:spacing w:line="360" w:lineRule="auto"/>
        <w:jc w:val="both"/>
        <w:rPr>
          <w:rFonts w:ascii="Arial" w:hAnsi="Arial"/>
          <w:b/>
          <w:bCs/>
          <w:sz w:val="28"/>
          <w:szCs w:val="28"/>
        </w:rPr>
      </w:pPr>
    </w:p>
    <w:p w14:paraId="1FBC7ECF" w14:textId="77777777" w:rsidR="009A0028" w:rsidRDefault="009A0028" w:rsidP="009A0028">
      <w:pPr>
        <w:spacing w:line="360" w:lineRule="auto"/>
        <w:jc w:val="both"/>
        <w:rPr>
          <w:rFonts w:ascii="Arial" w:hAnsi="Arial"/>
          <w:b/>
          <w:bCs/>
          <w:sz w:val="28"/>
          <w:szCs w:val="28"/>
        </w:rPr>
      </w:pPr>
      <w:r>
        <w:rPr>
          <w:rFonts w:ascii="Arial" w:hAnsi="Arial"/>
          <w:b/>
          <w:bCs/>
          <w:sz w:val="28"/>
          <w:szCs w:val="28"/>
        </w:rPr>
        <w:t>Management &amp;Organisational Behaviour BMIH5005</w:t>
      </w:r>
    </w:p>
    <w:p w14:paraId="1D59A0B2" w14:textId="77777777" w:rsidR="009A0028" w:rsidRDefault="009A0028" w:rsidP="009A0028">
      <w:pPr>
        <w:spacing w:line="360" w:lineRule="auto"/>
        <w:jc w:val="both"/>
        <w:rPr>
          <w:rFonts w:ascii="Arial" w:hAnsi="Arial"/>
          <w:b/>
          <w:bCs/>
          <w:sz w:val="28"/>
          <w:szCs w:val="28"/>
        </w:rPr>
      </w:pPr>
    </w:p>
    <w:p w14:paraId="127689CF" w14:textId="77777777" w:rsidR="009A0028" w:rsidRDefault="009A0028" w:rsidP="009A0028">
      <w:pPr>
        <w:spacing w:line="360" w:lineRule="auto"/>
        <w:jc w:val="both"/>
        <w:rPr>
          <w:rFonts w:ascii="Arial" w:hAnsi="Arial"/>
          <w:b/>
          <w:bCs/>
          <w:sz w:val="28"/>
          <w:szCs w:val="28"/>
        </w:rPr>
      </w:pPr>
    </w:p>
    <w:p w14:paraId="68918611" w14:textId="77777777" w:rsidR="009A0028" w:rsidRDefault="009A0028" w:rsidP="009A0028">
      <w:pPr>
        <w:spacing w:line="360" w:lineRule="auto"/>
        <w:jc w:val="both"/>
        <w:rPr>
          <w:rFonts w:ascii="Arial" w:hAnsi="Arial"/>
          <w:b/>
          <w:bCs/>
          <w:sz w:val="28"/>
          <w:szCs w:val="28"/>
        </w:rPr>
      </w:pPr>
    </w:p>
    <w:p w14:paraId="31D11909" w14:textId="77777777" w:rsidR="009A0028" w:rsidRDefault="009A0028" w:rsidP="009A0028">
      <w:pPr>
        <w:spacing w:line="360" w:lineRule="auto"/>
        <w:jc w:val="both"/>
        <w:rPr>
          <w:rFonts w:ascii="Arial" w:hAnsi="Arial"/>
          <w:b/>
          <w:bCs/>
          <w:sz w:val="28"/>
          <w:szCs w:val="28"/>
        </w:rPr>
      </w:pPr>
      <w:r>
        <w:rPr>
          <w:rFonts w:ascii="Arial" w:hAnsi="Arial"/>
          <w:b/>
          <w:bCs/>
          <w:sz w:val="28"/>
          <w:szCs w:val="28"/>
        </w:rPr>
        <w:t>Student: Gina Stefanuta 2120011</w:t>
      </w:r>
    </w:p>
    <w:p w14:paraId="3DBA4676" w14:textId="77777777" w:rsidR="009A0028" w:rsidRDefault="009A0028" w:rsidP="009A0028">
      <w:pPr>
        <w:spacing w:line="360" w:lineRule="auto"/>
        <w:jc w:val="both"/>
        <w:rPr>
          <w:rFonts w:ascii="Arial" w:hAnsi="Arial"/>
          <w:b/>
          <w:bCs/>
          <w:sz w:val="28"/>
          <w:szCs w:val="28"/>
        </w:rPr>
      </w:pPr>
      <w:r>
        <w:rPr>
          <w:rFonts w:ascii="Arial" w:hAnsi="Arial"/>
          <w:b/>
          <w:bCs/>
          <w:sz w:val="28"/>
          <w:szCs w:val="28"/>
        </w:rPr>
        <w:t>Module Lead: Lola Villard-Coles</w:t>
      </w:r>
    </w:p>
    <w:p w14:paraId="2E2DEEB1" w14:textId="77777777" w:rsidR="009A0028" w:rsidRDefault="009A0028" w:rsidP="009A0028">
      <w:pPr>
        <w:spacing w:line="360" w:lineRule="auto"/>
        <w:jc w:val="both"/>
        <w:rPr>
          <w:rFonts w:ascii="Arial" w:hAnsi="Arial"/>
          <w:b/>
          <w:bCs/>
          <w:sz w:val="28"/>
          <w:szCs w:val="28"/>
        </w:rPr>
      </w:pPr>
      <w:r>
        <w:rPr>
          <w:rFonts w:ascii="Arial" w:hAnsi="Arial"/>
          <w:b/>
          <w:bCs/>
          <w:sz w:val="28"/>
          <w:szCs w:val="28"/>
        </w:rPr>
        <w:t xml:space="preserve">Word count 2205 </w:t>
      </w:r>
    </w:p>
    <w:p w14:paraId="332ABD44" w14:textId="77777777" w:rsidR="009A0028" w:rsidRDefault="009A0028" w:rsidP="009A0028">
      <w:pPr>
        <w:spacing w:line="360" w:lineRule="auto"/>
        <w:jc w:val="both"/>
        <w:rPr>
          <w:rFonts w:ascii="Arial" w:hAnsi="Arial"/>
          <w:b/>
          <w:bCs/>
          <w:sz w:val="28"/>
          <w:szCs w:val="28"/>
        </w:rPr>
      </w:pPr>
      <w:r>
        <w:rPr>
          <w:rFonts w:ascii="Arial" w:hAnsi="Arial"/>
          <w:b/>
          <w:bCs/>
          <w:sz w:val="28"/>
          <w:szCs w:val="28"/>
        </w:rPr>
        <w:t>Submission date: 31</w:t>
      </w:r>
      <w:r>
        <w:rPr>
          <w:rFonts w:ascii="Arial" w:hAnsi="Arial"/>
          <w:b/>
          <w:bCs/>
          <w:sz w:val="28"/>
          <w:szCs w:val="28"/>
          <w:vertAlign w:val="superscript"/>
        </w:rPr>
        <w:t>st</w:t>
      </w:r>
      <w:r>
        <w:rPr>
          <w:rFonts w:ascii="Arial" w:hAnsi="Arial"/>
          <w:b/>
          <w:bCs/>
          <w:sz w:val="28"/>
          <w:szCs w:val="28"/>
        </w:rPr>
        <w:t xml:space="preserve"> May</w:t>
      </w:r>
    </w:p>
    <w:p w14:paraId="09AB9FB1" w14:textId="77777777" w:rsidR="009A0028" w:rsidRDefault="009A0028" w:rsidP="009A0028">
      <w:pPr>
        <w:spacing w:line="360" w:lineRule="auto"/>
        <w:jc w:val="both"/>
        <w:rPr>
          <w:rFonts w:ascii="Arial" w:hAnsi="Arial"/>
          <w:sz w:val="24"/>
          <w:szCs w:val="24"/>
        </w:rPr>
      </w:pPr>
    </w:p>
    <w:p w14:paraId="1819EF71" w14:textId="77777777" w:rsidR="009A0028" w:rsidRDefault="009A0028" w:rsidP="009A0028">
      <w:pPr>
        <w:spacing w:line="360" w:lineRule="auto"/>
        <w:jc w:val="both"/>
        <w:rPr>
          <w:rFonts w:ascii="Arial" w:hAnsi="Arial"/>
          <w:sz w:val="24"/>
          <w:szCs w:val="24"/>
        </w:rPr>
      </w:pPr>
    </w:p>
    <w:p w14:paraId="360386FC" w14:textId="77777777" w:rsidR="009A0028" w:rsidRDefault="009A0028" w:rsidP="009A0028">
      <w:pPr>
        <w:spacing w:line="360" w:lineRule="auto"/>
        <w:jc w:val="both"/>
        <w:rPr>
          <w:rFonts w:ascii="Arial" w:hAnsi="Arial"/>
          <w:sz w:val="24"/>
          <w:szCs w:val="24"/>
        </w:rPr>
      </w:pPr>
    </w:p>
    <w:p w14:paraId="405E4F95" w14:textId="77777777" w:rsidR="009A0028" w:rsidRDefault="009A0028" w:rsidP="009A0028">
      <w:pPr>
        <w:spacing w:line="360" w:lineRule="auto"/>
        <w:jc w:val="both"/>
        <w:rPr>
          <w:rFonts w:ascii="Arial" w:hAnsi="Arial"/>
          <w:sz w:val="24"/>
          <w:szCs w:val="24"/>
        </w:rPr>
      </w:pPr>
    </w:p>
    <w:p w14:paraId="7D1FDF64" w14:textId="77777777" w:rsidR="009A0028" w:rsidRDefault="009A0028" w:rsidP="009A0028">
      <w:pPr>
        <w:spacing w:line="360" w:lineRule="auto"/>
        <w:jc w:val="both"/>
        <w:rPr>
          <w:rFonts w:ascii="Arial" w:hAnsi="Arial"/>
          <w:sz w:val="24"/>
          <w:szCs w:val="24"/>
        </w:rPr>
      </w:pPr>
    </w:p>
    <w:p w14:paraId="4AC9FE7B" w14:textId="77777777" w:rsidR="009A0028" w:rsidRDefault="009A0028" w:rsidP="009A0028">
      <w:pPr>
        <w:spacing w:line="360" w:lineRule="auto"/>
        <w:jc w:val="both"/>
        <w:rPr>
          <w:rFonts w:ascii="Arial" w:hAnsi="Arial"/>
          <w:sz w:val="24"/>
          <w:szCs w:val="24"/>
        </w:rPr>
      </w:pPr>
    </w:p>
    <w:p w14:paraId="423497F7" w14:textId="77777777" w:rsidR="009A0028" w:rsidRDefault="009A0028" w:rsidP="009A0028">
      <w:pPr>
        <w:spacing w:line="360" w:lineRule="auto"/>
        <w:jc w:val="both"/>
        <w:rPr>
          <w:rFonts w:ascii="Arial" w:hAnsi="Arial"/>
          <w:sz w:val="24"/>
          <w:szCs w:val="24"/>
        </w:rPr>
      </w:pPr>
    </w:p>
    <w:p w14:paraId="76B6AC0E" w14:textId="77777777" w:rsidR="009A0028" w:rsidRDefault="009A0028" w:rsidP="009A0028">
      <w:pPr>
        <w:spacing w:line="360" w:lineRule="auto"/>
        <w:jc w:val="both"/>
        <w:rPr>
          <w:rFonts w:ascii="Arial" w:hAnsi="Arial"/>
          <w:sz w:val="24"/>
          <w:szCs w:val="24"/>
        </w:rPr>
      </w:pPr>
    </w:p>
    <w:p w14:paraId="58F3804F" w14:textId="77777777" w:rsidR="009A0028" w:rsidRDefault="009A0028" w:rsidP="009A0028">
      <w:pPr>
        <w:spacing w:line="360" w:lineRule="auto"/>
        <w:jc w:val="both"/>
        <w:rPr>
          <w:rFonts w:ascii="Arial" w:hAnsi="Arial"/>
          <w:sz w:val="24"/>
          <w:szCs w:val="24"/>
        </w:rPr>
      </w:pPr>
    </w:p>
    <w:p w14:paraId="5ECD6776" w14:textId="77777777" w:rsidR="009A0028" w:rsidRDefault="009A0028" w:rsidP="009A0028">
      <w:pPr>
        <w:spacing w:line="360" w:lineRule="auto"/>
        <w:jc w:val="both"/>
        <w:rPr>
          <w:rFonts w:ascii="Arial" w:hAnsi="Arial"/>
          <w:b/>
          <w:bCs/>
          <w:sz w:val="24"/>
          <w:szCs w:val="24"/>
        </w:rPr>
      </w:pPr>
    </w:p>
    <w:p w14:paraId="4C2E2CB7" w14:textId="77777777" w:rsidR="009A0028" w:rsidRDefault="009A0028" w:rsidP="009A0028">
      <w:pPr>
        <w:spacing w:line="360" w:lineRule="auto"/>
        <w:jc w:val="both"/>
        <w:rPr>
          <w:rFonts w:ascii="Arial" w:hAnsi="Arial"/>
          <w:b/>
          <w:bCs/>
          <w:sz w:val="24"/>
          <w:szCs w:val="24"/>
        </w:rPr>
      </w:pPr>
    </w:p>
    <w:p w14:paraId="108E2DD8" w14:textId="5AB4264D" w:rsidR="009A0028" w:rsidRDefault="009A0028" w:rsidP="009A0028">
      <w:pPr>
        <w:spacing w:line="360" w:lineRule="auto"/>
        <w:jc w:val="both"/>
        <w:rPr>
          <w:rFonts w:ascii="Arial" w:hAnsi="Arial"/>
          <w:sz w:val="24"/>
          <w:szCs w:val="24"/>
        </w:rPr>
      </w:pPr>
      <w:r>
        <w:rPr>
          <w:rFonts w:ascii="Arial" w:hAnsi="Arial"/>
          <w:b/>
          <w:bCs/>
          <w:sz w:val="24"/>
          <w:szCs w:val="24"/>
        </w:rPr>
        <w:t>Executive Summary</w:t>
      </w:r>
      <w:r>
        <w:rPr>
          <w:rFonts w:ascii="Arial" w:hAnsi="Arial"/>
          <w:sz w:val="24"/>
          <w:szCs w:val="24"/>
        </w:rPr>
        <w:t xml:space="preserve"> </w:t>
      </w:r>
    </w:p>
    <w:p w14:paraId="39817476" w14:textId="77777777" w:rsidR="009A0028" w:rsidRDefault="009A0028" w:rsidP="009A0028">
      <w:pPr>
        <w:spacing w:line="360" w:lineRule="auto"/>
        <w:jc w:val="both"/>
        <w:rPr>
          <w:rFonts w:ascii="Arial" w:hAnsi="Arial"/>
          <w:sz w:val="24"/>
          <w:szCs w:val="24"/>
        </w:rPr>
      </w:pPr>
      <w:r>
        <w:rPr>
          <w:rFonts w:ascii="Arial" w:hAnsi="Arial"/>
          <w:sz w:val="24"/>
          <w:szCs w:val="24"/>
        </w:rPr>
        <w:t xml:space="preserve">This report thoroughly examines the Hilton Hotel Group, emphasising its organisational structure, culture, recent change initiatives, and strategic direction. Hilton, a prominent player in the hospitality industry, manages a network of more than 7,000 establishments spanning over 123 countries. The report analyses Hilton's hierarchical structure, highlighting its centralised decision-making approach with the ability to adapt to regional contexts and compares it with theoretical models. Hilton's inclusive culture, which focuses on customer satisfaction, aligns with Schein's levels of culture and Handy's cultural types. This culture promotes high levels of employee engagement and performance. Hilton's recent change initiatives, such as the Hilton </w:t>
      </w:r>
      <w:proofErr w:type="spellStart"/>
      <w:r>
        <w:rPr>
          <w:rFonts w:ascii="Arial" w:hAnsi="Arial"/>
          <w:sz w:val="24"/>
          <w:szCs w:val="24"/>
        </w:rPr>
        <w:t>CleanStay</w:t>
      </w:r>
      <w:proofErr w:type="spellEnd"/>
      <w:r>
        <w:rPr>
          <w:rFonts w:ascii="Arial" w:hAnsi="Arial"/>
          <w:sz w:val="24"/>
          <w:szCs w:val="24"/>
        </w:rPr>
        <w:t xml:space="preserve"> and </w:t>
      </w:r>
      <w:proofErr w:type="spellStart"/>
      <w:r>
        <w:rPr>
          <w:rFonts w:ascii="Arial" w:hAnsi="Arial"/>
          <w:sz w:val="24"/>
          <w:szCs w:val="24"/>
        </w:rPr>
        <w:t>EventReady</w:t>
      </w:r>
      <w:proofErr w:type="spellEnd"/>
      <w:r>
        <w:rPr>
          <w:rFonts w:ascii="Arial" w:hAnsi="Arial"/>
          <w:sz w:val="24"/>
          <w:szCs w:val="24"/>
        </w:rPr>
        <w:t xml:space="preserve"> programmes, as well as its sustainability efforts, demonstrate Hilton's ability to adjust and its dedication to ensuring safety and achieving environmental objectives. Hilton's strategic direction, assessed using Mintzberg's 5 Ps and SWOT frameworks, clearly emphasises technological innovation and sustainability. The report states that Hilton's strategic alignment, solid organisational framework, and proactive change initiatives greatly enhance its competitive advantage in the global hospitality industry.</w:t>
      </w:r>
      <w:r>
        <w:rPr>
          <w:rFonts w:ascii="Arial" w:hAnsi="Arial"/>
          <w:sz w:val="24"/>
          <w:szCs w:val="24"/>
        </w:rPr>
        <w:br/>
      </w:r>
    </w:p>
    <w:p w14:paraId="365DA72A" w14:textId="77777777" w:rsidR="009A0028" w:rsidRDefault="009A0028" w:rsidP="009A0028">
      <w:pPr>
        <w:spacing w:line="360" w:lineRule="auto"/>
        <w:jc w:val="both"/>
        <w:rPr>
          <w:rFonts w:ascii="Arial" w:hAnsi="Arial"/>
          <w:sz w:val="24"/>
          <w:szCs w:val="24"/>
        </w:rPr>
      </w:pPr>
    </w:p>
    <w:p w14:paraId="41E2B6FF" w14:textId="77777777" w:rsidR="009A0028" w:rsidRDefault="009A0028" w:rsidP="009A0028">
      <w:pPr>
        <w:spacing w:line="360" w:lineRule="auto"/>
        <w:jc w:val="both"/>
        <w:rPr>
          <w:rFonts w:ascii="Arial" w:hAnsi="Arial"/>
          <w:sz w:val="24"/>
          <w:szCs w:val="24"/>
        </w:rPr>
      </w:pPr>
    </w:p>
    <w:p w14:paraId="31932C14" w14:textId="77777777" w:rsidR="009A0028" w:rsidRDefault="009A0028" w:rsidP="009A0028">
      <w:pPr>
        <w:spacing w:line="360" w:lineRule="auto"/>
        <w:jc w:val="both"/>
        <w:rPr>
          <w:rFonts w:ascii="Arial" w:hAnsi="Arial"/>
          <w:sz w:val="24"/>
          <w:szCs w:val="24"/>
        </w:rPr>
      </w:pPr>
    </w:p>
    <w:p w14:paraId="760ED421" w14:textId="77777777" w:rsidR="009A0028" w:rsidRDefault="009A0028" w:rsidP="009A0028">
      <w:pPr>
        <w:spacing w:line="360" w:lineRule="auto"/>
        <w:jc w:val="both"/>
        <w:rPr>
          <w:rFonts w:ascii="Arial" w:hAnsi="Arial"/>
          <w:sz w:val="24"/>
          <w:szCs w:val="24"/>
        </w:rPr>
      </w:pPr>
    </w:p>
    <w:p w14:paraId="31ECE02A" w14:textId="77777777" w:rsidR="009A0028" w:rsidRDefault="009A0028" w:rsidP="009A0028">
      <w:pPr>
        <w:spacing w:line="360" w:lineRule="auto"/>
        <w:jc w:val="both"/>
        <w:rPr>
          <w:rFonts w:ascii="Arial" w:hAnsi="Arial"/>
          <w:sz w:val="24"/>
          <w:szCs w:val="24"/>
        </w:rPr>
      </w:pPr>
    </w:p>
    <w:p w14:paraId="67606D91" w14:textId="77777777" w:rsidR="009A0028" w:rsidRDefault="009A0028" w:rsidP="009A0028">
      <w:pPr>
        <w:spacing w:line="360" w:lineRule="auto"/>
        <w:jc w:val="both"/>
        <w:rPr>
          <w:rFonts w:ascii="Arial" w:hAnsi="Arial"/>
          <w:sz w:val="24"/>
          <w:szCs w:val="24"/>
        </w:rPr>
      </w:pPr>
    </w:p>
    <w:p w14:paraId="79584A5C" w14:textId="77777777" w:rsidR="009A0028" w:rsidRDefault="009A0028" w:rsidP="009A0028">
      <w:pPr>
        <w:spacing w:line="360" w:lineRule="auto"/>
        <w:jc w:val="both"/>
        <w:rPr>
          <w:rFonts w:ascii="Arial" w:hAnsi="Arial"/>
          <w:sz w:val="24"/>
          <w:szCs w:val="24"/>
        </w:rPr>
      </w:pPr>
    </w:p>
    <w:p w14:paraId="4B29A0D6" w14:textId="77777777" w:rsidR="009A0028" w:rsidRDefault="009A0028" w:rsidP="009A0028">
      <w:pPr>
        <w:spacing w:line="360" w:lineRule="auto"/>
        <w:jc w:val="both"/>
        <w:rPr>
          <w:rFonts w:ascii="Arial" w:hAnsi="Arial"/>
          <w:sz w:val="24"/>
          <w:szCs w:val="24"/>
        </w:rPr>
      </w:pPr>
    </w:p>
    <w:p w14:paraId="170BFD7F" w14:textId="77777777" w:rsidR="009A0028" w:rsidRDefault="009A0028" w:rsidP="009A0028">
      <w:pPr>
        <w:spacing w:line="360" w:lineRule="auto"/>
        <w:jc w:val="both"/>
        <w:rPr>
          <w:rFonts w:ascii="Arial" w:hAnsi="Arial"/>
          <w:sz w:val="24"/>
          <w:szCs w:val="24"/>
        </w:rPr>
      </w:pPr>
    </w:p>
    <w:p w14:paraId="4208BD1D" w14:textId="77777777" w:rsidR="009A0028" w:rsidRDefault="009A0028" w:rsidP="009A0028">
      <w:pPr>
        <w:spacing w:line="360" w:lineRule="auto"/>
        <w:jc w:val="both"/>
        <w:rPr>
          <w:rFonts w:ascii="Arial" w:hAnsi="Arial"/>
          <w:sz w:val="24"/>
          <w:szCs w:val="24"/>
        </w:rPr>
      </w:pPr>
    </w:p>
    <w:p w14:paraId="644BE26A" w14:textId="43C48F10" w:rsidR="009A0028" w:rsidRDefault="009A0028" w:rsidP="009A0028">
      <w:pPr>
        <w:spacing w:line="360" w:lineRule="auto"/>
        <w:jc w:val="both"/>
        <w:rPr>
          <w:rFonts w:ascii="Arial" w:hAnsi="Arial"/>
          <w:sz w:val="24"/>
          <w:szCs w:val="24"/>
        </w:rPr>
      </w:pPr>
      <w:r>
        <w:rPr>
          <w:rFonts w:ascii="Arial" w:hAnsi="Arial"/>
          <w:b/>
          <w:bCs/>
          <w:sz w:val="24"/>
          <w:szCs w:val="24"/>
        </w:rPr>
        <w:lastRenderedPageBreak/>
        <w:t>Table of Contents</w:t>
      </w:r>
    </w:p>
    <w:p w14:paraId="4E39F764" w14:textId="77777777" w:rsidR="009A0028" w:rsidRDefault="009A0028" w:rsidP="009A0028">
      <w:pPr>
        <w:spacing w:line="360" w:lineRule="auto"/>
        <w:jc w:val="both"/>
        <w:rPr>
          <w:rFonts w:ascii="Arial" w:hAnsi="Arial"/>
          <w:sz w:val="24"/>
          <w:szCs w:val="24"/>
        </w:rPr>
      </w:pPr>
    </w:p>
    <w:p w14:paraId="20D48CF9" w14:textId="77777777" w:rsidR="009A0028" w:rsidRDefault="009A0028" w:rsidP="009A0028">
      <w:pPr>
        <w:numPr>
          <w:ilvl w:val="0"/>
          <w:numId w:val="1"/>
        </w:numPr>
        <w:spacing w:line="360" w:lineRule="auto"/>
        <w:jc w:val="both"/>
        <w:rPr>
          <w:rFonts w:ascii="Arial" w:hAnsi="Arial"/>
          <w:sz w:val="24"/>
          <w:szCs w:val="24"/>
        </w:rPr>
      </w:pPr>
      <w:r>
        <w:rPr>
          <w:rFonts w:ascii="Arial" w:hAnsi="Arial"/>
          <w:b/>
          <w:bCs/>
          <w:sz w:val="24"/>
          <w:szCs w:val="24"/>
        </w:rPr>
        <w:t>Introduction</w:t>
      </w:r>
    </w:p>
    <w:p w14:paraId="1530F78A" w14:textId="77777777" w:rsidR="009A0028" w:rsidRDefault="009A0028" w:rsidP="009A0028">
      <w:pPr>
        <w:numPr>
          <w:ilvl w:val="0"/>
          <w:numId w:val="1"/>
        </w:numPr>
        <w:spacing w:line="360" w:lineRule="auto"/>
        <w:jc w:val="both"/>
        <w:rPr>
          <w:rFonts w:ascii="Arial" w:hAnsi="Arial"/>
          <w:sz w:val="24"/>
          <w:szCs w:val="24"/>
        </w:rPr>
      </w:pPr>
      <w:r>
        <w:rPr>
          <w:rFonts w:ascii="Arial" w:hAnsi="Arial"/>
          <w:b/>
          <w:bCs/>
          <w:sz w:val="24"/>
          <w:szCs w:val="24"/>
        </w:rPr>
        <w:t>Organizational Structure</w:t>
      </w:r>
    </w:p>
    <w:p w14:paraId="12951CC3" w14:textId="77777777" w:rsidR="009A0028" w:rsidRDefault="009A0028" w:rsidP="009A0028">
      <w:pPr>
        <w:spacing w:line="360" w:lineRule="auto"/>
        <w:jc w:val="both"/>
        <w:rPr>
          <w:rFonts w:ascii="Arial" w:hAnsi="Arial"/>
          <w:sz w:val="24"/>
          <w:szCs w:val="24"/>
        </w:rPr>
      </w:pPr>
      <w:r>
        <w:rPr>
          <w:rFonts w:ascii="Arial" w:hAnsi="Arial"/>
          <w:sz w:val="24"/>
          <w:szCs w:val="24"/>
        </w:rPr>
        <w:t>Description of Current Structure</w:t>
      </w:r>
    </w:p>
    <w:p w14:paraId="7D7D1E15" w14:textId="77777777" w:rsidR="009A0028" w:rsidRDefault="009A0028" w:rsidP="009A0028">
      <w:pPr>
        <w:spacing w:line="360" w:lineRule="auto"/>
        <w:jc w:val="both"/>
        <w:rPr>
          <w:rFonts w:ascii="Arial" w:hAnsi="Arial"/>
          <w:sz w:val="24"/>
          <w:szCs w:val="24"/>
        </w:rPr>
      </w:pPr>
      <w:r>
        <w:rPr>
          <w:rFonts w:ascii="Arial" w:hAnsi="Arial"/>
          <w:sz w:val="24"/>
          <w:szCs w:val="24"/>
        </w:rPr>
        <w:t>Theoretical Framework</w:t>
      </w:r>
    </w:p>
    <w:p w14:paraId="43F80324" w14:textId="77777777" w:rsidR="009A0028" w:rsidRDefault="009A0028" w:rsidP="009A0028">
      <w:pPr>
        <w:spacing w:line="360" w:lineRule="auto"/>
        <w:jc w:val="both"/>
        <w:rPr>
          <w:rFonts w:ascii="Arial" w:hAnsi="Arial"/>
          <w:sz w:val="24"/>
          <w:szCs w:val="24"/>
        </w:rPr>
      </w:pPr>
      <w:r>
        <w:rPr>
          <w:rFonts w:ascii="Arial" w:hAnsi="Arial"/>
          <w:sz w:val="24"/>
          <w:szCs w:val="24"/>
        </w:rPr>
        <w:t>Analysis</w:t>
      </w:r>
    </w:p>
    <w:p w14:paraId="1C9D4B21" w14:textId="77777777" w:rsidR="009A0028" w:rsidRDefault="009A0028" w:rsidP="009A0028">
      <w:pPr>
        <w:numPr>
          <w:ilvl w:val="0"/>
          <w:numId w:val="1"/>
        </w:numPr>
        <w:spacing w:line="360" w:lineRule="auto"/>
        <w:jc w:val="both"/>
        <w:rPr>
          <w:rFonts w:ascii="Arial" w:hAnsi="Arial"/>
          <w:sz w:val="24"/>
          <w:szCs w:val="24"/>
        </w:rPr>
      </w:pPr>
      <w:r>
        <w:rPr>
          <w:rFonts w:ascii="Arial" w:hAnsi="Arial"/>
          <w:b/>
          <w:bCs/>
          <w:sz w:val="24"/>
          <w:szCs w:val="24"/>
        </w:rPr>
        <w:t>Organizational Culture</w:t>
      </w:r>
    </w:p>
    <w:p w14:paraId="5957FCAA" w14:textId="77777777" w:rsidR="009A0028" w:rsidRDefault="009A0028" w:rsidP="009A0028">
      <w:pPr>
        <w:spacing w:line="360" w:lineRule="auto"/>
        <w:jc w:val="both"/>
        <w:rPr>
          <w:rFonts w:ascii="Arial" w:hAnsi="Arial"/>
          <w:sz w:val="24"/>
          <w:szCs w:val="24"/>
        </w:rPr>
      </w:pPr>
      <w:r>
        <w:rPr>
          <w:rFonts w:ascii="Arial" w:hAnsi="Arial"/>
          <w:sz w:val="24"/>
          <w:szCs w:val="24"/>
        </w:rPr>
        <w:t>Description of Hilton’s Culture</w:t>
      </w:r>
    </w:p>
    <w:p w14:paraId="1F84F122" w14:textId="77777777" w:rsidR="009A0028" w:rsidRDefault="009A0028" w:rsidP="009A0028">
      <w:pPr>
        <w:spacing w:line="360" w:lineRule="auto"/>
        <w:jc w:val="both"/>
        <w:rPr>
          <w:rFonts w:ascii="Arial" w:hAnsi="Arial"/>
          <w:sz w:val="24"/>
          <w:szCs w:val="24"/>
        </w:rPr>
      </w:pPr>
      <w:r>
        <w:rPr>
          <w:rFonts w:ascii="Arial" w:hAnsi="Arial"/>
          <w:sz w:val="24"/>
          <w:szCs w:val="24"/>
        </w:rPr>
        <w:t>Impact on Performance</w:t>
      </w:r>
    </w:p>
    <w:p w14:paraId="4A2363FE" w14:textId="77777777" w:rsidR="009A0028" w:rsidRDefault="009A0028" w:rsidP="009A0028">
      <w:pPr>
        <w:spacing w:line="360" w:lineRule="auto"/>
        <w:jc w:val="both"/>
        <w:rPr>
          <w:rFonts w:ascii="Arial" w:hAnsi="Arial"/>
          <w:sz w:val="24"/>
          <w:szCs w:val="24"/>
        </w:rPr>
      </w:pPr>
      <w:r>
        <w:rPr>
          <w:rFonts w:ascii="Arial" w:hAnsi="Arial"/>
          <w:sz w:val="24"/>
          <w:szCs w:val="24"/>
        </w:rPr>
        <w:t>Comparative Analysis</w:t>
      </w:r>
    </w:p>
    <w:p w14:paraId="4ABFDB6B" w14:textId="77777777" w:rsidR="009A0028" w:rsidRDefault="009A0028" w:rsidP="009A0028">
      <w:pPr>
        <w:numPr>
          <w:ilvl w:val="0"/>
          <w:numId w:val="1"/>
        </w:numPr>
        <w:spacing w:line="360" w:lineRule="auto"/>
        <w:jc w:val="both"/>
        <w:rPr>
          <w:rFonts w:ascii="Arial" w:hAnsi="Arial"/>
          <w:sz w:val="24"/>
          <w:szCs w:val="24"/>
        </w:rPr>
      </w:pPr>
      <w:r>
        <w:rPr>
          <w:rFonts w:ascii="Arial" w:hAnsi="Arial"/>
          <w:b/>
          <w:bCs/>
          <w:sz w:val="24"/>
          <w:szCs w:val="24"/>
        </w:rPr>
        <w:t>Recent Change Initiatives</w:t>
      </w:r>
    </w:p>
    <w:p w14:paraId="3D517109" w14:textId="77777777" w:rsidR="009A0028" w:rsidRDefault="009A0028" w:rsidP="009A0028">
      <w:pPr>
        <w:spacing w:line="360" w:lineRule="auto"/>
        <w:jc w:val="both"/>
        <w:rPr>
          <w:rFonts w:ascii="Arial" w:hAnsi="Arial"/>
          <w:sz w:val="24"/>
          <w:szCs w:val="24"/>
        </w:rPr>
      </w:pPr>
      <w:r>
        <w:rPr>
          <w:rFonts w:ascii="Arial" w:hAnsi="Arial"/>
          <w:sz w:val="24"/>
          <w:szCs w:val="24"/>
        </w:rPr>
        <w:t>Description of Recent Changes</w:t>
      </w:r>
    </w:p>
    <w:p w14:paraId="786A45F3" w14:textId="77777777" w:rsidR="009A0028" w:rsidRDefault="009A0028" w:rsidP="009A0028">
      <w:pPr>
        <w:spacing w:line="360" w:lineRule="auto"/>
        <w:jc w:val="both"/>
        <w:rPr>
          <w:rFonts w:ascii="Arial" w:hAnsi="Arial"/>
          <w:sz w:val="24"/>
          <w:szCs w:val="24"/>
        </w:rPr>
      </w:pPr>
      <w:r>
        <w:rPr>
          <w:rFonts w:ascii="Arial" w:hAnsi="Arial"/>
          <w:sz w:val="24"/>
          <w:szCs w:val="24"/>
        </w:rPr>
        <w:t>Impact and Management</w:t>
      </w:r>
    </w:p>
    <w:p w14:paraId="200A79C2" w14:textId="77777777" w:rsidR="009A0028" w:rsidRDefault="009A0028" w:rsidP="009A0028">
      <w:pPr>
        <w:numPr>
          <w:ilvl w:val="0"/>
          <w:numId w:val="1"/>
        </w:numPr>
        <w:spacing w:line="360" w:lineRule="auto"/>
        <w:jc w:val="both"/>
        <w:rPr>
          <w:rFonts w:ascii="Arial" w:hAnsi="Arial"/>
          <w:sz w:val="24"/>
          <w:szCs w:val="24"/>
        </w:rPr>
      </w:pPr>
      <w:r>
        <w:rPr>
          <w:rFonts w:ascii="Arial" w:hAnsi="Arial"/>
          <w:b/>
          <w:bCs/>
          <w:sz w:val="24"/>
          <w:szCs w:val="24"/>
        </w:rPr>
        <w:t>Strategic Direction</w:t>
      </w:r>
    </w:p>
    <w:p w14:paraId="4CEDD254" w14:textId="77777777" w:rsidR="009A0028" w:rsidRDefault="009A0028" w:rsidP="009A0028">
      <w:pPr>
        <w:spacing w:line="360" w:lineRule="auto"/>
        <w:jc w:val="both"/>
        <w:rPr>
          <w:rFonts w:ascii="Arial" w:hAnsi="Arial"/>
          <w:sz w:val="24"/>
          <w:szCs w:val="24"/>
        </w:rPr>
      </w:pPr>
      <w:r>
        <w:rPr>
          <w:rFonts w:ascii="Arial" w:hAnsi="Arial"/>
          <w:sz w:val="24"/>
          <w:szCs w:val="24"/>
        </w:rPr>
        <w:t>Current Strategic Direction</w:t>
      </w:r>
    </w:p>
    <w:p w14:paraId="5AAACBF6" w14:textId="77777777" w:rsidR="009A0028" w:rsidRDefault="009A0028" w:rsidP="009A0028">
      <w:pPr>
        <w:spacing w:line="360" w:lineRule="auto"/>
        <w:jc w:val="both"/>
        <w:rPr>
          <w:rFonts w:ascii="Arial" w:hAnsi="Arial"/>
          <w:sz w:val="24"/>
          <w:szCs w:val="24"/>
        </w:rPr>
      </w:pPr>
      <w:r>
        <w:rPr>
          <w:rFonts w:ascii="Arial" w:hAnsi="Arial"/>
          <w:sz w:val="24"/>
          <w:szCs w:val="24"/>
        </w:rPr>
        <w:t>Theoretical Application</w:t>
      </w:r>
    </w:p>
    <w:p w14:paraId="655F8856" w14:textId="77777777" w:rsidR="009A0028" w:rsidRDefault="009A0028" w:rsidP="009A0028">
      <w:pPr>
        <w:spacing w:line="360" w:lineRule="auto"/>
        <w:jc w:val="both"/>
        <w:rPr>
          <w:rFonts w:ascii="Arial" w:hAnsi="Arial"/>
          <w:sz w:val="24"/>
          <w:szCs w:val="24"/>
        </w:rPr>
      </w:pPr>
      <w:r>
        <w:rPr>
          <w:rFonts w:ascii="Arial" w:hAnsi="Arial"/>
          <w:sz w:val="24"/>
          <w:szCs w:val="24"/>
        </w:rPr>
        <w:t>Comparison with Competitors’ Strategies</w:t>
      </w:r>
    </w:p>
    <w:p w14:paraId="1CFE41A2" w14:textId="77777777" w:rsidR="009A0028" w:rsidRDefault="009A0028" w:rsidP="009A0028">
      <w:pPr>
        <w:numPr>
          <w:ilvl w:val="0"/>
          <w:numId w:val="1"/>
        </w:numPr>
        <w:spacing w:line="360" w:lineRule="auto"/>
        <w:jc w:val="both"/>
        <w:rPr>
          <w:rFonts w:ascii="Arial" w:hAnsi="Arial"/>
          <w:sz w:val="24"/>
          <w:szCs w:val="24"/>
        </w:rPr>
      </w:pPr>
      <w:r>
        <w:rPr>
          <w:rFonts w:ascii="Arial" w:hAnsi="Arial"/>
          <w:b/>
          <w:bCs/>
          <w:sz w:val="24"/>
          <w:szCs w:val="24"/>
        </w:rPr>
        <w:t>Conclusion</w:t>
      </w:r>
    </w:p>
    <w:p w14:paraId="61289707" w14:textId="77777777" w:rsidR="009A0028" w:rsidRDefault="009A0028" w:rsidP="009A0028">
      <w:pPr>
        <w:numPr>
          <w:ilvl w:val="0"/>
          <w:numId w:val="1"/>
        </w:numPr>
        <w:spacing w:line="360" w:lineRule="auto"/>
        <w:jc w:val="both"/>
        <w:rPr>
          <w:rFonts w:ascii="Arial" w:hAnsi="Arial"/>
          <w:sz w:val="24"/>
          <w:szCs w:val="24"/>
        </w:rPr>
      </w:pPr>
      <w:r>
        <w:rPr>
          <w:rFonts w:ascii="Arial" w:hAnsi="Arial"/>
          <w:b/>
          <w:bCs/>
          <w:sz w:val="24"/>
          <w:szCs w:val="24"/>
        </w:rPr>
        <w:t>References</w:t>
      </w:r>
    </w:p>
    <w:p w14:paraId="6D36C3B4" w14:textId="77777777" w:rsidR="009A0028" w:rsidRDefault="009A0028" w:rsidP="009A0028">
      <w:pPr>
        <w:spacing w:line="360" w:lineRule="auto"/>
        <w:jc w:val="both"/>
        <w:rPr>
          <w:rFonts w:ascii="Arial" w:hAnsi="Arial"/>
          <w:sz w:val="24"/>
          <w:szCs w:val="24"/>
        </w:rPr>
      </w:pPr>
    </w:p>
    <w:p w14:paraId="68FEBA43" w14:textId="77777777" w:rsidR="009A0028" w:rsidRDefault="009A0028" w:rsidP="009A0028">
      <w:pPr>
        <w:spacing w:line="360" w:lineRule="auto"/>
        <w:jc w:val="both"/>
        <w:rPr>
          <w:rFonts w:ascii="Arial" w:hAnsi="Arial"/>
          <w:sz w:val="24"/>
          <w:szCs w:val="24"/>
        </w:rPr>
      </w:pPr>
    </w:p>
    <w:p w14:paraId="0F3C8F82" w14:textId="77777777" w:rsidR="009A0028" w:rsidRDefault="009A0028" w:rsidP="009A0028">
      <w:pPr>
        <w:spacing w:line="360" w:lineRule="auto"/>
        <w:jc w:val="both"/>
        <w:rPr>
          <w:rFonts w:ascii="Arial" w:hAnsi="Arial"/>
          <w:sz w:val="24"/>
          <w:szCs w:val="24"/>
        </w:rPr>
      </w:pPr>
    </w:p>
    <w:p w14:paraId="5FD0D582" w14:textId="77777777" w:rsidR="0082765B" w:rsidRDefault="0082765B" w:rsidP="009A0028">
      <w:pPr>
        <w:spacing w:line="360" w:lineRule="auto"/>
        <w:jc w:val="both"/>
        <w:rPr>
          <w:rFonts w:ascii="Arial" w:hAnsi="Arial"/>
          <w:b/>
          <w:bCs/>
          <w:sz w:val="24"/>
          <w:szCs w:val="24"/>
        </w:rPr>
      </w:pPr>
    </w:p>
    <w:p w14:paraId="215A28AC" w14:textId="438EFEC6" w:rsidR="009A0028" w:rsidRDefault="009A0028" w:rsidP="009A0028">
      <w:pPr>
        <w:spacing w:line="360" w:lineRule="auto"/>
        <w:jc w:val="both"/>
        <w:rPr>
          <w:rFonts w:ascii="Arial" w:hAnsi="Arial"/>
          <w:b/>
          <w:bCs/>
          <w:sz w:val="24"/>
          <w:szCs w:val="24"/>
        </w:rPr>
      </w:pPr>
      <w:r>
        <w:rPr>
          <w:rFonts w:ascii="Arial" w:hAnsi="Arial"/>
          <w:b/>
          <w:bCs/>
          <w:sz w:val="24"/>
          <w:szCs w:val="24"/>
        </w:rPr>
        <w:lastRenderedPageBreak/>
        <w:t>Introduction</w:t>
      </w:r>
    </w:p>
    <w:p w14:paraId="1AD71C0A" w14:textId="77777777" w:rsidR="009A0028" w:rsidRDefault="009A0028" w:rsidP="009A0028">
      <w:pPr>
        <w:spacing w:line="360" w:lineRule="auto"/>
        <w:jc w:val="both"/>
        <w:rPr>
          <w:rFonts w:ascii="Arial" w:hAnsi="Arial"/>
          <w:sz w:val="24"/>
          <w:szCs w:val="24"/>
        </w:rPr>
      </w:pPr>
      <w:r>
        <w:rPr>
          <w:rFonts w:ascii="Arial" w:hAnsi="Arial"/>
          <w:sz w:val="24"/>
          <w:szCs w:val="24"/>
        </w:rPr>
        <w:t>This report thoroughly analyses the Hilton Hotel Group, focusing on its organisational structure, culture, recent change initiatives, and strategic direction. Hilton, a global hospitality leader, operates a vast network of over 7,000 establishments in 123 nations. The report examines Hilton's hierarchical organisational structure, inclusive and customer-centric culture, and recent efforts to enhance digital transformation and sustainability. The analysis is underpinned by theoretical frameworks such as the Resource-Based View and the Balanced Scorecard, which evaluate Hilton's strategic direction, including its mission, vision, and long-term objectives. The report aims to understand how these elements contribute to Hilton's overall performance and competitive advantage in the global hospitality industry.</w:t>
      </w:r>
    </w:p>
    <w:p w14:paraId="495B5F09" w14:textId="77777777" w:rsidR="009A0028" w:rsidRDefault="009A0028" w:rsidP="009A0028">
      <w:pPr>
        <w:spacing w:line="360" w:lineRule="auto"/>
        <w:jc w:val="both"/>
        <w:rPr>
          <w:rFonts w:ascii="Arial" w:hAnsi="Arial"/>
          <w:b/>
          <w:bCs/>
          <w:sz w:val="24"/>
          <w:szCs w:val="24"/>
        </w:rPr>
      </w:pPr>
    </w:p>
    <w:p w14:paraId="5159A6F9" w14:textId="77777777" w:rsidR="009A0028" w:rsidRDefault="009A0028" w:rsidP="009A0028">
      <w:pPr>
        <w:spacing w:line="360" w:lineRule="auto"/>
        <w:jc w:val="both"/>
        <w:rPr>
          <w:rFonts w:ascii="Arial" w:hAnsi="Arial"/>
          <w:sz w:val="24"/>
          <w:szCs w:val="24"/>
        </w:rPr>
      </w:pPr>
      <w:r>
        <w:rPr>
          <w:rFonts w:ascii="Arial" w:hAnsi="Arial"/>
          <w:b/>
          <w:bCs/>
          <w:sz w:val="24"/>
          <w:szCs w:val="24"/>
        </w:rPr>
        <w:t xml:space="preserve">Organisational Structure </w:t>
      </w:r>
    </w:p>
    <w:p w14:paraId="77677BF7" w14:textId="77777777" w:rsidR="009A0028" w:rsidRDefault="009A0028" w:rsidP="009A0028">
      <w:pPr>
        <w:spacing w:line="360" w:lineRule="auto"/>
        <w:jc w:val="both"/>
        <w:rPr>
          <w:rFonts w:ascii="Arial" w:hAnsi="Arial"/>
          <w:sz w:val="24"/>
          <w:szCs w:val="24"/>
        </w:rPr>
      </w:pPr>
      <w:r>
        <w:rPr>
          <w:rFonts w:ascii="Arial" w:hAnsi="Arial"/>
          <w:b/>
          <w:bCs/>
          <w:sz w:val="24"/>
          <w:szCs w:val="24"/>
        </w:rPr>
        <w:t>Organisational Structure of Hilton Hotel Group</w:t>
      </w:r>
    </w:p>
    <w:p w14:paraId="580BA6F1" w14:textId="77777777" w:rsidR="009A0028" w:rsidRDefault="009A0028" w:rsidP="009A0028">
      <w:pPr>
        <w:spacing w:line="360" w:lineRule="auto"/>
        <w:jc w:val="both"/>
        <w:rPr>
          <w:rFonts w:ascii="Arial" w:hAnsi="Arial"/>
          <w:b/>
          <w:bCs/>
          <w:sz w:val="24"/>
          <w:szCs w:val="24"/>
        </w:rPr>
      </w:pPr>
      <w:r>
        <w:rPr>
          <w:rFonts w:ascii="Arial" w:hAnsi="Arial"/>
          <w:sz w:val="24"/>
          <w:szCs w:val="24"/>
        </w:rPr>
        <w:t>The Hilton Hotel Group implements a hierarchical organisational framework with a transparent chain of command, whereby subordinate staff are accountable to senior management via discrete reporting lines. This framework facilitates adequate managerial supervision and improves the processes of strategic decision-making. The organisation is structured into functional domains, such as human resources, operations, finance, and marketing, which specialised managers oversee. This arrangement ensures that each department operates efficiently and with focused attention (Hilton, 2023). Hilton's corporate strategy is centralised in its 2023 Annual Report. This entails consolidating significant decision-making authority at the highest levels of management. In contrast, daily regional operations are decentralised to guarantee flexibility and promptness in response to local market circumstances. This hybrid strategy enhances the agility of the organisation by balancing regional adaptation and control (Daft, 2020).</w:t>
      </w:r>
    </w:p>
    <w:p w14:paraId="52106143" w14:textId="77777777" w:rsidR="009A0028" w:rsidRDefault="009A0028" w:rsidP="009A0028">
      <w:pPr>
        <w:spacing w:line="360" w:lineRule="auto"/>
        <w:jc w:val="both"/>
        <w:rPr>
          <w:rFonts w:ascii="Arial" w:hAnsi="Arial"/>
          <w:b/>
          <w:bCs/>
          <w:sz w:val="24"/>
          <w:szCs w:val="24"/>
        </w:rPr>
      </w:pPr>
    </w:p>
    <w:p w14:paraId="59702EE4" w14:textId="77777777" w:rsidR="009A0028" w:rsidRDefault="009A0028" w:rsidP="009A0028">
      <w:pPr>
        <w:spacing w:line="360" w:lineRule="auto"/>
        <w:jc w:val="both"/>
        <w:rPr>
          <w:rFonts w:ascii="Arial" w:hAnsi="Arial"/>
          <w:b/>
          <w:bCs/>
          <w:sz w:val="24"/>
          <w:szCs w:val="24"/>
        </w:rPr>
      </w:pPr>
    </w:p>
    <w:p w14:paraId="17F1C157" w14:textId="77777777" w:rsidR="0082765B" w:rsidRDefault="0082765B" w:rsidP="009A0028">
      <w:pPr>
        <w:spacing w:line="360" w:lineRule="auto"/>
        <w:jc w:val="both"/>
        <w:rPr>
          <w:rFonts w:ascii="Arial" w:hAnsi="Arial"/>
          <w:b/>
          <w:bCs/>
          <w:sz w:val="24"/>
          <w:szCs w:val="24"/>
        </w:rPr>
      </w:pPr>
    </w:p>
    <w:p w14:paraId="3FC3BBB7" w14:textId="699BC56C" w:rsidR="009A0028" w:rsidRDefault="009A0028" w:rsidP="009A0028">
      <w:pPr>
        <w:spacing w:line="360" w:lineRule="auto"/>
        <w:jc w:val="both"/>
        <w:rPr>
          <w:rFonts w:ascii="Arial" w:hAnsi="Arial"/>
          <w:sz w:val="24"/>
          <w:szCs w:val="24"/>
        </w:rPr>
      </w:pPr>
      <w:r>
        <w:rPr>
          <w:rFonts w:ascii="Arial" w:hAnsi="Arial"/>
          <w:b/>
          <w:bCs/>
          <w:sz w:val="24"/>
          <w:szCs w:val="24"/>
        </w:rPr>
        <w:lastRenderedPageBreak/>
        <w:t>Theoretical Framework</w:t>
      </w:r>
    </w:p>
    <w:p w14:paraId="530541FB" w14:textId="77777777" w:rsidR="009A0028" w:rsidRDefault="009A0028" w:rsidP="009A0028">
      <w:pPr>
        <w:spacing w:line="360" w:lineRule="auto"/>
        <w:jc w:val="both"/>
        <w:rPr>
          <w:rFonts w:ascii="Arial" w:hAnsi="Arial"/>
          <w:sz w:val="24"/>
          <w:szCs w:val="24"/>
        </w:rPr>
      </w:pPr>
      <w:r>
        <w:rPr>
          <w:rFonts w:ascii="Arial" w:hAnsi="Arial"/>
          <w:sz w:val="24"/>
          <w:szCs w:val="24"/>
        </w:rPr>
        <w:t>Hilton's organisational structure aligns with various theoretical models. The hierarchical model, implemented by Hilton, establishes clear lines of authority and accountability, crucial for managing large organisations (Jones, 2013). This model contrasts with a flat structure with fewer management levels, potentially expediting decision-making but possibly resulting in role ambiguity (Robbins &amp; Judge, 2018). Hilton also incorporates cross-functional teams for specific projects, promoting collaboration and innovation. This inclusion reflects elements of a matrix structure (Hill &amp; Jones, 2012). According to Drucker's theory, an efficient organisational structure enhances effectiveness and goal attainment by aligning the company's structure with its strategic objectives (Drucker, 1993). Hilton's functional divisions facilitate specialisation, while centralised control ensures adherence to corporate strategies, supporting Drucker's perspective on the significance of structure for organisational effectiveness (Daft, 2020).</w:t>
      </w:r>
    </w:p>
    <w:p w14:paraId="0BC1269C" w14:textId="77777777" w:rsidR="009A0028" w:rsidRDefault="009A0028" w:rsidP="009A0028">
      <w:pPr>
        <w:spacing w:line="360" w:lineRule="auto"/>
        <w:jc w:val="both"/>
        <w:rPr>
          <w:rFonts w:ascii="Arial" w:hAnsi="Arial"/>
          <w:sz w:val="24"/>
          <w:szCs w:val="24"/>
        </w:rPr>
      </w:pPr>
      <w:r>
        <w:rPr>
          <w:rFonts w:ascii="Arial" w:hAnsi="Arial"/>
          <w:b/>
          <w:bCs/>
          <w:sz w:val="24"/>
          <w:szCs w:val="24"/>
        </w:rPr>
        <w:t>Analysis</w:t>
      </w:r>
    </w:p>
    <w:p w14:paraId="0BF2DBC8" w14:textId="77777777" w:rsidR="009A0028" w:rsidRDefault="009A0028" w:rsidP="009A0028">
      <w:pPr>
        <w:spacing w:line="360" w:lineRule="auto"/>
        <w:jc w:val="both"/>
        <w:rPr>
          <w:rFonts w:ascii="Arial" w:hAnsi="Arial"/>
          <w:sz w:val="24"/>
          <w:szCs w:val="24"/>
        </w:rPr>
      </w:pPr>
      <w:r>
        <w:rPr>
          <w:rFonts w:ascii="Arial" w:hAnsi="Arial"/>
          <w:sz w:val="24"/>
          <w:szCs w:val="24"/>
        </w:rPr>
        <w:t xml:space="preserve">Its hierarchical structure efficiently supports Hilton's strategic objectives, which ensures transparent communication channels and distinct responsibilities. This framework facilitates expedited strategic planning and implementation by augmenting the efficiency of decision-making among high-level executives (Hilton, 2022). Nevertheless, the consolidation of decision-making power could potentially impede the ability to promptly respond and adjust to changing circumstances in regional markets (Jones, 2013). By delegating decision-making authority to regional managers, integrating decentralised components into operational management can effectively alleviate this concern (Hill &amp; Jones, 2012). Moreover, the implementation of functional divisions within Hilton facilitates the cultivation of specialised expertise and the formulation of focused approaches within individual departments, thereby augmenting the overall efficiency and efficacy of the organisation (Robbins &amp; Judge, 2018). On the contrary, an organisation structured hierarchically may occasionally impede interdepartmental communication and retard innovation </w:t>
      </w:r>
      <w:proofErr w:type="gramStart"/>
      <w:r>
        <w:rPr>
          <w:rFonts w:ascii="Arial" w:hAnsi="Arial"/>
          <w:sz w:val="24"/>
          <w:szCs w:val="24"/>
        </w:rPr>
        <w:t>as a consequence of</w:t>
      </w:r>
      <w:proofErr w:type="gramEnd"/>
      <w:r>
        <w:rPr>
          <w:rFonts w:ascii="Arial" w:hAnsi="Arial"/>
          <w:sz w:val="24"/>
          <w:szCs w:val="24"/>
        </w:rPr>
        <w:t xml:space="preserve"> rigid protocols (Daft, 2020). By combining decentralised and centralised operations, Hilton's hybrid strategy seeks to optimise performance and adaptability by balancing flexibility and control (Hilton, 2023).</w:t>
      </w:r>
    </w:p>
    <w:p w14:paraId="7EE64877" w14:textId="77777777" w:rsidR="009A0028" w:rsidRDefault="009A0028" w:rsidP="009A0028">
      <w:pPr>
        <w:spacing w:line="360" w:lineRule="auto"/>
        <w:jc w:val="both"/>
        <w:rPr>
          <w:rFonts w:ascii="Arial" w:hAnsi="Arial"/>
          <w:sz w:val="24"/>
          <w:szCs w:val="24"/>
        </w:rPr>
      </w:pPr>
      <w:r>
        <w:rPr>
          <w:rFonts w:ascii="Arial" w:hAnsi="Arial"/>
          <w:b/>
          <w:bCs/>
          <w:sz w:val="24"/>
          <w:szCs w:val="24"/>
        </w:rPr>
        <w:lastRenderedPageBreak/>
        <w:t>Comparison with Competitors</w:t>
      </w:r>
    </w:p>
    <w:p w14:paraId="63770200" w14:textId="77777777" w:rsidR="009A0028" w:rsidRDefault="009A0028" w:rsidP="009A0028">
      <w:pPr>
        <w:spacing w:line="360" w:lineRule="auto"/>
        <w:jc w:val="both"/>
        <w:rPr>
          <w:rFonts w:ascii="Arial" w:hAnsi="Arial"/>
          <w:sz w:val="24"/>
          <w:szCs w:val="24"/>
        </w:rPr>
      </w:pPr>
      <w:r>
        <w:rPr>
          <w:rFonts w:ascii="Arial" w:hAnsi="Arial"/>
          <w:sz w:val="24"/>
          <w:szCs w:val="24"/>
        </w:rPr>
        <w:t>Unlike Marriott and Hyatt, Hilton's hybrid structure uniquely balances centralised strategy and decentralised operations. Marriott also employs a hierarchical structure but emphasises innovation and flexibility in decision-making (Marriott, 2022). On the other hand, Hyatt adopts a more decentralised approach, allowing significant autonomy to regional managers to foster a more agile response to market conditions (Hyatt, 2023). Hilton's approach, blending centralised control with decentralised flexibility, aims to leverage the benefits of both models, ensuring robust strategic oversight while maintaining regional responsiveness.</w:t>
      </w:r>
    </w:p>
    <w:p w14:paraId="6794B51B" w14:textId="77777777" w:rsidR="009A0028" w:rsidRDefault="009A0028" w:rsidP="009A0028">
      <w:pPr>
        <w:spacing w:line="360" w:lineRule="auto"/>
        <w:jc w:val="both"/>
        <w:rPr>
          <w:rFonts w:ascii="Arial" w:hAnsi="Arial"/>
          <w:b/>
          <w:bCs/>
          <w:sz w:val="24"/>
          <w:szCs w:val="24"/>
        </w:rPr>
      </w:pPr>
    </w:p>
    <w:p w14:paraId="4EF4B75B" w14:textId="77777777" w:rsidR="009A0028" w:rsidRDefault="009A0028" w:rsidP="009A0028">
      <w:pPr>
        <w:spacing w:line="360" w:lineRule="auto"/>
        <w:jc w:val="both"/>
        <w:rPr>
          <w:rFonts w:ascii="Arial" w:hAnsi="Arial"/>
          <w:sz w:val="24"/>
          <w:szCs w:val="24"/>
        </w:rPr>
      </w:pPr>
      <w:r>
        <w:rPr>
          <w:rFonts w:ascii="Arial" w:hAnsi="Arial"/>
          <w:b/>
          <w:bCs/>
          <w:sz w:val="24"/>
          <w:szCs w:val="24"/>
        </w:rPr>
        <w:t>Organisational Culture</w:t>
      </w:r>
    </w:p>
    <w:p w14:paraId="1D2B0324" w14:textId="77777777" w:rsidR="009A0028" w:rsidRDefault="009A0028" w:rsidP="009A0028">
      <w:pPr>
        <w:spacing w:line="360" w:lineRule="auto"/>
        <w:jc w:val="both"/>
        <w:rPr>
          <w:rFonts w:ascii="Arial" w:hAnsi="Arial"/>
          <w:sz w:val="24"/>
          <w:szCs w:val="24"/>
        </w:rPr>
      </w:pPr>
      <w:r>
        <w:rPr>
          <w:rFonts w:ascii="Arial" w:hAnsi="Arial"/>
          <w:b/>
          <w:bCs/>
          <w:sz w:val="24"/>
          <w:szCs w:val="24"/>
        </w:rPr>
        <w:t>Description of Hilton's Culture</w:t>
      </w:r>
    </w:p>
    <w:p w14:paraId="162430D5" w14:textId="77777777" w:rsidR="009A0028" w:rsidRDefault="009A0028" w:rsidP="009A0028">
      <w:pPr>
        <w:spacing w:line="360" w:lineRule="auto"/>
        <w:jc w:val="both"/>
        <w:rPr>
          <w:rFonts w:ascii="Arial" w:hAnsi="Arial"/>
          <w:sz w:val="24"/>
          <w:szCs w:val="24"/>
        </w:rPr>
      </w:pPr>
      <w:r>
        <w:rPr>
          <w:rFonts w:ascii="Arial" w:hAnsi="Arial"/>
          <w:sz w:val="24"/>
          <w:szCs w:val="24"/>
        </w:rPr>
        <w:t>Hilton's organisational culture is profoundly influenced by its overarching objective of becoming the preeminent global hospitality corporation. This culture is reflected in the three organisational culture levels identified by Schein. Hilton demonstrates workplace design and customer service practices that prioritise inclusivity and hospitality at the artefact level (Hilton, 2023). The organisation's stated principles encompass diversity, equity, and inclusion (DEI), reflected in endeavours such as establishing gender parity objectives and conducting diversity training programs (Hilton, 2022). The fundamental assumptions that underpin daily operations and strategic decision-making are deeply rooted convictions regarding hospitality, community, and integrity (Schein, 2010).</w:t>
      </w:r>
    </w:p>
    <w:p w14:paraId="15D8EF56" w14:textId="3E6263E0" w:rsidR="00656274" w:rsidRDefault="009A0028" w:rsidP="009A0028">
      <w:pPr>
        <w:spacing w:line="360" w:lineRule="auto"/>
        <w:jc w:val="both"/>
        <w:rPr>
          <w:rFonts w:ascii="Arial" w:hAnsi="Arial"/>
          <w:sz w:val="24"/>
          <w:szCs w:val="24"/>
        </w:rPr>
      </w:pPr>
      <w:r>
        <w:rPr>
          <w:rFonts w:ascii="Arial" w:hAnsi="Arial"/>
          <w:sz w:val="24"/>
          <w:szCs w:val="24"/>
        </w:rPr>
        <w:t>Hilton emphasises teamwork and accomplishing predetermined objectives, which are consistent with Handy's task culture. Additionally, the establishment exemplifies characteristics of market culture and clan culture, which underscore a familial ambience and active employee participation in accordance with its competitive nature in the hospitality sector (Cameron &amp; Quinn, 2011). Hilton cultivates an organisational culture characterised by a low power distance, high collectivism, and a pronounced inclination to evade uncertainty (Hofstede, 2011). These cultural attributes contribute to the establishment of an environment that is both collaborative and inclusive.</w:t>
      </w:r>
    </w:p>
    <w:p w14:paraId="315EFC46" w14:textId="77777777" w:rsidR="00CB72E0" w:rsidRPr="00656274" w:rsidRDefault="00CB72E0" w:rsidP="009A0028">
      <w:pPr>
        <w:spacing w:line="360" w:lineRule="auto"/>
        <w:jc w:val="both"/>
        <w:rPr>
          <w:rFonts w:ascii="Arial" w:hAnsi="Arial"/>
          <w:sz w:val="24"/>
          <w:szCs w:val="24"/>
        </w:rPr>
      </w:pPr>
    </w:p>
    <w:p w14:paraId="02F8C183" w14:textId="77777777" w:rsidR="009A0028" w:rsidRDefault="009A0028" w:rsidP="009A0028">
      <w:pPr>
        <w:spacing w:line="360" w:lineRule="auto"/>
        <w:jc w:val="both"/>
        <w:rPr>
          <w:rFonts w:ascii="Arial" w:hAnsi="Arial"/>
          <w:sz w:val="24"/>
          <w:szCs w:val="24"/>
        </w:rPr>
      </w:pPr>
      <w:r>
        <w:rPr>
          <w:rFonts w:ascii="Arial" w:hAnsi="Arial"/>
          <w:b/>
          <w:bCs/>
          <w:sz w:val="24"/>
          <w:szCs w:val="24"/>
        </w:rPr>
        <w:lastRenderedPageBreak/>
        <w:t>Impact on Performance</w:t>
      </w:r>
    </w:p>
    <w:p w14:paraId="1C246CD3" w14:textId="77777777" w:rsidR="009A0028" w:rsidRDefault="009A0028" w:rsidP="009A0028">
      <w:pPr>
        <w:spacing w:line="360" w:lineRule="auto"/>
        <w:jc w:val="both"/>
        <w:rPr>
          <w:rFonts w:ascii="Arial" w:hAnsi="Arial"/>
          <w:sz w:val="24"/>
          <w:szCs w:val="24"/>
        </w:rPr>
      </w:pPr>
      <w:r>
        <w:rPr>
          <w:rFonts w:ascii="Arial" w:hAnsi="Arial"/>
          <w:sz w:val="24"/>
          <w:szCs w:val="24"/>
        </w:rPr>
        <w:t>Hilton's culture significantly impacts employee behaviour and overall organisational performance. The focus on DEI initiatives creates a welcoming atmosphere, enhancing employee satisfaction and retention (Hilton, 2021). Research indicates that inclusive workplaces increase employee engagement and productivity (Nazir &amp; Zamir, 2015). Hilton's Thrive at Hilton initiative prioritises continuous learning and development, ensuring employees are motivated and equipped with essential skills (Hilton, 2020).</w:t>
      </w:r>
    </w:p>
    <w:p w14:paraId="3C6F90E7" w14:textId="77777777" w:rsidR="009A0028" w:rsidRDefault="009A0028" w:rsidP="009A0028">
      <w:pPr>
        <w:spacing w:line="360" w:lineRule="auto"/>
        <w:jc w:val="both"/>
        <w:rPr>
          <w:rFonts w:ascii="Arial" w:hAnsi="Arial"/>
          <w:sz w:val="24"/>
          <w:szCs w:val="24"/>
        </w:rPr>
      </w:pPr>
      <w:r>
        <w:rPr>
          <w:rFonts w:ascii="Arial" w:hAnsi="Arial"/>
          <w:sz w:val="24"/>
          <w:szCs w:val="24"/>
        </w:rPr>
        <w:t>While a robust clan culture fosters loyalty and dedication, it can sometimes slow decision-making in competitive markets (CIPD, 2021). Hilton's culture is characterised by high employee morale and a strong sense of community, but deeply ingrained values and traditions can pose challenges in adapting swiftly to market changes (Hofstede, 2011). However, the company's inclusive and supportive environment has enhanced overall organisational performance and employee satisfaction (Reidhead, 2020).</w:t>
      </w:r>
    </w:p>
    <w:p w14:paraId="1F16CBE1" w14:textId="77777777" w:rsidR="009A0028" w:rsidRDefault="009A0028" w:rsidP="009A0028">
      <w:pPr>
        <w:spacing w:line="360" w:lineRule="auto"/>
        <w:jc w:val="both"/>
        <w:rPr>
          <w:rFonts w:ascii="Arial" w:hAnsi="Arial"/>
          <w:sz w:val="24"/>
          <w:szCs w:val="24"/>
        </w:rPr>
      </w:pPr>
      <w:r>
        <w:rPr>
          <w:rFonts w:ascii="Arial" w:hAnsi="Arial"/>
          <w:b/>
          <w:bCs/>
          <w:sz w:val="24"/>
          <w:szCs w:val="24"/>
        </w:rPr>
        <w:t>Comparative Analysis</w:t>
      </w:r>
    </w:p>
    <w:p w14:paraId="48984809" w14:textId="77777777" w:rsidR="009A0028" w:rsidRDefault="009A0028" w:rsidP="009A0028">
      <w:pPr>
        <w:spacing w:line="360" w:lineRule="auto"/>
        <w:jc w:val="both"/>
        <w:rPr>
          <w:rFonts w:ascii="Arial" w:hAnsi="Arial"/>
          <w:sz w:val="24"/>
          <w:szCs w:val="24"/>
        </w:rPr>
      </w:pPr>
      <w:r>
        <w:rPr>
          <w:rFonts w:ascii="Arial" w:hAnsi="Arial"/>
          <w:sz w:val="24"/>
          <w:szCs w:val="24"/>
        </w:rPr>
        <w:t>The culture of Hilton is indistinguishable from those of Hyatt and Marriott, its competitors. Marriott, renowned for its flexible and inventive methodology, cultivates an environment that harmoniously integrates innovation and service excellence (Marriott, 2022). On the other hand, Hyatt places considerable importance on a decentralised framework which grants considerable independence at the regional level, thereby promoting adaptability and promptness (Hyatt, 2023). The unique environment fostered by Hilton's clan and market culture encourages employee participation and competitive performance.</w:t>
      </w:r>
    </w:p>
    <w:p w14:paraId="15105E2F" w14:textId="77777777" w:rsidR="009A0028" w:rsidRDefault="009A0028" w:rsidP="009A0028">
      <w:pPr>
        <w:spacing w:line="360" w:lineRule="auto"/>
        <w:jc w:val="both"/>
        <w:rPr>
          <w:rFonts w:ascii="Arial" w:hAnsi="Arial"/>
          <w:b/>
          <w:bCs/>
          <w:sz w:val="24"/>
          <w:szCs w:val="24"/>
        </w:rPr>
      </w:pPr>
      <w:r>
        <w:rPr>
          <w:rFonts w:ascii="Arial" w:hAnsi="Arial"/>
          <w:sz w:val="24"/>
          <w:szCs w:val="24"/>
        </w:rPr>
        <w:t>Research (Kotter &amp; Heskett, 1992) shows that a positive organisational culture can substantially strengthen a business's competitive advantage by encouraging employee loyalty and customer satisfaction. Consistent with the company's strategic goals and objectives, Hilton's cultural initiatives, such as its DEI and sustainability programmes, have a favourable effect on both internal operations and the external reputation of the brand (Hilton, 2022). These endeavours distinguish Hilton from its rivals and uphold its objective of being the frontrunner in the hospitality sector using outstanding service and a commitment to the community (Denison, 1990).</w:t>
      </w:r>
    </w:p>
    <w:p w14:paraId="2FF9ED8B" w14:textId="77777777" w:rsidR="009A0028" w:rsidRDefault="009A0028" w:rsidP="009A0028">
      <w:pPr>
        <w:spacing w:line="360" w:lineRule="auto"/>
        <w:jc w:val="both"/>
        <w:rPr>
          <w:rFonts w:ascii="Arial" w:hAnsi="Arial"/>
          <w:sz w:val="24"/>
          <w:szCs w:val="24"/>
        </w:rPr>
      </w:pPr>
      <w:r>
        <w:rPr>
          <w:rFonts w:ascii="Arial" w:hAnsi="Arial"/>
          <w:b/>
          <w:bCs/>
          <w:sz w:val="24"/>
          <w:szCs w:val="24"/>
        </w:rPr>
        <w:lastRenderedPageBreak/>
        <w:t>Recent Change Initiatives</w:t>
      </w:r>
    </w:p>
    <w:p w14:paraId="221AB761" w14:textId="77777777" w:rsidR="009A0028" w:rsidRDefault="009A0028" w:rsidP="009A0028">
      <w:pPr>
        <w:spacing w:line="360" w:lineRule="auto"/>
        <w:jc w:val="both"/>
        <w:rPr>
          <w:rFonts w:ascii="Arial" w:hAnsi="Arial"/>
          <w:sz w:val="24"/>
          <w:szCs w:val="24"/>
        </w:rPr>
      </w:pPr>
      <w:r>
        <w:rPr>
          <w:rFonts w:ascii="Arial" w:hAnsi="Arial"/>
          <w:b/>
          <w:bCs/>
          <w:sz w:val="24"/>
          <w:szCs w:val="24"/>
        </w:rPr>
        <w:t>Description of Recent Changes</w:t>
      </w:r>
    </w:p>
    <w:p w14:paraId="75F9BB75" w14:textId="77777777" w:rsidR="009A0028" w:rsidRDefault="009A0028" w:rsidP="009A0028">
      <w:pPr>
        <w:spacing w:line="360" w:lineRule="auto"/>
        <w:jc w:val="both"/>
        <w:rPr>
          <w:rFonts w:ascii="Arial" w:hAnsi="Arial"/>
          <w:sz w:val="24"/>
          <w:szCs w:val="24"/>
        </w:rPr>
      </w:pPr>
      <w:r>
        <w:rPr>
          <w:rFonts w:ascii="Arial" w:hAnsi="Arial"/>
          <w:sz w:val="24"/>
          <w:szCs w:val="24"/>
        </w:rPr>
        <w:t xml:space="preserve">Hilton has recently implemented several substantial change initiatives, focusing on digital transformation and sustainability. One notable initiative is the Hilton </w:t>
      </w:r>
      <w:proofErr w:type="spellStart"/>
      <w:r>
        <w:rPr>
          <w:rFonts w:ascii="Arial" w:hAnsi="Arial"/>
          <w:sz w:val="24"/>
          <w:szCs w:val="24"/>
        </w:rPr>
        <w:t>CleanStay</w:t>
      </w:r>
      <w:proofErr w:type="spellEnd"/>
      <w:r>
        <w:rPr>
          <w:rFonts w:ascii="Arial" w:hAnsi="Arial"/>
          <w:sz w:val="24"/>
          <w:szCs w:val="24"/>
        </w:rPr>
        <w:t xml:space="preserve"> program, developed in collaboration with Lysol and Mayo Clinic, aimed at enhancing cleanliness protocols to meet the heightened hygiene expectations of guests in response to the COVID-19 pandemic (Hilton, 2020). This initiative underscores Hilton's commitment to guest safety and maintaining high standards of cleanliness. Additionally, Hilton introduced the </w:t>
      </w:r>
      <w:proofErr w:type="spellStart"/>
      <w:r>
        <w:rPr>
          <w:rFonts w:ascii="Arial" w:hAnsi="Arial"/>
          <w:sz w:val="24"/>
          <w:szCs w:val="24"/>
        </w:rPr>
        <w:t>EventReady</w:t>
      </w:r>
      <w:proofErr w:type="spellEnd"/>
      <w:r>
        <w:rPr>
          <w:rFonts w:ascii="Arial" w:hAnsi="Arial"/>
          <w:sz w:val="24"/>
          <w:szCs w:val="24"/>
        </w:rPr>
        <w:t xml:space="preserve"> with </w:t>
      </w:r>
      <w:proofErr w:type="spellStart"/>
      <w:r>
        <w:rPr>
          <w:rFonts w:ascii="Arial" w:hAnsi="Arial"/>
          <w:sz w:val="24"/>
          <w:szCs w:val="24"/>
        </w:rPr>
        <w:t>CleanStay</w:t>
      </w:r>
      <w:proofErr w:type="spellEnd"/>
      <w:r>
        <w:rPr>
          <w:rFonts w:ascii="Arial" w:hAnsi="Arial"/>
          <w:sz w:val="24"/>
          <w:szCs w:val="24"/>
        </w:rPr>
        <w:t xml:space="preserve"> program to adapt event planning to the new health and safety requirements, offering flexible booking options and enhanced safety measures (Hilton, 2020).</w:t>
      </w:r>
    </w:p>
    <w:p w14:paraId="089972B1" w14:textId="77777777" w:rsidR="009A0028" w:rsidRDefault="009A0028" w:rsidP="009A0028">
      <w:pPr>
        <w:spacing w:line="360" w:lineRule="auto"/>
        <w:jc w:val="both"/>
        <w:rPr>
          <w:rFonts w:ascii="Arial" w:hAnsi="Arial"/>
          <w:sz w:val="24"/>
          <w:szCs w:val="24"/>
        </w:rPr>
      </w:pPr>
      <w:r>
        <w:rPr>
          <w:rFonts w:ascii="Arial" w:hAnsi="Arial"/>
          <w:sz w:val="24"/>
          <w:szCs w:val="24"/>
        </w:rPr>
        <w:t>In the realm of sustainability, Hilton has made significant strides. The Travel with Purpose 2030 Goals aim to double investment in social impact and reduce Hilton's environmental footprint by 50% (Hilton, 2021). These goals include initiatives to lower carbon emissions, reduce water consumption, minimise waste, procure renewable energy, and improve energy efficiency across Hilton properties (Hilton, 2022). Hilton has also strengthened its commitment to diversity, equity, and inclusion (DEI) by launching initiatives to promote gender equality in leadership and enhance ethnic diversity among its employees (Hilton, 2023). These initiatives reflect Hilton's strategic approach to integrating sustainability and inclusivity into its operations.</w:t>
      </w:r>
    </w:p>
    <w:p w14:paraId="01D19518" w14:textId="77777777" w:rsidR="009A0028" w:rsidRDefault="009A0028" w:rsidP="009A0028">
      <w:pPr>
        <w:spacing w:line="360" w:lineRule="auto"/>
        <w:jc w:val="both"/>
        <w:rPr>
          <w:rFonts w:ascii="Arial" w:hAnsi="Arial"/>
          <w:sz w:val="24"/>
          <w:szCs w:val="24"/>
        </w:rPr>
      </w:pPr>
      <w:r>
        <w:rPr>
          <w:rFonts w:ascii="Arial" w:hAnsi="Arial"/>
          <w:b/>
          <w:bCs/>
          <w:sz w:val="24"/>
          <w:szCs w:val="24"/>
        </w:rPr>
        <w:t>Impact and Management</w:t>
      </w:r>
    </w:p>
    <w:p w14:paraId="60517450" w14:textId="77777777" w:rsidR="009A0028" w:rsidRDefault="009A0028" w:rsidP="009A0028">
      <w:pPr>
        <w:spacing w:line="360" w:lineRule="auto"/>
        <w:jc w:val="both"/>
        <w:rPr>
          <w:rFonts w:ascii="Arial" w:hAnsi="Arial"/>
          <w:sz w:val="24"/>
          <w:szCs w:val="24"/>
        </w:rPr>
      </w:pPr>
      <w:r>
        <w:rPr>
          <w:rFonts w:ascii="Arial" w:hAnsi="Arial"/>
          <w:sz w:val="24"/>
          <w:szCs w:val="24"/>
        </w:rPr>
        <w:t xml:space="preserve">Implementing these change initiatives has significantly impacted Hilton's operations and performance. The </w:t>
      </w:r>
      <w:proofErr w:type="spellStart"/>
      <w:r>
        <w:rPr>
          <w:rFonts w:ascii="Arial" w:hAnsi="Arial"/>
          <w:sz w:val="24"/>
          <w:szCs w:val="24"/>
        </w:rPr>
        <w:t>CleanStay</w:t>
      </w:r>
      <w:proofErr w:type="spellEnd"/>
      <w:r>
        <w:rPr>
          <w:rFonts w:ascii="Arial" w:hAnsi="Arial"/>
          <w:sz w:val="24"/>
          <w:szCs w:val="24"/>
        </w:rPr>
        <w:t xml:space="preserve"> and </w:t>
      </w:r>
      <w:proofErr w:type="spellStart"/>
      <w:r>
        <w:rPr>
          <w:rFonts w:ascii="Arial" w:hAnsi="Arial"/>
          <w:sz w:val="24"/>
          <w:szCs w:val="24"/>
        </w:rPr>
        <w:t>EventReady</w:t>
      </w:r>
      <w:proofErr w:type="spellEnd"/>
      <w:r>
        <w:rPr>
          <w:rFonts w:ascii="Arial" w:hAnsi="Arial"/>
          <w:sz w:val="24"/>
          <w:szCs w:val="24"/>
        </w:rPr>
        <w:t xml:space="preserve"> programs have markedly increased guest trust and satisfaction, leading to higher reservation rates during a challenging period for the hospitality industry (Hilton, 2020). These programs have standardised cleanliness protocols and leverage technology to enhance guest management efficiency (Hilton, 2021). Sustainability initiatives under the Travel with Purpose program have resulted in notable environmental benefits, such as significant reductions in carbon emissions, water usage, and waste production, contributing to resource efficiency and cost savings (Hilton, 2022).</w:t>
      </w:r>
    </w:p>
    <w:p w14:paraId="2FE7FC8E" w14:textId="77777777" w:rsidR="009A0028" w:rsidRDefault="009A0028" w:rsidP="009A0028">
      <w:pPr>
        <w:spacing w:line="360" w:lineRule="auto"/>
        <w:jc w:val="both"/>
        <w:rPr>
          <w:rFonts w:ascii="Arial" w:hAnsi="Arial"/>
          <w:sz w:val="24"/>
          <w:szCs w:val="24"/>
        </w:rPr>
      </w:pPr>
      <w:r>
        <w:rPr>
          <w:rFonts w:ascii="Arial" w:hAnsi="Arial"/>
          <w:sz w:val="24"/>
          <w:szCs w:val="24"/>
        </w:rPr>
        <w:lastRenderedPageBreak/>
        <w:t>Managing these changes has been effective, driven by a clear strategic vision and robust implementation frameworks. As emphasised in Dobson's change management guide, effective communication and stakeholder engagement are vital strategies that Hilton has implemented (Dobson, 2001). Hilton has also incorporated Cummings and Worley's recommendations for managing organisational change, utilising continuous monitoring and adjustment through regular performance reviews and feedback mechanisms (Cummings &amp; Worley, 2014). Hilton has successfully maintained operational efficiency while advancing its sustainability and DEI objectives by aligning these initiatives with its strategic goals and involving all organisational levels in the change process.</w:t>
      </w:r>
    </w:p>
    <w:p w14:paraId="71D095BF" w14:textId="77777777" w:rsidR="009A0028" w:rsidRDefault="009A0028" w:rsidP="009A0028">
      <w:pPr>
        <w:spacing w:line="360" w:lineRule="auto"/>
        <w:jc w:val="both"/>
        <w:rPr>
          <w:rFonts w:ascii="Arial" w:hAnsi="Arial"/>
          <w:sz w:val="24"/>
          <w:szCs w:val="24"/>
        </w:rPr>
      </w:pPr>
      <w:r>
        <w:rPr>
          <w:rFonts w:ascii="Arial" w:hAnsi="Arial"/>
          <w:b/>
          <w:bCs/>
          <w:sz w:val="24"/>
          <w:szCs w:val="24"/>
        </w:rPr>
        <w:t>Comparative Analysis and Theoretical Application</w:t>
      </w:r>
    </w:p>
    <w:p w14:paraId="6A0DA922" w14:textId="77777777" w:rsidR="009A0028" w:rsidRDefault="009A0028" w:rsidP="009A0028">
      <w:pPr>
        <w:spacing w:line="360" w:lineRule="auto"/>
        <w:jc w:val="both"/>
        <w:rPr>
          <w:rFonts w:ascii="Arial" w:hAnsi="Arial"/>
          <w:sz w:val="24"/>
          <w:szCs w:val="24"/>
        </w:rPr>
      </w:pPr>
      <w:r>
        <w:rPr>
          <w:rFonts w:ascii="Arial" w:hAnsi="Arial"/>
          <w:sz w:val="24"/>
          <w:szCs w:val="24"/>
        </w:rPr>
        <w:t>Unlike Marriott and Hyatt, Hilton's initiatives are distinctive in their comprehensive sustainability and digital transformation approach. Marriott's emphasis on innovation and flexibility complements its operational strategies, while Hyatt's decentralised structure promotes regional autonomy (Marriott, 2022; Hyatt, 2023). Hilton's hybrid approach balances centralisation and decentralisation, aiming for control and regional adaptability.</w:t>
      </w:r>
    </w:p>
    <w:p w14:paraId="291E7B28" w14:textId="77777777" w:rsidR="009A0028" w:rsidRDefault="009A0028" w:rsidP="009A0028">
      <w:pPr>
        <w:spacing w:line="360" w:lineRule="auto"/>
        <w:jc w:val="both"/>
        <w:rPr>
          <w:rFonts w:ascii="Arial" w:hAnsi="Arial"/>
          <w:sz w:val="24"/>
          <w:szCs w:val="24"/>
        </w:rPr>
      </w:pPr>
      <w:r>
        <w:rPr>
          <w:rFonts w:ascii="Arial" w:hAnsi="Arial"/>
          <w:sz w:val="24"/>
          <w:szCs w:val="24"/>
        </w:rPr>
        <w:t xml:space="preserve">Applying Lewin's change management model and Kotter's 8-step change model can further elucidate Hilton's approach. Lewin's model involves unfreezing existing practices </w:t>
      </w:r>
      <w:proofErr w:type="spellStart"/>
      <w:r>
        <w:rPr>
          <w:rFonts w:ascii="Arial" w:hAnsi="Arial"/>
          <w:sz w:val="24"/>
          <w:szCs w:val="24"/>
        </w:rPr>
        <w:t>andnging</w:t>
      </w:r>
      <w:proofErr w:type="spellEnd"/>
      <w:r>
        <w:rPr>
          <w:rFonts w:ascii="Arial" w:hAnsi="Arial"/>
          <w:sz w:val="24"/>
          <w:szCs w:val="24"/>
        </w:rPr>
        <w:t xml:space="preserve"> through the implementation of new </w:t>
      </w:r>
      <w:proofErr w:type="gramStart"/>
      <w:r>
        <w:rPr>
          <w:rFonts w:ascii="Arial" w:hAnsi="Arial"/>
          <w:sz w:val="24"/>
          <w:szCs w:val="24"/>
        </w:rPr>
        <w:t>practices, and</w:t>
      </w:r>
      <w:proofErr w:type="gramEnd"/>
      <w:r>
        <w:rPr>
          <w:rFonts w:ascii="Arial" w:hAnsi="Arial"/>
          <w:sz w:val="24"/>
          <w:szCs w:val="24"/>
        </w:rPr>
        <w:t xml:space="preserve"> refreezing to solidify these changes. Kotter's model emphasises creating a sense of urgency, forming a guiding coalition, developing a vision, and instituting changes systematically (Kotter, 1996). Hilton's initiatives reflect these principles through strategic planning, stakeholder engagement, and continuous improvement.</w:t>
      </w:r>
    </w:p>
    <w:p w14:paraId="11678666" w14:textId="77777777" w:rsidR="009A0028" w:rsidRDefault="009A0028" w:rsidP="009A0028">
      <w:pPr>
        <w:spacing w:line="360" w:lineRule="auto"/>
        <w:jc w:val="both"/>
        <w:rPr>
          <w:rFonts w:ascii="Arial" w:hAnsi="Arial"/>
          <w:sz w:val="24"/>
          <w:szCs w:val="24"/>
        </w:rPr>
      </w:pPr>
    </w:p>
    <w:p w14:paraId="2A861C76" w14:textId="77777777" w:rsidR="009A0028" w:rsidRDefault="009A0028" w:rsidP="009A0028">
      <w:pPr>
        <w:spacing w:line="360" w:lineRule="auto"/>
        <w:jc w:val="both"/>
        <w:rPr>
          <w:rFonts w:ascii="Arial" w:hAnsi="Arial"/>
          <w:sz w:val="24"/>
          <w:szCs w:val="24"/>
        </w:rPr>
      </w:pPr>
      <w:r>
        <w:rPr>
          <w:rFonts w:ascii="Arial" w:hAnsi="Arial"/>
          <w:b/>
          <w:bCs/>
          <w:sz w:val="24"/>
          <w:szCs w:val="24"/>
        </w:rPr>
        <w:t>Strategic Direction</w:t>
      </w:r>
    </w:p>
    <w:p w14:paraId="75FEA651" w14:textId="77777777" w:rsidR="009A0028" w:rsidRDefault="009A0028" w:rsidP="009A0028">
      <w:pPr>
        <w:spacing w:line="360" w:lineRule="auto"/>
        <w:jc w:val="both"/>
        <w:rPr>
          <w:rFonts w:ascii="Arial" w:hAnsi="Arial"/>
          <w:sz w:val="24"/>
          <w:szCs w:val="24"/>
        </w:rPr>
      </w:pPr>
      <w:r>
        <w:rPr>
          <w:rFonts w:ascii="Arial" w:hAnsi="Arial"/>
          <w:b/>
          <w:bCs/>
          <w:sz w:val="24"/>
          <w:szCs w:val="24"/>
        </w:rPr>
        <w:t>Current Strategic Direction</w:t>
      </w:r>
    </w:p>
    <w:p w14:paraId="453F6E42" w14:textId="77777777" w:rsidR="009A0028" w:rsidRDefault="009A0028" w:rsidP="009A0028">
      <w:pPr>
        <w:spacing w:line="360" w:lineRule="auto"/>
        <w:jc w:val="both"/>
        <w:rPr>
          <w:rFonts w:ascii="Arial" w:hAnsi="Arial"/>
          <w:sz w:val="24"/>
          <w:szCs w:val="24"/>
        </w:rPr>
      </w:pPr>
      <w:r>
        <w:rPr>
          <w:rFonts w:ascii="Arial" w:hAnsi="Arial"/>
          <w:sz w:val="24"/>
          <w:szCs w:val="24"/>
        </w:rPr>
        <w:t xml:space="preserve">Hilton aims to become the most hospitable company globally by creating genuine guest experiences, providing significant opportunities for team members, delivering substantial value for owners, and positively influencing communities (Hilton, 2022). This vision prioritises achieving global dominance in the hospitality industry through </w:t>
      </w:r>
      <w:r>
        <w:rPr>
          <w:rFonts w:ascii="Arial" w:hAnsi="Arial"/>
          <w:sz w:val="24"/>
          <w:szCs w:val="24"/>
        </w:rPr>
        <w:lastRenderedPageBreak/>
        <w:t>dedication to innovation, customer-focused services, and sustainable growth. Hilton has set several long-term goals, including increasing its presence in international markets, improving customer loyalty through the Hilton Honours programme, and achieving its Travel with Purpose 2030 Goals, which aim to double the company's investment in social impact initiatives and reduce its environmental impact by 50% by 2030 (Hilton, 2023).</w:t>
      </w:r>
    </w:p>
    <w:p w14:paraId="2D75A522" w14:textId="77777777" w:rsidR="009A0028" w:rsidRDefault="009A0028" w:rsidP="009A0028">
      <w:pPr>
        <w:spacing w:line="360" w:lineRule="auto"/>
        <w:jc w:val="both"/>
        <w:rPr>
          <w:rFonts w:ascii="Arial" w:hAnsi="Arial"/>
          <w:sz w:val="24"/>
          <w:szCs w:val="24"/>
        </w:rPr>
      </w:pPr>
      <w:r>
        <w:rPr>
          <w:rFonts w:ascii="Arial" w:hAnsi="Arial"/>
          <w:sz w:val="24"/>
          <w:szCs w:val="24"/>
        </w:rPr>
        <w:t>Hilton strategically utilises technology to enhance guest experiences, optimise operational efficiency, and ensure financial stability. Initiatives like Digital Key technology and the Hilton Honours app highlight Hilton's commitment to digital transformation (Hilton, 2020). Recent reports identify strategic priorities such as expanding the brand portfolio, fostering customer loyalty through exceptional service, and increasing market presence via strategic partnerships and acquisitions (Hilton, 2021). These initiatives align with Hilton's objectives of continuous expansion and maintaining a competitive edge in the global hospitality industry.</w:t>
      </w:r>
    </w:p>
    <w:p w14:paraId="154CC3F3" w14:textId="77777777" w:rsidR="009A0028" w:rsidRDefault="009A0028" w:rsidP="009A0028">
      <w:pPr>
        <w:spacing w:line="360" w:lineRule="auto"/>
        <w:jc w:val="both"/>
        <w:rPr>
          <w:rFonts w:ascii="Arial" w:hAnsi="Arial"/>
          <w:sz w:val="24"/>
          <w:szCs w:val="24"/>
        </w:rPr>
      </w:pPr>
      <w:r>
        <w:rPr>
          <w:rFonts w:ascii="Arial" w:hAnsi="Arial"/>
          <w:b/>
          <w:bCs/>
          <w:sz w:val="24"/>
          <w:szCs w:val="24"/>
        </w:rPr>
        <w:t>Theoretical Application</w:t>
      </w:r>
    </w:p>
    <w:p w14:paraId="3D05F667" w14:textId="77777777" w:rsidR="009A0028" w:rsidRDefault="009A0028" w:rsidP="009A0028">
      <w:pPr>
        <w:spacing w:line="360" w:lineRule="auto"/>
        <w:jc w:val="both"/>
        <w:rPr>
          <w:rFonts w:ascii="Arial" w:hAnsi="Arial"/>
          <w:sz w:val="24"/>
          <w:szCs w:val="24"/>
        </w:rPr>
      </w:pPr>
      <w:r>
        <w:rPr>
          <w:rFonts w:ascii="Arial" w:hAnsi="Arial"/>
          <w:sz w:val="24"/>
          <w:szCs w:val="24"/>
        </w:rPr>
        <w:t xml:space="preserve">Hilton's strategic direction can be analysed using Mintzberg's 5 Ps framework, which includes Plan, Ploy, Pattern, Position, and Perspective (Mintzberg, 1987). Hilton's strategic Plan is evident in its long-term objectives and systematic approach to expansion and innovation. The Ploy aspect is reflected in competitive tactics such as introducing Hilton </w:t>
      </w:r>
      <w:proofErr w:type="spellStart"/>
      <w:r>
        <w:rPr>
          <w:rFonts w:ascii="Arial" w:hAnsi="Arial"/>
          <w:sz w:val="24"/>
          <w:szCs w:val="24"/>
        </w:rPr>
        <w:t>CleanStay</w:t>
      </w:r>
      <w:proofErr w:type="spellEnd"/>
      <w:r>
        <w:rPr>
          <w:rFonts w:ascii="Arial" w:hAnsi="Arial"/>
          <w:sz w:val="24"/>
          <w:szCs w:val="24"/>
        </w:rPr>
        <w:t xml:space="preserve"> to differentiate from competitors during the pandemic (Hilton, 2020). The Pattern is observed in Hilton's consistent focus on quality service and sustainability initiatives. Position highlights its market leadership and extensive global footprint, while perspective is demonstrated by its commitment to corporate responsibility and community impact.</w:t>
      </w:r>
    </w:p>
    <w:p w14:paraId="28CA9EF1" w14:textId="77777777" w:rsidR="009A0028" w:rsidRDefault="009A0028" w:rsidP="009A0028">
      <w:pPr>
        <w:spacing w:line="360" w:lineRule="auto"/>
        <w:jc w:val="both"/>
        <w:rPr>
          <w:rFonts w:ascii="Arial" w:hAnsi="Arial"/>
          <w:sz w:val="24"/>
          <w:szCs w:val="24"/>
        </w:rPr>
      </w:pPr>
      <w:r>
        <w:rPr>
          <w:rFonts w:ascii="Arial" w:hAnsi="Arial"/>
          <w:sz w:val="24"/>
          <w:szCs w:val="24"/>
        </w:rPr>
        <w:t>A SWOT analysis provides additional insight into Hilton's strategic direction. Strengths include a robust brand reputation and technological innovation, while weaknesses involve high operating costs. Opportunities arise from market expansion and the growing demand for sustainable tourism, whereas economic downturns and competitive pressures pose threats (Kotler &amp; Keller, 2016). Hilton leverages its strengths to overcome weaknesses, capitalise on opportunities, and mitigate threats to achieve its strategic goals.</w:t>
      </w:r>
    </w:p>
    <w:p w14:paraId="00404F02" w14:textId="77777777" w:rsidR="009A0028" w:rsidRDefault="009A0028" w:rsidP="009A0028">
      <w:pPr>
        <w:spacing w:line="360" w:lineRule="auto"/>
        <w:jc w:val="both"/>
        <w:rPr>
          <w:rFonts w:ascii="Arial" w:hAnsi="Arial"/>
          <w:sz w:val="24"/>
          <w:szCs w:val="24"/>
        </w:rPr>
      </w:pPr>
      <w:r>
        <w:rPr>
          <w:rFonts w:ascii="Arial" w:hAnsi="Arial"/>
          <w:b/>
          <w:bCs/>
          <w:sz w:val="24"/>
          <w:szCs w:val="24"/>
        </w:rPr>
        <w:t>Comparison with Competitors' Strategies</w:t>
      </w:r>
    </w:p>
    <w:p w14:paraId="3E23AFD5" w14:textId="77777777" w:rsidR="009A0028" w:rsidRDefault="009A0028" w:rsidP="009A0028">
      <w:pPr>
        <w:spacing w:line="360" w:lineRule="auto"/>
        <w:jc w:val="both"/>
        <w:rPr>
          <w:rFonts w:ascii="Arial" w:hAnsi="Arial"/>
          <w:sz w:val="24"/>
          <w:szCs w:val="24"/>
        </w:rPr>
      </w:pPr>
      <w:r>
        <w:rPr>
          <w:rFonts w:ascii="Arial" w:hAnsi="Arial"/>
          <w:sz w:val="24"/>
          <w:szCs w:val="24"/>
        </w:rPr>
        <w:lastRenderedPageBreak/>
        <w:t>Hilton's strategic priorities in digital transformation and sustainability distinguish it from competitors like Marriott and Hyatt. Marriott emphasises innovation and adaptability, while Hyatt focuses on customised guest experiences and wellness (Marriott, 2022; Hyatt, 2023). Hilton's unique combination of technological advancements, vital customer loyalty programs, and robust sustainability initiatives ensures a competitive edge and alignment with evolving market trends.</w:t>
      </w:r>
    </w:p>
    <w:p w14:paraId="7A1D4961" w14:textId="77777777" w:rsidR="009A0028" w:rsidRDefault="009A0028" w:rsidP="009A0028">
      <w:pPr>
        <w:spacing w:line="360" w:lineRule="auto"/>
        <w:jc w:val="both"/>
        <w:rPr>
          <w:rFonts w:ascii="Arial" w:hAnsi="Arial"/>
          <w:sz w:val="24"/>
          <w:szCs w:val="24"/>
        </w:rPr>
      </w:pPr>
      <w:r>
        <w:rPr>
          <w:rFonts w:ascii="Arial" w:hAnsi="Arial"/>
          <w:sz w:val="24"/>
          <w:szCs w:val="24"/>
        </w:rPr>
        <w:t>Applying change management theories further elucidates Hilton's approach. Lewin's change management model involves unfreezing current practices, implementing changes, and refreezing new processes. Kotter's 8-step change model emphasises creating urgency, forming a guiding coalition, developing a vision, and systematically instituting changes (Kotter, 1996). Hilton's initiatives reflect these principles through strategic planning, stakeholder engagement, and continuous improvement.</w:t>
      </w:r>
    </w:p>
    <w:p w14:paraId="50951602" w14:textId="77777777" w:rsidR="009A0028" w:rsidRDefault="009A0028" w:rsidP="009A0028">
      <w:pPr>
        <w:spacing w:line="360" w:lineRule="auto"/>
        <w:jc w:val="both"/>
        <w:rPr>
          <w:rFonts w:ascii="Arial" w:hAnsi="Arial"/>
          <w:sz w:val="24"/>
          <w:szCs w:val="24"/>
        </w:rPr>
      </w:pPr>
      <w:r>
        <w:rPr>
          <w:rFonts w:ascii="Arial" w:hAnsi="Arial"/>
          <w:b/>
          <w:bCs/>
          <w:sz w:val="24"/>
          <w:szCs w:val="24"/>
        </w:rPr>
        <w:t>Conclusion</w:t>
      </w:r>
    </w:p>
    <w:p w14:paraId="027A29AA" w14:textId="77777777" w:rsidR="009A0028" w:rsidRDefault="009A0028" w:rsidP="009A0028">
      <w:pPr>
        <w:spacing w:line="360" w:lineRule="auto"/>
        <w:jc w:val="both"/>
        <w:rPr>
          <w:rFonts w:ascii="Arial" w:hAnsi="Arial"/>
          <w:sz w:val="24"/>
          <w:szCs w:val="24"/>
        </w:rPr>
      </w:pPr>
      <w:r>
        <w:rPr>
          <w:rFonts w:ascii="Arial" w:hAnsi="Arial"/>
          <w:sz w:val="24"/>
          <w:szCs w:val="24"/>
        </w:rPr>
        <w:t>Hilton Hotel Group's well-developed organisational framework, inclusive culture, customer-centric approach, and proactive efforts to embrace change have played a crucial role in its remarkable achievements within the fiercely competitive hospitality sector. The hierarchical framework facilitates effective decision-making, whereas the clan culture promotes employee engagement and contentment. Recent digital transformation and sustainability initiatives have improved operational efficiency and environmental responsibility. Hilton's strategic direction, which aligns with its mission and vision, positions the company to maintain growth and establish itself as a leader in the market. Hilton is well-prepared to handle future challenges and take advantage of new opportunities by using its strengths and addressing weaknesses. This will ensure that Hilton continues to be successful and maintains a competitive edge.</w:t>
      </w:r>
    </w:p>
    <w:p w14:paraId="239D178E" w14:textId="77777777" w:rsidR="009A0028" w:rsidRDefault="009A0028" w:rsidP="009A0028">
      <w:pPr>
        <w:spacing w:line="360" w:lineRule="auto"/>
        <w:jc w:val="both"/>
        <w:rPr>
          <w:rFonts w:ascii="Arial" w:hAnsi="Arial"/>
          <w:sz w:val="24"/>
          <w:szCs w:val="24"/>
        </w:rPr>
      </w:pPr>
    </w:p>
    <w:p w14:paraId="5C9D704A" w14:textId="77777777" w:rsidR="009A0028" w:rsidRDefault="009A0028" w:rsidP="009A0028">
      <w:pPr>
        <w:spacing w:line="360" w:lineRule="auto"/>
        <w:jc w:val="both"/>
        <w:rPr>
          <w:rFonts w:ascii="Arial" w:hAnsi="Arial"/>
          <w:sz w:val="24"/>
          <w:szCs w:val="24"/>
        </w:rPr>
      </w:pPr>
    </w:p>
    <w:p w14:paraId="1EE99F3A" w14:textId="77777777" w:rsidR="009A0028" w:rsidRDefault="009A0028" w:rsidP="009A0028">
      <w:pPr>
        <w:spacing w:line="360" w:lineRule="auto"/>
        <w:jc w:val="both"/>
        <w:rPr>
          <w:rFonts w:ascii="Arial" w:hAnsi="Arial"/>
          <w:sz w:val="24"/>
          <w:szCs w:val="24"/>
        </w:rPr>
      </w:pPr>
    </w:p>
    <w:p w14:paraId="038E2D78" w14:textId="77777777" w:rsidR="009A0028" w:rsidRDefault="009A0028" w:rsidP="009A0028">
      <w:pPr>
        <w:spacing w:line="360" w:lineRule="auto"/>
        <w:jc w:val="both"/>
        <w:rPr>
          <w:rFonts w:ascii="Arial" w:hAnsi="Arial"/>
          <w:sz w:val="24"/>
          <w:szCs w:val="24"/>
        </w:rPr>
      </w:pPr>
    </w:p>
    <w:p w14:paraId="15A9F1DE" w14:textId="77777777" w:rsidR="00656274" w:rsidRDefault="00656274" w:rsidP="009A0028">
      <w:pPr>
        <w:spacing w:line="360" w:lineRule="auto"/>
        <w:jc w:val="both"/>
        <w:rPr>
          <w:rFonts w:ascii="Arial" w:hAnsi="Arial"/>
          <w:sz w:val="24"/>
          <w:szCs w:val="24"/>
        </w:rPr>
      </w:pPr>
    </w:p>
    <w:p w14:paraId="65A69AD6" w14:textId="77777777" w:rsidR="0082765B" w:rsidRDefault="0082765B" w:rsidP="009A0028">
      <w:pPr>
        <w:spacing w:line="360" w:lineRule="auto"/>
        <w:jc w:val="both"/>
        <w:rPr>
          <w:rFonts w:ascii="Arial" w:hAnsi="Arial"/>
          <w:b/>
          <w:bCs/>
          <w:sz w:val="24"/>
          <w:szCs w:val="24"/>
        </w:rPr>
      </w:pPr>
    </w:p>
    <w:p w14:paraId="7A24F604" w14:textId="40505A57" w:rsidR="009A0028" w:rsidRDefault="009A0028" w:rsidP="009A0028">
      <w:pPr>
        <w:spacing w:line="360" w:lineRule="auto"/>
        <w:jc w:val="both"/>
        <w:rPr>
          <w:rFonts w:ascii="Arial" w:hAnsi="Arial"/>
          <w:b/>
          <w:bCs/>
          <w:sz w:val="24"/>
          <w:szCs w:val="24"/>
        </w:rPr>
      </w:pPr>
      <w:r>
        <w:rPr>
          <w:rFonts w:ascii="Arial" w:hAnsi="Arial"/>
          <w:b/>
          <w:bCs/>
          <w:sz w:val="24"/>
          <w:szCs w:val="24"/>
        </w:rPr>
        <w:lastRenderedPageBreak/>
        <w:t>References list:</w:t>
      </w:r>
    </w:p>
    <w:p w14:paraId="76FEE9DE" w14:textId="77777777" w:rsidR="009A0028" w:rsidRDefault="009A0028" w:rsidP="009A0028">
      <w:pPr>
        <w:numPr>
          <w:ilvl w:val="0"/>
          <w:numId w:val="2"/>
        </w:numPr>
        <w:spacing w:line="360" w:lineRule="auto"/>
        <w:jc w:val="both"/>
        <w:rPr>
          <w:rFonts w:ascii="Arial" w:hAnsi="Arial"/>
          <w:sz w:val="24"/>
          <w:szCs w:val="24"/>
        </w:rPr>
      </w:pPr>
      <w:r>
        <w:rPr>
          <w:rFonts w:ascii="Arial" w:hAnsi="Arial"/>
          <w:sz w:val="24"/>
          <w:szCs w:val="24"/>
        </w:rPr>
        <w:t xml:space="preserve">Cameron, K. S., &amp; Quinn, R. E. (2011). </w:t>
      </w:r>
      <w:r>
        <w:rPr>
          <w:rFonts w:ascii="Arial" w:hAnsi="Arial"/>
          <w:i/>
          <w:iCs/>
          <w:sz w:val="24"/>
          <w:szCs w:val="24"/>
        </w:rPr>
        <w:t>Diagnosing and Changing Organizational Culture: Based on the Competing Values Framework</w:t>
      </w:r>
      <w:r>
        <w:rPr>
          <w:rFonts w:ascii="Arial" w:hAnsi="Arial"/>
          <w:sz w:val="24"/>
          <w:szCs w:val="24"/>
        </w:rPr>
        <w:t xml:space="preserve">. 3rd ed. John Wiley &amp; Sons. </w:t>
      </w:r>
      <w:hyperlink r:id="rId5" w:history="1">
        <w:r>
          <w:rPr>
            <w:rStyle w:val="Hyperlink"/>
            <w:rFonts w:ascii="Arial" w:hAnsi="Arial"/>
            <w:sz w:val="24"/>
            <w:szCs w:val="24"/>
          </w:rPr>
          <w:t>https://www.bing.com/ck/a?!&amp;&amp;p=7fb9a64669f268b4JmltdHM9MTcxNTk5MDQwMCZpZ3VpZD0xNTExZGUyOS0xN2YxLTY4MjUtMTkwMC1jZGIzMTY1ODY5MTImaW5zaWQ9NTIwMA&amp;ptn=3&amp;ver=2&amp;hsh=3&amp;fclid=1511de29-17f1-6825-1900-cdb316586912&amp;psq=1.+Cameron%2c+K.+S.%2c+%26+Quinn%2c+R.+E.+(2011).+Diagnosing+and+Changing+Organizational+Culture%3a+Based+on+the+Competing+Values+Framework.+3rd+ed.+John+Wiley+%26+Sons.&amp;u=a1aHR0cHM6Ly93d3cucmVzZWFyY2hnYXRlLm5ldC9maWxlLlBvc3RGaWxlTG9hZGVyLmh0bWw_aWQ9NTU5MDc3YzI1ZTlkOTc2OGY2OGI0NTcwJmFzc2V0S2V5PUFTJTNBMjcxNzUwMTgzNDg5NTM3JTQwMTQ0MTgwMTcwMDczOQ&amp;ntb=1</w:t>
        </w:r>
      </w:hyperlink>
      <w:r>
        <w:rPr>
          <w:rFonts w:ascii="Arial" w:hAnsi="Arial"/>
          <w:sz w:val="24"/>
          <w:szCs w:val="24"/>
        </w:rPr>
        <w:t xml:space="preserve"> </w:t>
      </w:r>
    </w:p>
    <w:p w14:paraId="2C5ED193" w14:textId="77777777" w:rsidR="009A0028" w:rsidRDefault="009A0028" w:rsidP="009A0028">
      <w:pPr>
        <w:numPr>
          <w:ilvl w:val="0"/>
          <w:numId w:val="2"/>
        </w:numPr>
        <w:spacing w:line="360" w:lineRule="auto"/>
        <w:jc w:val="both"/>
        <w:rPr>
          <w:rFonts w:ascii="Arial" w:hAnsi="Arial"/>
          <w:sz w:val="24"/>
          <w:szCs w:val="24"/>
        </w:rPr>
      </w:pPr>
      <w:r>
        <w:rPr>
          <w:rFonts w:ascii="Arial" w:hAnsi="Arial"/>
          <w:sz w:val="24"/>
          <w:szCs w:val="24"/>
        </w:rPr>
        <w:t xml:space="preserve">CIPD. (2021). </w:t>
      </w:r>
      <w:r>
        <w:rPr>
          <w:rFonts w:ascii="Arial" w:hAnsi="Arial"/>
          <w:i/>
          <w:iCs/>
          <w:sz w:val="24"/>
          <w:szCs w:val="24"/>
        </w:rPr>
        <w:t>Diversity and Inclusion at Work</w:t>
      </w:r>
      <w:r>
        <w:rPr>
          <w:rFonts w:ascii="Arial" w:hAnsi="Arial"/>
          <w:sz w:val="24"/>
          <w:szCs w:val="24"/>
        </w:rPr>
        <w:t xml:space="preserve">. Available at: </w:t>
      </w:r>
      <w:hyperlink r:id="rId6" w:tgtFrame="_new" w:history="1">
        <w:r>
          <w:rPr>
            <w:rStyle w:val="Hyperlink"/>
            <w:rFonts w:ascii="Arial" w:hAnsi="Arial"/>
            <w:sz w:val="24"/>
            <w:szCs w:val="24"/>
          </w:rPr>
          <w:t>https://www.cipd.co.uk</w:t>
        </w:r>
      </w:hyperlink>
      <w:r>
        <w:rPr>
          <w:rFonts w:ascii="Arial" w:hAnsi="Arial"/>
          <w:sz w:val="24"/>
          <w:szCs w:val="24"/>
        </w:rPr>
        <w:t xml:space="preserve"> [Accessed 16 May 2024].</w:t>
      </w:r>
    </w:p>
    <w:p w14:paraId="4C9ACBD8" w14:textId="77777777" w:rsidR="009A0028" w:rsidRDefault="009A0028" w:rsidP="009A0028">
      <w:pPr>
        <w:numPr>
          <w:ilvl w:val="0"/>
          <w:numId w:val="2"/>
        </w:numPr>
        <w:spacing w:line="360" w:lineRule="auto"/>
        <w:jc w:val="both"/>
        <w:rPr>
          <w:rFonts w:ascii="Arial" w:hAnsi="Arial"/>
          <w:sz w:val="24"/>
          <w:szCs w:val="24"/>
        </w:rPr>
      </w:pPr>
      <w:r>
        <w:rPr>
          <w:rFonts w:ascii="Arial" w:hAnsi="Arial"/>
          <w:sz w:val="24"/>
          <w:szCs w:val="24"/>
        </w:rPr>
        <w:t xml:space="preserve">Cummings, T. G., &amp; Worley, C. G. (2014). </w:t>
      </w:r>
      <w:r>
        <w:rPr>
          <w:rFonts w:ascii="Arial" w:hAnsi="Arial"/>
          <w:i/>
          <w:iCs/>
          <w:sz w:val="24"/>
          <w:szCs w:val="24"/>
        </w:rPr>
        <w:t>Organization Development and Change</w:t>
      </w:r>
      <w:r>
        <w:rPr>
          <w:rFonts w:ascii="Arial" w:hAnsi="Arial"/>
          <w:sz w:val="24"/>
          <w:szCs w:val="24"/>
        </w:rPr>
        <w:t xml:space="preserve">. 10th ed. Cengage Learning. </w:t>
      </w:r>
      <w:hyperlink r:id="rId7" w:history="1">
        <w:r>
          <w:rPr>
            <w:rStyle w:val="Hyperlink"/>
            <w:rFonts w:ascii="Arial" w:hAnsi="Arial"/>
            <w:sz w:val="24"/>
            <w:szCs w:val="24"/>
          </w:rPr>
          <w:t>Organization-Development-and-Change.pdf (mcs.gov.kh)</w:t>
        </w:r>
      </w:hyperlink>
    </w:p>
    <w:p w14:paraId="698AF655" w14:textId="77777777" w:rsidR="009A0028" w:rsidRDefault="009A0028" w:rsidP="009A0028">
      <w:pPr>
        <w:numPr>
          <w:ilvl w:val="0"/>
          <w:numId w:val="2"/>
        </w:numPr>
        <w:spacing w:line="360" w:lineRule="auto"/>
        <w:jc w:val="both"/>
        <w:rPr>
          <w:rFonts w:ascii="Arial" w:hAnsi="Arial"/>
          <w:sz w:val="24"/>
          <w:szCs w:val="24"/>
        </w:rPr>
      </w:pPr>
      <w:r>
        <w:rPr>
          <w:rFonts w:ascii="Arial" w:hAnsi="Arial"/>
          <w:sz w:val="24"/>
          <w:szCs w:val="24"/>
        </w:rPr>
        <w:t xml:space="preserve">Daft, R. L. (2020). </w:t>
      </w:r>
      <w:r>
        <w:rPr>
          <w:rFonts w:ascii="Arial" w:hAnsi="Arial"/>
          <w:i/>
          <w:iCs/>
          <w:sz w:val="24"/>
          <w:szCs w:val="24"/>
        </w:rPr>
        <w:t>Organisation Theory and Design</w:t>
      </w:r>
      <w:r>
        <w:rPr>
          <w:rFonts w:ascii="Arial" w:hAnsi="Arial"/>
          <w:sz w:val="24"/>
          <w:szCs w:val="24"/>
        </w:rPr>
        <w:t>. 13th ed. Cengage Learning.</w:t>
      </w:r>
    </w:p>
    <w:p w14:paraId="1319050E" w14:textId="77777777" w:rsidR="009A0028" w:rsidRDefault="009A0028" w:rsidP="009A0028">
      <w:pPr>
        <w:numPr>
          <w:ilvl w:val="0"/>
          <w:numId w:val="2"/>
        </w:numPr>
        <w:spacing w:line="360" w:lineRule="auto"/>
        <w:jc w:val="both"/>
        <w:rPr>
          <w:rFonts w:ascii="Arial" w:hAnsi="Arial"/>
          <w:sz w:val="24"/>
          <w:szCs w:val="24"/>
        </w:rPr>
      </w:pPr>
      <w:r>
        <w:rPr>
          <w:rFonts w:ascii="Arial" w:hAnsi="Arial"/>
          <w:sz w:val="24"/>
          <w:szCs w:val="24"/>
        </w:rPr>
        <w:t xml:space="preserve">Denison, D. R. (1990). </w:t>
      </w:r>
      <w:r>
        <w:rPr>
          <w:rFonts w:ascii="Arial" w:hAnsi="Arial"/>
          <w:i/>
          <w:iCs/>
          <w:sz w:val="24"/>
          <w:szCs w:val="24"/>
        </w:rPr>
        <w:t>Corporate Culture and Organizational Effectiveness</w:t>
      </w:r>
      <w:r>
        <w:rPr>
          <w:rFonts w:ascii="Arial" w:hAnsi="Arial"/>
          <w:sz w:val="24"/>
          <w:szCs w:val="24"/>
        </w:rPr>
        <w:t xml:space="preserve">. John Wiley &amp; Sons. </w:t>
      </w:r>
      <w:hyperlink r:id="rId8" w:history="1">
        <w:r>
          <w:rPr>
            <w:rStyle w:val="Hyperlink"/>
            <w:rFonts w:ascii="Arial" w:hAnsi="Arial"/>
            <w:sz w:val="24"/>
            <w:szCs w:val="24"/>
          </w:rPr>
          <w:t>https://www.researchgate.net/publication/274649299_Corporate_Culture_and_Organizational_Effectiveness</w:t>
        </w:r>
      </w:hyperlink>
      <w:r>
        <w:rPr>
          <w:rFonts w:ascii="Arial" w:hAnsi="Arial"/>
          <w:sz w:val="24"/>
          <w:szCs w:val="24"/>
        </w:rPr>
        <w:t xml:space="preserve"> </w:t>
      </w:r>
    </w:p>
    <w:p w14:paraId="41E3AC53" w14:textId="77777777" w:rsidR="009A0028" w:rsidRDefault="009A0028" w:rsidP="009A0028">
      <w:pPr>
        <w:numPr>
          <w:ilvl w:val="0"/>
          <w:numId w:val="2"/>
        </w:numPr>
        <w:spacing w:line="360" w:lineRule="auto"/>
        <w:jc w:val="both"/>
        <w:rPr>
          <w:rFonts w:ascii="Arial" w:hAnsi="Arial"/>
          <w:sz w:val="24"/>
          <w:szCs w:val="24"/>
        </w:rPr>
      </w:pPr>
      <w:r>
        <w:rPr>
          <w:rFonts w:ascii="Arial" w:hAnsi="Arial"/>
          <w:sz w:val="24"/>
          <w:szCs w:val="24"/>
        </w:rPr>
        <w:t xml:space="preserve">Dobson, P. (2001). </w:t>
      </w:r>
      <w:r>
        <w:rPr>
          <w:rFonts w:ascii="Arial" w:hAnsi="Arial"/>
          <w:i/>
          <w:iCs/>
          <w:sz w:val="24"/>
          <w:szCs w:val="24"/>
        </w:rPr>
        <w:t>Leading Change: Management of Organisational Change</w:t>
      </w:r>
      <w:r>
        <w:rPr>
          <w:rFonts w:ascii="Arial" w:hAnsi="Arial"/>
          <w:sz w:val="24"/>
          <w:szCs w:val="24"/>
        </w:rPr>
        <w:t xml:space="preserve">. Sage Publications. </w:t>
      </w:r>
      <w:hyperlink r:id="rId9" w:history="1">
        <w:r>
          <w:rPr>
            <w:rStyle w:val="Hyperlink"/>
            <w:rFonts w:ascii="Arial" w:hAnsi="Arial"/>
            <w:sz w:val="24"/>
            <w:szCs w:val="24"/>
          </w:rPr>
          <w:t>https://www.researchgate.net/publication/235283819_Leading_organizational_change</w:t>
        </w:r>
      </w:hyperlink>
      <w:r>
        <w:rPr>
          <w:rFonts w:ascii="Arial" w:hAnsi="Arial"/>
          <w:sz w:val="24"/>
          <w:szCs w:val="24"/>
        </w:rPr>
        <w:t xml:space="preserve"> </w:t>
      </w:r>
    </w:p>
    <w:p w14:paraId="5656B582" w14:textId="77777777" w:rsidR="009A0028" w:rsidRDefault="009A0028" w:rsidP="009A0028">
      <w:pPr>
        <w:numPr>
          <w:ilvl w:val="0"/>
          <w:numId w:val="2"/>
        </w:numPr>
        <w:spacing w:line="360" w:lineRule="auto"/>
        <w:jc w:val="both"/>
        <w:rPr>
          <w:rFonts w:ascii="Arial" w:hAnsi="Arial"/>
          <w:sz w:val="24"/>
          <w:szCs w:val="24"/>
        </w:rPr>
      </w:pPr>
      <w:r>
        <w:rPr>
          <w:rFonts w:ascii="Arial" w:hAnsi="Arial"/>
          <w:sz w:val="24"/>
          <w:szCs w:val="24"/>
        </w:rPr>
        <w:lastRenderedPageBreak/>
        <w:t xml:space="preserve">Drucker, P. F. (1993). </w:t>
      </w:r>
      <w:r>
        <w:rPr>
          <w:rFonts w:ascii="Arial" w:hAnsi="Arial"/>
          <w:i/>
          <w:iCs/>
          <w:sz w:val="24"/>
          <w:szCs w:val="24"/>
        </w:rPr>
        <w:t>Management: Tasks, Responsibilities, Practices</w:t>
      </w:r>
      <w:r>
        <w:rPr>
          <w:rFonts w:ascii="Arial" w:hAnsi="Arial"/>
          <w:sz w:val="24"/>
          <w:szCs w:val="24"/>
        </w:rPr>
        <w:t xml:space="preserve">. </w:t>
      </w:r>
      <w:proofErr w:type="spellStart"/>
      <w:r>
        <w:rPr>
          <w:rFonts w:ascii="Arial" w:hAnsi="Arial"/>
          <w:sz w:val="24"/>
          <w:szCs w:val="24"/>
        </w:rPr>
        <w:t>HarperBusiness</w:t>
      </w:r>
      <w:proofErr w:type="spellEnd"/>
      <w:r>
        <w:rPr>
          <w:rFonts w:ascii="Arial" w:hAnsi="Arial"/>
          <w:sz w:val="24"/>
          <w:szCs w:val="24"/>
        </w:rPr>
        <w:t xml:space="preserve">. </w:t>
      </w:r>
      <w:hyperlink r:id="rId10" w:history="1">
        <w:r>
          <w:rPr>
            <w:rStyle w:val="Hyperlink"/>
            <w:rFonts w:ascii="Arial" w:hAnsi="Arial"/>
            <w:sz w:val="24"/>
            <w:szCs w:val="24"/>
          </w:rPr>
          <w:t>http://dspace.vnbrims.org:13000/jspui/bitstream/123456789/4735/1/Management%20-%20Tasks%2C%20Responsibilities%2C%20Practices.pdf</w:t>
        </w:r>
      </w:hyperlink>
      <w:r>
        <w:rPr>
          <w:rFonts w:ascii="Arial" w:hAnsi="Arial"/>
          <w:sz w:val="24"/>
          <w:szCs w:val="24"/>
        </w:rPr>
        <w:t xml:space="preserve"> </w:t>
      </w:r>
    </w:p>
    <w:p w14:paraId="577E0F65" w14:textId="77777777" w:rsidR="009A0028" w:rsidRDefault="009A0028" w:rsidP="009A0028">
      <w:pPr>
        <w:numPr>
          <w:ilvl w:val="0"/>
          <w:numId w:val="2"/>
        </w:numPr>
        <w:spacing w:line="360" w:lineRule="auto"/>
        <w:jc w:val="both"/>
        <w:rPr>
          <w:rFonts w:ascii="Arial" w:hAnsi="Arial"/>
          <w:sz w:val="24"/>
          <w:szCs w:val="24"/>
        </w:rPr>
      </w:pPr>
      <w:r>
        <w:rPr>
          <w:rFonts w:ascii="Arial" w:hAnsi="Arial"/>
          <w:sz w:val="24"/>
          <w:szCs w:val="24"/>
        </w:rPr>
        <w:t xml:space="preserve">Handy, C. (1985). </w:t>
      </w:r>
      <w:r>
        <w:rPr>
          <w:rFonts w:ascii="Arial" w:hAnsi="Arial"/>
          <w:i/>
          <w:iCs/>
          <w:sz w:val="24"/>
          <w:szCs w:val="24"/>
        </w:rPr>
        <w:t>Understanding Organizations</w:t>
      </w:r>
      <w:r>
        <w:rPr>
          <w:rFonts w:ascii="Arial" w:hAnsi="Arial"/>
          <w:sz w:val="24"/>
          <w:szCs w:val="24"/>
        </w:rPr>
        <w:t>. Penguin Books.</w:t>
      </w:r>
    </w:p>
    <w:p w14:paraId="1A21875C" w14:textId="77777777" w:rsidR="009A0028" w:rsidRDefault="009A0028" w:rsidP="009A0028">
      <w:pPr>
        <w:numPr>
          <w:ilvl w:val="0"/>
          <w:numId w:val="2"/>
        </w:numPr>
        <w:spacing w:line="360" w:lineRule="auto"/>
        <w:jc w:val="both"/>
        <w:rPr>
          <w:rFonts w:ascii="Arial" w:hAnsi="Arial"/>
          <w:sz w:val="24"/>
          <w:szCs w:val="24"/>
        </w:rPr>
      </w:pPr>
      <w:r>
        <w:rPr>
          <w:rFonts w:ascii="Arial" w:hAnsi="Arial"/>
          <w:sz w:val="24"/>
          <w:szCs w:val="24"/>
        </w:rPr>
        <w:t xml:space="preserve">Hill, C. W. L., &amp; Jones, G. R. (2012). </w:t>
      </w:r>
      <w:r>
        <w:rPr>
          <w:rFonts w:ascii="Arial" w:hAnsi="Arial"/>
          <w:i/>
          <w:iCs/>
          <w:sz w:val="24"/>
          <w:szCs w:val="24"/>
        </w:rPr>
        <w:t>Strategic Management Theory: An Integrated Approach</w:t>
      </w:r>
      <w:r>
        <w:rPr>
          <w:rFonts w:ascii="Arial" w:hAnsi="Arial"/>
          <w:sz w:val="24"/>
          <w:szCs w:val="24"/>
        </w:rPr>
        <w:t>. Cengage Learning.</w:t>
      </w:r>
    </w:p>
    <w:p w14:paraId="13529CF5" w14:textId="77777777" w:rsidR="009A0028" w:rsidRDefault="009A0028" w:rsidP="009A0028">
      <w:pPr>
        <w:numPr>
          <w:ilvl w:val="0"/>
          <w:numId w:val="2"/>
        </w:numPr>
        <w:spacing w:line="360" w:lineRule="auto"/>
        <w:jc w:val="both"/>
        <w:rPr>
          <w:rFonts w:ascii="Arial" w:hAnsi="Arial"/>
          <w:sz w:val="24"/>
          <w:szCs w:val="24"/>
        </w:rPr>
      </w:pPr>
      <w:r>
        <w:rPr>
          <w:rFonts w:ascii="Arial" w:hAnsi="Arial"/>
          <w:sz w:val="24"/>
          <w:szCs w:val="24"/>
        </w:rPr>
        <w:t xml:space="preserve">Hilton. (2020). </w:t>
      </w:r>
      <w:r>
        <w:rPr>
          <w:rFonts w:ascii="Arial" w:hAnsi="Arial"/>
          <w:i/>
          <w:iCs/>
          <w:sz w:val="24"/>
          <w:szCs w:val="24"/>
        </w:rPr>
        <w:t>2020 Annual Report</w:t>
      </w:r>
      <w:r>
        <w:rPr>
          <w:rFonts w:ascii="Arial" w:hAnsi="Arial"/>
          <w:sz w:val="24"/>
          <w:szCs w:val="24"/>
        </w:rPr>
        <w:t>. Available at: Hilton 2020 Annual Report [Accessed 13 May 2024].</w:t>
      </w:r>
    </w:p>
    <w:p w14:paraId="635C0FE2" w14:textId="77777777" w:rsidR="009A0028" w:rsidRDefault="009A0028" w:rsidP="009A0028">
      <w:pPr>
        <w:numPr>
          <w:ilvl w:val="0"/>
          <w:numId w:val="2"/>
        </w:numPr>
        <w:spacing w:line="360" w:lineRule="auto"/>
        <w:jc w:val="both"/>
        <w:rPr>
          <w:rFonts w:ascii="Arial" w:hAnsi="Arial"/>
          <w:sz w:val="24"/>
          <w:szCs w:val="24"/>
        </w:rPr>
      </w:pPr>
      <w:r>
        <w:rPr>
          <w:rFonts w:ascii="Arial" w:hAnsi="Arial"/>
          <w:sz w:val="24"/>
          <w:szCs w:val="24"/>
        </w:rPr>
        <w:t xml:space="preserve">Hilton. (2021). </w:t>
      </w:r>
      <w:r>
        <w:rPr>
          <w:rFonts w:ascii="Arial" w:hAnsi="Arial"/>
          <w:i/>
          <w:iCs/>
          <w:sz w:val="24"/>
          <w:szCs w:val="24"/>
        </w:rPr>
        <w:t>2021 Annual Report</w:t>
      </w:r>
      <w:r>
        <w:rPr>
          <w:rFonts w:ascii="Arial" w:hAnsi="Arial"/>
          <w:sz w:val="24"/>
          <w:szCs w:val="24"/>
        </w:rPr>
        <w:t>. Available at: Hilton 2021 Annual Report [Accessed 13 May 2024].</w:t>
      </w:r>
    </w:p>
    <w:p w14:paraId="5DDA49BC" w14:textId="77777777" w:rsidR="009A0028" w:rsidRDefault="009A0028" w:rsidP="009A0028">
      <w:pPr>
        <w:numPr>
          <w:ilvl w:val="0"/>
          <w:numId w:val="2"/>
        </w:numPr>
        <w:spacing w:line="360" w:lineRule="auto"/>
        <w:jc w:val="both"/>
        <w:rPr>
          <w:rFonts w:ascii="Arial" w:hAnsi="Arial"/>
          <w:sz w:val="24"/>
          <w:szCs w:val="24"/>
        </w:rPr>
      </w:pPr>
      <w:r>
        <w:rPr>
          <w:rFonts w:ascii="Arial" w:hAnsi="Arial"/>
          <w:sz w:val="24"/>
          <w:szCs w:val="24"/>
        </w:rPr>
        <w:t xml:space="preserve">Hilton. (2022). </w:t>
      </w:r>
      <w:r>
        <w:rPr>
          <w:rFonts w:ascii="Arial" w:hAnsi="Arial"/>
          <w:i/>
          <w:iCs/>
          <w:sz w:val="24"/>
          <w:szCs w:val="24"/>
        </w:rPr>
        <w:t>2022 Year in Review</w:t>
      </w:r>
      <w:r>
        <w:rPr>
          <w:rFonts w:ascii="Arial" w:hAnsi="Arial"/>
          <w:sz w:val="24"/>
          <w:szCs w:val="24"/>
        </w:rPr>
        <w:t xml:space="preserve">. Available at: </w:t>
      </w:r>
      <w:hyperlink r:id="rId11" w:anchor="ceovideo" w:tgtFrame="_new" w:history="1">
        <w:r>
          <w:rPr>
            <w:rStyle w:val="Hyperlink"/>
            <w:rFonts w:ascii="Arial" w:hAnsi="Arial"/>
            <w:sz w:val="24"/>
            <w:szCs w:val="24"/>
          </w:rPr>
          <w:t>Hilton 2022 Year in Review</w:t>
        </w:r>
      </w:hyperlink>
      <w:r>
        <w:rPr>
          <w:rFonts w:ascii="Arial" w:hAnsi="Arial"/>
          <w:sz w:val="24"/>
          <w:szCs w:val="24"/>
        </w:rPr>
        <w:t xml:space="preserve"> [Accessed 13 May 2024].</w:t>
      </w:r>
    </w:p>
    <w:p w14:paraId="1A4B9C13" w14:textId="77777777" w:rsidR="009A0028" w:rsidRDefault="009A0028" w:rsidP="009A0028">
      <w:pPr>
        <w:numPr>
          <w:ilvl w:val="0"/>
          <w:numId w:val="2"/>
        </w:numPr>
        <w:spacing w:line="360" w:lineRule="auto"/>
        <w:jc w:val="both"/>
        <w:rPr>
          <w:rFonts w:ascii="Arial" w:hAnsi="Arial"/>
          <w:sz w:val="24"/>
          <w:szCs w:val="24"/>
        </w:rPr>
      </w:pPr>
      <w:r>
        <w:rPr>
          <w:rFonts w:ascii="Arial" w:hAnsi="Arial"/>
          <w:sz w:val="24"/>
          <w:szCs w:val="24"/>
        </w:rPr>
        <w:t xml:space="preserve">Hilton. (2023). </w:t>
      </w:r>
      <w:r>
        <w:rPr>
          <w:rFonts w:ascii="Arial" w:hAnsi="Arial"/>
          <w:i/>
          <w:iCs/>
          <w:sz w:val="24"/>
          <w:szCs w:val="24"/>
        </w:rPr>
        <w:t>2023 Annual Report</w:t>
      </w:r>
      <w:r>
        <w:rPr>
          <w:rFonts w:ascii="Arial" w:hAnsi="Arial"/>
          <w:sz w:val="24"/>
          <w:szCs w:val="24"/>
        </w:rPr>
        <w:t xml:space="preserve">. Available at: </w:t>
      </w:r>
      <w:hyperlink r:id="rId12" w:anchor="ceovideo" w:tgtFrame="_new" w:history="1">
        <w:r>
          <w:rPr>
            <w:rStyle w:val="Hyperlink"/>
            <w:rFonts w:ascii="Arial" w:hAnsi="Arial"/>
            <w:sz w:val="24"/>
            <w:szCs w:val="24"/>
          </w:rPr>
          <w:t>Hilton 2023 Annual Report</w:t>
        </w:r>
      </w:hyperlink>
      <w:r>
        <w:rPr>
          <w:rFonts w:ascii="Arial" w:hAnsi="Arial"/>
          <w:sz w:val="24"/>
          <w:szCs w:val="24"/>
        </w:rPr>
        <w:t xml:space="preserve"> [Accessed 13 May 2024].</w:t>
      </w:r>
    </w:p>
    <w:p w14:paraId="61AF3228" w14:textId="77777777" w:rsidR="009A0028" w:rsidRDefault="009A0028" w:rsidP="009A0028">
      <w:pPr>
        <w:numPr>
          <w:ilvl w:val="0"/>
          <w:numId w:val="2"/>
        </w:numPr>
        <w:spacing w:line="360" w:lineRule="auto"/>
        <w:jc w:val="both"/>
        <w:rPr>
          <w:rFonts w:ascii="Arial" w:hAnsi="Arial"/>
          <w:sz w:val="24"/>
          <w:szCs w:val="24"/>
        </w:rPr>
      </w:pPr>
      <w:r>
        <w:rPr>
          <w:rFonts w:ascii="Arial" w:hAnsi="Arial"/>
          <w:sz w:val="24"/>
          <w:szCs w:val="24"/>
        </w:rPr>
        <w:t xml:space="preserve">Hofstede, G. (2011). </w:t>
      </w:r>
      <w:proofErr w:type="spellStart"/>
      <w:r>
        <w:rPr>
          <w:rFonts w:ascii="Arial" w:hAnsi="Arial"/>
          <w:i/>
          <w:iCs/>
          <w:sz w:val="24"/>
          <w:szCs w:val="24"/>
        </w:rPr>
        <w:t>Dimensionalizing</w:t>
      </w:r>
      <w:proofErr w:type="spellEnd"/>
      <w:r>
        <w:rPr>
          <w:rFonts w:ascii="Arial" w:hAnsi="Arial"/>
          <w:i/>
          <w:iCs/>
          <w:sz w:val="24"/>
          <w:szCs w:val="24"/>
        </w:rPr>
        <w:t xml:space="preserve"> Cultures: The Hofstede Model in Context</w:t>
      </w:r>
      <w:r>
        <w:rPr>
          <w:rFonts w:ascii="Arial" w:hAnsi="Arial"/>
          <w:sz w:val="24"/>
          <w:szCs w:val="24"/>
        </w:rPr>
        <w:t xml:space="preserve">. Online Readings in Psychology and Culture, 2(1). </w:t>
      </w:r>
      <w:hyperlink r:id="rId13" w:history="1">
        <w:r>
          <w:rPr>
            <w:rStyle w:val="Hyperlink"/>
            <w:rFonts w:ascii="Arial" w:hAnsi="Arial"/>
            <w:sz w:val="24"/>
            <w:szCs w:val="24"/>
          </w:rPr>
          <w:t>https://www.researchgate.net/publication/254805146_Dimensionalizing_Cultures_The_Hofstede_Model_in_Context</w:t>
        </w:r>
      </w:hyperlink>
      <w:r>
        <w:rPr>
          <w:rFonts w:ascii="Arial" w:hAnsi="Arial"/>
          <w:sz w:val="24"/>
          <w:szCs w:val="24"/>
        </w:rPr>
        <w:t xml:space="preserve">   </w:t>
      </w:r>
    </w:p>
    <w:p w14:paraId="19241DA6" w14:textId="77777777" w:rsidR="009A0028" w:rsidRDefault="009A0028" w:rsidP="009A0028">
      <w:pPr>
        <w:numPr>
          <w:ilvl w:val="0"/>
          <w:numId w:val="2"/>
        </w:numPr>
        <w:spacing w:line="360" w:lineRule="auto"/>
        <w:jc w:val="both"/>
        <w:rPr>
          <w:rFonts w:ascii="Arial" w:hAnsi="Arial"/>
          <w:sz w:val="24"/>
          <w:szCs w:val="24"/>
        </w:rPr>
      </w:pPr>
      <w:r>
        <w:rPr>
          <w:rFonts w:ascii="Arial" w:hAnsi="Arial"/>
          <w:sz w:val="24"/>
          <w:szCs w:val="24"/>
        </w:rPr>
        <w:t>Hyatt. (2023). 2023 Annual Report. Available at: Hyatt 2023 Annual Report [Accessed 15 May 2024].</w:t>
      </w:r>
    </w:p>
    <w:p w14:paraId="1992191D" w14:textId="77777777" w:rsidR="009A0028" w:rsidRDefault="009A0028" w:rsidP="009A0028">
      <w:pPr>
        <w:numPr>
          <w:ilvl w:val="0"/>
          <w:numId w:val="2"/>
        </w:numPr>
        <w:spacing w:line="360" w:lineRule="auto"/>
        <w:jc w:val="both"/>
        <w:rPr>
          <w:rFonts w:ascii="Arial" w:hAnsi="Arial"/>
          <w:sz w:val="24"/>
          <w:szCs w:val="24"/>
        </w:rPr>
      </w:pPr>
      <w:r>
        <w:rPr>
          <w:rFonts w:ascii="Arial" w:hAnsi="Arial"/>
          <w:sz w:val="24"/>
          <w:szCs w:val="24"/>
        </w:rPr>
        <w:t xml:space="preserve">Jones, G. R. (2013). </w:t>
      </w:r>
      <w:r>
        <w:rPr>
          <w:rFonts w:ascii="Arial" w:hAnsi="Arial"/>
          <w:i/>
          <w:iCs/>
          <w:sz w:val="24"/>
          <w:szCs w:val="24"/>
        </w:rPr>
        <w:t>Organisational Theory, Design, and Change</w:t>
      </w:r>
      <w:r>
        <w:rPr>
          <w:rFonts w:ascii="Arial" w:hAnsi="Arial"/>
          <w:sz w:val="24"/>
          <w:szCs w:val="24"/>
        </w:rPr>
        <w:t xml:space="preserve">. 7th ed. Pearson. </w:t>
      </w:r>
      <w:hyperlink r:id="rId14" w:history="1">
        <w:r>
          <w:rPr>
            <w:rStyle w:val="Hyperlink"/>
            <w:rFonts w:ascii="Arial" w:hAnsi="Arial"/>
            <w:sz w:val="24"/>
            <w:szCs w:val="24"/>
          </w:rPr>
          <w:t>https://industri.fatek.unpatti.ac.id/wp-content/uploads/2019/03/085-Organizational-Theory-Design-and-Change-Gareth-R.-Jones-Edisi-7-2013.pdf</w:t>
        </w:r>
      </w:hyperlink>
      <w:r>
        <w:rPr>
          <w:rFonts w:ascii="Arial" w:hAnsi="Arial"/>
          <w:sz w:val="24"/>
          <w:szCs w:val="24"/>
        </w:rPr>
        <w:t xml:space="preserve"> </w:t>
      </w:r>
    </w:p>
    <w:p w14:paraId="14DA1CAB" w14:textId="77777777" w:rsidR="009A0028" w:rsidRDefault="009A0028" w:rsidP="009A0028">
      <w:pPr>
        <w:numPr>
          <w:ilvl w:val="0"/>
          <w:numId w:val="2"/>
        </w:numPr>
        <w:spacing w:line="360" w:lineRule="auto"/>
        <w:jc w:val="both"/>
        <w:rPr>
          <w:rFonts w:ascii="Arial" w:hAnsi="Arial"/>
          <w:sz w:val="24"/>
          <w:szCs w:val="24"/>
        </w:rPr>
      </w:pPr>
      <w:r>
        <w:rPr>
          <w:rFonts w:ascii="Arial" w:hAnsi="Arial"/>
          <w:sz w:val="24"/>
          <w:szCs w:val="24"/>
        </w:rPr>
        <w:t xml:space="preserve">Kotler, P., &amp; Keller, K. L. (2016). </w:t>
      </w:r>
      <w:r>
        <w:rPr>
          <w:rFonts w:ascii="Arial" w:hAnsi="Arial"/>
          <w:i/>
          <w:iCs/>
          <w:sz w:val="24"/>
          <w:szCs w:val="24"/>
        </w:rPr>
        <w:t>Marketing Management</w:t>
      </w:r>
      <w:r>
        <w:rPr>
          <w:rFonts w:ascii="Arial" w:hAnsi="Arial"/>
          <w:sz w:val="24"/>
          <w:szCs w:val="24"/>
        </w:rPr>
        <w:t>. 15th ed. Pearson.</w:t>
      </w:r>
    </w:p>
    <w:p w14:paraId="0E8A8944" w14:textId="77777777" w:rsidR="009A0028" w:rsidRDefault="009A0028" w:rsidP="009A0028">
      <w:pPr>
        <w:numPr>
          <w:ilvl w:val="0"/>
          <w:numId w:val="2"/>
        </w:numPr>
        <w:spacing w:line="360" w:lineRule="auto"/>
        <w:jc w:val="both"/>
        <w:rPr>
          <w:rFonts w:ascii="Arial" w:hAnsi="Arial"/>
          <w:sz w:val="24"/>
          <w:szCs w:val="24"/>
        </w:rPr>
      </w:pPr>
      <w:r>
        <w:rPr>
          <w:rFonts w:ascii="Arial" w:hAnsi="Arial"/>
          <w:sz w:val="24"/>
          <w:szCs w:val="24"/>
        </w:rPr>
        <w:t xml:space="preserve">Kotter, J. P. (1996). </w:t>
      </w:r>
      <w:r>
        <w:rPr>
          <w:rFonts w:ascii="Arial" w:hAnsi="Arial"/>
          <w:i/>
          <w:iCs/>
          <w:sz w:val="24"/>
          <w:szCs w:val="24"/>
        </w:rPr>
        <w:t>Leading Change</w:t>
      </w:r>
      <w:r>
        <w:rPr>
          <w:rFonts w:ascii="Arial" w:hAnsi="Arial"/>
          <w:sz w:val="24"/>
          <w:szCs w:val="24"/>
        </w:rPr>
        <w:t>. Harvard Business Review Press.</w:t>
      </w:r>
    </w:p>
    <w:p w14:paraId="73C0B191" w14:textId="77777777" w:rsidR="009A0028" w:rsidRDefault="009A0028" w:rsidP="009A0028">
      <w:pPr>
        <w:numPr>
          <w:ilvl w:val="0"/>
          <w:numId w:val="2"/>
        </w:numPr>
        <w:spacing w:line="360" w:lineRule="auto"/>
        <w:jc w:val="both"/>
        <w:rPr>
          <w:rFonts w:ascii="Arial" w:hAnsi="Arial"/>
          <w:sz w:val="24"/>
          <w:szCs w:val="24"/>
        </w:rPr>
      </w:pPr>
      <w:r>
        <w:rPr>
          <w:rFonts w:ascii="Arial" w:hAnsi="Arial"/>
          <w:sz w:val="24"/>
          <w:szCs w:val="24"/>
        </w:rPr>
        <w:t xml:space="preserve">Kotter, J. P., &amp; Heskett, J. L. (1992). </w:t>
      </w:r>
      <w:r>
        <w:rPr>
          <w:rFonts w:ascii="Arial" w:hAnsi="Arial"/>
          <w:i/>
          <w:iCs/>
          <w:sz w:val="24"/>
          <w:szCs w:val="24"/>
        </w:rPr>
        <w:t>Corporate Culture and Performance</w:t>
      </w:r>
      <w:r>
        <w:rPr>
          <w:rFonts w:ascii="Arial" w:hAnsi="Arial"/>
          <w:sz w:val="24"/>
          <w:szCs w:val="24"/>
        </w:rPr>
        <w:t>. Free Press.</w:t>
      </w:r>
    </w:p>
    <w:p w14:paraId="42690CE6" w14:textId="77777777" w:rsidR="009A0028" w:rsidRDefault="009A0028" w:rsidP="009A0028">
      <w:pPr>
        <w:numPr>
          <w:ilvl w:val="0"/>
          <w:numId w:val="2"/>
        </w:numPr>
        <w:spacing w:line="360" w:lineRule="auto"/>
        <w:jc w:val="both"/>
        <w:rPr>
          <w:rFonts w:ascii="Arial" w:hAnsi="Arial"/>
          <w:sz w:val="24"/>
          <w:szCs w:val="24"/>
        </w:rPr>
      </w:pPr>
      <w:r>
        <w:rPr>
          <w:rFonts w:ascii="Arial" w:hAnsi="Arial"/>
          <w:sz w:val="24"/>
          <w:szCs w:val="24"/>
        </w:rPr>
        <w:t xml:space="preserve">Lewin, K. (1951). </w:t>
      </w:r>
      <w:r>
        <w:rPr>
          <w:rFonts w:ascii="Arial" w:hAnsi="Arial"/>
          <w:i/>
          <w:iCs/>
          <w:sz w:val="24"/>
          <w:szCs w:val="24"/>
        </w:rPr>
        <w:t>Field Theory in Social Science</w:t>
      </w:r>
      <w:r>
        <w:rPr>
          <w:rFonts w:ascii="Arial" w:hAnsi="Arial"/>
          <w:sz w:val="24"/>
          <w:szCs w:val="24"/>
        </w:rPr>
        <w:t>. Harper &amp; Row.</w:t>
      </w:r>
    </w:p>
    <w:p w14:paraId="5320ABE5" w14:textId="77777777" w:rsidR="009A0028" w:rsidRDefault="009A0028" w:rsidP="009A0028">
      <w:pPr>
        <w:numPr>
          <w:ilvl w:val="0"/>
          <w:numId w:val="2"/>
        </w:numPr>
        <w:spacing w:line="360" w:lineRule="auto"/>
        <w:jc w:val="both"/>
        <w:rPr>
          <w:rFonts w:ascii="Arial" w:hAnsi="Arial"/>
          <w:sz w:val="24"/>
          <w:szCs w:val="24"/>
        </w:rPr>
      </w:pPr>
      <w:r>
        <w:rPr>
          <w:rFonts w:ascii="Arial" w:hAnsi="Arial"/>
          <w:sz w:val="24"/>
          <w:szCs w:val="24"/>
        </w:rPr>
        <w:lastRenderedPageBreak/>
        <w:t xml:space="preserve">Marriott. (2022). 2022 Annual Report. Available at: </w:t>
      </w:r>
      <w:hyperlink r:id="rId15" w:tgtFrame="_new" w:history="1">
        <w:r>
          <w:rPr>
            <w:rStyle w:val="Hyperlink"/>
            <w:rFonts w:ascii="Arial" w:hAnsi="Arial"/>
            <w:sz w:val="24"/>
            <w:szCs w:val="24"/>
          </w:rPr>
          <w:t>https://marriott.com</w:t>
        </w:r>
      </w:hyperlink>
    </w:p>
    <w:p w14:paraId="276F4FF4" w14:textId="77777777" w:rsidR="009A0028" w:rsidRDefault="009A0028" w:rsidP="009A0028">
      <w:pPr>
        <w:numPr>
          <w:ilvl w:val="0"/>
          <w:numId w:val="2"/>
        </w:numPr>
        <w:spacing w:line="360" w:lineRule="auto"/>
        <w:jc w:val="both"/>
        <w:rPr>
          <w:rFonts w:ascii="Arial" w:hAnsi="Arial"/>
          <w:sz w:val="24"/>
          <w:szCs w:val="24"/>
        </w:rPr>
      </w:pPr>
      <w:r>
        <w:rPr>
          <w:rFonts w:ascii="Arial" w:hAnsi="Arial"/>
          <w:sz w:val="24"/>
          <w:szCs w:val="24"/>
        </w:rPr>
        <w:t xml:space="preserve">McKinsey &amp; Company. (2008). </w:t>
      </w:r>
      <w:r>
        <w:rPr>
          <w:rFonts w:ascii="Arial" w:hAnsi="Arial"/>
          <w:i/>
          <w:iCs/>
          <w:sz w:val="24"/>
          <w:szCs w:val="24"/>
        </w:rPr>
        <w:t>The McKinsey Quarterly: Organizational Change</w:t>
      </w:r>
      <w:r>
        <w:rPr>
          <w:rFonts w:ascii="Arial" w:hAnsi="Arial"/>
          <w:sz w:val="24"/>
          <w:szCs w:val="24"/>
        </w:rPr>
        <w:t>. McKinsey &amp; Company.</w:t>
      </w:r>
    </w:p>
    <w:p w14:paraId="745AFC5C" w14:textId="77777777" w:rsidR="009A0028" w:rsidRDefault="009A0028" w:rsidP="009A0028">
      <w:pPr>
        <w:numPr>
          <w:ilvl w:val="0"/>
          <w:numId w:val="2"/>
        </w:numPr>
        <w:spacing w:line="360" w:lineRule="auto"/>
        <w:jc w:val="both"/>
        <w:rPr>
          <w:rFonts w:ascii="Arial" w:hAnsi="Arial"/>
          <w:sz w:val="24"/>
          <w:szCs w:val="24"/>
        </w:rPr>
      </w:pPr>
      <w:r>
        <w:rPr>
          <w:rFonts w:ascii="Arial" w:hAnsi="Arial"/>
          <w:sz w:val="24"/>
          <w:szCs w:val="24"/>
        </w:rPr>
        <w:t>Nazir, Nadia &amp; Zamir, Shazia. (2015). Impact of Organizational Culture on Employee's Performance.</w:t>
      </w:r>
    </w:p>
    <w:p w14:paraId="61904284" w14:textId="77777777" w:rsidR="009A0028" w:rsidRDefault="009A0028" w:rsidP="009A0028">
      <w:pPr>
        <w:numPr>
          <w:ilvl w:val="0"/>
          <w:numId w:val="2"/>
        </w:numPr>
        <w:spacing w:line="360" w:lineRule="auto"/>
        <w:jc w:val="both"/>
        <w:rPr>
          <w:rFonts w:ascii="Arial" w:hAnsi="Arial"/>
          <w:sz w:val="24"/>
          <w:szCs w:val="24"/>
        </w:rPr>
      </w:pPr>
      <w:r>
        <w:rPr>
          <w:rFonts w:ascii="Arial" w:hAnsi="Arial"/>
          <w:sz w:val="24"/>
          <w:szCs w:val="24"/>
        </w:rPr>
        <w:t xml:space="preserve">Mintzberg, H. (1987). </w:t>
      </w:r>
      <w:r>
        <w:rPr>
          <w:rFonts w:ascii="Arial" w:hAnsi="Arial"/>
          <w:i/>
          <w:iCs/>
          <w:sz w:val="24"/>
          <w:szCs w:val="24"/>
        </w:rPr>
        <w:t>The Strategy Concept I: Five Ps for Strategy</w:t>
      </w:r>
      <w:r>
        <w:rPr>
          <w:rFonts w:ascii="Arial" w:hAnsi="Arial"/>
          <w:sz w:val="24"/>
          <w:szCs w:val="24"/>
        </w:rPr>
        <w:t xml:space="preserve">. California Management Review, 30(1), pp. 11-24. </w:t>
      </w:r>
      <w:hyperlink r:id="rId16" w:history="1">
        <w:r>
          <w:rPr>
            <w:rStyle w:val="Hyperlink"/>
            <w:rFonts w:ascii="Arial" w:hAnsi="Arial"/>
            <w:sz w:val="24"/>
            <w:szCs w:val="24"/>
          </w:rPr>
          <w:t>https://www.academia.edu/6944722/The_Strategy_Concept_I_Five_Ps_For_Strategy</w:t>
        </w:r>
      </w:hyperlink>
      <w:r>
        <w:rPr>
          <w:rFonts w:ascii="Arial" w:hAnsi="Arial"/>
          <w:sz w:val="24"/>
          <w:szCs w:val="24"/>
        </w:rPr>
        <w:t xml:space="preserve"> </w:t>
      </w:r>
    </w:p>
    <w:p w14:paraId="7654ADC6" w14:textId="77777777" w:rsidR="009A0028" w:rsidRDefault="009A0028" w:rsidP="009A0028">
      <w:pPr>
        <w:numPr>
          <w:ilvl w:val="0"/>
          <w:numId w:val="2"/>
        </w:numPr>
        <w:spacing w:line="360" w:lineRule="auto"/>
        <w:jc w:val="both"/>
        <w:rPr>
          <w:rFonts w:ascii="Arial" w:hAnsi="Arial"/>
          <w:sz w:val="24"/>
          <w:szCs w:val="24"/>
        </w:rPr>
      </w:pPr>
      <w:r>
        <w:rPr>
          <w:rFonts w:ascii="Arial" w:hAnsi="Arial"/>
          <w:sz w:val="24"/>
          <w:szCs w:val="24"/>
        </w:rPr>
        <w:t xml:space="preserve">Reidhead, C. (2020). Impact of Organizational Culture on Employee Satisfaction: A Case of Hilton Hotel, United Kingdom. Macroeconomics: Aggregative Models </w:t>
      </w:r>
      <w:proofErr w:type="spellStart"/>
      <w:r>
        <w:rPr>
          <w:rFonts w:ascii="Arial" w:hAnsi="Arial"/>
          <w:sz w:val="24"/>
          <w:szCs w:val="24"/>
        </w:rPr>
        <w:t>eJournal</w:t>
      </w:r>
      <w:proofErr w:type="spellEnd"/>
      <w:r>
        <w:rPr>
          <w:rFonts w:ascii="Arial" w:hAnsi="Arial"/>
          <w:sz w:val="24"/>
          <w:szCs w:val="24"/>
        </w:rPr>
        <w:t xml:space="preserve">.  </w:t>
      </w:r>
      <w:hyperlink r:id="rId17" w:history="1">
        <w:r>
          <w:rPr>
            <w:rStyle w:val="Hyperlink"/>
            <w:rFonts w:ascii="Arial" w:hAnsi="Arial"/>
            <w:sz w:val="24"/>
            <w:szCs w:val="24"/>
          </w:rPr>
          <w:t>https://www.asianinstituteofresearch.org/_files/ugd/ed8b62_95cdd2e0f908489cb7f808eb864d9d98.pdf</w:t>
        </w:r>
      </w:hyperlink>
      <w:r>
        <w:rPr>
          <w:rFonts w:ascii="Arial" w:hAnsi="Arial"/>
          <w:sz w:val="24"/>
          <w:szCs w:val="24"/>
        </w:rPr>
        <w:t xml:space="preserve"> </w:t>
      </w:r>
    </w:p>
    <w:p w14:paraId="299B6D62" w14:textId="77777777" w:rsidR="009A0028" w:rsidRDefault="009A0028" w:rsidP="009A0028">
      <w:pPr>
        <w:numPr>
          <w:ilvl w:val="0"/>
          <w:numId w:val="2"/>
        </w:numPr>
        <w:spacing w:line="360" w:lineRule="auto"/>
        <w:jc w:val="both"/>
        <w:rPr>
          <w:rFonts w:ascii="Arial" w:hAnsi="Arial"/>
          <w:sz w:val="24"/>
          <w:szCs w:val="24"/>
        </w:rPr>
      </w:pPr>
      <w:r>
        <w:rPr>
          <w:rFonts w:ascii="Arial" w:hAnsi="Arial"/>
          <w:sz w:val="24"/>
          <w:szCs w:val="24"/>
        </w:rPr>
        <w:t xml:space="preserve">Robbins, S. P., &amp; Judge, T. A. (2018). </w:t>
      </w:r>
      <w:r>
        <w:rPr>
          <w:rFonts w:ascii="Arial" w:hAnsi="Arial"/>
          <w:i/>
          <w:iCs/>
          <w:sz w:val="24"/>
          <w:szCs w:val="24"/>
        </w:rPr>
        <w:t xml:space="preserve">Organisational </w:t>
      </w:r>
      <w:proofErr w:type="spellStart"/>
      <w:r>
        <w:rPr>
          <w:rFonts w:ascii="Arial" w:hAnsi="Arial"/>
          <w:i/>
          <w:iCs/>
          <w:sz w:val="24"/>
          <w:szCs w:val="24"/>
        </w:rPr>
        <w:t>Behavior</w:t>
      </w:r>
      <w:proofErr w:type="spellEnd"/>
      <w:r>
        <w:rPr>
          <w:rFonts w:ascii="Arial" w:hAnsi="Arial"/>
          <w:sz w:val="24"/>
          <w:szCs w:val="24"/>
        </w:rPr>
        <w:t xml:space="preserve">. 18th ed. Pearson. </w:t>
      </w:r>
      <w:hyperlink r:id="rId18" w:history="1">
        <w:r>
          <w:rPr>
            <w:rStyle w:val="Hyperlink"/>
            <w:rFonts w:ascii="Arial" w:hAnsi="Arial"/>
            <w:sz w:val="24"/>
            <w:szCs w:val="24"/>
          </w:rPr>
          <w:t>https://pdfcoffee.com/organizational-behavior-18th-edition-by-stephen-p-robbins-timothy-a-judge-robbins-stephen-p-judge-timothy-a-pdf-free.html</w:t>
        </w:r>
      </w:hyperlink>
      <w:r>
        <w:rPr>
          <w:rFonts w:ascii="Arial" w:hAnsi="Arial"/>
          <w:sz w:val="24"/>
          <w:szCs w:val="24"/>
        </w:rPr>
        <w:t xml:space="preserve"> </w:t>
      </w:r>
    </w:p>
    <w:p w14:paraId="4AC0042B" w14:textId="77777777" w:rsidR="009A0028" w:rsidRDefault="009A0028" w:rsidP="009A0028">
      <w:pPr>
        <w:numPr>
          <w:ilvl w:val="0"/>
          <w:numId w:val="2"/>
        </w:numPr>
        <w:spacing w:line="360" w:lineRule="auto"/>
        <w:jc w:val="both"/>
        <w:rPr>
          <w:rFonts w:ascii="Arial" w:hAnsi="Arial"/>
          <w:sz w:val="24"/>
          <w:szCs w:val="24"/>
        </w:rPr>
      </w:pPr>
      <w:r>
        <w:rPr>
          <w:rFonts w:ascii="Arial" w:hAnsi="Arial"/>
          <w:sz w:val="24"/>
          <w:szCs w:val="24"/>
        </w:rPr>
        <w:t xml:space="preserve">Rogers, E. M. (2003). </w:t>
      </w:r>
      <w:r>
        <w:rPr>
          <w:rFonts w:ascii="Arial" w:hAnsi="Arial"/>
          <w:i/>
          <w:iCs/>
          <w:sz w:val="24"/>
          <w:szCs w:val="24"/>
        </w:rPr>
        <w:t>Diffusion of Innovations</w:t>
      </w:r>
      <w:r>
        <w:rPr>
          <w:rFonts w:ascii="Arial" w:hAnsi="Arial"/>
          <w:sz w:val="24"/>
          <w:szCs w:val="24"/>
        </w:rPr>
        <w:t xml:space="preserve">. 5th ed. Free Press. </w:t>
      </w:r>
      <w:hyperlink r:id="rId19" w:history="1">
        <w:r>
          <w:rPr>
            <w:rStyle w:val="Hyperlink"/>
            <w:rFonts w:ascii="Arial" w:hAnsi="Arial"/>
            <w:sz w:val="24"/>
            <w:szCs w:val="24"/>
          </w:rPr>
          <w:t>https://teddykw2.wordpress.com/wp-content/uploads/2012/07/everett-m-rogers-diffusion-of-innovations.pdf</w:t>
        </w:r>
      </w:hyperlink>
      <w:r>
        <w:rPr>
          <w:rFonts w:ascii="Arial" w:hAnsi="Arial"/>
          <w:sz w:val="24"/>
          <w:szCs w:val="24"/>
        </w:rPr>
        <w:t xml:space="preserve"> </w:t>
      </w:r>
    </w:p>
    <w:p w14:paraId="436CCEF8" w14:textId="77777777" w:rsidR="009A0028" w:rsidRDefault="009A0028" w:rsidP="009A0028">
      <w:pPr>
        <w:numPr>
          <w:ilvl w:val="0"/>
          <w:numId w:val="2"/>
        </w:numPr>
        <w:spacing w:line="360" w:lineRule="auto"/>
        <w:jc w:val="both"/>
        <w:rPr>
          <w:rFonts w:ascii="Arial" w:hAnsi="Arial"/>
          <w:sz w:val="24"/>
          <w:szCs w:val="24"/>
        </w:rPr>
      </w:pPr>
      <w:r>
        <w:rPr>
          <w:rFonts w:ascii="Arial" w:hAnsi="Arial"/>
          <w:sz w:val="24"/>
          <w:szCs w:val="24"/>
        </w:rPr>
        <w:t xml:space="preserve">Schein, E. H. (2010). </w:t>
      </w:r>
      <w:r>
        <w:rPr>
          <w:rFonts w:ascii="Arial" w:hAnsi="Arial"/>
          <w:i/>
          <w:iCs/>
          <w:sz w:val="24"/>
          <w:szCs w:val="24"/>
        </w:rPr>
        <w:t>Organisational Culture and Leadership</w:t>
      </w:r>
      <w:r>
        <w:rPr>
          <w:rFonts w:ascii="Arial" w:hAnsi="Arial"/>
          <w:sz w:val="24"/>
          <w:szCs w:val="24"/>
        </w:rPr>
        <w:t xml:space="preserve">. 4th ed. Jossey-Bass. </w:t>
      </w:r>
      <w:hyperlink r:id="rId20" w:history="1">
        <w:r>
          <w:rPr>
            <w:rStyle w:val="Hyperlink"/>
            <w:rFonts w:ascii="Arial" w:hAnsi="Arial"/>
            <w:sz w:val="24"/>
            <w:szCs w:val="24"/>
          </w:rPr>
          <w:t>https://ia800809.us.archive.org/14/items/EdgarHScheinOrganizationalCultureAndLeadership/Edgar_H_Schein_Organizational_culture_and_leadership.pdf</w:t>
        </w:r>
      </w:hyperlink>
      <w:r>
        <w:rPr>
          <w:rFonts w:ascii="Arial" w:hAnsi="Arial"/>
          <w:sz w:val="24"/>
          <w:szCs w:val="24"/>
        </w:rPr>
        <w:t xml:space="preserve"> </w:t>
      </w:r>
    </w:p>
    <w:p w14:paraId="404CE8C5" w14:textId="77777777" w:rsidR="009A0028" w:rsidRDefault="009A0028" w:rsidP="009A0028">
      <w:pPr>
        <w:numPr>
          <w:ilvl w:val="0"/>
          <w:numId w:val="2"/>
        </w:numPr>
        <w:spacing w:line="360" w:lineRule="auto"/>
        <w:jc w:val="both"/>
        <w:rPr>
          <w:rFonts w:ascii="Arial" w:hAnsi="Arial"/>
          <w:sz w:val="24"/>
          <w:szCs w:val="24"/>
        </w:rPr>
      </w:pPr>
      <w:r>
        <w:rPr>
          <w:rFonts w:ascii="Arial" w:hAnsi="Arial"/>
          <w:sz w:val="24"/>
          <w:szCs w:val="24"/>
        </w:rPr>
        <w:t xml:space="preserve">Zeng, L. (2021). Analysis of Hilton Worldwide Hotel Group’s Transnational Operation Strategy. </w:t>
      </w:r>
      <w:hyperlink r:id="rId21" w:history="1">
        <w:r>
          <w:rPr>
            <w:rStyle w:val="Hyperlink"/>
            <w:rFonts w:ascii="Arial" w:hAnsi="Arial"/>
            <w:sz w:val="24"/>
            <w:szCs w:val="24"/>
          </w:rPr>
          <w:t>https://francis-press.com/uploads/papers/6WdwdrACthtaKangNJVKP6kmJOGaCSMmyeMcnTHG.pdf</w:t>
        </w:r>
      </w:hyperlink>
      <w:r>
        <w:rPr>
          <w:rFonts w:ascii="Arial" w:hAnsi="Arial"/>
          <w:sz w:val="24"/>
          <w:szCs w:val="24"/>
        </w:rPr>
        <w:t xml:space="preserve"> </w:t>
      </w:r>
    </w:p>
    <w:p w14:paraId="618A9DE3" w14:textId="77777777" w:rsidR="009A0028" w:rsidRDefault="009A0028" w:rsidP="009A0028">
      <w:pPr>
        <w:spacing w:line="360" w:lineRule="auto"/>
        <w:jc w:val="both"/>
        <w:rPr>
          <w:rFonts w:ascii="Arial" w:hAnsi="Arial"/>
          <w:sz w:val="24"/>
          <w:szCs w:val="24"/>
        </w:rPr>
      </w:pPr>
    </w:p>
    <w:p w14:paraId="1DD802E1" w14:textId="77777777" w:rsidR="009A0028" w:rsidRDefault="009A0028" w:rsidP="009A0028">
      <w:pPr>
        <w:spacing w:line="360" w:lineRule="auto"/>
        <w:jc w:val="both"/>
        <w:rPr>
          <w:rFonts w:ascii="Arial" w:hAnsi="Arial"/>
          <w:sz w:val="24"/>
          <w:szCs w:val="24"/>
        </w:rPr>
      </w:pPr>
    </w:p>
    <w:p w14:paraId="02F33D6B" w14:textId="77777777" w:rsidR="009A0028" w:rsidRDefault="009A0028" w:rsidP="009A0028">
      <w:pPr>
        <w:spacing w:line="360" w:lineRule="auto"/>
        <w:jc w:val="both"/>
        <w:rPr>
          <w:rFonts w:ascii="Arial" w:hAnsi="Arial"/>
          <w:sz w:val="24"/>
          <w:szCs w:val="24"/>
        </w:rPr>
      </w:pPr>
    </w:p>
    <w:p w14:paraId="4887F6E1" w14:textId="77777777" w:rsidR="009A0028" w:rsidRDefault="009A0028" w:rsidP="009A0028">
      <w:pPr>
        <w:spacing w:line="360" w:lineRule="auto"/>
        <w:jc w:val="both"/>
        <w:rPr>
          <w:rFonts w:ascii="Arial" w:hAnsi="Arial"/>
          <w:sz w:val="24"/>
          <w:szCs w:val="24"/>
        </w:rPr>
      </w:pPr>
    </w:p>
    <w:p w14:paraId="438D1D91" w14:textId="77777777" w:rsidR="002D254F" w:rsidRDefault="002D254F"/>
    <w:sectPr w:rsidR="002D254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DF4AC0"/>
    <w:multiLevelType w:val="multilevel"/>
    <w:tmpl w:val="FC56F9F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7EA95A92"/>
    <w:multiLevelType w:val="hybridMultilevel"/>
    <w:tmpl w:val="BFA4729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2064133975">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466215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7594"/>
    <w:rsid w:val="001B31A9"/>
    <w:rsid w:val="002D254F"/>
    <w:rsid w:val="00656274"/>
    <w:rsid w:val="006E4A3F"/>
    <w:rsid w:val="0082765B"/>
    <w:rsid w:val="009A0028"/>
    <w:rsid w:val="00A37B95"/>
    <w:rsid w:val="00B37594"/>
    <w:rsid w:val="00CB72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F17920"/>
  <w15:chartTrackingRefBased/>
  <w15:docId w15:val="{7A7B903B-0B99-4B98-9AAE-57EE530486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0028"/>
    <w:pPr>
      <w:spacing w:line="256" w:lineRule="auto"/>
    </w:pPr>
    <w:rPr>
      <w:rFonts w:ascii="Aptos" w:eastAsia="Aptos" w:hAnsi="Aptos" w:cs="Arial"/>
      <w:kern w:val="0"/>
    </w:rPr>
  </w:style>
  <w:style w:type="paragraph" w:styleId="Heading1">
    <w:name w:val="heading 1"/>
    <w:basedOn w:val="Normal"/>
    <w:next w:val="Normal"/>
    <w:link w:val="Heading1Char"/>
    <w:uiPriority w:val="9"/>
    <w:qFormat/>
    <w:rsid w:val="00B3759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3759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3759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3759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3759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3759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759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759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759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759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3759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3759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3759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3759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3759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759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759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7594"/>
    <w:rPr>
      <w:rFonts w:eastAsiaTheme="majorEastAsia" w:cstheme="majorBidi"/>
      <w:color w:val="272727" w:themeColor="text1" w:themeTint="D8"/>
    </w:rPr>
  </w:style>
  <w:style w:type="paragraph" w:styleId="Title">
    <w:name w:val="Title"/>
    <w:basedOn w:val="Normal"/>
    <w:next w:val="Normal"/>
    <w:link w:val="TitleChar"/>
    <w:uiPriority w:val="10"/>
    <w:qFormat/>
    <w:rsid w:val="00B3759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759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759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759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7594"/>
    <w:pPr>
      <w:spacing w:before="160"/>
      <w:jc w:val="center"/>
    </w:pPr>
    <w:rPr>
      <w:i/>
      <w:iCs/>
      <w:color w:val="404040" w:themeColor="text1" w:themeTint="BF"/>
    </w:rPr>
  </w:style>
  <w:style w:type="character" w:customStyle="1" w:styleId="QuoteChar">
    <w:name w:val="Quote Char"/>
    <w:basedOn w:val="DefaultParagraphFont"/>
    <w:link w:val="Quote"/>
    <w:uiPriority w:val="29"/>
    <w:rsid w:val="00B37594"/>
    <w:rPr>
      <w:i/>
      <w:iCs/>
      <w:color w:val="404040" w:themeColor="text1" w:themeTint="BF"/>
    </w:rPr>
  </w:style>
  <w:style w:type="paragraph" w:styleId="ListParagraph">
    <w:name w:val="List Paragraph"/>
    <w:basedOn w:val="Normal"/>
    <w:uiPriority w:val="34"/>
    <w:qFormat/>
    <w:rsid w:val="00B37594"/>
    <w:pPr>
      <w:ind w:left="720"/>
      <w:contextualSpacing/>
    </w:pPr>
  </w:style>
  <w:style w:type="character" w:styleId="IntenseEmphasis">
    <w:name w:val="Intense Emphasis"/>
    <w:basedOn w:val="DefaultParagraphFont"/>
    <w:uiPriority w:val="21"/>
    <w:qFormat/>
    <w:rsid w:val="00B37594"/>
    <w:rPr>
      <w:i/>
      <w:iCs/>
      <w:color w:val="0F4761" w:themeColor="accent1" w:themeShade="BF"/>
    </w:rPr>
  </w:style>
  <w:style w:type="paragraph" w:styleId="IntenseQuote">
    <w:name w:val="Intense Quote"/>
    <w:basedOn w:val="Normal"/>
    <w:next w:val="Normal"/>
    <w:link w:val="IntenseQuoteChar"/>
    <w:uiPriority w:val="30"/>
    <w:qFormat/>
    <w:rsid w:val="00B3759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37594"/>
    <w:rPr>
      <w:i/>
      <w:iCs/>
      <w:color w:val="0F4761" w:themeColor="accent1" w:themeShade="BF"/>
    </w:rPr>
  </w:style>
  <w:style w:type="character" w:styleId="IntenseReference">
    <w:name w:val="Intense Reference"/>
    <w:basedOn w:val="DefaultParagraphFont"/>
    <w:uiPriority w:val="32"/>
    <w:qFormat/>
    <w:rsid w:val="00B37594"/>
    <w:rPr>
      <w:b/>
      <w:bCs/>
      <w:smallCaps/>
      <w:color w:val="0F4761" w:themeColor="accent1" w:themeShade="BF"/>
      <w:spacing w:val="5"/>
    </w:rPr>
  </w:style>
  <w:style w:type="character" w:styleId="Hyperlink">
    <w:name w:val="Hyperlink"/>
    <w:basedOn w:val="DefaultParagraphFont"/>
    <w:uiPriority w:val="99"/>
    <w:semiHidden/>
    <w:unhideWhenUsed/>
    <w:rsid w:val="009A0028"/>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6029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ublication/274649299_Corporate_Culture_and_Organizational_Effectiveness" TargetMode="External"/><Relationship Id="rId13" Type="http://schemas.openxmlformats.org/officeDocument/2006/relationships/hyperlink" Target="https://www.researchgate.net/publication/254805146_Dimensionalizing_Cultures_The_Hofstede_Model_in_Context" TargetMode="External"/><Relationship Id="rId18" Type="http://schemas.openxmlformats.org/officeDocument/2006/relationships/hyperlink" Target="https://pdfcoffee.com/organizational-behavior-18th-edition-by-stephen-p-robbins-timothy-a-judge-robbins-stephen-p-judge-timothy-a-pdf-free.html" TargetMode="External"/><Relationship Id="rId3" Type="http://schemas.openxmlformats.org/officeDocument/2006/relationships/settings" Target="settings.xml"/><Relationship Id="rId21" Type="http://schemas.openxmlformats.org/officeDocument/2006/relationships/hyperlink" Target="https://francis-press.com/uploads/papers/6WdwdrACthtaKangNJVKP6kmJOGaCSMmyeMcnTHG.pdf" TargetMode="External"/><Relationship Id="rId7" Type="http://schemas.openxmlformats.org/officeDocument/2006/relationships/hyperlink" Target="https://www.mcs.gov.kh/wp-content/uploads/2017/07/Organization-Development-and-Change.pdf" TargetMode="External"/><Relationship Id="rId12" Type="http://schemas.openxmlformats.org/officeDocument/2006/relationships/hyperlink" Target="https://stories.hilton.com/2023-annual-report" TargetMode="External"/><Relationship Id="rId17" Type="http://schemas.openxmlformats.org/officeDocument/2006/relationships/hyperlink" Target="https://www.asianinstituteofresearch.org/_files/ugd/ed8b62_95cdd2e0f908489cb7f808eb864d9d98.pdf" TargetMode="External"/><Relationship Id="rId2" Type="http://schemas.openxmlformats.org/officeDocument/2006/relationships/styles" Target="styles.xml"/><Relationship Id="rId16" Type="http://schemas.openxmlformats.org/officeDocument/2006/relationships/hyperlink" Target="https://www.academia.edu/6944722/The_Strategy_Concept_I_Five_Ps_For_Strategy" TargetMode="External"/><Relationship Id="rId20" Type="http://schemas.openxmlformats.org/officeDocument/2006/relationships/hyperlink" Target="https://ia800809.us.archive.org/14/items/EdgarHScheinOrganizationalCultureAndLeadership/Edgar_H_Schein_Organizational_culture_and_leadership.pdf" TargetMode="External"/><Relationship Id="rId1" Type="http://schemas.openxmlformats.org/officeDocument/2006/relationships/numbering" Target="numbering.xml"/><Relationship Id="rId6" Type="http://schemas.openxmlformats.org/officeDocument/2006/relationships/hyperlink" Target="https://www.cipd.co.uk/" TargetMode="External"/><Relationship Id="rId11" Type="http://schemas.openxmlformats.org/officeDocument/2006/relationships/hyperlink" Target="https://stories.hilton.com/2022-annual-report" TargetMode="External"/><Relationship Id="rId5" Type="http://schemas.openxmlformats.org/officeDocument/2006/relationships/hyperlink" Target="https://www.bing.com/ck/a?!&amp;&amp;p=7fb9a64669f268b4JmltdHM9MTcxNTk5MDQwMCZpZ3VpZD0xNTExZGUyOS0xN2YxLTY4MjUtMTkwMC1jZGIzMTY1ODY5MTImaW5zaWQ9NTIwMA&amp;ptn=3&amp;ver=2&amp;hsh=3&amp;fclid=1511de29-17f1-6825-1900-cdb316586912&amp;psq=1.+Cameron%2c+K.+S.%2c+%26+Quinn%2c+R.+E.+(2011).+Diagnosing+and+Changing+Organizational+Culture%3a+Based+on+the+Competing+Values+Framework.+3rd+ed.+John+Wiley+%26+Sons.&amp;u=a1aHR0cHM6Ly93d3cucmVzZWFyY2hnYXRlLm5ldC9maWxlLlBvc3RGaWxlTG9hZGVyLmh0bWw_aWQ9NTU5MDc3YzI1ZTlkOTc2OGY2OGI0NTcwJmFzc2V0S2V5PUFTJTNBMjcxNzUwMTgzNDg5NTM3JTQwMTQ0MTgwMTcwMDczOQ&amp;ntb=1" TargetMode="External"/><Relationship Id="rId15" Type="http://schemas.openxmlformats.org/officeDocument/2006/relationships/hyperlink" Target="https://marriott.com" TargetMode="External"/><Relationship Id="rId23" Type="http://schemas.openxmlformats.org/officeDocument/2006/relationships/theme" Target="theme/theme1.xml"/><Relationship Id="rId10" Type="http://schemas.openxmlformats.org/officeDocument/2006/relationships/hyperlink" Target="http://dspace.vnbrims.org:13000/jspui/bitstream/123456789/4735/1/Management%20-%20Tasks%2C%20Responsibilities%2C%20Practices.pdf" TargetMode="External"/><Relationship Id="rId19" Type="http://schemas.openxmlformats.org/officeDocument/2006/relationships/hyperlink" Target="https://teddykw2.wordpress.com/wp-content/uploads/2012/07/everett-m-rogers-diffusion-of-innovations.pdf" TargetMode="External"/><Relationship Id="rId4" Type="http://schemas.openxmlformats.org/officeDocument/2006/relationships/webSettings" Target="webSettings.xml"/><Relationship Id="rId9" Type="http://schemas.openxmlformats.org/officeDocument/2006/relationships/hyperlink" Target="https://www.researchgate.net/publication/235283819_Leading_organizational_change" TargetMode="External"/><Relationship Id="rId14" Type="http://schemas.openxmlformats.org/officeDocument/2006/relationships/hyperlink" Target="https://industri.fatek.unpatti.ac.id/wp-content/uploads/2019/03/085-Organizational-Theory-Design-and-Change-Gareth-R.-Jones-Edisi-7-2013.pdf"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1</Pages>
  <Words>3947</Words>
  <Characters>22501</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Gina Stefanuta</dc:creator>
  <cp:keywords/>
  <dc:description/>
  <cp:lastModifiedBy>Gina Stefanuta</cp:lastModifiedBy>
  <cp:revision>5</cp:revision>
  <dcterms:created xsi:type="dcterms:W3CDTF">2024-05-31T18:44:00Z</dcterms:created>
  <dcterms:modified xsi:type="dcterms:W3CDTF">2024-05-31T19:13:00Z</dcterms:modified>
</cp:coreProperties>
</file>