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D2270D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021FF">
              <w:rPr>
                <w:b/>
                <w:color w:val="auto"/>
                <w:sz w:val="32"/>
              </w:rPr>
              <w:t>Ioan Hughes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993457D" w:rsidR="00575A8F" w:rsidRDefault="00B021FF" w:rsidP="00E6298B">
            <w:pPr>
              <w:overflowPunct/>
              <w:autoSpaceDE/>
              <w:autoSpaceDN/>
              <w:adjustRightInd/>
              <w:ind w:right="107"/>
              <w:textAlignment w:val="auto"/>
              <w:rPr>
                <w:b/>
                <w:color w:val="auto"/>
                <w:sz w:val="32"/>
              </w:rPr>
            </w:pPr>
            <w:r>
              <w:rPr>
                <w:b/>
                <w:color w:val="auto"/>
                <w:sz w:val="32"/>
              </w:rPr>
              <w:t>2319967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bookmarkStart w:id="0" w:name="_Hlk163564756"/>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bookmarkEnd w:id="0"/>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CC63AB6" w14:textId="77777777" w:rsidR="00340554" w:rsidRPr="00121D33" w:rsidRDefault="00340554" w:rsidP="00340554">
      <w:pPr>
        <w:spacing w:line="360" w:lineRule="auto"/>
      </w:pPr>
      <w:r w:rsidRPr="00121D33">
        <w:rPr>
          <w:color w:val="auto"/>
          <w:sz w:val="24"/>
          <w:szCs w:val="24"/>
        </w:rPr>
        <w:t xml:space="preserve">Police officers deal with members of the public who are at their lowest and most vulnerable, they can be victims of the most horrific circumstances. Dealing with these events as not only an observer but as an arbiter therefore creates a stressful environment to work in. The effect of this environment is clear with mental health related absences soaring in 2022 (Police fed, 2022). Police federation wellbeing lead Sue Honeywill said that “One in five officers have PTSD, </w:t>
      </w:r>
      <w:r w:rsidRPr="00121D33">
        <w:rPr>
          <w:color w:val="auto"/>
          <w:sz w:val="24"/>
          <w:szCs w:val="24"/>
          <w:shd w:val="clear" w:color="auto" w:fill="FFFFFF"/>
        </w:rPr>
        <w:t>and an overwhelming majority have experienced a traumatic incident at some point during their career which undoubtedly has a significant impact on their mental health.” (Police fed, 2022).</w:t>
      </w:r>
      <w:r w:rsidRPr="00121D33">
        <w:rPr>
          <w:color w:val="auto"/>
          <w:sz w:val="24"/>
          <w:szCs w:val="24"/>
        </w:rPr>
        <w:t xml:space="preserve"> Managing that stress through building resilience and minimising stress is therefore a vital part of policing. </w:t>
      </w:r>
    </w:p>
    <w:p w14:paraId="7BC725AA" w14:textId="77777777" w:rsidR="00340554" w:rsidRPr="00121D33" w:rsidRDefault="00340554" w:rsidP="00340554">
      <w:pPr>
        <w:spacing w:line="360" w:lineRule="auto"/>
        <w:rPr>
          <w:color w:val="auto"/>
          <w:sz w:val="24"/>
          <w:szCs w:val="24"/>
        </w:rPr>
      </w:pPr>
    </w:p>
    <w:p w14:paraId="21FCEAE3" w14:textId="77777777" w:rsidR="00340554" w:rsidRPr="00121D33" w:rsidRDefault="00340554" w:rsidP="00340554">
      <w:pPr>
        <w:spacing w:line="360" w:lineRule="auto"/>
        <w:rPr>
          <w:color w:val="auto"/>
          <w:sz w:val="24"/>
          <w:szCs w:val="24"/>
        </w:rPr>
      </w:pPr>
      <w:r w:rsidRPr="00121D33">
        <w:rPr>
          <w:color w:val="auto"/>
          <w:sz w:val="24"/>
          <w:szCs w:val="24"/>
        </w:rPr>
        <w:t xml:space="preserve">The first steps to building that resilience can be done through training. To discuss and compare the coping strategies I applied in my first 6 months following attestation, I will use the Gibbs reflective cycle (Gibbs, 1988). The reflective model is as follows, description, feelings, evaluation, analysis, conclusion, action plan. It’s relevance to the discussion and comparison demand of this essay is prevalent in the evaluation, analysis, and conclusion aspect of this question. </w:t>
      </w:r>
    </w:p>
    <w:p w14:paraId="7ECBD151" w14:textId="77777777" w:rsidR="00340554" w:rsidRPr="00121D33" w:rsidRDefault="00340554" w:rsidP="00340554">
      <w:pPr>
        <w:spacing w:line="360" w:lineRule="auto"/>
        <w:rPr>
          <w:color w:val="auto"/>
          <w:sz w:val="24"/>
          <w:szCs w:val="24"/>
        </w:rPr>
      </w:pPr>
    </w:p>
    <w:p w14:paraId="6C29FBDF" w14:textId="77777777" w:rsidR="00340554" w:rsidRPr="00121D33" w:rsidRDefault="00340554" w:rsidP="00340554">
      <w:pPr>
        <w:spacing w:line="360" w:lineRule="auto"/>
      </w:pPr>
      <w:r w:rsidRPr="00121D33">
        <w:rPr>
          <w:color w:val="auto"/>
          <w:sz w:val="24"/>
          <w:szCs w:val="24"/>
        </w:rPr>
        <w:t>Before reflecting on how I built resilience and minimised stress, I will define the term ‘stress’. According to the World Health Organisation, “Stress can be defined as a state of worry or mental tension caused by a difficult situation.” (WHO, 2023). Stress may therefore be understood as an event or set of events that threaten one’s natural state (</w:t>
      </w:r>
      <w:r w:rsidRPr="00121D33">
        <w:rPr>
          <w:color w:val="auto"/>
          <w:sz w:val="24"/>
          <w:szCs w:val="24"/>
          <w:shd w:val="clear" w:color="auto" w:fill="FFFFFF"/>
        </w:rPr>
        <w:t>Schneiderman N, Ironson G, Siegel SD 2005)</w:t>
      </w:r>
      <w:r w:rsidRPr="00121D33">
        <w:rPr>
          <w:color w:val="auto"/>
          <w:sz w:val="24"/>
          <w:szCs w:val="24"/>
        </w:rPr>
        <w:t xml:space="preserve">, or as W.B Cannon refers to in his article, homeostasis (W. </w:t>
      </w:r>
      <w:r w:rsidRPr="00121D33">
        <w:rPr>
          <w:color w:val="auto"/>
          <w:sz w:val="24"/>
          <w:szCs w:val="24"/>
        </w:rPr>
        <w:lastRenderedPageBreak/>
        <w:t xml:space="preserve">B. Cannon, 1915). To maintain homeostasis in a constantly changing environment, a healthy coping response to stressors that threaten this balance is required. </w:t>
      </w:r>
    </w:p>
    <w:p w14:paraId="21B08623" w14:textId="77777777" w:rsidR="00340554" w:rsidRPr="00121D33" w:rsidRDefault="00340554" w:rsidP="00340554">
      <w:pPr>
        <w:spacing w:line="360" w:lineRule="auto"/>
        <w:rPr>
          <w:color w:val="auto"/>
          <w:sz w:val="24"/>
          <w:szCs w:val="24"/>
        </w:rPr>
      </w:pPr>
    </w:p>
    <w:p w14:paraId="0C16A464" w14:textId="77777777" w:rsidR="00340554" w:rsidRPr="00121D33" w:rsidRDefault="00340554" w:rsidP="00340554">
      <w:pPr>
        <w:spacing w:line="360" w:lineRule="auto"/>
        <w:rPr>
          <w:color w:val="auto"/>
          <w:sz w:val="24"/>
          <w:szCs w:val="24"/>
        </w:rPr>
      </w:pPr>
      <w:r w:rsidRPr="00121D33">
        <w:rPr>
          <w:color w:val="auto"/>
          <w:sz w:val="24"/>
          <w:szCs w:val="24"/>
        </w:rPr>
        <w:t xml:space="preserve">The initial sixth months of police training was certainly a changing environment. A candidate must get to know their classmates, study legislation, powers, and procedures, and more still. The main potential stressors for me were being so far away from friends and family, keeping on top of legislation and the social aspects of training as an introvert. As I was outside of my local area (away from friends and family) typical coping strategies such as talking/spending time with close confidants could not be relied on. I therefore had to rely on other coping responses to combat this potential stressor. </w:t>
      </w:r>
    </w:p>
    <w:p w14:paraId="5BAD423B" w14:textId="77777777" w:rsidR="00340554" w:rsidRPr="00121D33" w:rsidRDefault="00340554" w:rsidP="00340554">
      <w:pPr>
        <w:spacing w:line="360" w:lineRule="auto"/>
        <w:rPr>
          <w:color w:val="auto"/>
          <w:sz w:val="24"/>
          <w:szCs w:val="24"/>
        </w:rPr>
      </w:pPr>
    </w:p>
    <w:p w14:paraId="20D2AA3A" w14:textId="77777777" w:rsidR="00340554" w:rsidRPr="00121D33" w:rsidRDefault="00340554" w:rsidP="00340554">
      <w:pPr>
        <w:spacing w:line="360" w:lineRule="auto"/>
      </w:pPr>
      <w:r w:rsidRPr="00121D33">
        <w:rPr>
          <w:color w:val="auto"/>
          <w:sz w:val="24"/>
          <w:szCs w:val="24"/>
        </w:rPr>
        <w:t>Overall, I did find training stressful, I believe the experience could be described accurately as impostor syndrome although I use this term colloquially rather than as a diagnosis. The term “Impostor syndrome” was coined by Pauline R. Clance and Suzanne A. Imes in the work “The impostor phenomenon in high achieving women” (</w:t>
      </w:r>
      <w:r w:rsidRPr="00121D33">
        <w:rPr>
          <w:color w:val="auto"/>
          <w:sz w:val="24"/>
          <w:szCs w:val="24"/>
          <w:shd w:val="clear" w:color="auto" w:fill="FFFFFF"/>
        </w:rPr>
        <w:t>Hirschfield, M.M., 1982)</w:t>
      </w:r>
      <w:r w:rsidRPr="00121D33">
        <w:rPr>
          <w:color w:val="auto"/>
          <w:sz w:val="24"/>
          <w:szCs w:val="24"/>
        </w:rPr>
        <w:t>. This phenomenon is what underpinned my experience. Of the five impostor syndrome types, I identify mostly with the “Natural Genius” type, according to verywellmind.com (Cuncic, 2024), this type is where the person may feel like a fraud where they do not believe they are naturally intelligent or competent. Their conception of themselves is challenged where they do not understand something first time or if it takes longer for them to learn something.</w:t>
      </w:r>
    </w:p>
    <w:p w14:paraId="4CD92FE9" w14:textId="77777777" w:rsidR="00340554" w:rsidRPr="00121D33" w:rsidRDefault="00340554" w:rsidP="00340554">
      <w:pPr>
        <w:spacing w:line="360" w:lineRule="auto"/>
        <w:rPr>
          <w:color w:val="auto"/>
          <w:sz w:val="24"/>
          <w:szCs w:val="24"/>
        </w:rPr>
      </w:pPr>
    </w:p>
    <w:p w14:paraId="430FEA5E" w14:textId="77777777" w:rsidR="00340554" w:rsidRPr="00121D33" w:rsidRDefault="00340554" w:rsidP="00340554">
      <w:pPr>
        <w:spacing w:line="360" w:lineRule="auto"/>
        <w:rPr>
          <w:color w:val="auto"/>
          <w:sz w:val="24"/>
          <w:szCs w:val="24"/>
        </w:rPr>
      </w:pPr>
      <w:r w:rsidRPr="00121D33">
        <w:rPr>
          <w:color w:val="auto"/>
          <w:sz w:val="24"/>
          <w:szCs w:val="24"/>
        </w:rPr>
        <w:t xml:space="preserve">I would describe my efforts at building resilience and minimising stress as being very effective. Firstly, while I experienced feelings of self-doubt, I would say my past experience prior to joining helped craft a solid foundation of resilience. My attitude to it was therefore to simply apply my determination to the problem. With each set back I merely accepted it and aimed to improve on the next task. Each failure did result in a dent in confidence however it did not deter me from applying more determination for the next time. I can only identify my mindset regarding building resilience and minimising stress is referring to the ancient philosophy of stoicism. </w:t>
      </w:r>
    </w:p>
    <w:p w14:paraId="549EE121" w14:textId="77777777" w:rsidR="00340554" w:rsidRPr="00121D33" w:rsidRDefault="00340554" w:rsidP="00340554">
      <w:pPr>
        <w:spacing w:line="360" w:lineRule="auto"/>
        <w:rPr>
          <w:color w:val="auto"/>
          <w:sz w:val="24"/>
          <w:szCs w:val="24"/>
        </w:rPr>
      </w:pPr>
    </w:p>
    <w:p w14:paraId="6E2F85AE" w14:textId="77777777" w:rsidR="00340554" w:rsidRPr="00121D33" w:rsidRDefault="00340554" w:rsidP="00340554">
      <w:pPr>
        <w:spacing w:line="360" w:lineRule="auto"/>
        <w:rPr>
          <w:color w:val="auto"/>
          <w:sz w:val="24"/>
          <w:szCs w:val="24"/>
        </w:rPr>
      </w:pPr>
      <w:r w:rsidRPr="00121D33">
        <w:rPr>
          <w:color w:val="auto"/>
          <w:sz w:val="24"/>
          <w:szCs w:val="24"/>
        </w:rPr>
        <w:t xml:space="preserve">Stoicism can best be described as exhibiting four virtues to achieve happiness (Durand, Marion, Simon Shogry, and Dirk Baltzly, 2023). Although happiness in this context should not be viewed as the emotion but understood as soul fulfilment. The four cardinal virtues are; wisdom, courage, temperance and justice. Practicing these virtues would therefore </w:t>
      </w:r>
      <w:r w:rsidRPr="00121D33">
        <w:rPr>
          <w:color w:val="auto"/>
          <w:sz w:val="24"/>
          <w:szCs w:val="24"/>
        </w:rPr>
        <w:lastRenderedPageBreak/>
        <w:t>cultivate a strong character. Throughout my training I tried to practice the cardinal virtues and as I passed through training, it is enough for me to conclude that they were effective in dealing with impostor syndrome and any other mental setback.</w:t>
      </w:r>
    </w:p>
    <w:p w14:paraId="3028441F" w14:textId="77777777" w:rsidR="00340554" w:rsidRPr="00121D33" w:rsidRDefault="00340554" w:rsidP="00340554">
      <w:pPr>
        <w:spacing w:line="360" w:lineRule="auto"/>
        <w:rPr>
          <w:color w:val="auto"/>
          <w:sz w:val="24"/>
          <w:szCs w:val="24"/>
        </w:rPr>
      </w:pPr>
    </w:p>
    <w:p w14:paraId="13CA1FEC" w14:textId="77777777" w:rsidR="00340554" w:rsidRPr="00121D33" w:rsidRDefault="00340554" w:rsidP="00340554">
      <w:pPr>
        <w:spacing w:line="360" w:lineRule="auto"/>
        <w:rPr>
          <w:color w:val="auto"/>
          <w:sz w:val="24"/>
          <w:szCs w:val="24"/>
        </w:rPr>
      </w:pPr>
      <w:r w:rsidRPr="00121D33">
        <w:rPr>
          <w:color w:val="auto"/>
          <w:sz w:val="24"/>
          <w:szCs w:val="24"/>
        </w:rPr>
        <w:t xml:space="preserve">During training I also found going to the gym and participating in running/strength training as vital to building resilience and minimising stress. Relevant to my impostor syndrome, becoming fitter and stronger made me feel more prepared for the role of police constable. The benefits of physical training most certainly include higher self-esteem and cognitive function. Justin C. Strickland and Mark A. Smith’s research into the anxiolytic effects of resistance training is one of the many pieces of literature confirming this (Strickland, Smith, 2014). A key component of impostor syndrome is low self-esteem, employing an activity that tackles these feelings was very effective. The improved cognition also helped with memorising legislation. Not only did I feel better as an officer physically but also felt that academically I improved. This was evident in scoring respectable marks in both exams. </w:t>
      </w:r>
    </w:p>
    <w:p w14:paraId="4C375F39" w14:textId="77777777" w:rsidR="00340554" w:rsidRPr="00121D33" w:rsidRDefault="00340554" w:rsidP="00340554">
      <w:pPr>
        <w:spacing w:line="360" w:lineRule="auto"/>
        <w:rPr>
          <w:color w:val="auto"/>
          <w:sz w:val="24"/>
          <w:szCs w:val="24"/>
        </w:rPr>
      </w:pPr>
    </w:p>
    <w:p w14:paraId="034CFA48" w14:textId="77777777" w:rsidR="00340554" w:rsidRPr="00121D33" w:rsidRDefault="00340554" w:rsidP="00340554">
      <w:pPr>
        <w:spacing w:line="360" w:lineRule="auto"/>
        <w:rPr>
          <w:color w:val="auto"/>
          <w:sz w:val="24"/>
          <w:szCs w:val="24"/>
        </w:rPr>
      </w:pPr>
      <w:r w:rsidRPr="00121D33">
        <w:rPr>
          <w:color w:val="auto"/>
          <w:sz w:val="24"/>
          <w:szCs w:val="24"/>
        </w:rPr>
        <w:t>Overall, I believe employing stoicism and a routine of exercise was the best method I could use to build resilience and minimise stress. If I were to go through training again, I would utilise those measures again. Evidence linking routines to minimising stress is also strong. My methods would only change in terms of intensity, I would build upon the foundation of a good routine. For example, I struggled with balancing going to the gym, pursuing that lifestyle as well as attaining academic achievement. If I had gone into training with a firm routine in place, then perhaps I would have done better. As of writing this, I believe much of my impostor syndrome has gone away. I have carried these good habits out of tutorship and would recommend them to any police constable, either in training or well into service.</w:t>
      </w:r>
    </w:p>
    <w:p w14:paraId="3B2A5733" w14:textId="77777777" w:rsidR="00340554" w:rsidRPr="00121D33" w:rsidRDefault="00340554" w:rsidP="00340554">
      <w:pPr>
        <w:spacing w:line="360" w:lineRule="auto"/>
        <w:ind w:right="107"/>
        <w:jc w:val="both"/>
        <w:rPr>
          <w:color w:val="000000" w:themeColor="text1"/>
          <w:sz w:val="24"/>
          <w:szCs w:val="24"/>
        </w:rPr>
      </w:pPr>
    </w:p>
    <w:p w14:paraId="62601E76" w14:textId="77777777" w:rsidR="00340554" w:rsidRPr="00121D33" w:rsidRDefault="00340554" w:rsidP="00340554">
      <w:pPr>
        <w:pStyle w:val="ListParagraph"/>
        <w:numPr>
          <w:ilvl w:val="0"/>
          <w:numId w:val="50"/>
        </w:numPr>
        <w:spacing w:line="360" w:lineRule="auto"/>
        <w:ind w:right="107"/>
        <w:jc w:val="both"/>
        <w:rPr>
          <w:color w:val="000000" w:themeColor="text1"/>
          <w:sz w:val="24"/>
          <w:szCs w:val="24"/>
        </w:rPr>
      </w:pPr>
      <w:r w:rsidRPr="00121D33">
        <w:rPr>
          <w:color w:val="000000" w:themeColor="text1"/>
          <w:sz w:val="24"/>
          <w:szCs w:val="24"/>
        </w:rPr>
        <w:t>1,003 words</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672C90">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3C2D5922" w14:textId="3F4F2F04" w:rsidR="00121D33" w:rsidRDefault="00121D33" w:rsidP="00BE57A2">
            <w:pPr>
              <w:spacing w:line="360" w:lineRule="auto"/>
              <w:ind w:right="107"/>
              <w:jc w:val="both"/>
              <w:rPr>
                <w:color w:val="000000" w:themeColor="text1"/>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18691F4" w14:textId="77777777" w:rsidR="0029020F" w:rsidRDefault="0029020F" w:rsidP="0029020F">
      <w:pPr>
        <w:spacing w:line="360" w:lineRule="auto"/>
        <w:rPr>
          <w:sz w:val="24"/>
          <w:szCs w:val="24"/>
        </w:rPr>
      </w:pPr>
      <w:r>
        <w:rPr>
          <w:sz w:val="24"/>
          <w:szCs w:val="24"/>
        </w:rPr>
        <w:t>In a job where one of the main duties is to enforce the law, conflict is inevitable and managing that conflict is essential to managing the threat, risk and harm to yourself, colleagues and members of the public. Conflict, however, does not always mean use of force and it is best to avoid the use of force until it is justified, proportionate and necessary. To reflect upon my conflict management, I will be referring to an incident where the subject was non-compliantly handcuffed and extensive but necessary amounts of force were used.</w:t>
      </w:r>
    </w:p>
    <w:p w14:paraId="529A408A" w14:textId="77777777" w:rsidR="0029020F" w:rsidRDefault="0029020F" w:rsidP="0029020F">
      <w:pPr>
        <w:spacing w:line="360" w:lineRule="auto"/>
        <w:rPr>
          <w:sz w:val="24"/>
          <w:szCs w:val="24"/>
        </w:rPr>
      </w:pPr>
    </w:p>
    <w:p w14:paraId="02AAD490" w14:textId="77777777" w:rsidR="0029020F" w:rsidRDefault="0029020F" w:rsidP="0029020F">
      <w:pPr>
        <w:spacing w:line="360" w:lineRule="auto"/>
        <w:rPr>
          <w:sz w:val="24"/>
          <w:szCs w:val="24"/>
        </w:rPr>
      </w:pPr>
      <w:r>
        <w:rPr>
          <w:sz w:val="24"/>
          <w:szCs w:val="24"/>
        </w:rPr>
        <w:t xml:space="preserve">I and other officers attended an address relating to an ongoing disturbance involving 3 females and one subject male (a female bystander, a young girl and a couple) who was known by police to be particularly violent. Officers attended the scene and dealt with the disturbance however it later transpired that the subject had punched his partner, he therefore had to be arrested. I was with the victim in a police vehicle before I saw my colleagues, then stood with the subject who was shouting. Judging by the stance of the officers and the body language of all persons involved, I believed my attendance was necessary. Given that the situation was rapidly deteriorating due to the subject becoming increasingly irate, I already surmised that force would have to be used. I think this was the best course of action because had I not chosen to help my colleagues, then the struggle </w:t>
      </w:r>
      <w:r>
        <w:rPr>
          <w:sz w:val="24"/>
          <w:szCs w:val="24"/>
        </w:rPr>
        <w:lastRenderedPageBreak/>
        <w:t>would have been even greater. This is because the subject was a very strong male who could quite comfortably overpower two officers. I recognised the situation as being a very strong and violent subject with very little to lose with two officers who must constantly affect restraint. These are what we would otherwise refer to as impact factors, features that impact our risk assessment of a situation/person (College of Policing, 2024). By attending, I was also able to support my colleagues better, this therefore gave us a tactical edge as well as a boost in morale.</w:t>
      </w:r>
    </w:p>
    <w:p w14:paraId="6EA95766" w14:textId="77777777" w:rsidR="0029020F" w:rsidRDefault="0029020F" w:rsidP="0029020F">
      <w:pPr>
        <w:spacing w:line="360" w:lineRule="auto"/>
        <w:rPr>
          <w:sz w:val="24"/>
          <w:szCs w:val="24"/>
        </w:rPr>
      </w:pPr>
    </w:p>
    <w:p w14:paraId="718AE202" w14:textId="77777777" w:rsidR="0029020F" w:rsidRDefault="0029020F" w:rsidP="0029020F">
      <w:pPr>
        <w:spacing w:line="360" w:lineRule="auto"/>
        <w:rPr>
          <w:sz w:val="24"/>
          <w:szCs w:val="24"/>
        </w:rPr>
      </w:pPr>
      <w:r>
        <w:rPr>
          <w:sz w:val="24"/>
          <w:szCs w:val="24"/>
        </w:rPr>
        <w:t xml:space="preserve">Use of communication was vital in this incident. It was communicated to the subject that due to the allegation of domestic related assault; he would have to be arrested. Officers explained this to him in a reasonable tone and justified their actions to him. As I observed the subject becoming increasingly irate and from my observations, I believed at this point no amount of convincing was going to deescalate the situation. I believed that the subject had already made his mind up to actively resist arrest. This interaction was happening as I was in the police vehicle trying to console the victim. </w:t>
      </w:r>
    </w:p>
    <w:p w14:paraId="780D6487" w14:textId="77777777" w:rsidR="0029020F" w:rsidRDefault="0029020F" w:rsidP="0029020F">
      <w:pPr>
        <w:spacing w:line="360" w:lineRule="auto"/>
        <w:rPr>
          <w:sz w:val="24"/>
          <w:szCs w:val="24"/>
        </w:rPr>
      </w:pPr>
    </w:p>
    <w:p w14:paraId="34D68E59" w14:textId="77777777" w:rsidR="0029020F" w:rsidRDefault="0029020F" w:rsidP="0029020F">
      <w:pPr>
        <w:spacing w:line="360" w:lineRule="auto"/>
        <w:rPr>
          <w:sz w:val="24"/>
          <w:szCs w:val="24"/>
        </w:rPr>
      </w:pPr>
      <w:r>
        <w:rPr>
          <w:sz w:val="24"/>
          <w:szCs w:val="24"/>
        </w:rPr>
        <w:t>As officers were appealing to the subject male, he grabbed a metal fence located outside his property. At this time, I had exited the vehicle and made my way over to the scene. The subject refused to remove his hands from the railings he was clinging to. As the subject was clinging to the fence however, I went through the 5-step appeal process. The 5-step appeal is as follows; simple, reasoned, personal, final, and then action (College of Policing, 2020). The final appeal being “Is there anything I can reasonably say or do to get you to do X”. This is the last step of the appeal and after it was relayed to the subject, he persisted in resisting arrest. I had no other option then than to act. This was a sign of good communication as it demonstrated clearly that I had exhausted every option before using force.</w:t>
      </w:r>
    </w:p>
    <w:p w14:paraId="261FB730" w14:textId="77777777" w:rsidR="0029020F" w:rsidRDefault="0029020F" w:rsidP="0029020F">
      <w:pPr>
        <w:spacing w:line="360" w:lineRule="auto"/>
        <w:rPr>
          <w:sz w:val="24"/>
          <w:szCs w:val="24"/>
        </w:rPr>
      </w:pPr>
    </w:p>
    <w:p w14:paraId="29C37186" w14:textId="77777777" w:rsidR="0029020F" w:rsidRDefault="0029020F" w:rsidP="0029020F">
      <w:pPr>
        <w:spacing w:line="360" w:lineRule="auto"/>
        <w:rPr>
          <w:sz w:val="24"/>
          <w:szCs w:val="24"/>
        </w:rPr>
      </w:pPr>
      <w:r>
        <w:rPr>
          <w:sz w:val="24"/>
          <w:szCs w:val="24"/>
        </w:rPr>
        <w:t xml:space="preserve">At this point, I was on his right side and then I tried using a pressure point by rubbing my knuckles along the back of the subject’s hand. Pressure points are a useful technique in gaining compliance when a subject is actively releasing arrest. It is most effective when they are used with verbal commands (Police magazine, 2016). A colleague on the left of the subject was also doing this but to no avail. All the while we were verbally instructing the subject to release his hands. When he did release his hands, his active resistance became even more violent by trying to wrestle with officers. At some point in the entanglement, the </w:t>
      </w:r>
      <w:r>
        <w:rPr>
          <w:sz w:val="24"/>
          <w:szCs w:val="24"/>
        </w:rPr>
        <w:lastRenderedPageBreak/>
        <w:t>subject releases his hands from the fence but then begins writhing and has an officer on each arm trying to restrain him.</w:t>
      </w:r>
    </w:p>
    <w:p w14:paraId="49E6E74A" w14:textId="77777777" w:rsidR="0029020F" w:rsidRDefault="0029020F" w:rsidP="0029020F">
      <w:pPr>
        <w:spacing w:line="360" w:lineRule="auto"/>
        <w:rPr>
          <w:sz w:val="24"/>
          <w:szCs w:val="24"/>
        </w:rPr>
      </w:pPr>
    </w:p>
    <w:p w14:paraId="3A43D1E8" w14:textId="77777777" w:rsidR="0029020F" w:rsidRDefault="0029020F" w:rsidP="0029020F">
      <w:pPr>
        <w:spacing w:line="360" w:lineRule="auto"/>
        <w:rPr>
          <w:sz w:val="24"/>
          <w:szCs w:val="24"/>
        </w:rPr>
      </w:pPr>
      <w:r>
        <w:rPr>
          <w:sz w:val="24"/>
          <w:szCs w:val="24"/>
        </w:rPr>
        <w:t>At this point in time there were a few officers on either side of him, the subject was on his knees but exhibited great amounts of strength. As I was essentially a spare pair of hands, my first thoughts were how to best keep my colleagues and myself safe. It was evident from the active resistance the subject was making that his legs would have to be restrained. As soon as I had the opportunity, I dived to the ground and restrained his legs, long enough for assisting officers to restrain the legs of the subject with issued straps. This was a positive experience as I managed to restrain the subject’s legs thereby managing to contain the conflict, the subject would not be able to kick or make off, try as he might. I therefore displayed initiative as well as good conflict management skills as I made it possible for colleagues to handcuff the subject safely. As the leg muscles are one of the largest in the body, restraining them meant that the subject’s strength was negated. The value this had in containing the conflict was demonstrably pivotal.</w:t>
      </w:r>
    </w:p>
    <w:p w14:paraId="56D88AD2" w14:textId="77777777" w:rsidR="0029020F" w:rsidRDefault="0029020F" w:rsidP="0029020F">
      <w:pPr>
        <w:spacing w:line="360" w:lineRule="auto"/>
        <w:rPr>
          <w:sz w:val="24"/>
          <w:szCs w:val="24"/>
        </w:rPr>
      </w:pPr>
    </w:p>
    <w:p w14:paraId="4C527673" w14:textId="77777777" w:rsidR="0029020F" w:rsidRDefault="0029020F" w:rsidP="0029020F">
      <w:pPr>
        <w:spacing w:line="360" w:lineRule="auto"/>
        <w:rPr>
          <w:sz w:val="24"/>
          <w:szCs w:val="24"/>
        </w:rPr>
      </w:pPr>
      <w:r>
        <w:rPr>
          <w:sz w:val="24"/>
          <w:szCs w:val="24"/>
        </w:rPr>
        <w:t>I was communicating with colleagues throughout ensuring that we were both safe and efficient in the execution of our duty. As the subject was also spitting at officers, I applied a spit-hood to the subject to prevent him from further assaulting police officers. Whenever I acted, I verbalised what I was doing so that surrounding colleagues were aware. This came with several benefits, firstly they were aware of what I was doing and could then act accordingly. Secondly, it gave them an opportunity to either intervene or support as necessary. In communicating this way, we worked effectively as a team as we controlled the situation, actions were fluid and not frantic. Each action was deliberate and disciplined, by doing this we could ensure that our use of force was justified and proportionate.</w:t>
      </w:r>
    </w:p>
    <w:p w14:paraId="129703A7" w14:textId="77777777" w:rsidR="0029020F" w:rsidRDefault="0029020F" w:rsidP="0029020F">
      <w:pPr>
        <w:spacing w:line="360" w:lineRule="auto"/>
        <w:rPr>
          <w:sz w:val="24"/>
          <w:szCs w:val="24"/>
        </w:rPr>
      </w:pPr>
    </w:p>
    <w:p w14:paraId="4673EA65" w14:textId="77777777" w:rsidR="0029020F" w:rsidRDefault="0029020F" w:rsidP="0029020F">
      <w:pPr>
        <w:spacing w:line="360" w:lineRule="auto"/>
        <w:rPr>
          <w:sz w:val="24"/>
          <w:szCs w:val="24"/>
        </w:rPr>
      </w:pPr>
      <w:r>
        <w:rPr>
          <w:sz w:val="24"/>
          <w:szCs w:val="24"/>
        </w:rPr>
        <w:t xml:space="preserve">According to Karpman’s drama triangle (Karpman, 1968), there are three roles within a confrontational event. There is the victim, rescuer, and persecutor. These roles are not to be interpreted literally but generally what each person perceives in their mind. Suffice it to say that the victim/persecutor role changed multiple times in this incident. The model is displayed as an inverted triangle to illustrate that the rescuer and the persecutor have initiative, whereas the victim has none. This is represented by the rescuer and persecutor being in the one up position and the victim being in the one down position. At the beginning of the incident, a young girl was outside an address and appeared distressed. Someone </w:t>
      </w:r>
      <w:r>
        <w:rPr>
          <w:sz w:val="24"/>
          <w:szCs w:val="24"/>
        </w:rPr>
        <w:lastRenderedPageBreak/>
        <w:t xml:space="preserve">residing at the address had called the police wishing her to be removed. As it stood, officers took on the role as rescuers. The young girl was the persecutor, and the male and female were the victims. There was also a female bystander who was confrontational with police, under the drama triangle she would be classed as a persecutor due to her antagonising conduct. </w:t>
      </w:r>
    </w:p>
    <w:p w14:paraId="67F3FE87" w14:textId="77777777" w:rsidR="0029020F" w:rsidRDefault="0029020F" w:rsidP="0029020F">
      <w:pPr>
        <w:spacing w:line="360" w:lineRule="auto"/>
        <w:rPr>
          <w:sz w:val="24"/>
          <w:szCs w:val="24"/>
        </w:rPr>
      </w:pPr>
    </w:p>
    <w:p w14:paraId="16787915" w14:textId="77777777" w:rsidR="0029020F" w:rsidRDefault="0029020F" w:rsidP="0029020F">
      <w:pPr>
        <w:spacing w:line="360" w:lineRule="auto"/>
        <w:rPr>
          <w:sz w:val="24"/>
          <w:szCs w:val="24"/>
        </w:rPr>
      </w:pPr>
      <w:r>
        <w:rPr>
          <w:sz w:val="24"/>
          <w:szCs w:val="24"/>
        </w:rPr>
        <w:t>When officers turned up at the address, the persecutor (the young girl causing a disturbance) then became the victim as she became someone in need. An uglier incident transpired, what was a mild but ongoing disturbance became a serious domestic related assault. She stopped being a persecutor as she lost initiative and essentially downscaled. She was then placed in a police van with the intention of removing her from the premises, preventing a breach of the peace. The subject male however had struck his partner (her face was bloody), the female partner had presented herself to police disclosing the assault, pleading for police intervention. With this disclosure being made, the only option available to officers would be the arrest of the male. The legislative context of this incident being clear, with someone being guilty of an offence if they assault another occasioning in actual bodily harm (Offences against the person act 1861).</w:t>
      </w:r>
    </w:p>
    <w:p w14:paraId="26C9CDA8" w14:textId="77777777" w:rsidR="0029020F" w:rsidRDefault="0029020F" w:rsidP="0029020F">
      <w:pPr>
        <w:spacing w:line="360" w:lineRule="auto"/>
        <w:rPr>
          <w:sz w:val="24"/>
          <w:szCs w:val="24"/>
        </w:rPr>
      </w:pPr>
    </w:p>
    <w:p w14:paraId="26E37442" w14:textId="77777777" w:rsidR="0029020F" w:rsidRDefault="0029020F" w:rsidP="0029020F">
      <w:pPr>
        <w:spacing w:line="360" w:lineRule="auto"/>
        <w:rPr>
          <w:sz w:val="24"/>
          <w:szCs w:val="24"/>
        </w:rPr>
      </w:pPr>
      <w:r>
        <w:rPr>
          <w:sz w:val="24"/>
          <w:szCs w:val="24"/>
        </w:rPr>
        <w:t xml:space="preserve">She then became the victim, and the male (her partner) became the persecutor. As he had to be arrested, her role changed once more to become a persecutor. This was because she blamed police for her partner being arrested, admittedly it became difficult being level-headed as she joined forces with the antagonistic bystander. Officers did everything possible to appeal to the subject male however the two female persecutors started screaming at officers and insulting them. </w:t>
      </w:r>
    </w:p>
    <w:p w14:paraId="7EEFD3BA" w14:textId="77777777" w:rsidR="0029020F" w:rsidRDefault="0029020F" w:rsidP="0029020F">
      <w:pPr>
        <w:spacing w:line="360" w:lineRule="auto"/>
        <w:rPr>
          <w:sz w:val="24"/>
          <w:szCs w:val="24"/>
        </w:rPr>
      </w:pPr>
    </w:p>
    <w:p w14:paraId="519A78E9" w14:textId="77777777" w:rsidR="0029020F" w:rsidRDefault="0029020F" w:rsidP="0029020F">
      <w:pPr>
        <w:spacing w:line="360" w:lineRule="auto"/>
        <w:rPr>
          <w:sz w:val="24"/>
          <w:szCs w:val="24"/>
        </w:rPr>
      </w:pPr>
      <w:r>
        <w:rPr>
          <w:sz w:val="24"/>
          <w:szCs w:val="24"/>
        </w:rPr>
        <w:t xml:space="preserve">The shouting and insulting became worse as handcuffs were applied to the subject male. Their actions were teetering on the point of obstructing police and escalating the conflict. I judged the subject to be suitably restrained and therefore attempted to contain the two females who were within a metre of colleagues, showing intent to push them off the subject. I communicated with them, attempting to engage with them and console them. I think this approach was good theoretically as it showed I was willing to deescalate. The negative of this however is that they had no intention of being reasonable, verbally engaging was therefore a poor choice. I however did succeed at controlling the conflict as I ensured that the two females were at a safe distance from my colleagues. </w:t>
      </w:r>
    </w:p>
    <w:p w14:paraId="2E1D63AE" w14:textId="77777777" w:rsidR="0029020F" w:rsidRDefault="0029020F" w:rsidP="0029020F">
      <w:pPr>
        <w:spacing w:line="360" w:lineRule="auto"/>
        <w:rPr>
          <w:sz w:val="24"/>
          <w:szCs w:val="24"/>
        </w:rPr>
      </w:pPr>
    </w:p>
    <w:p w14:paraId="3885C64E" w14:textId="77777777" w:rsidR="0029020F" w:rsidRDefault="0029020F" w:rsidP="0029020F">
      <w:pPr>
        <w:spacing w:line="360" w:lineRule="auto"/>
        <w:rPr>
          <w:sz w:val="24"/>
          <w:szCs w:val="24"/>
        </w:rPr>
      </w:pPr>
      <w:r>
        <w:rPr>
          <w:sz w:val="24"/>
          <w:szCs w:val="24"/>
        </w:rPr>
        <w:t>Throughout this incident, my primary decision-making tools were the NDM and using JPLANE. JPLANE is a mnemonic that can be used in tandem with the NDM as it helps officers assess if their decision is justified, proportionate, lawful, accurate, necessary, and ethical (College of Policing, 2013). When conflict began and I was in the vehicle, I first considered if there were enough officers present with the subject. Demonstrably there were not, I therefore felt that it was justifiable to leave the victim in the police van as it was a place of safety. It was not practical for me to remain in the vehicle as it would have increased the risk of my colleagues being harmed. It was therefore proportionate for more officers to attend the subject due to the rapidly changing circumstances. In terms of legality, use of force in these situations are perfectly reasonable. Firstly, the subject had made the first step in being physical, verbal attempts at diffusing the situation came to nought therefore making force the last resort. My involvement was certainly necessary. When the subject began clinging to the metal fence, it was enough of a struggle to remove him and later handcuff him. Without my presence my colleagues would have been seriously injured due to the violent nature of the subject. In that regard it was also ethical for me to be involved and apply force as part of professional behaviour in policing is to be prepared to use force that is necessary.</w:t>
      </w:r>
    </w:p>
    <w:p w14:paraId="7F156BBC" w14:textId="77777777" w:rsidR="0029020F" w:rsidRDefault="0029020F" w:rsidP="0029020F">
      <w:pPr>
        <w:spacing w:line="360" w:lineRule="auto"/>
        <w:rPr>
          <w:sz w:val="24"/>
          <w:szCs w:val="24"/>
        </w:rPr>
      </w:pPr>
    </w:p>
    <w:p w14:paraId="73D2FD7C" w14:textId="77777777" w:rsidR="0029020F" w:rsidRDefault="0029020F" w:rsidP="0029020F">
      <w:pPr>
        <w:spacing w:line="360" w:lineRule="auto"/>
        <w:rPr>
          <w:sz w:val="24"/>
          <w:szCs w:val="24"/>
        </w:rPr>
      </w:pPr>
      <w:r>
        <w:rPr>
          <w:sz w:val="24"/>
          <w:szCs w:val="24"/>
        </w:rPr>
        <w:t>Overall, I think the incident went well and I responded to it effectively. The conflict was managed and contained with no serious injuries being sustained. I responded at the right times, and I used communication effectively. If I were to attend the address again in future, I believe I would handle it differently. With the benefit of hindsight, I would be a lot quicker in separating the bystander and the victim as their presence made the situation more dangerous. An argument could be made that I was not quick enough in applying force however I was very new in service. Equally, a positive is that I should not be too hasty in applying use of force to manage conflict. With the experience I had at the time I believe I acquitted myself well and will seek to build upon the good decisions I made during the incident for future attendance.</w:t>
      </w:r>
    </w:p>
    <w:p w14:paraId="27232646" w14:textId="77777777" w:rsidR="0029020F" w:rsidRDefault="0029020F" w:rsidP="0029020F">
      <w:pPr>
        <w:spacing w:line="360" w:lineRule="auto"/>
        <w:rPr>
          <w:sz w:val="24"/>
          <w:szCs w:val="24"/>
        </w:rPr>
      </w:pPr>
    </w:p>
    <w:p w14:paraId="6EBB7569" w14:textId="77777777" w:rsidR="0029020F" w:rsidRDefault="0029020F" w:rsidP="0029020F">
      <w:pPr>
        <w:spacing w:line="360" w:lineRule="auto"/>
        <w:rPr>
          <w:sz w:val="24"/>
          <w:szCs w:val="24"/>
        </w:rPr>
      </w:pPr>
    </w:p>
    <w:p w14:paraId="59DFD2A1" w14:textId="15F779C8" w:rsidR="0029020F" w:rsidRDefault="0029020F" w:rsidP="0029020F">
      <w:pPr>
        <w:spacing w:line="360" w:lineRule="auto"/>
        <w:rPr>
          <w:sz w:val="24"/>
          <w:szCs w:val="24"/>
        </w:rPr>
      </w:pPr>
      <w:r>
        <w:rPr>
          <w:sz w:val="24"/>
          <w:szCs w:val="24"/>
        </w:rPr>
        <w:t xml:space="preserve">-1,983 words. </w:t>
      </w:r>
    </w:p>
    <w:p w14:paraId="0053775C" w14:textId="77777777" w:rsidR="0029020F" w:rsidRDefault="0029020F" w:rsidP="0029020F">
      <w:pPr>
        <w:rPr>
          <w:sz w:val="24"/>
          <w:szCs w:val="24"/>
        </w:rPr>
      </w:pPr>
    </w:p>
    <w:p w14:paraId="1D16BAE6" w14:textId="77777777" w:rsidR="0029020F" w:rsidRDefault="0029020F" w:rsidP="0029020F">
      <w:pPr>
        <w:rPr>
          <w:sz w:val="24"/>
          <w:szCs w:val="24"/>
        </w:rPr>
      </w:pPr>
    </w:p>
    <w:p w14:paraId="0C0CBF0F" w14:textId="77777777" w:rsidR="0029020F" w:rsidRDefault="0029020F" w:rsidP="0029020F">
      <w:pPr>
        <w:rPr>
          <w:sz w:val="24"/>
          <w:szCs w:val="24"/>
        </w:rPr>
      </w:pPr>
    </w:p>
    <w:p w14:paraId="600A5879" w14:textId="77777777" w:rsidR="0029020F" w:rsidRDefault="0029020F" w:rsidP="0029020F">
      <w:pPr>
        <w:rPr>
          <w:sz w:val="24"/>
          <w:szCs w:val="24"/>
        </w:rPr>
      </w:pPr>
    </w:p>
    <w:p w14:paraId="07F0F260" w14:textId="77777777" w:rsidR="0029020F" w:rsidRDefault="0029020F" w:rsidP="0029020F">
      <w:pPr>
        <w:rPr>
          <w:sz w:val="24"/>
          <w:szCs w:val="24"/>
        </w:rPr>
      </w:pPr>
    </w:p>
    <w:p w14:paraId="418F0D3D" w14:textId="77777777" w:rsidR="0029020F" w:rsidRDefault="0029020F" w:rsidP="0029020F">
      <w:pPr>
        <w:rPr>
          <w:sz w:val="24"/>
          <w:szCs w:val="24"/>
        </w:rPr>
      </w:pPr>
    </w:p>
    <w:p w14:paraId="27FBB820" w14:textId="77777777" w:rsidR="0029020F" w:rsidRDefault="0029020F" w:rsidP="0029020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ED36ABA" w14:textId="77777777" w:rsidR="0029020F" w:rsidRDefault="0029020F" w:rsidP="0029020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0FB2703D" w14:textId="77777777" w:rsidR="0029020F" w:rsidRDefault="0029020F" w:rsidP="0029020F">
      <w:pPr>
        <w:rPr>
          <w:sz w:val="24"/>
          <w:szCs w:val="24"/>
        </w:rPr>
      </w:pPr>
    </w:p>
    <w:p w14:paraId="4B8881A4" w14:textId="77777777" w:rsidR="0029020F" w:rsidRDefault="0029020F" w:rsidP="0029020F"/>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22FAEEF6" w:rsidR="00025650" w:rsidRDefault="00025650"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63F8B134" w14:textId="77777777" w:rsidR="00C876B9" w:rsidRDefault="00C876B9" w:rsidP="73AE4A3E">
            <w:pPr>
              <w:ind w:right="107"/>
              <w:rPr>
                <w:sz w:val="24"/>
                <w:szCs w:val="24"/>
              </w:rPr>
            </w:pP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lastRenderedPageBreak/>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43805F5D" w:rsidR="00112751" w:rsidRDefault="00112751" w:rsidP="00E6298B">
      <w:pPr>
        <w:ind w:right="107"/>
        <w:jc w:val="both"/>
        <w:rPr>
          <w:b/>
          <w:sz w:val="24"/>
          <w:szCs w:val="24"/>
        </w:rPr>
      </w:pPr>
      <w:r w:rsidRPr="00450C83">
        <w:rPr>
          <w:b/>
          <w:sz w:val="24"/>
          <w:szCs w:val="24"/>
        </w:rPr>
        <w:t>ANSWER:</w:t>
      </w:r>
      <w:r w:rsidR="00340554">
        <w:rPr>
          <w:b/>
          <w:sz w:val="24"/>
          <w:szCs w:val="24"/>
        </w:rPr>
        <w:t xml:space="preserve"> </w:t>
      </w:r>
    </w:p>
    <w:p w14:paraId="11E3277C" w14:textId="77777777" w:rsidR="00340554" w:rsidRDefault="00340554" w:rsidP="00E6298B">
      <w:pPr>
        <w:ind w:right="107"/>
        <w:jc w:val="both"/>
        <w:rPr>
          <w:bCs/>
          <w:sz w:val="24"/>
          <w:szCs w:val="24"/>
        </w:rPr>
      </w:pPr>
    </w:p>
    <w:p w14:paraId="0A001FEC" w14:textId="77777777" w:rsidR="00340554" w:rsidRPr="008F6DC6" w:rsidRDefault="00340554" w:rsidP="00340554">
      <w:pPr>
        <w:shd w:val="clear" w:color="auto" w:fill="FFFFFF"/>
        <w:spacing w:before="100" w:after="100" w:line="360" w:lineRule="auto"/>
        <w:rPr>
          <w:sz w:val="24"/>
          <w:szCs w:val="24"/>
        </w:rPr>
      </w:pPr>
      <w:r w:rsidRPr="008F6DC6">
        <w:rPr>
          <w:sz w:val="24"/>
          <w:szCs w:val="24"/>
        </w:rPr>
        <w:t>During my tutorship I have attended many incidents with cultural and social factors that had a significant impact on how it was approached. The United Kingdom is a multicultural nation with demographics that reflect this. As the Police are public servants, they are expected to deal with a number of competing cultural issues to the same standard as their own. A census in 2021 recorded that 55.2% expressed a Welsh only identity.</w:t>
      </w:r>
      <w:r w:rsidRPr="008F6DC6">
        <w:rPr>
          <w:color w:val="1F1F1F"/>
          <w:sz w:val="24"/>
          <w:szCs w:val="24"/>
        </w:rPr>
        <w:t xml:space="preserve"> 5.4% of usual residents in Wales chose at least one non-UK national identity (up from 3.8% in 2011). Within this group 4.2% of the population did not associate with any UK identity (up from 3.4% in 2011) (Welsh Government, 2022). What is also at the forefront of today’s policing and is directly involved in the incident I will critically explore is the victims code of practice. It is a set of rights that organisations must follow when treating victims of crime (College of policing, 2021).</w:t>
      </w:r>
    </w:p>
    <w:p w14:paraId="41D55D34" w14:textId="77777777" w:rsidR="00340554" w:rsidRPr="008F6DC6" w:rsidRDefault="00340554" w:rsidP="00340554">
      <w:pPr>
        <w:shd w:val="clear" w:color="auto" w:fill="FFFFFF"/>
        <w:spacing w:before="100" w:after="100" w:line="360" w:lineRule="auto"/>
        <w:rPr>
          <w:sz w:val="24"/>
          <w:szCs w:val="24"/>
        </w:rPr>
      </w:pPr>
    </w:p>
    <w:p w14:paraId="31655DC5" w14:textId="77777777" w:rsidR="00340554" w:rsidRPr="008F6DC6" w:rsidRDefault="00340554" w:rsidP="00340554">
      <w:pPr>
        <w:shd w:val="clear" w:color="auto" w:fill="FFFFFF"/>
        <w:spacing w:before="100" w:after="100" w:line="360" w:lineRule="auto"/>
        <w:rPr>
          <w:sz w:val="24"/>
          <w:szCs w:val="24"/>
        </w:rPr>
      </w:pPr>
      <w:r w:rsidRPr="008F6DC6">
        <w:rPr>
          <w:sz w:val="24"/>
          <w:szCs w:val="24"/>
        </w:rPr>
        <w:t>A policing incident that I attended with many competing issues such as legislation, social issues, culture and language involved a couple, whereby the male/father had taken the children to another address and the female/mother was afraid he was going to take the children to Romania. The urgency of the initial call was high, locating the children was a top priority. This was especially true as the mother told attending officers that the husband had taken the children a few hours before visiting her neighbours. It was her neighbours that chose to phone the police. Establishing the circumstances of the above incidents was challenging enough due to the victim not being able to speak English. A great deal of the disclosure relayed to officers was done so through the efforts of the victim’s neighbours. The incident became even more complex as she disclosed a troubling history of domestic violence with a few incidents resulting in rape.</w:t>
      </w:r>
    </w:p>
    <w:p w14:paraId="18CB2C28" w14:textId="77777777" w:rsidR="00340554" w:rsidRPr="008F6DC6" w:rsidRDefault="00340554" w:rsidP="00340554">
      <w:pPr>
        <w:shd w:val="clear" w:color="auto" w:fill="FFFFFF"/>
        <w:spacing w:before="100" w:after="100" w:line="360" w:lineRule="auto"/>
        <w:rPr>
          <w:sz w:val="24"/>
          <w:szCs w:val="24"/>
        </w:rPr>
      </w:pPr>
    </w:p>
    <w:p w14:paraId="4569A8FD" w14:textId="77777777" w:rsidR="00340554" w:rsidRPr="008F6DC6" w:rsidRDefault="00340554" w:rsidP="00340554">
      <w:pPr>
        <w:shd w:val="clear" w:color="auto" w:fill="FFFFFF"/>
        <w:spacing w:before="100" w:after="100" w:line="360" w:lineRule="auto"/>
        <w:rPr>
          <w:color w:val="1F1F1F"/>
          <w:sz w:val="24"/>
          <w:szCs w:val="24"/>
        </w:rPr>
      </w:pPr>
      <w:r w:rsidRPr="008F6DC6">
        <w:rPr>
          <w:color w:val="1F1F1F"/>
          <w:sz w:val="24"/>
          <w:szCs w:val="24"/>
        </w:rPr>
        <w:t xml:space="preserve">It became apparent that this incident would require the use of language line as the victim spoke Romanian and had little to no comprehension of English. It is by no means a rare occurrence in policing, language line was founded in 1982 by a police officer and to this day, handle over 64 million interactions annually (Language line website, 2024). </w:t>
      </w:r>
      <w:r w:rsidRPr="008F6DC6">
        <w:rPr>
          <w:color w:val="1F1F1F"/>
          <w:sz w:val="24"/>
          <w:szCs w:val="24"/>
        </w:rPr>
        <w:lastRenderedPageBreak/>
        <w:t xml:space="preserve">Contemporaneously that is what I and my colleague believed it to be however it later transpired that this service user spoke a Romani dialect and only spoke basic Romanian. The extent of the language barrier was so massive that even obtaining the first language of the victim was a struggle. This represented a substantial challenge as at incidents, police officers are required to capture information as accurately as possible. </w:t>
      </w:r>
    </w:p>
    <w:p w14:paraId="0184BD11" w14:textId="77777777" w:rsidR="00340554" w:rsidRPr="008F6DC6" w:rsidRDefault="00340554" w:rsidP="00340554">
      <w:pPr>
        <w:shd w:val="clear" w:color="auto" w:fill="FFFFFF"/>
        <w:spacing w:before="100" w:after="100" w:line="360" w:lineRule="auto"/>
        <w:rPr>
          <w:color w:val="1F1F1F"/>
          <w:sz w:val="24"/>
          <w:szCs w:val="24"/>
        </w:rPr>
      </w:pPr>
    </w:p>
    <w:p w14:paraId="5C55EFC5" w14:textId="77777777" w:rsidR="00340554" w:rsidRPr="008F6DC6" w:rsidRDefault="00340554" w:rsidP="00340554">
      <w:pPr>
        <w:shd w:val="clear" w:color="auto" w:fill="FFFFFF"/>
        <w:spacing w:before="100" w:after="100" w:line="360" w:lineRule="auto"/>
        <w:rPr>
          <w:color w:val="1F1F1F"/>
          <w:sz w:val="24"/>
          <w:szCs w:val="24"/>
        </w:rPr>
      </w:pPr>
      <w:r w:rsidRPr="008F6DC6">
        <w:rPr>
          <w:color w:val="1F1F1F"/>
          <w:sz w:val="24"/>
          <w:szCs w:val="24"/>
        </w:rPr>
        <w:t>The initial circumstances of the incident detailed two factors that are pertinent to the victims’ codes of practice. The victim’s code of practice “sets out the minimum standard that organisations must provide to victims of crime”. Firstly, as the incident had a domestic element, they would receive an enhanced service under the victim codes of practice. It later transpired that they were also a victim of a serious offence that was sexual. Most cases of sexual offences are where the subject is known to the victim, be it a partner, former partner or even colleague. In this case the subject was the victim’s partner. It also appears to be on the rise as 150,732 sexual offences were recorded by the police in 2018. In 2022, this figure rose to 194,683 (NPCC, last updated 2024).</w:t>
      </w:r>
    </w:p>
    <w:p w14:paraId="67DC340E" w14:textId="77777777" w:rsidR="00340554" w:rsidRPr="008F6DC6" w:rsidRDefault="00340554" w:rsidP="00340554">
      <w:pPr>
        <w:shd w:val="clear" w:color="auto" w:fill="FFFFFF"/>
        <w:spacing w:before="100" w:after="100" w:line="360" w:lineRule="auto"/>
        <w:rPr>
          <w:color w:val="1F1F1F"/>
          <w:sz w:val="24"/>
          <w:szCs w:val="24"/>
        </w:rPr>
      </w:pPr>
    </w:p>
    <w:p w14:paraId="05C5DA13" w14:textId="77777777" w:rsidR="00340554" w:rsidRPr="008F6DC6" w:rsidRDefault="00340554" w:rsidP="00340554">
      <w:pPr>
        <w:shd w:val="clear" w:color="auto" w:fill="FFFFFF"/>
        <w:spacing w:before="100" w:after="100" w:line="360" w:lineRule="auto"/>
        <w:rPr>
          <w:color w:val="1F1F1F"/>
          <w:sz w:val="24"/>
          <w:szCs w:val="24"/>
        </w:rPr>
      </w:pPr>
      <w:r w:rsidRPr="008F6DC6">
        <w:rPr>
          <w:color w:val="1F1F1F"/>
          <w:sz w:val="24"/>
          <w:szCs w:val="24"/>
        </w:rPr>
        <w:t xml:space="preserve">The law is very clear in defining rape in that sexual penetration (where the subject uses his penis to achieve this) of an orifice is illegal where the latter happens, and the victim does not consent. Additionally, the subject does not reasonably believe that the victim consents (Sexual Offences Act 2003). The points to prove are therefore very clear. A simple style of questioning is used by investigators to achieve an account whilst being as respectful as possible. By applying this method, we were able to comply with code 1 of the victims’ code of practice, be ethical in the execution of our duty and assuaged the language barrier. The questionnaire does this by being simple in its questions, it is a basic, who, what and when. When asking these questions, officers should recognise if the points to prove are covered in the victim’s account. </w:t>
      </w:r>
    </w:p>
    <w:p w14:paraId="124BCE57" w14:textId="77777777" w:rsidR="00340554" w:rsidRPr="008F6DC6" w:rsidRDefault="00340554" w:rsidP="00340554">
      <w:pPr>
        <w:shd w:val="clear" w:color="auto" w:fill="FFFFFF"/>
        <w:spacing w:before="100" w:after="100" w:line="360" w:lineRule="auto"/>
        <w:rPr>
          <w:color w:val="1F1F1F"/>
          <w:sz w:val="24"/>
          <w:szCs w:val="24"/>
        </w:rPr>
      </w:pPr>
    </w:p>
    <w:p w14:paraId="0137A55E" w14:textId="02BCB0EE" w:rsidR="00340554" w:rsidRPr="008F6DC6" w:rsidRDefault="00340554" w:rsidP="00340554">
      <w:pPr>
        <w:shd w:val="clear" w:color="auto" w:fill="FFFFFF"/>
        <w:spacing w:before="100" w:after="100" w:line="360" w:lineRule="auto"/>
        <w:rPr>
          <w:color w:val="1F1F1F"/>
          <w:sz w:val="24"/>
          <w:szCs w:val="24"/>
        </w:rPr>
      </w:pPr>
      <w:r w:rsidRPr="008F6DC6">
        <w:rPr>
          <w:color w:val="1F1F1F"/>
          <w:sz w:val="24"/>
          <w:szCs w:val="24"/>
        </w:rPr>
        <w:t xml:space="preserve">The case therefore became very complex and was compounded by the significant language barrier. This made the right 1 of the victims’ code of practice (to be able to understand and be understood) something difficult to guarantee with the competing issue of language. Cultural differences were a significant factor in investigating the matter, the victim verbally </w:t>
      </w:r>
      <w:r w:rsidRPr="008F6DC6">
        <w:rPr>
          <w:color w:val="1F1F1F"/>
          <w:sz w:val="24"/>
          <w:szCs w:val="24"/>
        </w:rPr>
        <w:lastRenderedPageBreak/>
        <w:t>confirmed to officers that in her culture it was not only embarrassing to discuss domestic violence but that marital rape was not a concept. A paper by the European parliamentary research service has keen insight on the legislative context of rape in Romania. It was felt by GREIVO in 2022 that the existing legislation did not place proper emphasis on consent but too much on the circumstances that precluded consent (</w:t>
      </w:r>
      <w:r w:rsidR="00EB2980">
        <w:rPr>
          <w:color w:val="1F1F1F"/>
          <w:sz w:val="24"/>
          <w:szCs w:val="24"/>
        </w:rPr>
        <w:t>Definitions of rape in the legislation of EU member states</w:t>
      </w:r>
      <w:r w:rsidRPr="008F6DC6">
        <w:rPr>
          <w:color w:val="1F1F1F"/>
          <w:sz w:val="24"/>
          <w:szCs w:val="24"/>
        </w:rPr>
        <w:t>, 2024). Could this attitude towards consent/rape present as a barrier to reporting? The disclosure of the victim certainly indicated this. Going forward I will certainly bare this fact in mind when approaching a victim of a similar offence with a similar cultural background.</w:t>
      </w:r>
    </w:p>
    <w:p w14:paraId="4ECFBEBF" w14:textId="77777777" w:rsidR="00340554" w:rsidRPr="008F6DC6" w:rsidRDefault="00340554" w:rsidP="00340554">
      <w:pPr>
        <w:shd w:val="clear" w:color="auto" w:fill="FFFFFF"/>
        <w:spacing w:before="100" w:after="100" w:line="360" w:lineRule="auto"/>
        <w:rPr>
          <w:color w:val="1F1F1F"/>
          <w:sz w:val="24"/>
          <w:szCs w:val="24"/>
        </w:rPr>
      </w:pPr>
    </w:p>
    <w:p w14:paraId="12D576B0" w14:textId="77777777" w:rsidR="00340554" w:rsidRPr="008F6DC6" w:rsidRDefault="00340554" w:rsidP="00340554">
      <w:pPr>
        <w:shd w:val="clear" w:color="auto" w:fill="FFFFFF"/>
        <w:spacing w:before="100" w:after="100" w:line="360" w:lineRule="auto"/>
        <w:rPr>
          <w:color w:val="1F1F1F"/>
          <w:sz w:val="24"/>
          <w:szCs w:val="24"/>
        </w:rPr>
      </w:pPr>
      <w:r w:rsidRPr="008F6DC6">
        <w:rPr>
          <w:color w:val="1F1F1F"/>
          <w:sz w:val="24"/>
          <w:szCs w:val="24"/>
        </w:rPr>
        <w:t>As I have given an overview of the incident, I will use Gibbs’ reflective model to critically explore it (Gibbs, 1988). The first step in using this model is to describe the event, as this has already been discussed in the essay I will move onto the next aspect of the model, reflecting on my thoughts and feelings during the incident. The incident primarily made me feel sympathy for the victim and frustrated in equal measure. My thoughts concerned how I could deliver the best level of service for the victim. It was easily one of the most challenging cases in my tutorship.</w:t>
      </w:r>
    </w:p>
    <w:p w14:paraId="2236FFF4" w14:textId="77777777" w:rsidR="00340554" w:rsidRPr="008F6DC6" w:rsidRDefault="00340554" w:rsidP="00340554">
      <w:pPr>
        <w:shd w:val="clear" w:color="auto" w:fill="FFFFFF"/>
        <w:spacing w:before="100" w:after="100" w:line="360" w:lineRule="auto"/>
        <w:rPr>
          <w:color w:val="1F1F1F"/>
          <w:sz w:val="24"/>
          <w:szCs w:val="24"/>
        </w:rPr>
      </w:pPr>
    </w:p>
    <w:p w14:paraId="3305E817" w14:textId="77777777" w:rsidR="00340554" w:rsidRPr="008F6DC6" w:rsidRDefault="00340554" w:rsidP="00340554">
      <w:pPr>
        <w:shd w:val="clear" w:color="auto" w:fill="FFFFFF"/>
        <w:spacing w:before="100" w:after="100" w:line="360" w:lineRule="auto"/>
        <w:rPr>
          <w:sz w:val="24"/>
          <w:szCs w:val="24"/>
        </w:rPr>
      </w:pPr>
      <w:r w:rsidRPr="008F6DC6">
        <w:rPr>
          <w:sz w:val="24"/>
          <w:szCs w:val="24"/>
        </w:rPr>
        <w:t>The points to prove from the victim’s disclosure did amount to an offence of rape however the victim was outside the forensic window judging by her disclosure. Regretfully, a conviction was therefore unlikely. This was confounded by the fact that there was no CCTV footage available. The rape was alleged to have occurred approximately a month or two before officers spoke to the victim and it occurred in the family bedroom. I believe no amount of involvement on my part could change the fact that collecting evidence was impossible.</w:t>
      </w:r>
    </w:p>
    <w:p w14:paraId="04A599E5" w14:textId="77777777" w:rsidR="00340554" w:rsidRPr="008F6DC6" w:rsidRDefault="00340554" w:rsidP="00340554">
      <w:pPr>
        <w:shd w:val="clear" w:color="auto" w:fill="FFFFFF"/>
        <w:spacing w:before="100" w:after="100" w:line="360" w:lineRule="auto"/>
        <w:rPr>
          <w:sz w:val="24"/>
          <w:szCs w:val="24"/>
        </w:rPr>
      </w:pPr>
    </w:p>
    <w:p w14:paraId="600D8A01" w14:textId="77777777" w:rsidR="00340554" w:rsidRDefault="00340554" w:rsidP="00340554">
      <w:pPr>
        <w:spacing w:line="360" w:lineRule="auto"/>
        <w:rPr>
          <w:sz w:val="24"/>
          <w:szCs w:val="24"/>
        </w:rPr>
      </w:pPr>
      <w:r w:rsidRPr="008F6DC6">
        <w:rPr>
          <w:sz w:val="24"/>
          <w:szCs w:val="24"/>
        </w:rPr>
        <w:t xml:space="preserve">My involvement in the case ended after a hand-on entry for morning officers to attend to as I was about to finish my tour of duty.  A hand-on entry is what I would call a report that includes the following: summary of the incident, involved persons and addresses, completed actions and outstanding actions. The contents of an entry vary from case to case however these represent what a typical entry may include. In that entry I believe I displayed </w:t>
      </w:r>
      <w:r w:rsidRPr="008F6DC6">
        <w:rPr>
          <w:sz w:val="24"/>
          <w:szCs w:val="24"/>
        </w:rPr>
        <w:lastRenderedPageBreak/>
        <w:t xml:space="preserve">that all possible actions were completed at the time and that we truly exhausted all lines of enquiry. By doing this to such a high standard, I complied with the victims’ code of practice. That is to say that the details of the crime were reported without unjust delay. The result of my effort and that of my colleague was that the hub decided to take on the case. This was a positive result as it meant that the case would be investigated by officers with higher investigative capabilities. I heard the following day that the victim attended an interview, through word of mouth I learned what her first language was. </w:t>
      </w:r>
    </w:p>
    <w:p w14:paraId="027441D3" w14:textId="77777777" w:rsidR="00340554" w:rsidRPr="008F6DC6" w:rsidRDefault="00340554" w:rsidP="00340554">
      <w:pPr>
        <w:spacing w:line="360" w:lineRule="auto"/>
        <w:rPr>
          <w:sz w:val="24"/>
          <w:szCs w:val="24"/>
        </w:rPr>
      </w:pPr>
    </w:p>
    <w:p w14:paraId="410DFFFD" w14:textId="77777777" w:rsidR="00340554" w:rsidRPr="008F6DC6" w:rsidRDefault="00340554" w:rsidP="00340554">
      <w:pPr>
        <w:spacing w:line="360" w:lineRule="auto"/>
        <w:rPr>
          <w:sz w:val="24"/>
          <w:szCs w:val="24"/>
        </w:rPr>
      </w:pPr>
    </w:p>
    <w:p w14:paraId="51225990" w14:textId="77777777" w:rsidR="00340554" w:rsidRDefault="00340554" w:rsidP="00340554">
      <w:pPr>
        <w:spacing w:line="360" w:lineRule="auto"/>
        <w:rPr>
          <w:sz w:val="24"/>
          <w:szCs w:val="24"/>
        </w:rPr>
      </w:pPr>
      <w:r w:rsidRPr="008F6DC6">
        <w:rPr>
          <w:sz w:val="24"/>
          <w:szCs w:val="24"/>
        </w:rPr>
        <w:t>This section of the essay will relate to the “action plan” element of Gibbs’ reflective model. Here I will reflect on what I would have done differently and what I thought was effective. Firstly, I believe I dealt with the situation as best as I could and applied the core principles of ethics, diversity, equality and human rights. I was patient with the victim and did my best to accommodate their needs by seeking a translator. We could not have determined what the victim’s first language at scene despite this being a major set-back. Upon reflection, we could not have acted better with the information available at the time. It remains as one of the most stressful incidents I have attended due to the excruciating difficulty in getting accurate information, without information we cannot act. Furthermore, I do believe we complied with the victims’ code of practice as much as possible. We asked all questions relevant to the victims’ code of practice and provided information to the best of the victim’s comprehension. For example, how could we explain that the victim had the right to make a victim’s personal statement? It was already overwhelming for the victim to disclose their horrific account.</w:t>
      </w:r>
    </w:p>
    <w:p w14:paraId="2DD2D330" w14:textId="77777777" w:rsidR="00340554" w:rsidRDefault="00340554" w:rsidP="00340554">
      <w:pPr>
        <w:spacing w:line="360" w:lineRule="auto"/>
        <w:rPr>
          <w:sz w:val="24"/>
          <w:szCs w:val="24"/>
        </w:rPr>
      </w:pPr>
    </w:p>
    <w:p w14:paraId="0BFCA52B" w14:textId="77777777" w:rsidR="00340554" w:rsidRDefault="00340554" w:rsidP="00340554">
      <w:pPr>
        <w:spacing w:line="360" w:lineRule="auto"/>
        <w:rPr>
          <w:sz w:val="24"/>
          <w:szCs w:val="24"/>
        </w:rPr>
      </w:pPr>
    </w:p>
    <w:p w14:paraId="76591618" w14:textId="77777777" w:rsidR="00340554" w:rsidRPr="008F6DC6" w:rsidRDefault="00340554" w:rsidP="00340554">
      <w:pPr>
        <w:spacing w:line="360" w:lineRule="auto"/>
        <w:rPr>
          <w:sz w:val="24"/>
          <w:szCs w:val="24"/>
        </w:rPr>
      </w:pPr>
      <w:r w:rsidRPr="008F6DC6">
        <w:rPr>
          <w:sz w:val="24"/>
          <w:szCs w:val="24"/>
        </w:rPr>
        <w:t>Given the circumstances, it was far more effective and valuable querying the events in front of us. Explaining the lengthy and complicated procedures of the criminal justice system would not have benefitted the victim at the time. In spite of this, I still believe I honoured the victims code of practice as I gave the victim as much information as I had at the time. I was also empathetic and respectful of their individual circumstances. This is because I did not overload them with tons of information that would have confused them further in what was a very distressing event in their life. By going through language line, I believe this was the best service that was tailored to their needs, once again displaying that I complied with the victims’ code of practice.</w:t>
      </w:r>
    </w:p>
    <w:p w14:paraId="52B18EC1" w14:textId="77777777" w:rsidR="00340554" w:rsidRPr="008F6DC6" w:rsidRDefault="00340554" w:rsidP="00340554">
      <w:pPr>
        <w:spacing w:line="360" w:lineRule="auto"/>
        <w:rPr>
          <w:sz w:val="24"/>
          <w:szCs w:val="24"/>
        </w:rPr>
      </w:pPr>
    </w:p>
    <w:p w14:paraId="00BE5BA8" w14:textId="77777777" w:rsidR="00340554" w:rsidRPr="008F6DC6" w:rsidRDefault="00340554" w:rsidP="00340554">
      <w:pPr>
        <w:spacing w:line="360" w:lineRule="auto"/>
        <w:rPr>
          <w:sz w:val="24"/>
          <w:szCs w:val="24"/>
        </w:rPr>
      </w:pPr>
      <w:r w:rsidRPr="008F6DC6">
        <w:rPr>
          <w:sz w:val="24"/>
          <w:szCs w:val="24"/>
        </w:rPr>
        <w:t xml:space="preserve">I am certain that I did my best given the circumstances. The fact of the matter remains we could not have progressed the investigation by ourselves at the scene. Going forward, I can </w:t>
      </w:r>
      <w:r>
        <w:rPr>
          <w:sz w:val="24"/>
          <w:szCs w:val="24"/>
        </w:rPr>
        <w:t xml:space="preserve">foresee </w:t>
      </w:r>
      <w:r w:rsidRPr="008F6DC6">
        <w:rPr>
          <w:sz w:val="24"/>
          <w:szCs w:val="24"/>
        </w:rPr>
        <w:t xml:space="preserve">language line as being an invaluable tool in the future. </w:t>
      </w:r>
      <w:r>
        <w:rPr>
          <w:sz w:val="24"/>
          <w:szCs w:val="24"/>
        </w:rPr>
        <w:t xml:space="preserve">It may not have solved every problem in this case however it would have been impossible without it. </w:t>
      </w:r>
    </w:p>
    <w:p w14:paraId="21CEF1D5" w14:textId="77777777" w:rsidR="00340554" w:rsidRPr="008F6DC6" w:rsidRDefault="00340554" w:rsidP="00340554">
      <w:pPr>
        <w:rPr>
          <w:sz w:val="24"/>
          <w:szCs w:val="24"/>
        </w:rPr>
      </w:pPr>
    </w:p>
    <w:p w14:paraId="1B203BE5" w14:textId="77777777" w:rsidR="00340554" w:rsidRDefault="00340554" w:rsidP="00340554">
      <w:pPr>
        <w:ind w:right="107"/>
        <w:rPr>
          <w:sz w:val="24"/>
          <w:szCs w:val="24"/>
        </w:rPr>
      </w:pPr>
    </w:p>
    <w:p w14:paraId="3EA6720E" w14:textId="4A6358E4" w:rsidR="00340554" w:rsidRPr="00270EEB" w:rsidRDefault="00340554" w:rsidP="00340554">
      <w:pPr>
        <w:ind w:right="107"/>
        <w:rPr>
          <w:sz w:val="24"/>
          <w:szCs w:val="24"/>
        </w:rPr>
      </w:pPr>
      <w:r>
        <w:rPr>
          <w:sz w:val="24"/>
          <w:szCs w:val="24"/>
        </w:rPr>
        <w:t>1,67</w:t>
      </w:r>
      <w:r w:rsidR="008A28D2">
        <w:rPr>
          <w:sz w:val="24"/>
          <w:szCs w:val="24"/>
        </w:rPr>
        <w:t>9</w:t>
      </w:r>
      <w:r>
        <w:rPr>
          <w:sz w:val="24"/>
          <w:szCs w:val="24"/>
        </w:rPr>
        <w:t xml:space="preserve"> words</w:t>
      </w:r>
    </w:p>
    <w:p w14:paraId="7415F90B" w14:textId="77777777" w:rsidR="00340554" w:rsidRPr="00340554" w:rsidRDefault="00340554" w:rsidP="00E6298B">
      <w:pPr>
        <w:ind w:right="107"/>
        <w:jc w:val="both"/>
        <w:rPr>
          <w:bCs/>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Default="006C7CA5" w:rsidP="00E6298B">
      <w:pPr>
        <w:ind w:right="107"/>
        <w:jc w:val="both"/>
        <w:rPr>
          <w:sz w:val="24"/>
          <w:szCs w:val="24"/>
        </w:rPr>
      </w:pPr>
    </w:p>
    <w:p w14:paraId="24697BD2" w14:textId="77777777" w:rsidR="00471610" w:rsidRDefault="00471610" w:rsidP="00471610">
      <w:pPr>
        <w:spacing w:line="360" w:lineRule="auto"/>
        <w:rPr>
          <w:sz w:val="24"/>
          <w:szCs w:val="24"/>
        </w:rPr>
      </w:pPr>
      <w:r>
        <w:rPr>
          <w:sz w:val="24"/>
          <w:szCs w:val="24"/>
        </w:rPr>
        <w:t xml:space="preserve">The NDM stands for National decision model, it is a framework for police officers regarding making decisions in an ever-changing environment. Not only does it assist officers making decisions at scene, but also helps in their critical reflection of their decision making after it. It is divided into 6 sections with the first and central focus being the police code of ethics. This reflects how the code of ethics is at the heart of policing and the decision-making process. The other cogs include gathering information and intelligence, assessing the threat, risk and harm, to then develop a working strategy, considering powers and policy, identifying options and contingencies, taking action and review what happened (College of Policing, 2013). </w:t>
      </w:r>
    </w:p>
    <w:p w14:paraId="7DBFEAF2" w14:textId="77777777" w:rsidR="00471610" w:rsidRDefault="00471610" w:rsidP="00471610">
      <w:pPr>
        <w:spacing w:line="360" w:lineRule="auto"/>
        <w:rPr>
          <w:sz w:val="24"/>
          <w:szCs w:val="24"/>
        </w:rPr>
      </w:pPr>
    </w:p>
    <w:p w14:paraId="46A546F1" w14:textId="77777777" w:rsidR="00471610" w:rsidRDefault="00471610" w:rsidP="00471610">
      <w:pPr>
        <w:spacing w:line="360" w:lineRule="auto"/>
        <w:rPr>
          <w:sz w:val="24"/>
          <w:szCs w:val="24"/>
        </w:rPr>
      </w:pPr>
      <w:r>
        <w:rPr>
          <w:sz w:val="24"/>
          <w:szCs w:val="24"/>
        </w:rPr>
        <w:t xml:space="preserve">This essay will reflect on my involvement in investigating an allegation made regarding harassment. In this case, the majority of alleged harassment was contained to online posts. Section 1 of the Protection from Stalking and Harassment act 1997 prohibits people from pursuing a course of conduct where they know or ought to know amounts to the </w:t>
      </w:r>
      <w:r>
        <w:rPr>
          <w:sz w:val="24"/>
          <w:szCs w:val="24"/>
        </w:rPr>
        <w:lastRenderedPageBreak/>
        <w:t>harassment of another (Protection from Harassment act 1997). From the reporting party’s disclosure to my review of the evidence, I employed the NDM at each stage.</w:t>
      </w:r>
    </w:p>
    <w:p w14:paraId="4D9F5D4C" w14:textId="77777777" w:rsidR="00471610" w:rsidRDefault="00471610" w:rsidP="00471610">
      <w:pPr>
        <w:spacing w:line="360" w:lineRule="auto"/>
        <w:rPr>
          <w:sz w:val="24"/>
          <w:szCs w:val="24"/>
        </w:rPr>
      </w:pPr>
    </w:p>
    <w:p w14:paraId="75CB0CF7" w14:textId="77777777" w:rsidR="00471610" w:rsidRDefault="00471610" w:rsidP="00471610">
      <w:pPr>
        <w:spacing w:line="360" w:lineRule="auto"/>
        <w:rPr>
          <w:sz w:val="24"/>
          <w:szCs w:val="24"/>
        </w:rPr>
      </w:pPr>
      <w:r>
        <w:rPr>
          <w:sz w:val="24"/>
          <w:szCs w:val="24"/>
        </w:rPr>
        <w:t>The allegation in this case was made by a woman against their father. They were not living together and by all accounts had been estranged for many years. On this occasion the subject had allegedly been harassing the complainant online through social media. They had sought police action against similar behaviour in the past and overall had a similar modus operandi, that the majority of the behaviour being contained to online posts on social media. The reporting party showed me the posts and at first glance they seemed libellous. The posts also did not directly tag the reporting party and were also on his facebook profile rather than posted on hers. With technology becoming more accessible to people, it also has the potential for great harm with online crime increasing.</w:t>
      </w:r>
    </w:p>
    <w:p w14:paraId="09BD5034" w14:textId="77777777" w:rsidR="00471610" w:rsidRDefault="00471610" w:rsidP="00471610">
      <w:pPr>
        <w:spacing w:line="360" w:lineRule="auto"/>
        <w:rPr>
          <w:sz w:val="24"/>
          <w:szCs w:val="24"/>
        </w:rPr>
      </w:pPr>
    </w:p>
    <w:p w14:paraId="13E9555C" w14:textId="213950EC" w:rsidR="00471610" w:rsidRDefault="00471610" w:rsidP="00471610">
      <w:pPr>
        <w:spacing w:line="360" w:lineRule="auto"/>
      </w:pPr>
      <w:r>
        <w:rPr>
          <w:sz w:val="24"/>
          <w:szCs w:val="24"/>
        </w:rPr>
        <w:t>Firstly, in my interactions with the reporting party from disclosure to my interactions via updates, I used the police code of ethics. The Police code of ethics is “</w:t>
      </w:r>
      <w:r>
        <w:rPr>
          <w:spacing w:val="3"/>
          <w:sz w:val="24"/>
          <w:szCs w:val="24"/>
        </w:rPr>
        <w:t>a series of guiding statements that should be used to help people in policing do the right things, in the right way, for the right reasons”.</w:t>
      </w:r>
      <w:r>
        <w:rPr>
          <w:sz w:val="24"/>
          <w:szCs w:val="24"/>
        </w:rPr>
        <w:t xml:space="preserve"> Firstly, I was honest and open with the reporting party, I told them that police action may not be appropriate given the evidence before me. Rather than cut the case short there, I instructed the victim to upload all evidence related to the incident to NICE. NICE is a digital evidence-based site where digital evidence is uploaded and linked to a case (NICE digital evidence management)</w:t>
      </w:r>
      <w:r w:rsidR="00112247">
        <w:t xml:space="preserve">. </w:t>
      </w:r>
      <w:r>
        <w:rPr>
          <w:sz w:val="24"/>
          <w:szCs w:val="24"/>
        </w:rPr>
        <w:t>I believe I displayed empathy here as I could tell that the reporting party was visibly distressed. Before deciding on the case, I wanted to ensure I had a chance to scrutinise all the information, I therefore believed I was being fair and impartial.</w:t>
      </w:r>
    </w:p>
    <w:p w14:paraId="797C7293" w14:textId="77777777" w:rsidR="00471610" w:rsidRDefault="00471610" w:rsidP="00471610">
      <w:pPr>
        <w:spacing w:line="360" w:lineRule="auto"/>
        <w:rPr>
          <w:sz w:val="24"/>
          <w:szCs w:val="24"/>
        </w:rPr>
      </w:pPr>
    </w:p>
    <w:p w14:paraId="36446E89" w14:textId="18F44163" w:rsidR="00471610" w:rsidRDefault="00471610" w:rsidP="00471610">
      <w:pPr>
        <w:spacing w:line="360" w:lineRule="auto"/>
        <w:rPr>
          <w:sz w:val="24"/>
          <w:szCs w:val="24"/>
        </w:rPr>
      </w:pPr>
      <w:r>
        <w:rPr>
          <w:sz w:val="24"/>
          <w:szCs w:val="24"/>
        </w:rPr>
        <w:t xml:space="preserve">As the police code of ethics is at the heart of the NDM, I will reflect on this aspect of the decision-making model first. It comprises of the following principles: Courage, respect and empathy, and public service (College of Policing, 2023). Part of displaying courage is by being accountable for one’s decisions. In this case I was accountable as I decided that based on the evidence available, police could not assist further with this complaint. From disclosure to informing the reporting party of the result I was certainly respectful and empathetic. I listened to the views of the reporting </w:t>
      </w:r>
      <w:r>
        <w:rPr>
          <w:sz w:val="24"/>
          <w:szCs w:val="24"/>
        </w:rPr>
        <w:t>party,</w:t>
      </w:r>
      <w:r>
        <w:rPr>
          <w:sz w:val="24"/>
          <w:szCs w:val="24"/>
        </w:rPr>
        <w:t xml:space="preserve"> and I was empathetic to their plight. They were in an unfortunate position having such an extremely poor relationship with their father. While the actions may not have amounted to a criminal offence it was still </w:t>
      </w:r>
      <w:r>
        <w:rPr>
          <w:sz w:val="24"/>
          <w:szCs w:val="24"/>
        </w:rPr>
        <w:lastRenderedPageBreak/>
        <w:t xml:space="preserve">deplorable behaviour. I was still impartial however I understood the emotional turmoil the reporting party was going through. </w:t>
      </w:r>
    </w:p>
    <w:p w14:paraId="7A513E6E" w14:textId="77777777" w:rsidR="00471610" w:rsidRDefault="00471610" w:rsidP="00471610">
      <w:pPr>
        <w:spacing w:line="360" w:lineRule="auto"/>
        <w:rPr>
          <w:sz w:val="24"/>
          <w:szCs w:val="24"/>
        </w:rPr>
      </w:pPr>
    </w:p>
    <w:p w14:paraId="19D4F8CD" w14:textId="77777777" w:rsidR="00471610" w:rsidRDefault="00471610" w:rsidP="00471610">
      <w:pPr>
        <w:spacing w:line="360" w:lineRule="auto"/>
        <w:rPr>
          <w:sz w:val="24"/>
          <w:szCs w:val="24"/>
        </w:rPr>
      </w:pPr>
      <w:r>
        <w:rPr>
          <w:sz w:val="24"/>
          <w:szCs w:val="24"/>
        </w:rPr>
        <w:t>The first step of any investigation is to gather information and intelligence, first was the reporting person’s account of the alleged harassment. In person, they showed attending officers the posts on social media. (Insert statistic on harassment online stats). I therefore gathered information by listening to the reporting person’s allegation and considering if the points to prove for an offence were covered. The evidence provided in this case was extensive, with approximately 27 entries to NICE submitted by the reporting party. I was able to gather further information and intelligence by scrutinising these entries and identifying any offences if present. Further to this, as the reporting person told me they had come to the police before regarding similar behaviour from the subject, I believed I had a policing purpose to investigate the former incidents regarding similar offences. I found that prior cases had the same standard of evidence and that the result was no further action. This was a significant factor in handling the case as it also helped me assess the threat, risk and harm. A big factor in my approach to this case however was the fact that similar circumstances yielded a no further action result. According to precedent then, would it be proportionate to arrest the subject? The same modus operandi was identified and yet several officers before me with far more experience did not identify any offences. This was in compliance with my responsibilities under CPIA as I exercised my professional curiosity. CPIA, or the Criminal Procedure and Investigations Act 1996, is statutory legislation that outlines the procedure of the police when investigating crime and procedure relating to prosecution of said crime (Criminal Procedure and Investigations Act 1996).</w:t>
      </w:r>
    </w:p>
    <w:p w14:paraId="1A59873F" w14:textId="77777777" w:rsidR="00471610" w:rsidRDefault="00471610" w:rsidP="00471610">
      <w:pPr>
        <w:tabs>
          <w:tab w:val="left" w:pos="7163"/>
        </w:tabs>
        <w:spacing w:line="360" w:lineRule="auto"/>
        <w:rPr>
          <w:sz w:val="24"/>
          <w:szCs w:val="24"/>
        </w:rPr>
      </w:pPr>
      <w:r>
        <w:rPr>
          <w:sz w:val="24"/>
          <w:szCs w:val="24"/>
        </w:rPr>
        <w:tab/>
      </w:r>
    </w:p>
    <w:p w14:paraId="77A64D41" w14:textId="77777777" w:rsidR="00471610" w:rsidRDefault="00471610" w:rsidP="00471610">
      <w:pPr>
        <w:spacing w:line="360" w:lineRule="auto"/>
        <w:rPr>
          <w:sz w:val="24"/>
          <w:szCs w:val="24"/>
        </w:rPr>
      </w:pPr>
      <w:r>
        <w:rPr>
          <w:sz w:val="24"/>
          <w:szCs w:val="24"/>
        </w:rPr>
        <w:t xml:space="preserve">In considering the threat and risk regarding the case, an important consideration was taking an action that would prevent the alleged from pursuing a course of conduct that would amount to harassment. The incident was mostly contained online, I therefore believed it was fair to judge the case as being low, regarding threat risk and harm. The behaviour also was not deemed threatening as no identifiable threats were made by the subject. The reporting party did feel threatened by the posts however from an objective standpoint, the risk was very low. </w:t>
      </w:r>
    </w:p>
    <w:p w14:paraId="41EEC0DB" w14:textId="77777777" w:rsidR="00471610" w:rsidRDefault="00471610" w:rsidP="00471610">
      <w:pPr>
        <w:spacing w:line="360" w:lineRule="auto"/>
        <w:rPr>
          <w:sz w:val="24"/>
          <w:szCs w:val="24"/>
        </w:rPr>
      </w:pPr>
    </w:p>
    <w:p w14:paraId="7F697057" w14:textId="77777777" w:rsidR="00471610" w:rsidRDefault="00471610" w:rsidP="00471610">
      <w:pPr>
        <w:spacing w:line="360" w:lineRule="auto"/>
        <w:rPr>
          <w:sz w:val="24"/>
          <w:szCs w:val="24"/>
        </w:rPr>
      </w:pPr>
      <w:r>
        <w:rPr>
          <w:sz w:val="24"/>
          <w:szCs w:val="24"/>
        </w:rPr>
        <w:t xml:space="preserve">Considering powers and policy was the most challenging aspect of the incident due to the nature of the posts (whether they constituted an offence) and what could be done to </w:t>
      </w:r>
      <w:r>
        <w:rPr>
          <w:sz w:val="24"/>
          <w:szCs w:val="24"/>
        </w:rPr>
        <w:lastRenderedPageBreak/>
        <w:t xml:space="preserve">progress the investigation.  The power of arrest was not possible as there was no evidence of an offence provided at scene. While I was confident of this, I still recognised myself as being young in service and sought the advice of colleagues who agreed with me. I kept my mind open until I received all the evidence. I believed I embodied the police code of ethics by taking this approach as I fostered trust and confidence. I clearly demonstrated to the reporting party that I was going to deal with the incident thoroughly. </w:t>
      </w:r>
    </w:p>
    <w:p w14:paraId="0B07B132" w14:textId="77777777" w:rsidR="00471610" w:rsidRDefault="00471610" w:rsidP="00471610">
      <w:pPr>
        <w:tabs>
          <w:tab w:val="left" w:pos="3752"/>
        </w:tabs>
        <w:spacing w:line="360" w:lineRule="auto"/>
        <w:rPr>
          <w:sz w:val="24"/>
          <w:szCs w:val="24"/>
        </w:rPr>
      </w:pPr>
      <w:r>
        <w:rPr>
          <w:sz w:val="24"/>
          <w:szCs w:val="24"/>
        </w:rPr>
        <w:tab/>
      </w:r>
    </w:p>
    <w:p w14:paraId="41257ABE" w14:textId="77777777" w:rsidR="00471610" w:rsidRDefault="00471610" w:rsidP="00471610">
      <w:pPr>
        <w:spacing w:line="360" w:lineRule="auto"/>
        <w:rPr>
          <w:sz w:val="24"/>
          <w:szCs w:val="24"/>
        </w:rPr>
      </w:pPr>
      <w:r>
        <w:rPr>
          <w:sz w:val="24"/>
          <w:szCs w:val="24"/>
        </w:rPr>
        <w:t>Identifying options and contingencies was also a challenging factor in the case. I consulted the malicious communications act 1988 for example to see if the behaviour of the subject constituted an offence under that act (Malicious Communications act 1988). The subject however would not be guilty of an offence under this act as he did not send any communications, nor could the content he was posting be construed as being grossly offensive. The action I took was to consult with more experienced colleagues. I explained my rationale and what evidence was available and they believed there to be no offences committed. I would still do the same faced with another incident however as while the subject may not have been guilty of an offence relating to harassment, he may have been guilty of another offence. I was therefore ethical by keeping an open mind throughout the investigation.</w:t>
      </w:r>
    </w:p>
    <w:p w14:paraId="55E2B1F9" w14:textId="77777777" w:rsidR="00471610" w:rsidRDefault="00471610" w:rsidP="00471610">
      <w:pPr>
        <w:spacing w:line="360" w:lineRule="auto"/>
        <w:rPr>
          <w:sz w:val="24"/>
          <w:szCs w:val="24"/>
        </w:rPr>
      </w:pPr>
    </w:p>
    <w:p w14:paraId="74D28D52" w14:textId="77777777" w:rsidR="00471610" w:rsidRDefault="00471610" w:rsidP="00471610">
      <w:pPr>
        <w:spacing w:line="360" w:lineRule="auto"/>
        <w:rPr>
          <w:sz w:val="24"/>
          <w:szCs w:val="24"/>
        </w:rPr>
      </w:pPr>
      <w:r>
        <w:rPr>
          <w:sz w:val="24"/>
          <w:szCs w:val="24"/>
        </w:rPr>
        <w:t xml:space="preserve">After a lengthy investigation, it was determined that no offences had been committed. Throughout the investigation I kept the victim informed but also kept their expectations measured. It was not the result they were looking for, but I ensured that they understood my rationale behind the decision. I believe I excelled in this case when it came to victim contact as I was updating them often and consistently. In updating them, I was not only relaying to them the progress of the investigation, I was also ensuring that they were safeguarded. </w:t>
      </w:r>
    </w:p>
    <w:p w14:paraId="4C848A42" w14:textId="77777777" w:rsidR="00471610" w:rsidRDefault="00471610" w:rsidP="00471610">
      <w:pPr>
        <w:spacing w:line="360" w:lineRule="auto"/>
        <w:rPr>
          <w:sz w:val="24"/>
          <w:szCs w:val="24"/>
        </w:rPr>
      </w:pPr>
    </w:p>
    <w:p w14:paraId="13B8EF67" w14:textId="7D017457" w:rsidR="00471610" w:rsidRDefault="00471610" w:rsidP="00471610">
      <w:pPr>
        <w:spacing w:line="360" w:lineRule="auto"/>
        <w:rPr>
          <w:sz w:val="24"/>
          <w:szCs w:val="24"/>
        </w:rPr>
      </w:pPr>
      <w:r>
        <w:rPr>
          <w:sz w:val="24"/>
          <w:szCs w:val="24"/>
        </w:rPr>
        <w:t>I was very new in service when conducting this investigation, first and foremost I exhausted all reasonable lines of inquiry which is the first section of The Code of Practice within CPIA (CPIA, 1996).  In terms of decision making, I believe I built good habits as I went through the NDM. Going forward I believe I can make the investigation more prompt.</w:t>
      </w:r>
      <w:r>
        <w:rPr>
          <w:sz w:val="24"/>
          <w:szCs w:val="24"/>
        </w:rPr>
        <w:t xml:space="preserve"> What negates this however is that I kept the victim informed of my actions regarding the case. They did not object to the pace of the investigation so I would not count this as a major learning point. </w:t>
      </w:r>
    </w:p>
    <w:p w14:paraId="7C74B5A5" w14:textId="77777777" w:rsidR="00471610" w:rsidRDefault="00471610" w:rsidP="00E6298B">
      <w:pPr>
        <w:ind w:right="107"/>
        <w:jc w:val="both"/>
        <w:rPr>
          <w:sz w:val="24"/>
          <w:szCs w:val="24"/>
        </w:rPr>
      </w:pPr>
    </w:p>
    <w:p w14:paraId="45DEACBD" w14:textId="59C13BDC" w:rsidR="007D1CC4" w:rsidRPr="007D1CC4" w:rsidRDefault="007D1CC4" w:rsidP="007D1CC4">
      <w:pPr>
        <w:pStyle w:val="ListParagraph"/>
        <w:numPr>
          <w:ilvl w:val="0"/>
          <w:numId w:val="50"/>
        </w:numPr>
        <w:ind w:right="107"/>
        <w:jc w:val="both"/>
        <w:rPr>
          <w:sz w:val="24"/>
          <w:szCs w:val="24"/>
        </w:rPr>
      </w:pPr>
      <w:r>
        <w:rPr>
          <w:sz w:val="24"/>
          <w:szCs w:val="24"/>
        </w:rPr>
        <w:lastRenderedPageBreak/>
        <w:t>1,481 words.</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592CAEBA" w14:textId="77777777" w:rsidR="000F7ECD" w:rsidRPr="00270EEB" w:rsidRDefault="000F7ECD" w:rsidP="00E6298B">
      <w:pPr>
        <w:ind w:right="107"/>
        <w:jc w:val="both"/>
        <w:rPr>
          <w:sz w:val="24"/>
          <w:szCs w:val="24"/>
        </w:rPr>
        <w:sectPr w:rsidR="000F7ECD" w:rsidRPr="00270EEB" w:rsidSect="00672C90">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E6298B">
      <w:pPr>
        <w:ind w:right="107"/>
        <w:jc w:val="both"/>
        <w:rPr>
          <w:b/>
          <w:sz w:val="24"/>
          <w:szCs w:val="24"/>
        </w:rPr>
      </w:pPr>
    </w:p>
    <w:p w14:paraId="4CF4FC15" w14:textId="77777777" w:rsidR="0085728B" w:rsidRDefault="0085728B" w:rsidP="0085728B">
      <w:pPr>
        <w:pStyle w:val="NormalWeb"/>
        <w:spacing w:before="0" w:after="0" w:line="360" w:lineRule="atLeast"/>
        <w:rPr>
          <w:rFonts w:ascii="Arial" w:hAnsi="Arial" w:cs="Arial"/>
          <w:color w:val="000000"/>
        </w:rPr>
      </w:pPr>
      <w:r w:rsidRPr="00C67C34">
        <w:rPr>
          <w:rFonts w:ascii="Arial" w:hAnsi="Arial" w:cs="Arial"/>
          <w:color w:val="000000"/>
        </w:rPr>
        <w:t>Brennan, D. (2021). </w:t>
      </w:r>
      <w:r w:rsidRPr="00C67C34">
        <w:rPr>
          <w:rFonts w:ascii="Arial" w:hAnsi="Arial" w:cs="Arial"/>
          <w:i/>
          <w:iCs/>
          <w:color w:val="000000"/>
        </w:rPr>
        <w:t>Psychological Benefits of Routines</w:t>
      </w:r>
      <w:r w:rsidRPr="00C67C34">
        <w:rPr>
          <w:rFonts w:ascii="Arial" w:hAnsi="Arial" w:cs="Arial"/>
          <w:color w:val="000000"/>
        </w:rPr>
        <w:t xml:space="preserve">. [online] WebMD. Available at: </w:t>
      </w:r>
      <w:hyperlink r:id="rId20" w:history="1">
        <w:r w:rsidRPr="00C67C34">
          <w:rPr>
            <w:rStyle w:val="Hyperlink"/>
            <w:rFonts w:ascii="Arial" w:hAnsi="Arial" w:cs="Arial"/>
          </w:rPr>
          <w:t>https://www.webmd.com/mental-health/psychological-benefits-of-routine</w:t>
        </w:r>
      </w:hyperlink>
      <w:r w:rsidRPr="00C67C34">
        <w:rPr>
          <w:rFonts w:ascii="Arial" w:hAnsi="Arial" w:cs="Arial"/>
          <w:color w:val="000000"/>
        </w:rPr>
        <w:t>.</w:t>
      </w:r>
    </w:p>
    <w:p w14:paraId="6D778219" w14:textId="77777777" w:rsidR="0085728B" w:rsidRPr="00C67C34" w:rsidRDefault="0085728B" w:rsidP="0085728B">
      <w:pPr>
        <w:pStyle w:val="NormalWeb"/>
        <w:spacing w:before="0" w:after="0" w:line="360" w:lineRule="atLeast"/>
        <w:rPr>
          <w:rFonts w:ascii="Arial" w:hAnsi="Arial" w:cs="Arial"/>
          <w:color w:val="000000"/>
        </w:rPr>
      </w:pPr>
    </w:p>
    <w:p w14:paraId="1CC6FC6F" w14:textId="77777777" w:rsidR="0085728B" w:rsidRDefault="0085728B" w:rsidP="0085728B">
      <w:pPr>
        <w:autoSpaceDN/>
        <w:spacing w:line="360" w:lineRule="atLeast"/>
        <w:rPr>
          <w:sz w:val="24"/>
          <w:szCs w:val="24"/>
        </w:rPr>
      </w:pPr>
      <w:r w:rsidRPr="00E14120">
        <w:rPr>
          <w:sz w:val="24"/>
          <w:szCs w:val="24"/>
        </w:rPr>
        <w:t>College Of Policing (2013). </w:t>
      </w:r>
      <w:r w:rsidRPr="00E14120">
        <w:rPr>
          <w:i/>
          <w:iCs/>
          <w:sz w:val="24"/>
          <w:szCs w:val="24"/>
        </w:rPr>
        <w:t>National Decision Model</w:t>
      </w:r>
      <w:r w:rsidRPr="00E14120">
        <w:rPr>
          <w:sz w:val="24"/>
          <w:szCs w:val="24"/>
        </w:rPr>
        <w:t xml:space="preserve">. [online] College of Policing. Available at: </w:t>
      </w:r>
      <w:hyperlink r:id="rId21" w:history="1">
        <w:r w:rsidRPr="00E14120">
          <w:rPr>
            <w:rStyle w:val="Hyperlink"/>
            <w:sz w:val="24"/>
            <w:szCs w:val="24"/>
          </w:rPr>
          <w:t>https://www.college.police.uk/app/national-decision-model/national-decision-model</w:t>
        </w:r>
      </w:hyperlink>
      <w:r w:rsidRPr="00E14120">
        <w:rPr>
          <w:sz w:val="24"/>
          <w:szCs w:val="24"/>
        </w:rPr>
        <w:t>.</w:t>
      </w:r>
    </w:p>
    <w:p w14:paraId="18CEF1D6" w14:textId="77777777" w:rsidR="0085728B" w:rsidRPr="00C67C34" w:rsidRDefault="0085728B" w:rsidP="0085728B">
      <w:pPr>
        <w:autoSpaceDN/>
        <w:spacing w:line="360" w:lineRule="atLeast"/>
        <w:rPr>
          <w:sz w:val="24"/>
          <w:szCs w:val="24"/>
        </w:rPr>
      </w:pPr>
    </w:p>
    <w:p w14:paraId="56206B78" w14:textId="77777777" w:rsidR="0085728B" w:rsidRDefault="0085728B" w:rsidP="0085728B">
      <w:pPr>
        <w:pStyle w:val="NormalWeb"/>
        <w:spacing w:before="0" w:after="0" w:line="360" w:lineRule="atLeast"/>
        <w:rPr>
          <w:rFonts w:ascii="Arial" w:hAnsi="Arial" w:cs="Arial"/>
          <w:color w:val="000000"/>
        </w:rPr>
      </w:pPr>
      <w:r w:rsidRPr="00C67C34">
        <w:rPr>
          <w:rFonts w:ascii="Arial" w:hAnsi="Arial" w:cs="Arial"/>
          <w:color w:val="000000"/>
        </w:rPr>
        <w:t>‌College of Policing (2024). </w:t>
      </w:r>
      <w:r w:rsidRPr="00C67C34">
        <w:rPr>
          <w:rFonts w:ascii="Arial" w:hAnsi="Arial" w:cs="Arial"/>
          <w:i/>
          <w:iCs/>
          <w:color w:val="000000"/>
        </w:rPr>
        <w:t>Code of Ethics</w:t>
      </w:r>
      <w:r w:rsidRPr="00C67C34">
        <w:rPr>
          <w:rFonts w:ascii="Arial" w:hAnsi="Arial" w:cs="Arial"/>
          <w:color w:val="000000"/>
        </w:rPr>
        <w:t xml:space="preserve">. [online] College of Policing. Available at: </w:t>
      </w:r>
      <w:hyperlink r:id="rId22" w:history="1">
        <w:r w:rsidRPr="00C67C34">
          <w:rPr>
            <w:rStyle w:val="Hyperlink"/>
            <w:rFonts w:ascii="Arial" w:hAnsi="Arial" w:cs="Arial"/>
          </w:rPr>
          <w:t>https://www.college.police.uk/ethics/code-of-ethics</w:t>
        </w:r>
      </w:hyperlink>
      <w:r w:rsidRPr="00C67C34">
        <w:rPr>
          <w:rFonts w:ascii="Arial" w:hAnsi="Arial" w:cs="Arial"/>
          <w:color w:val="000000"/>
        </w:rPr>
        <w:t>.</w:t>
      </w:r>
    </w:p>
    <w:p w14:paraId="34C7B46F" w14:textId="77777777" w:rsidR="0085728B" w:rsidRPr="00C67C34" w:rsidRDefault="0085728B" w:rsidP="0085728B">
      <w:pPr>
        <w:pStyle w:val="NormalWeb"/>
        <w:spacing w:before="0" w:after="0" w:line="360" w:lineRule="atLeast"/>
        <w:rPr>
          <w:rFonts w:ascii="Arial" w:hAnsi="Arial" w:cs="Arial"/>
          <w:color w:val="000000"/>
        </w:rPr>
      </w:pPr>
    </w:p>
    <w:p w14:paraId="6C61D7FE" w14:textId="77777777" w:rsidR="0085728B" w:rsidRDefault="0085728B" w:rsidP="0085728B">
      <w:pPr>
        <w:pStyle w:val="NormalWeb"/>
        <w:spacing w:before="0" w:after="0" w:line="360" w:lineRule="atLeast"/>
        <w:rPr>
          <w:rFonts w:ascii="Arial" w:hAnsi="Arial" w:cs="Arial"/>
          <w:color w:val="000000"/>
        </w:rPr>
      </w:pPr>
      <w:r w:rsidRPr="00A3548E">
        <w:rPr>
          <w:rFonts w:ascii="Arial" w:hAnsi="Arial" w:cs="Arial"/>
          <w:color w:val="000000"/>
        </w:rPr>
        <w:t>‌</w:t>
      </w:r>
      <w:r w:rsidRPr="00C67C34">
        <w:rPr>
          <w:rFonts w:ascii="Arial" w:hAnsi="Arial" w:cs="Arial"/>
          <w:color w:val="000000"/>
        </w:rPr>
        <w:t>College of policing (2024). </w:t>
      </w:r>
      <w:r w:rsidRPr="00C67C34">
        <w:rPr>
          <w:rFonts w:ascii="Arial" w:hAnsi="Arial" w:cs="Arial"/>
          <w:i/>
          <w:iCs/>
          <w:color w:val="000000"/>
        </w:rPr>
        <w:t>Conflict management</w:t>
      </w:r>
      <w:r w:rsidRPr="00C67C34">
        <w:rPr>
          <w:rFonts w:ascii="Arial" w:hAnsi="Arial" w:cs="Arial"/>
          <w:color w:val="000000"/>
        </w:rPr>
        <w:t xml:space="preserve">. [online] College of Policing. Available at: </w:t>
      </w:r>
      <w:hyperlink r:id="rId23" w:history="1">
        <w:r w:rsidRPr="00C67C34">
          <w:rPr>
            <w:rStyle w:val="Hyperlink"/>
            <w:rFonts w:ascii="Arial" w:hAnsi="Arial" w:cs="Arial"/>
          </w:rPr>
          <w:t>https://www.college.police.uk/guidance/conflict-management</w:t>
        </w:r>
      </w:hyperlink>
      <w:r w:rsidRPr="00C67C34">
        <w:rPr>
          <w:rFonts w:ascii="Arial" w:hAnsi="Arial" w:cs="Arial"/>
          <w:color w:val="000000"/>
        </w:rPr>
        <w:t>.</w:t>
      </w:r>
    </w:p>
    <w:p w14:paraId="00A82B08" w14:textId="77777777" w:rsidR="0085728B" w:rsidRPr="00C67C34" w:rsidRDefault="0085728B" w:rsidP="0085728B">
      <w:pPr>
        <w:pStyle w:val="NormalWeb"/>
        <w:spacing w:before="0" w:after="0" w:line="360" w:lineRule="atLeast"/>
        <w:rPr>
          <w:rFonts w:ascii="Arial" w:hAnsi="Arial" w:cs="Arial"/>
          <w:color w:val="000000"/>
        </w:rPr>
      </w:pPr>
    </w:p>
    <w:p w14:paraId="4E8779D8" w14:textId="77777777" w:rsidR="0085728B" w:rsidRDefault="0085728B" w:rsidP="0085728B">
      <w:pPr>
        <w:pStyle w:val="NormalWeb"/>
        <w:spacing w:before="0" w:after="0"/>
        <w:rPr>
          <w:rFonts w:ascii="Arial" w:hAnsi="Arial" w:cs="Arial"/>
          <w:color w:val="000000"/>
        </w:rPr>
      </w:pPr>
      <w:r w:rsidRPr="00C67C34">
        <w:rPr>
          <w:rFonts w:ascii="Arial" w:hAnsi="Arial" w:cs="Arial"/>
          <w:color w:val="000000"/>
        </w:rPr>
        <w:t>College of Policing. (n.d.). </w:t>
      </w:r>
      <w:r w:rsidRPr="00C67C34">
        <w:rPr>
          <w:rFonts w:ascii="Arial" w:hAnsi="Arial" w:cs="Arial"/>
          <w:i/>
          <w:iCs/>
          <w:color w:val="000000"/>
        </w:rPr>
        <w:t>Victims’ Code</w:t>
      </w:r>
      <w:r w:rsidRPr="00C67C34">
        <w:rPr>
          <w:rFonts w:ascii="Arial" w:hAnsi="Arial" w:cs="Arial"/>
          <w:color w:val="000000"/>
        </w:rPr>
        <w:t xml:space="preserve">. [online] Available at: </w:t>
      </w:r>
      <w:hyperlink r:id="rId24" w:history="1">
        <w:r w:rsidRPr="00C67C34">
          <w:rPr>
            <w:rStyle w:val="Hyperlink"/>
            <w:rFonts w:ascii="Arial" w:hAnsi="Arial" w:cs="Arial"/>
          </w:rPr>
          <w:t>https://www.college.police.uk/guidance/victims-code</w:t>
        </w:r>
      </w:hyperlink>
      <w:r w:rsidRPr="00C67C34">
        <w:rPr>
          <w:rFonts w:ascii="Arial" w:hAnsi="Arial" w:cs="Arial"/>
          <w:color w:val="000000"/>
        </w:rPr>
        <w:t>.</w:t>
      </w:r>
    </w:p>
    <w:p w14:paraId="3E5A2631" w14:textId="77777777" w:rsidR="0085728B" w:rsidRPr="00C67C34" w:rsidRDefault="0085728B" w:rsidP="0085728B">
      <w:pPr>
        <w:pStyle w:val="NormalWeb"/>
        <w:spacing w:before="0" w:after="0"/>
        <w:rPr>
          <w:rFonts w:ascii="Arial" w:hAnsi="Arial" w:cs="Arial"/>
          <w:color w:val="000000"/>
        </w:rPr>
      </w:pPr>
    </w:p>
    <w:p w14:paraId="2377F920" w14:textId="77777777" w:rsidR="0085728B" w:rsidRDefault="0085728B" w:rsidP="0085728B">
      <w:pPr>
        <w:pStyle w:val="NormalWeb"/>
        <w:spacing w:before="0" w:after="0"/>
        <w:rPr>
          <w:rFonts w:ascii="Arial" w:hAnsi="Arial" w:cs="Arial"/>
          <w:color w:val="000000"/>
        </w:rPr>
      </w:pPr>
      <w:r w:rsidRPr="00C67C34">
        <w:rPr>
          <w:rFonts w:ascii="Arial" w:hAnsi="Arial" w:cs="Arial"/>
          <w:color w:val="000000"/>
        </w:rPr>
        <w:t>‌Cuncic, A. (2022). </w:t>
      </w:r>
      <w:r w:rsidRPr="00C67C34">
        <w:rPr>
          <w:rFonts w:ascii="Arial" w:hAnsi="Arial" w:cs="Arial"/>
          <w:i/>
          <w:iCs/>
          <w:color w:val="000000"/>
        </w:rPr>
        <w:t>Imposter Syndrome: Why You May Feel Like a Fraud</w:t>
      </w:r>
      <w:r w:rsidRPr="00C67C34">
        <w:rPr>
          <w:rFonts w:ascii="Arial" w:hAnsi="Arial" w:cs="Arial"/>
          <w:color w:val="000000"/>
        </w:rPr>
        <w:t xml:space="preserve">. [online] Verywell Mind. Available at: </w:t>
      </w:r>
      <w:hyperlink r:id="rId25" w:history="1">
        <w:r w:rsidRPr="00C67C34">
          <w:rPr>
            <w:rStyle w:val="Hyperlink"/>
            <w:rFonts w:ascii="Arial" w:hAnsi="Arial" w:cs="Arial"/>
          </w:rPr>
          <w:t>https://www.verywellmind.com/imposter-syndrome-and-social-anxiety-disorder-4156469</w:t>
        </w:r>
      </w:hyperlink>
      <w:r w:rsidRPr="00C67C34">
        <w:rPr>
          <w:rFonts w:ascii="Arial" w:hAnsi="Arial" w:cs="Arial"/>
          <w:color w:val="000000"/>
        </w:rPr>
        <w:t>.</w:t>
      </w:r>
    </w:p>
    <w:p w14:paraId="4C9CF380" w14:textId="77777777" w:rsidR="0085728B" w:rsidRPr="00C67C34" w:rsidRDefault="0085728B" w:rsidP="0085728B">
      <w:pPr>
        <w:pStyle w:val="NormalWeb"/>
        <w:spacing w:before="0" w:after="0"/>
        <w:rPr>
          <w:rFonts w:ascii="Arial" w:hAnsi="Arial" w:cs="Arial"/>
          <w:color w:val="000000"/>
        </w:rPr>
      </w:pPr>
    </w:p>
    <w:p w14:paraId="3C365C27" w14:textId="77777777" w:rsidR="0085728B" w:rsidRDefault="0085728B" w:rsidP="0085728B">
      <w:pPr>
        <w:pStyle w:val="NormalWeb"/>
        <w:spacing w:before="0" w:after="0" w:line="360" w:lineRule="atLeast"/>
        <w:rPr>
          <w:rFonts w:ascii="Arial" w:hAnsi="Arial" w:cs="Arial"/>
          <w:color w:val="000000"/>
        </w:rPr>
      </w:pPr>
      <w:r w:rsidRPr="00C67C34">
        <w:rPr>
          <w:rFonts w:ascii="Arial" w:hAnsi="Arial" w:cs="Arial"/>
          <w:color w:val="000000"/>
        </w:rPr>
        <w:t>‌Daly, B. (2023). </w:t>
      </w:r>
      <w:r w:rsidRPr="00C67C34">
        <w:rPr>
          <w:rFonts w:ascii="Arial" w:hAnsi="Arial" w:cs="Arial"/>
          <w:i/>
          <w:iCs/>
          <w:color w:val="000000"/>
        </w:rPr>
        <w:t>Why Has Stoicism Gained Popularity in Modern Times?</w:t>
      </w:r>
      <w:r w:rsidRPr="00C67C34">
        <w:rPr>
          <w:rFonts w:ascii="Arial" w:hAnsi="Arial" w:cs="Arial"/>
          <w:color w:val="000000"/>
        </w:rPr>
        <w:t xml:space="preserve"> [online] TheCollector. Available at: </w:t>
      </w:r>
      <w:hyperlink r:id="rId26" w:history="1">
        <w:r w:rsidRPr="00C67C34">
          <w:rPr>
            <w:rStyle w:val="Hyperlink"/>
            <w:rFonts w:ascii="Arial" w:hAnsi="Arial" w:cs="Arial"/>
          </w:rPr>
          <w:t>https://www.thecollector.com/why-has-stoicism-gained-popularity-in-modern-times/</w:t>
        </w:r>
      </w:hyperlink>
      <w:r w:rsidRPr="00C67C34">
        <w:rPr>
          <w:rFonts w:ascii="Arial" w:hAnsi="Arial" w:cs="Arial"/>
          <w:color w:val="000000"/>
        </w:rPr>
        <w:t>.</w:t>
      </w:r>
    </w:p>
    <w:p w14:paraId="0C7A182B" w14:textId="77777777" w:rsidR="0085728B" w:rsidRPr="00C67C34" w:rsidRDefault="0085728B" w:rsidP="0085728B">
      <w:pPr>
        <w:pStyle w:val="NormalWeb"/>
        <w:spacing w:before="0" w:after="0" w:line="360" w:lineRule="atLeast"/>
        <w:rPr>
          <w:rFonts w:ascii="Arial" w:hAnsi="Arial" w:cs="Arial"/>
          <w:color w:val="000000"/>
        </w:rPr>
      </w:pPr>
    </w:p>
    <w:p w14:paraId="42FDCE7C" w14:textId="77777777" w:rsidR="0085728B" w:rsidRDefault="0085728B" w:rsidP="0085728B">
      <w:pPr>
        <w:pStyle w:val="NormalWeb"/>
        <w:spacing w:before="0" w:after="0"/>
        <w:rPr>
          <w:rFonts w:ascii="Arial" w:hAnsi="Arial" w:cs="Arial"/>
          <w:color w:val="000000"/>
        </w:rPr>
      </w:pPr>
      <w:r w:rsidRPr="00C67C34">
        <w:rPr>
          <w:rFonts w:ascii="Arial" w:hAnsi="Arial" w:cs="Arial"/>
          <w:color w:val="000000"/>
        </w:rPr>
        <w:t>‌Durand, M., Shogry, S. and Baltzly, D. (2023). </w:t>
      </w:r>
      <w:r w:rsidRPr="00C67C34">
        <w:rPr>
          <w:rFonts w:ascii="Arial" w:hAnsi="Arial" w:cs="Arial"/>
          <w:i/>
          <w:iCs/>
          <w:color w:val="000000"/>
        </w:rPr>
        <w:t>Stoicism</w:t>
      </w:r>
      <w:r w:rsidRPr="00C67C34">
        <w:rPr>
          <w:rFonts w:ascii="Arial" w:hAnsi="Arial" w:cs="Arial"/>
          <w:color w:val="000000"/>
        </w:rPr>
        <w:t xml:space="preserve">. Spring 2023 ed. [online] Stanford Encyclopedia of Philosophy. Available at: </w:t>
      </w:r>
      <w:hyperlink r:id="rId27" w:history="1">
        <w:r w:rsidRPr="00C67C34">
          <w:rPr>
            <w:rStyle w:val="Hyperlink"/>
            <w:rFonts w:ascii="Arial" w:hAnsi="Arial" w:cs="Arial"/>
          </w:rPr>
          <w:t>https://plato.stanford.edu/entries/stoicism/#Logi</w:t>
        </w:r>
      </w:hyperlink>
      <w:r w:rsidRPr="00C67C34">
        <w:rPr>
          <w:rFonts w:ascii="Arial" w:hAnsi="Arial" w:cs="Arial"/>
          <w:color w:val="000000"/>
        </w:rPr>
        <w:t>.</w:t>
      </w:r>
    </w:p>
    <w:p w14:paraId="1DE752FA" w14:textId="77777777" w:rsidR="0085728B" w:rsidRPr="00C67C34" w:rsidRDefault="0085728B" w:rsidP="0085728B">
      <w:pPr>
        <w:pStyle w:val="NormalWeb"/>
        <w:spacing w:before="0" w:after="0"/>
        <w:rPr>
          <w:rFonts w:ascii="Arial" w:hAnsi="Arial" w:cs="Arial"/>
          <w:color w:val="000000"/>
        </w:rPr>
      </w:pPr>
    </w:p>
    <w:p w14:paraId="4E66F1D3" w14:textId="77777777" w:rsidR="0085728B" w:rsidRDefault="0085728B" w:rsidP="0085728B">
      <w:pPr>
        <w:autoSpaceDN/>
        <w:spacing w:line="360" w:lineRule="atLeast"/>
        <w:rPr>
          <w:sz w:val="24"/>
          <w:szCs w:val="24"/>
        </w:rPr>
      </w:pPr>
      <w:r w:rsidRPr="008F2FF6">
        <w:rPr>
          <w:sz w:val="24"/>
          <w:szCs w:val="24"/>
        </w:rPr>
        <w:t>Gov.uk (2003). </w:t>
      </w:r>
      <w:r w:rsidRPr="008F2FF6">
        <w:rPr>
          <w:i/>
          <w:iCs/>
          <w:sz w:val="24"/>
          <w:szCs w:val="24"/>
        </w:rPr>
        <w:t>Sexual Offences Act 2003</w:t>
      </w:r>
      <w:r w:rsidRPr="008F2FF6">
        <w:rPr>
          <w:sz w:val="24"/>
          <w:szCs w:val="24"/>
        </w:rPr>
        <w:t xml:space="preserve">. [online] legislation.gov.uk. Available at: </w:t>
      </w:r>
      <w:hyperlink r:id="rId28" w:history="1">
        <w:r w:rsidRPr="008F2FF6">
          <w:rPr>
            <w:rStyle w:val="Hyperlink"/>
            <w:sz w:val="24"/>
            <w:szCs w:val="24"/>
          </w:rPr>
          <w:t>https://www.legislation.gov.uk/ukpga/2003/42/contents</w:t>
        </w:r>
      </w:hyperlink>
      <w:r w:rsidRPr="008F2FF6">
        <w:rPr>
          <w:sz w:val="24"/>
          <w:szCs w:val="24"/>
        </w:rPr>
        <w:t>.</w:t>
      </w:r>
    </w:p>
    <w:p w14:paraId="5E57FD8C" w14:textId="77777777" w:rsidR="0085728B" w:rsidRPr="00C67C34" w:rsidRDefault="0085728B" w:rsidP="0085728B">
      <w:pPr>
        <w:autoSpaceDN/>
        <w:spacing w:line="360" w:lineRule="atLeast"/>
        <w:rPr>
          <w:sz w:val="24"/>
          <w:szCs w:val="24"/>
        </w:rPr>
      </w:pPr>
    </w:p>
    <w:p w14:paraId="70A6D227" w14:textId="77777777" w:rsidR="0085728B" w:rsidRDefault="0085728B" w:rsidP="0085728B">
      <w:pPr>
        <w:autoSpaceDN/>
        <w:spacing w:line="360" w:lineRule="atLeast"/>
        <w:rPr>
          <w:sz w:val="24"/>
          <w:szCs w:val="24"/>
        </w:rPr>
      </w:pPr>
      <w:r w:rsidRPr="00A3548E">
        <w:rPr>
          <w:sz w:val="24"/>
          <w:szCs w:val="24"/>
        </w:rPr>
        <w:t>GOV.UK. (n.d.). </w:t>
      </w:r>
      <w:r w:rsidRPr="00A3548E">
        <w:rPr>
          <w:i/>
          <w:iCs/>
          <w:sz w:val="24"/>
          <w:szCs w:val="24"/>
        </w:rPr>
        <w:t>Adult Online Hate, Harassment and Abuse: A rapid evidence assessment</w:t>
      </w:r>
      <w:r w:rsidRPr="00A3548E">
        <w:rPr>
          <w:sz w:val="24"/>
          <w:szCs w:val="24"/>
        </w:rPr>
        <w:t xml:space="preserve">. [online] Available at: </w:t>
      </w:r>
      <w:hyperlink r:id="rId29" w:history="1">
        <w:r w:rsidRPr="00A3548E">
          <w:rPr>
            <w:rStyle w:val="Hyperlink"/>
            <w:sz w:val="24"/>
            <w:szCs w:val="24"/>
          </w:rPr>
          <w:t>https://www.gov.uk/government/publications/adult-online-hate-harassment-and-abuse-a-rapid-evidence-assessment</w:t>
        </w:r>
      </w:hyperlink>
      <w:r w:rsidRPr="00A3548E">
        <w:rPr>
          <w:sz w:val="24"/>
          <w:szCs w:val="24"/>
        </w:rPr>
        <w:t>.</w:t>
      </w:r>
    </w:p>
    <w:p w14:paraId="4AD90A65" w14:textId="77777777" w:rsidR="0085728B" w:rsidRPr="00C67C34" w:rsidRDefault="0085728B" w:rsidP="0085728B">
      <w:pPr>
        <w:autoSpaceDN/>
        <w:spacing w:line="360" w:lineRule="atLeast"/>
        <w:rPr>
          <w:sz w:val="24"/>
          <w:szCs w:val="24"/>
        </w:rPr>
      </w:pPr>
    </w:p>
    <w:p w14:paraId="037091A6" w14:textId="77777777" w:rsidR="0085728B" w:rsidRDefault="0085728B" w:rsidP="0085728B">
      <w:pPr>
        <w:pStyle w:val="NormalWeb"/>
        <w:spacing w:before="0" w:after="0"/>
        <w:rPr>
          <w:rFonts w:ascii="Arial" w:hAnsi="Arial" w:cs="Arial"/>
          <w:color w:val="000000"/>
        </w:rPr>
      </w:pPr>
      <w:r w:rsidRPr="00C67C34">
        <w:rPr>
          <w:rFonts w:ascii="Arial" w:hAnsi="Arial" w:cs="Arial"/>
          <w:color w:val="000000"/>
        </w:rPr>
        <w:t>GOV.WALES. (n.d.). </w:t>
      </w:r>
      <w:r w:rsidRPr="00C67C34">
        <w:rPr>
          <w:rFonts w:ascii="Arial" w:hAnsi="Arial" w:cs="Arial"/>
          <w:i/>
          <w:iCs/>
          <w:color w:val="000000"/>
        </w:rPr>
        <w:t>Ethnic group, national identity, language and religion in Wales (Census 2021)</w:t>
      </w:r>
      <w:r w:rsidRPr="00C67C34">
        <w:rPr>
          <w:rFonts w:ascii="Arial" w:hAnsi="Arial" w:cs="Arial"/>
          <w:color w:val="000000"/>
        </w:rPr>
        <w:t xml:space="preserve">. [online] Available at: </w:t>
      </w:r>
      <w:hyperlink r:id="rId30" w:history="1">
        <w:r w:rsidRPr="00C67C34">
          <w:rPr>
            <w:rStyle w:val="Hyperlink"/>
            <w:rFonts w:ascii="Arial" w:hAnsi="Arial" w:cs="Arial"/>
          </w:rPr>
          <w:t>https://www.gov.wales/ethnic-group-national-identity-language-and-religion-wales-census-2021-html#:~:text=90.6%25%20of%20the%20population%20identified</w:t>
        </w:r>
      </w:hyperlink>
      <w:r w:rsidRPr="00C67C34">
        <w:rPr>
          <w:rFonts w:ascii="Arial" w:hAnsi="Arial" w:cs="Arial"/>
          <w:color w:val="000000"/>
        </w:rPr>
        <w:t>.</w:t>
      </w:r>
    </w:p>
    <w:p w14:paraId="10902F53" w14:textId="77777777" w:rsidR="0085728B" w:rsidRPr="00C67C34" w:rsidRDefault="0085728B" w:rsidP="0085728B">
      <w:pPr>
        <w:pStyle w:val="NormalWeb"/>
        <w:spacing w:before="0" w:after="0"/>
        <w:rPr>
          <w:rFonts w:ascii="Arial" w:hAnsi="Arial" w:cs="Arial"/>
          <w:color w:val="000000"/>
        </w:rPr>
      </w:pPr>
    </w:p>
    <w:p w14:paraId="06744877" w14:textId="77777777" w:rsidR="0085728B" w:rsidRDefault="0085728B" w:rsidP="0085728B">
      <w:pPr>
        <w:pStyle w:val="NormalWeb"/>
        <w:spacing w:before="0" w:after="0" w:line="360" w:lineRule="atLeast"/>
        <w:rPr>
          <w:rFonts w:ascii="Arial" w:hAnsi="Arial" w:cs="Arial"/>
          <w:color w:val="000000"/>
        </w:rPr>
      </w:pPr>
      <w:r w:rsidRPr="00C67C34">
        <w:rPr>
          <w:rFonts w:ascii="Arial" w:hAnsi="Arial" w:cs="Arial"/>
          <w:color w:val="000000"/>
        </w:rPr>
        <w:lastRenderedPageBreak/>
        <w:t>IN-DEPTH ANALYSIS. Definitions of rape in the legislation of EU member states (n.d.). doi:https://doi.org/10.2861/860654.</w:t>
      </w:r>
    </w:p>
    <w:p w14:paraId="360CB162" w14:textId="77777777" w:rsidR="0085728B" w:rsidRPr="00C67C34" w:rsidRDefault="0085728B" w:rsidP="0085728B">
      <w:pPr>
        <w:pStyle w:val="NormalWeb"/>
        <w:spacing w:before="0" w:after="0" w:line="360" w:lineRule="atLeast"/>
        <w:rPr>
          <w:rFonts w:ascii="Arial" w:hAnsi="Arial" w:cs="Arial"/>
          <w:color w:val="000000"/>
        </w:rPr>
      </w:pPr>
    </w:p>
    <w:p w14:paraId="1FFDC044" w14:textId="77777777" w:rsidR="0085728B" w:rsidRDefault="0085728B" w:rsidP="0085728B">
      <w:pPr>
        <w:autoSpaceDN/>
        <w:spacing w:line="360" w:lineRule="atLeast"/>
        <w:rPr>
          <w:sz w:val="24"/>
          <w:szCs w:val="24"/>
        </w:rPr>
      </w:pPr>
      <w:r w:rsidRPr="00E14120">
        <w:rPr>
          <w:sz w:val="24"/>
          <w:szCs w:val="24"/>
        </w:rPr>
        <w:t>Leadershiptribe (2023). </w:t>
      </w:r>
      <w:r w:rsidRPr="00E14120">
        <w:rPr>
          <w:i/>
          <w:iCs/>
          <w:sz w:val="24"/>
          <w:szCs w:val="24"/>
        </w:rPr>
        <w:t>The Drama Triangle Explained</w:t>
      </w:r>
      <w:r w:rsidRPr="00E14120">
        <w:rPr>
          <w:sz w:val="24"/>
          <w:szCs w:val="24"/>
        </w:rPr>
        <w:t xml:space="preserve">. [online] Leadership Tribe UK. Available at: </w:t>
      </w:r>
      <w:hyperlink r:id="rId31" w:history="1">
        <w:r w:rsidRPr="00E14120">
          <w:rPr>
            <w:rStyle w:val="Hyperlink"/>
            <w:sz w:val="24"/>
            <w:szCs w:val="24"/>
          </w:rPr>
          <w:t>https://leadershiptribe.co.uk/blog/the-drama-triangle-explained</w:t>
        </w:r>
      </w:hyperlink>
      <w:r w:rsidRPr="00E14120">
        <w:rPr>
          <w:sz w:val="24"/>
          <w:szCs w:val="24"/>
        </w:rPr>
        <w:t>.</w:t>
      </w:r>
    </w:p>
    <w:p w14:paraId="64C5A500" w14:textId="77777777" w:rsidR="0085728B" w:rsidRPr="00E14120" w:rsidRDefault="0085728B" w:rsidP="0085728B">
      <w:pPr>
        <w:autoSpaceDN/>
        <w:spacing w:line="360" w:lineRule="atLeast"/>
        <w:rPr>
          <w:sz w:val="24"/>
          <w:szCs w:val="24"/>
        </w:rPr>
      </w:pPr>
    </w:p>
    <w:p w14:paraId="0D57E8F7" w14:textId="77777777" w:rsidR="0085728B" w:rsidRDefault="0085728B" w:rsidP="0085728B">
      <w:pPr>
        <w:pStyle w:val="NormalWeb"/>
        <w:spacing w:before="0" w:after="0" w:line="360" w:lineRule="atLeast"/>
        <w:rPr>
          <w:rFonts w:ascii="Arial" w:hAnsi="Arial" w:cs="Arial"/>
          <w:color w:val="000000"/>
        </w:rPr>
      </w:pPr>
      <w:r w:rsidRPr="00C67C34">
        <w:rPr>
          <w:rFonts w:ascii="Arial" w:hAnsi="Arial" w:cs="Arial"/>
          <w:color w:val="000000"/>
        </w:rPr>
        <w:t>Legislation.gov.uk (1996). </w:t>
      </w:r>
      <w:r w:rsidRPr="00C67C34">
        <w:rPr>
          <w:rFonts w:ascii="Arial" w:hAnsi="Arial" w:cs="Arial"/>
          <w:i/>
          <w:iCs/>
          <w:color w:val="000000"/>
        </w:rPr>
        <w:t>Criminal Procedure and Investigations Act 1996</w:t>
      </w:r>
      <w:r w:rsidRPr="00C67C34">
        <w:rPr>
          <w:rFonts w:ascii="Arial" w:hAnsi="Arial" w:cs="Arial"/>
          <w:color w:val="000000"/>
        </w:rPr>
        <w:t xml:space="preserve">. [online] www.legislation.gov.uk. Available at: </w:t>
      </w:r>
      <w:hyperlink r:id="rId32" w:history="1">
        <w:r w:rsidRPr="00C67C34">
          <w:rPr>
            <w:rStyle w:val="Hyperlink"/>
            <w:rFonts w:ascii="Arial" w:hAnsi="Arial" w:cs="Arial"/>
          </w:rPr>
          <w:t>https://www.legislation.gov.uk/ukpga/1996/25/contents</w:t>
        </w:r>
      </w:hyperlink>
      <w:r w:rsidRPr="00C67C34">
        <w:rPr>
          <w:rFonts w:ascii="Arial" w:hAnsi="Arial" w:cs="Arial"/>
          <w:color w:val="000000"/>
        </w:rPr>
        <w:t>.</w:t>
      </w:r>
    </w:p>
    <w:p w14:paraId="0090F7CB" w14:textId="77777777" w:rsidR="0085728B" w:rsidRPr="00C67C34" w:rsidRDefault="0085728B" w:rsidP="0085728B">
      <w:pPr>
        <w:pStyle w:val="NormalWeb"/>
        <w:spacing w:before="0" w:after="0" w:line="360" w:lineRule="atLeast"/>
        <w:rPr>
          <w:rFonts w:ascii="Arial" w:hAnsi="Arial" w:cs="Arial"/>
          <w:color w:val="000000"/>
        </w:rPr>
      </w:pPr>
    </w:p>
    <w:p w14:paraId="547ED2BA" w14:textId="77777777" w:rsidR="0085728B" w:rsidRDefault="0085728B" w:rsidP="0085728B">
      <w:pPr>
        <w:pStyle w:val="NormalWeb"/>
        <w:spacing w:before="0" w:after="0" w:line="360" w:lineRule="atLeast"/>
        <w:rPr>
          <w:rFonts w:ascii="Arial" w:hAnsi="Arial" w:cs="Arial"/>
          <w:color w:val="000000"/>
        </w:rPr>
      </w:pPr>
      <w:r w:rsidRPr="00A3548E">
        <w:rPr>
          <w:rFonts w:ascii="Arial" w:hAnsi="Arial" w:cs="Arial"/>
          <w:color w:val="000000"/>
        </w:rPr>
        <w:t>‌</w:t>
      </w:r>
      <w:r w:rsidRPr="00C67C34">
        <w:rPr>
          <w:rFonts w:ascii="Arial" w:hAnsi="Arial" w:cs="Arial"/>
          <w:color w:val="000000"/>
        </w:rPr>
        <w:t>Legislation.gov.uk (2011). </w:t>
      </w:r>
      <w:r w:rsidRPr="00C67C34">
        <w:rPr>
          <w:rFonts w:ascii="Arial" w:hAnsi="Arial" w:cs="Arial"/>
          <w:i/>
          <w:iCs/>
          <w:color w:val="000000"/>
        </w:rPr>
        <w:t>Offences Against the Person Act 1861</w:t>
      </w:r>
      <w:r w:rsidRPr="00C67C34">
        <w:rPr>
          <w:rFonts w:ascii="Arial" w:hAnsi="Arial" w:cs="Arial"/>
          <w:color w:val="000000"/>
        </w:rPr>
        <w:t xml:space="preserve">. [online] Legislation.gov.uk. Available at: </w:t>
      </w:r>
      <w:hyperlink r:id="rId33" w:history="1">
        <w:r w:rsidRPr="00C67C34">
          <w:rPr>
            <w:rStyle w:val="Hyperlink"/>
            <w:rFonts w:ascii="Arial" w:hAnsi="Arial" w:cs="Arial"/>
          </w:rPr>
          <w:t>https://www.legislation.gov.uk/ukpga/Vict/24-25/100/section/47</w:t>
        </w:r>
      </w:hyperlink>
      <w:r w:rsidRPr="00C67C34">
        <w:rPr>
          <w:rFonts w:ascii="Arial" w:hAnsi="Arial" w:cs="Arial"/>
          <w:color w:val="000000"/>
        </w:rPr>
        <w:t>.</w:t>
      </w:r>
    </w:p>
    <w:p w14:paraId="20671B51" w14:textId="77777777" w:rsidR="0085728B" w:rsidRPr="00C67C34" w:rsidRDefault="0085728B" w:rsidP="0085728B">
      <w:pPr>
        <w:pStyle w:val="NormalWeb"/>
        <w:spacing w:before="0" w:after="0" w:line="360" w:lineRule="atLeast"/>
        <w:rPr>
          <w:rFonts w:ascii="Arial" w:hAnsi="Arial" w:cs="Arial"/>
          <w:color w:val="000000"/>
        </w:rPr>
      </w:pPr>
    </w:p>
    <w:p w14:paraId="2E8FA707" w14:textId="77777777" w:rsidR="0085728B" w:rsidRDefault="0085728B" w:rsidP="0085728B">
      <w:pPr>
        <w:pStyle w:val="NormalWeb"/>
        <w:spacing w:before="0" w:after="0" w:line="360" w:lineRule="atLeast"/>
        <w:rPr>
          <w:rFonts w:ascii="Arial" w:hAnsi="Arial" w:cs="Arial"/>
          <w:color w:val="000000"/>
        </w:rPr>
      </w:pPr>
      <w:r w:rsidRPr="008F2FF6">
        <w:rPr>
          <w:rFonts w:ascii="Arial" w:hAnsi="Arial" w:cs="Arial"/>
          <w:color w:val="000000"/>
        </w:rPr>
        <w:t>‌</w:t>
      </w:r>
      <w:r w:rsidRPr="00C67C34">
        <w:rPr>
          <w:rFonts w:ascii="Arial" w:hAnsi="Arial" w:cs="Arial"/>
          <w:color w:val="000000"/>
        </w:rPr>
        <w:t>Malicious Communications Act (1988). </w:t>
      </w:r>
      <w:r w:rsidRPr="00C67C34">
        <w:rPr>
          <w:rFonts w:ascii="Arial" w:hAnsi="Arial" w:cs="Arial"/>
          <w:i/>
          <w:iCs/>
          <w:color w:val="000000"/>
        </w:rPr>
        <w:t>Malicious Communications Act 1988</w:t>
      </w:r>
      <w:r w:rsidRPr="00C67C34">
        <w:rPr>
          <w:rFonts w:ascii="Arial" w:hAnsi="Arial" w:cs="Arial"/>
          <w:color w:val="000000"/>
        </w:rPr>
        <w:t xml:space="preserve">. [online] Legislation.gov.uk. Available at: </w:t>
      </w:r>
      <w:hyperlink r:id="rId34" w:history="1">
        <w:r w:rsidRPr="00286F0A">
          <w:rPr>
            <w:rStyle w:val="Hyperlink"/>
            <w:rFonts w:ascii="Arial" w:hAnsi="Arial" w:cs="Arial"/>
          </w:rPr>
          <w:t>https://www.legislation.gov.uk/ukpga/1988/27/section/1</w:t>
        </w:r>
      </w:hyperlink>
      <w:r w:rsidRPr="00C67C34">
        <w:rPr>
          <w:rFonts w:ascii="Arial" w:hAnsi="Arial" w:cs="Arial"/>
          <w:color w:val="000000"/>
        </w:rPr>
        <w:t>.</w:t>
      </w:r>
    </w:p>
    <w:p w14:paraId="58077EA6" w14:textId="77777777" w:rsidR="0085728B" w:rsidRPr="00C67C34" w:rsidRDefault="0085728B" w:rsidP="0085728B">
      <w:pPr>
        <w:pStyle w:val="NormalWeb"/>
        <w:spacing w:before="0" w:after="0" w:line="360" w:lineRule="atLeast"/>
        <w:rPr>
          <w:rFonts w:ascii="Arial" w:hAnsi="Arial" w:cs="Arial"/>
          <w:color w:val="000000"/>
        </w:rPr>
      </w:pPr>
    </w:p>
    <w:p w14:paraId="32928E9B" w14:textId="77777777" w:rsidR="0085728B" w:rsidRDefault="0085728B" w:rsidP="0085728B">
      <w:pPr>
        <w:autoSpaceDN/>
        <w:spacing w:before="100" w:beforeAutospacing="1" w:after="100" w:afterAutospacing="1"/>
        <w:rPr>
          <w:sz w:val="24"/>
          <w:szCs w:val="24"/>
        </w:rPr>
      </w:pPr>
      <w:r w:rsidRPr="008F2FF6">
        <w:rPr>
          <w:sz w:val="24"/>
          <w:szCs w:val="24"/>
        </w:rPr>
        <w:t>‌</w:t>
      </w:r>
      <w:r w:rsidRPr="00C67C34">
        <w:rPr>
          <w:sz w:val="24"/>
          <w:szCs w:val="24"/>
        </w:rPr>
        <w:t>Ministry of Justice (2005). </w:t>
      </w:r>
      <w:r w:rsidRPr="00C67C34">
        <w:rPr>
          <w:i/>
          <w:iCs/>
          <w:sz w:val="24"/>
          <w:szCs w:val="24"/>
        </w:rPr>
        <w:t>The code of practice for victims of crime and supporting public information materials</w:t>
      </w:r>
      <w:r w:rsidRPr="00C67C34">
        <w:rPr>
          <w:sz w:val="24"/>
          <w:szCs w:val="24"/>
        </w:rPr>
        <w:t xml:space="preserve">. [online] GOV.UK. Available at: </w:t>
      </w:r>
      <w:hyperlink r:id="rId35" w:history="1">
        <w:r w:rsidRPr="00C67C34">
          <w:rPr>
            <w:rStyle w:val="Hyperlink"/>
            <w:sz w:val="24"/>
            <w:szCs w:val="24"/>
          </w:rPr>
          <w:t>https://www.gov.uk/government/publications/the-code-of-practice-for-victims-of-crime</w:t>
        </w:r>
      </w:hyperlink>
      <w:r w:rsidRPr="00C67C34">
        <w:rPr>
          <w:sz w:val="24"/>
          <w:szCs w:val="24"/>
        </w:rPr>
        <w:t>.</w:t>
      </w:r>
    </w:p>
    <w:p w14:paraId="3B75A427" w14:textId="77777777" w:rsidR="0085728B" w:rsidRPr="00C67C34" w:rsidRDefault="0085728B" w:rsidP="0085728B">
      <w:pPr>
        <w:autoSpaceDN/>
        <w:spacing w:before="100" w:beforeAutospacing="1" w:after="100" w:afterAutospacing="1"/>
        <w:rPr>
          <w:sz w:val="24"/>
          <w:szCs w:val="24"/>
        </w:rPr>
      </w:pPr>
    </w:p>
    <w:p w14:paraId="2B274FD3" w14:textId="77777777" w:rsidR="0085728B" w:rsidRDefault="0085728B" w:rsidP="0085728B">
      <w:pPr>
        <w:rPr>
          <w:sz w:val="24"/>
          <w:szCs w:val="24"/>
        </w:rPr>
      </w:pPr>
      <w:r w:rsidRPr="00C67C34">
        <w:rPr>
          <w:sz w:val="24"/>
          <w:szCs w:val="24"/>
        </w:rPr>
        <w:t xml:space="preserve">National Police Chief’s Council (2024). Violence against Women and Girls. [Online]. NPCC. Available at: </w:t>
      </w:r>
      <w:hyperlink r:id="rId36" w:history="1">
        <w:r w:rsidRPr="00C67C34">
          <w:rPr>
            <w:rStyle w:val="Hyperlink"/>
            <w:sz w:val="24"/>
            <w:szCs w:val="24"/>
          </w:rPr>
          <w:t>Violence Against Women and Girls (npcc.police.uk)</w:t>
        </w:r>
      </w:hyperlink>
    </w:p>
    <w:p w14:paraId="1E2E1B76" w14:textId="77777777" w:rsidR="0085728B" w:rsidRPr="00C67C34" w:rsidRDefault="0085728B" w:rsidP="0085728B">
      <w:pPr>
        <w:rPr>
          <w:sz w:val="24"/>
          <w:szCs w:val="24"/>
        </w:rPr>
      </w:pPr>
    </w:p>
    <w:p w14:paraId="69E02E1E" w14:textId="77777777" w:rsidR="0085728B" w:rsidRDefault="0085728B" w:rsidP="0085728B">
      <w:pPr>
        <w:autoSpaceDN/>
        <w:spacing w:line="360" w:lineRule="atLeast"/>
        <w:rPr>
          <w:sz w:val="24"/>
          <w:szCs w:val="24"/>
        </w:rPr>
      </w:pPr>
      <w:r w:rsidRPr="00A3548E">
        <w:rPr>
          <w:sz w:val="24"/>
          <w:szCs w:val="24"/>
        </w:rPr>
        <w:t>NICE. (n.d.). </w:t>
      </w:r>
      <w:r w:rsidRPr="00A3548E">
        <w:rPr>
          <w:i/>
          <w:iCs/>
          <w:sz w:val="24"/>
          <w:szCs w:val="24"/>
        </w:rPr>
        <w:t>Digital Evidence Management for Law Enforcement | NICE Public Safety &amp; Justice</w:t>
      </w:r>
      <w:r w:rsidRPr="00A3548E">
        <w:rPr>
          <w:sz w:val="24"/>
          <w:szCs w:val="24"/>
        </w:rPr>
        <w:t>. [online] Available at: https://www.nicepublicsafety.com/law-enforcement [Accessed 8 Jul. 2024].</w:t>
      </w:r>
    </w:p>
    <w:p w14:paraId="58563433" w14:textId="77777777" w:rsidR="0085728B" w:rsidRPr="00C67C34" w:rsidRDefault="0085728B" w:rsidP="0085728B">
      <w:pPr>
        <w:autoSpaceDN/>
        <w:spacing w:line="360" w:lineRule="atLeast"/>
        <w:rPr>
          <w:sz w:val="24"/>
          <w:szCs w:val="24"/>
        </w:rPr>
      </w:pPr>
    </w:p>
    <w:p w14:paraId="7E1D79AA" w14:textId="77777777" w:rsidR="0085728B" w:rsidRDefault="0085728B" w:rsidP="0085728B">
      <w:pPr>
        <w:pStyle w:val="NormalWeb"/>
        <w:spacing w:before="0" w:after="0" w:line="360" w:lineRule="atLeast"/>
        <w:rPr>
          <w:rFonts w:ascii="Arial" w:hAnsi="Arial" w:cs="Arial"/>
          <w:color w:val="000000"/>
        </w:rPr>
      </w:pPr>
      <w:r w:rsidRPr="00C67C34">
        <w:rPr>
          <w:rFonts w:ascii="Arial" w:hAnsi="Arial" w:cs="Arial"/>
          <w:color w:val="000000"/>
        </w:rPr>
        <w:t>‌Pigliucci, M. (2022). </w:t>
      </w:r>
      <w:r w:rsidRPr="00C67C34">
        <w:rPr>
          <w:rFonts w:ascii="Arial" w:hAnsi="Arial" w:cs="Arial"/>
          <w:i/>
          <w:iCs/>
          <w:color w:val="000000"/>
        </w:rPr>
        <w:t>Stoicism</w:t>
      </w:r>
      <w:r w:rsidRPr="00C67C34">
        <w:rPr>
          <w:rFonts w:ascii="Arial" w:hAnsi="Arial" w:cs="Arial"/>
          <w:color w:val="000000"/>
        </w:rPr>
        <w:t xml:space="preserve">. [online] Internet Encyclopedia of Philosophy. Available at: </w:t>
      </w:r>
      <w:hyperlink r:id="rId37" w:history="1">
        <w:r w:rsidRPr="00C67C34">
          <w:rPr>
            <w:rStyle w:val="Hyperlink"/>
            <w:rFonts w:ascii="Arial" w:hAnsi="Arial" w:cs="Arial"/>
          </w:rPr>
          <w:t>https://iep.utm.edu/stoicism/</w:t>
        </w:r>
      </w:hyperlink>
      <w:r w:rsidRPr="00C67C34">
        <w:rPr>
          <w:rFonts w:ascii="Arial" w:hAnsi="Arial" w:cs="Arial"/>
          <w:color w:val="000000"/>
        </w:rPr>
        <w:t>.</w:t>
      </w:r>
    </w:p>
    <w:p w14:paraId="4BD17999" w14:textId="77777777" w:rsidR="0085728B" w:rsidRPr="00C67C34" w:rsidRDefault="0085728B" w:rsidP="0085728B">
      <w:pPr>
        <w:pStyle w:val="NormalWeb"/>
        <w:spacing w:before="0" w:after="0" w:line="360" w:lineRule="atLeast"/>
        <w:rPr>
          <w:rFonts w:ascii="Arial" w:hAnsi="Arial" w:cs="Arial"/>
          <w:color w:val="000000"/>
        </w:rPr>
      </w:pPr>
    </w:p>
    <w:p w14:paraId="3E32D2C0" w14:textId="77777777" w:rsidR="0085728B" w:rsidRDefault="0085728B" w:rsidP="0085728B">
      <w:pPr>
        <w:pStyle w:val="NormalWeb"/>
        <w:spacing w:before="0" w:after="0"/>
        <w:rPr>
          <w:rFonts w:ascii="Arial" w:hAnsi="Arial" w:cs="Arial"/>
          <w:color w:val="000000"/>
        </w:rPr>
      </w:pPr>
      <w:r w:rsidRPr="00C67C34">
        <w:rPr>
          <w:rFonts w:ascii="Arial" w:hAnsi="Arial" w:cs="Arial"/>
          <w:color w:val="000000"/>
        </w:rPr>
        <w:t>Police Federation (2022). </w:t>
      </w:r>
      <w:r w:rsidRPr="00C67C34">
        <w:rPr>
          <w:rFonts w:ascii="Arial" w:hAnsi="Arial" w:cs="Arial"/>
          <w:i/>
          <w:iCs/>
          <w:color w:val="000000"/>
        </w:rPr>
        <w:t>Mental health-related absences soar to record highs</w:t>
      </w:r>
      <w:r w:rsidRPr="00C67C34">
        <w:rPr>
          <w:rFonts w:ascii="Arial" w:hAnsi="Arial" w:cs="Arial"/>
          <w:color w:val="000000"/>
        </w:rPr>
        <w:t xml:space="preserve">. [online] www.polfed.org. Available at: </w:t>
      </w:r>
      <w:hyperlink r:id="rId38" w:history="1">
        <w:r w:rsidRPr="00C67C34">
          <w:rPr>
            <w:rStyle w:val="Hyperlink"/>
            <w:rFonts w:ascii="Arial" w:hAnsi="Arial" w:cs="Arial"/>
          </w:rPr>
          <w:t>https://www.polfed.org/news/latest-news/2022/mental-health-related-absences-soar-to-record-highs/</w:t>
        </w:r>
      </w:hyperlink>
      <w:r w:rsidRPr="00C67C34">
        <w:rPr>
          <w:rFonts w:ascii="Arial" w:hAnsi="Arial" w:cs="Arial"/>
          <w:color w:val="000000"/>
        </w:rPr>
        <w:t>.</w:t>
      </w:r>
    </w:p>
    <w:p w14:paraId="3ECBE65E" w14:textId="77777777" w:rsidR="0085728B" w:rsidRPr="00C67C34" w:rsidRDefault="0085728B" w:rsidP="0085728B">
      <w:pPr>
        <w:pStyle w:val="NormalWeb"/>
        <w:spacing w:before="0" w:after="0"/>
        <w:rPr>
          <w:rFonts w:ascii="Arial" w:hAnsi="Arial" w:cs="Arial"/>
          <w:color w:val="000000"/>
        </w:rPr>
      </w:pPr>
    </w:p>
    <w:p w14:paraId="2F517D17" w14:textId="77777777" w:rsidR="0085728B" w:rsidRDefault="0085728B" w:rsidP="0085728B">
      <w:pPr>
        <w:pStyle w:val="NormalWeb"/>
        <w:spacing w:before="0" w:after="0" w:line="360" w:lineRule="atLeast"/>
        <w:rPr>
          <w:rFonts w:ascii="Arial" w:hAnsi="Arial" w:cs="Arial"/>
          <w:color w:val="000000"/>
        </w:rPr>
      </w:pPr>
      <w:r w:rsidRPr="00A3548E">
        <w:rPr>
          <w:rFonts w:ascii="Arial" w:hAnsi="Arial" w:cs="Arial"/>
          <w:color w:val="000000"/>
        </w:rPr>
        <w:t>‌</w:t>
      </w:r>
      <w:r w:rsidRPr="00C67C34">
        <w:rPr>
          <w:rFonts w:ascii="Arial" w:hAnsi="Arial" w:cs="Arial"/>
          <w:color w:val="000000"/>
        </w:rPr>
        <w:t>Police Federation (2023). </w:t>
      </w:r>
      <w:r w:rsidRPr="00C67C34">
        <w:rPr>
          <w:rFonts w:ascii="Arial" w:hAnsi="Arial" w:cs="Arial"/>
          <w:i/>
          <w:iCs/>
          <w:color w:val="000000"/>
        </w:rPr>
        <w:t>Standards of Professional Behaviour</w:t>
      </w:r>
      <w:r w:rsidRPr="00C67C34">
        <w:rPr>
          <w:rFonts w:ascii="Arial" w:hAnsi="Arial" w:cs="Arial"/>
          <w:color w:val="000000"/>
        </w:rPr>
        <w:t xml:space="preserve">. [online] www.polfed.org. Available at: </w:t>
      </w:r>
      <w:hyperlink r:id="rId39" w:history="1">
        <w:r w:rsidRPr="00C67C34">
          <w:rPr>
            <w:rStyle w:val="Hyperlink"/>
            <w:rFonts w:ascii="Arial" w:hAnsi="Arial" w:cs="Arial"/>
          </w:rPr>
          <w:t>https://www.polfed.org/gloucestershire/rules-regs/standards-of-professional-behaviour/</w:t>
        </w:r>
      </w:hyperlink>
      <w:r w:rsidRPr="00C67C34">
        <w:rPr>
          <w:rFonts w:ascii="Arial" w:hAnsi="Arial" w:cs="Arial"/>
          <w:color w:val="000000"/>
        </w:rPr>
        <w:t>.</w:t>
      </w:r>
    </w:p>
    <w:p w14:paraId="6438A622" w14:textId="77777777" w:rsidR="0085728B" w:rsidRPr="00C67C34" w:rsidRDefault="0085728B" w:rsidP="0085728B">
      <w:pPr>
        <w:pStyle w:val="NormalWeb"/>
        <w:spacing w:before="0" w:after="0" w:line="360" w:lineRule="atLeast"/>
        <w:rPr>
          <w:rFonts w:ascii="Arial" w:hAnsi="Arial" w:cs="Arial"/>
          <w:color w:val="000000"/>
        </w:rPr>
      </w:pPr>
    </w:p>
    <w:p w14:paraId="6C4A4AD4" w14:textId="77777777" w:rsidR="0085728B" w:rsidRDefault="0085728B" w:rsidP="0085728B">
      <w:pPr>
        <w:pStyle w:val="NormalWeb"/>
        <w:spacing w:before="0" w:after="0" w:line="360" w:lineRule="atLeast"/>
        <w:rPr>
          <w:rFonts w:ascii="Arial" w:hAnsi="Arial" w:cs="Arial"/>
          <w:color w:val="000000"/>
        </w:rPr>
      </w:pPr>
      <w:r w:rsidRPr="00E14120">
        <w:rPr>
          <w:rFonts w:ascii="Arial" w:hAnsi="Arial" w:cs="Arial"/>
          <w:color w:val="000000"/>
        </w:rPr>
        <w:t>‌</w:t>
      </w:r>
      <w:r w:rsidRPr="00C67C34">
        <w:rPr>
          <w:rFonts w:ascii="Arial" w:hAnsi="Arial" w:cs="Arial"/>
          <w:color w:val="000000"/>
        </w:rPr>
        <w:t>Police Magazine. (2016). </w:t>
      </w:r>
      <w:r w:rsidRPr="00C67C34">
        <w:rPr>
          <w:rFonts w:ascii="Arial" w:hAnsi="Arial" w:cs="Arial"/>
          <w:i/>
          <w:iCs/>
          <w:color w:val="000000"/>
        </w:rPr>
        <w:t>Gaining Compliance with Targeted Pressure</w:t>
      </w:r>
      <w:r w:rsidRPr="00C67C34">
        <w:rPr>
          <w:rFonts w:ascii="Arial" w:hAnsi="Arial" w:cs="Arial"/>
          <w:color w:val="000000"/>
        </w:rPr>
        <w:t xml:space="preserve">. [online] Available at: </w:t>
      </w:r>
      <w:hyperlink r:id="rId40" w:history="1">
        <w:r w:rsidRPr="00C67C34">
          <w:rPr>
            <w:rStyle w:val="Hyperlink"/>
            <w:rFonts w:ascii="Arial" w:hAnsi="Arial" w:cs="Arial"/>
          </w:rPr>
          <w:t>https://www.policemag.com/patrol/article/15346750/gaining-compliance-with-targeted-pressure.t</w:t>
        </w:r>
      </w:hyperlink>
    </w:p>
    <w:p w14:paraId="7925971B" w14:textId="77777777" w:rsidR="0085728B" w:rsidRPr="00C67C34" w:rsidRDefault="0085728B" w:rsidP="0085728B">
      <w:pPr>
        <w:pStyle w:val="NormalWeb"/>
        <w:spacing w:before="0" w:after="0" w:line="360" w:lineRule="atLeast"/>
        <w:rPr>
          <w:rFonts w:ascii="Arial" w:hAnsi="Arial" w:cs="Arial"/>
          <w:color w:val="000000"/>
        </w:rPr>
      </w:pPr>
    </w:p>
    <w:p w14:paraId="3222DCD2" w14:textId="77777777" w:rsidR="0085728B" w:rsidRDefault="0085728B" w:rsidP="0085728B">
      <w:pPr>
        <w:pStyle w:val="NormalWeb"/>
        <w:spacing w:before="0" w:after="0"/>
        <w:rPr>
          <w:rFonts w:ascii="Arial" w:hAnsi="Arial" w:cs="Arial"/>
          <w:color w:val="000000"/>
        </w:rPr>
      </w:pPr>
      <w:r w:rsidRPr="00C67C34">
        <w:rPr>
          <w:rFonts w:ascii="Arial" w:hAnsi="Arial" w:cs="Arial"/>
          <w:color w:val="000000"/>
        </w:rPr>
        <w:t>‌Schneiderman, N., Ironson, G. and Siegel, S.D. (2005). Stress and health: Psychological, behavioral, and biological determinants. </w:t>
      </w:r>
      <w:r w:rsidRPr="00C67C34">
        <w:rPr>
          <w:rFonts w:ascii="Arial" w:hAnsi="Arial" w:cs="Arial"/>
          <w:i/>
          <w:iCs/>
          <w:color w:val="000000"/>
        </w:rPr>
        <w:t>Annual Review of Clinical Psychology</w:t>
      </w:r>
      <w:r w:rsidRPr="00C67C34">
        <w:rPr>
          <w:rFonts w:ascii="Arial" w:hAnsi="Arial" w:cs="Arial"/>
          <w:color w:val="000000"/>
        </w:rPr>
        <w:t xml:space="preserve">, [online] 1(1), pp.607–628. </w:t>
      </w:r>
    </w:p>
    <w:p w14:paraId="7E7E416C" w14:textId="77777777" w:rsidR="0085728B" w:rsidRDefault="0085728B" w:rsidP="0085728B">
      <w:pPr>
        <w:pStyle w:val="NormalWeb"/>
        <w:spacing w:before="0" w:after="0"/>
        <w:rPr>
          <w:rFonts w:ascii="Arial" w:hAnsi="Arial" w:cs="Arial"/>
          <w:color w:val="000000"/>
        </w:rPr>
      </w:pPr>
      <w:r w:rsidRPr="00C67C34">
        <w:rPr>
          <w:rFonts w:ascii="Arial" w:hAnsi="Arial" w:cs="Arial"/>
          <w:color w:val="000000"/>
        </w:rPr>
        <w:t>doi:https://doi.org/10.1146/annurev.clinpsy.1.102803.144141.</w:t>
      </w:r>
    </w:p>
    <w:p w14:paraId="4CA0C3F8" w14:textId="77777777" w:rsidR="0085728B" w:rsidRPr="00C67C34" w:rsidRDefault="0085728B" w:rsidP="0085728B">
      <w:pPr>
        <w:pStyle w:val="NormalWeb"/>
        <w:spacing w:before="0" w:after="0"/>
        <w:rPr>
          <w:rFonts w:ascii="Arial" w:hAnsi="Arial" w:cs="Arial"/>
          <w:color w:val="000000"/>
        </w:rPr>
      </w:pPr>
    </w:p>
    <w:p w14:paraId="4E8AE51F" w14:textId="77777777" w:rsidR="0085728B" w:rsidRDefault="0085728B" w:rsidP="0085728B">
      <w:pPr>
        <w:pStyle w:val="NormalWeb"/>
        <w:spacing w:before="0" w:after="0" w:line="360" w:lineRule="atLeast"/>
        <w:rPr>
          <w:rFonts w:ascii="Arial" w:hAnsi="Arial" w:cs="Arial"/>
          <w:color w:val="000000"/>
        </w:rPr>
      </w:pPr>
      <w:r w:rsidRPr="00C67C34">
        <w:rPr>
          <w:rFonts w:ascii="Arial" w:hAnsi="Arial" w:cs="Arial"/>
          <w:color w:val="000000"/>
        </w:rPr>
        <w:t>‌Solutions, L. (n.d.). </w:t>
      </w:r>
      <w:r w:rsidRPr="00C67C34">
        <w:rPr>
          <w:rFonts w:ascii="Arial" w:hAnsi="Arial" w:cs="Arial"/>
          <w:i/>
          <w:iCs/>
          <w:color w:val="000000"/>
        </w:rPr>
        <w:t>Police &amp; Criminal Justice Translation - LanguageLine UK</w:t>
      </w:r>
      <w:r w:rsidRPr="00C67C34">
        <w:rPr>
          <w:rFonts w:ascii="Arial" w:hAnsi="Arial" w:cs="Arial"/>
          <w:color w:val="000000"/>
        </w:rPr>
        <w:t>. [online] www.languageline.com. Available at: https://www.languageline.com/en-gb/industries/police-criminal-justice#:~:text=In%20fact%2C%20we%20handle%20over%2064%20million%20interactions%20each%20year. [Accessed 5 Jul. 2024].</w:t>
      </w:r>
    </w:p>
    <w:p w14:paraId="4184C2E8" w14:textId="77777777" w:rsidR="0085728B" w:rsidRPr="00C67C34" w:rsidRDefault="0085728B" w:rsidP="0085728B">
      <w:pPr>
        <w:pStyle w:val="NormalWeb"/>
        <w:spacing w:before="0" w:after="0" w:line="360" w:lineRule="atLeast"/>
        <w:rPr>
          <w:rFonts w:ascii="Arial" w:hAnsi="Arial" w:cs="Arial"/>
          <w:color w:val="000000"/>
        </w:rPr>
      </w:pPr>
    </w:p>
    <w:p w14:paraId="1D3626A9" w14:textId="77777777" w:rsidR="0085728B" w:rsidRDefault="0085728B" w:rsidP="0085728B">
      <w:pPr>
        <w:pStyle w:val="NormalWeb"/>
        <w:spacing w:before="0" w:after="0" w:line="360" w:lineRule="atLeast"/>
        <w:rPr>
          <w:rFonts w:ascii="Arial" w:hAnsi="Arial" w:cs="Arial"/>
          <w:color w:val="000000"/>
        </w:rPr>
      </w:pPr>
      <w:r w:rsidRPr="00C67C34">
        <w:rPr>
          <w:rFonts w:ascii="Arial" w:hAnsi="Arial" w:cs="Arial"/>
          <w:color w:val="000000"/>
        </w:rPr>
        <w:t>‌Strickland, J.C. and Smith, M.A. (2014). The Anxiolytic Effects of Resistance Exercise. </w:t>
      </w:r>
      <w:r w:rsidRPr="00C67C34">
        <w:rPr>
          <w:rFonts w:ascii="Arial" w:hAnsi="Arial" w:cs="Arial"/>
          <w:i/>
          <w:iCs/>
          <w:color w:val="000000"/>
        </w:rPr>
        <w:t>Frontiers in Psychology</w:t>
      </w:r>
      <w:r w:rsidRPr="00C67C34">
        <w:rPr>
          <w:rFonts w:ascii="Arial" w:hAnsi="Arial" w:cs="Arial"/>
          <w:color w:val="000000"/>
        </w:rPr>
        <w:t>, [online] 5(753). doi:https://doi.org/10.3389/fpsyg.2014.00753.</w:t>
      </w:r>
    </w:p>
    <w:p w14:paraId="4175D5D8" w14:textId="77777777" w:rsidR="0085728B" w:rsidRPr="00C67C34" w:rsidRDefault="0085728B" w:rsidP="0085728B">
      <w:pPr>
        <w:pStyle w:val="NormalWeb"/>
        <w:spacing w:before="0" w:after="0" w:line="360" w:lineRule="atLeast"/>
        <w:rPr>
          <w:rFonts w:ascii="Arial" w:hAnsi="Arial" w:cs="Arial"/>
          <w:color w:val="000000"/>
        </w:rPr>
      </w:pPr>
    </w:p>
    <w:p w14:paraId="60999F00" w14:textId="77777777" w:rsidR="0085728B" w:rsidRDefault="0085728B" w:rsidP="0085728B">
      <w:pPr>
        <w:pStyle w:val="NormalWeb"/>
        <w:spacing w:before="0" w:after="0"/>
        <w:rPr>
          <w:rFonts w:ascii="Arial" w:hAnsi="Arial" w:cs="Arial"/>
          <w:color w:val="000000"/>
        </w:rPr>
      </w:pPr>
      <w:r w:rsidRPr="00C67C34">
        <w:rPr>
          <w:rFonts w:ascii="Arial" w:hAnsi="Arial" w:cs="Arial"/>
          <w:color w:val="000000"/>
        </w:rPr>
        <w:t>The University of Edinburgh (2020). </w:t>
      </w:r>
      <w:r w:rsidRPr="00C67C34">
        <w:rPr>
          <w:rFonts w:ascii="Arial" w:hAnsi="Arial" w:cs="Arial"/>
          <w:i/>
          <w:iCs/>
          <w:color w:val="000000"/>
        </w:rPr>
        <w:t>Gibbs’ Reflective Cycle</w:t>
      </w:r>
      <w:r w:rsidRPr="00C67C34">
        <w:rPr>
          <w:rFonts w:ascii="Arial" w:hAnsi="Arial" w:cs="Arial"/>
          <w:color w:val="000000"/>
        </w:rPr>
        <w:t xml:space="preserve">. [online] The University of Edinburgh. Available at: </w:t>
      </w:r>
      <w:hyperlink r:id="rId41" w:history="1">
        <w:r w:rsidRPr="00C67C34">
          <w:rPr>
            <w:rStyle w:val="Hyperlink"/>
            <w:rFonts w:ascii="Arial" w:hAnsi="Arial" w:cs="Arial"/>
          </w:rPr>
          <w:t>https://www.ed.ac.uk/reflection/reflectors-toolkit/reflecting-on-experience/gibbs-reflective-cycle</w:t>
        </w:r>
      </w:hyperlink>
      <w:r w:rsidRPr="00C67C34">
        <w:rPr>
          <w:rFonts w:ascii="Arial" w:hAnsi="Arial" w:cs="Arial"/>
          <w:color w:val="000000"/>
        </w:rPr>
        <w:t>.</w:t>
      </w:r>
    </w:p>
    <w:p w14:paraId="0075B38C" w14:textId="77777777" w:rsidR="0085728B" w:rsidRPr="00C67C34" w:rsidRDefault="0085728B" w:rsidP="0085728B">
      <w:pPr>
        <w:pStyle w:val="NormalWeb"/>
        <w:spacing w:before="0" w:after="0"/>
        <w:rPr>
          <w:rFonts w:ascii="Arial" w:hAnsi="Arial" w:cs="Arial"/>
          <w:color w:val="000000"/>
        </w:rPr>
      </w:pPr>
    </w:p>
    <w:p w14:paraId="3E75AE98" w14:textId="77777777" w:rsidR="0085728B" w:rsidRDefault="0085728B" w:rsidP="0085728B">
      <w:pPr>
        <w:autoSpaceDN/>
        <w:spacing w:line="360" w:lineRule="atLeast"/>
        <w:rPr>
          <w:sz w:val="24"/>
          <w:szCs w:val="24"/>
        </w:rPr>
      </w:pPr>
      <w:r w:rsidRPr="008F2FF6">
        <w:rPr>
          <w:sz w:val="24"/>
          <w:szCs w:val="24"/>
        </w:rPr>
        <w:t>UK Government (2020). </w:t>
      </w:r>
      <w:r w:rsidRPr="008F2FF6">
        <w:rPr>
          <w:i/>
          <w:iCs/>
          <w:sz w:val="24"/>
          <w:szCs w:val="24"/>
        </w:rPr>
        <w:t>Protection from Harassment Act 1997</w:t>
      </w:r>
      <w:r w:rsidRPr="008F2FF6">
        <w:rPr>
          <w:sz w:val="24"/>
          <w:szCs w:val="24"/>
        </w:rPr>
        <w:t xml:space="preserve">. [online] Legislation.gov.uk. Available at: </w:t>
      </w:r>
      <w:hyperlink r:id="rId42" w:history="1">
        <w:r w:rsidRPr="008F2FF6">
          <w:rPr>
            <w:rStyle w:val="Hyperlink"/>
            <w:sz w:val="24"/>
            <w:szCs w:val="24"/>
          </w:rPr>
          <w:t>https://www.legislation.gov.uk/ukpga/1997/40/contents</w:t>
        </w:r>
      </w:hyperlink>
      <w:r w:rsidRPr="008F2FF6">
        <w:rPr>
          <w:sz w:val="24"/>
          <w:szCs w:val="24"/>
        </w:rPr>
        <w:t>.</w:t>
      </w:r>
    </w:p>
    <w:p w14:paraId="43B7C18E" w14:textId="77777777" w:rsidR="0085728B" w:rsidRPr="00C67C34" w:rsidRDefault="0085728B" w:rsidP="0085728B">
      <w:pPr>
        <w:autoSpaceDN/>
        <w:spacing w:line="360" w:lineRule="atLeast"/>
        <w:rPr>
          <w:sz w:val="24"/>
          <w:szCs w:val="24"/>
        </w:rPr>
      </w:pPr>
    </w:p>
    <w:p w14:paraId="7B893CB3" w14:textId="77777777" w:rsidR="0085728B" w:rsidRDefault="0085728B" w:rsidP="0085728B">
      <w:pPr>
        <w:rPr>
          <w:rStyle w:val="Hyperlink"/>
          <w:sz w:val="24"/>
          <w:szCs w:val="24"/>
        </w:rPr>
      </w:pPr>
      <w:r w:rsidRPr="00C67C34">
        <w:rPr>
          <w:sz w:val="24"/>
          <w:szCs w:val="24"/>
        </w:rPr>
        <w:t>World Health Organization (2023). </w:t>
      </w:r>
      <w:r w:rsidRPr="00C67C34">
        <w:rPr>
          <w:i/>
          <w:iCs/>
          <w:sz w:val="24"/>
          <w:szCs w:val="24"/>
        </w:rPr>
        <w:t>Stress</w:t>
      </w:r>
      <w:r w:rsidRPr="00C67C34">
        <w:rPr>
          <w:sz w:val="24"/>
          <w:szCs w:val="24"/>
        </w:rPr>
        <w:t xml:space="preserve">. [online] www.who.int. Available at: </w:t>
      </w:r>
      <w:hyperlink r:id="rId43" w:history="1">
        <w:r w:rsidRPr="00C67C34">
          <w:rPr>
            <w:rStyle w:val="Hyperlink"/>
            <w:sz w:val="24"/>
            <w:szCs w:val="24"/>
          </w:rPr>
          <w:t>https://www.who.int/news-room/questions-and-answers/item/stress</w:t>
        </w:r>
      </w:hyperlink>
    </w:p>
    <w:p w14:paraId="5AEA903E" w14:textId="77777777" w:rsidR="0085728B" w:rsidRPr="00C67C34" w:rsidRDefault="0085728B" w:rsidP="0085728B">
      <w:pPr>
        <w:rPr>
          <w:rStyle w:val="Hyperlink"/>
          <w:sz w:val="24"/>
          <w:szCs w:val="24"/>
        </w:rPr>
      </w:pPr>
    </w:p>
    <w:p w14:paraId="73AC860B" w14:textId="77777777" w:rsidR="0085728B" w:rsidRPr="00C67C34" w:rsidRDefault="0085728B" w:rsidP="0085728B">
      <w:pPr>
        <w:autoSpaceDN/>
        <w:spacing w:before="100" w:beforeAutospacing="1" w:after="100" w:afterAutospacing="1"/>
        <w:rPr>
          <w:sz w:val="24"/>
          <w:szCs w:val="24"/>
        </w:rPr>
      </w:pPr>
      <w:r w:rsidRPr="00C67C34">
        <w:rPr>
          <w:sz w:val="24"/>
          <w:szCs w:val="24"/>
        </w:rPr>
        <w:t>www.college.police.uk. (2023). </w:t>
      </w:r>
      <w:r w:rsidRPr="00C67C34">
        <w:rPr>
          <w:i/>
          <w:iCs/>
          <w:sz w:val="24"/>
          <w:szCs w:val="24"/>
        </w:rPr>
        <w:t>Understanding the process, your role and obligations | College of Policing</w:t>
      </w:r>
      <w:r w:rsidRPr="00C67C34">
        <w:rPr>
          <w:sz w:val="24"/>
          <w:szCs w:val="24"/>
        </w:rPr>
        <w:t>. [online] Available at: https://www.college.police.uk/guidance/conducting-effective-investigations/understanding-process-your-role-and</w:t>
      </w:r>
      <w:r>
        <w:rPr>
          <w:sz w:val="24"/>
          <w:szCs w:val="24"/>
        </w:rPr>
        <w:t>-</w:t>
      </w:r>
      <w:r w:rsidRPr="00C67C34">
        <w:rPr>
          <w:sz w:val="24"/>
          <w:szCs w:val="24"/>
        </w:rPr>
        <w:t>obligations#:~:text=identify%20and%20follow%20all%20reasonable.</w:t>
      </w:r>
    </w:p>
    <w:p w14:paraId="28973C67" w14:textId="77777777" w:rsidR="0085728B" w:rsidRPr="00270EEB" w:rsidRDefault="0085728B"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672C90">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672C90">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CCB402" w14:textId="77777777" w:rsidR="00EC38BF" w:rsidRDefault="00EC38BF">
      <w:r>
        <w:separator/>
      </w:r>
    </w:p>
  </w:endnote>
  <w:endnote w:type="continuationSeparator" w:id="0">
    <w:p w14:paraId="2302C72E" w14:textId="77777777" w:rsidR="00EC38BF" w:rsidRDefault="00EC3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81D432" w14:textId="77777777" w:rsidR="00EC38BF" w:rsidRDefault="00EC38BF">
      <w:r>
        <w:separator/>
      </w:r>
    </w:p>
  </w:footnote>
  <w:footnote w:type="continuationSeparator" w:id="0">
    <w:p w14:paraId="68A74A0E" w14:textId="77777777" w:rsidR="00EC38BF" w:rsidRDefault="00EC3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8576DF"/>
    <w:multiLevelType w:val="hybridMultilevel"/>
    <w:tmpl w:val="56BCD9E6"/>
    <w:lvl w:ilvl="0" w:tplc="AF2C9C0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9"/>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6"/>
  </w:num>
  <w:num w:numId="7" w16cid:durableId="2146073698">
    <w:abstractNumId w:val="48"/>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2"/>
  </w:num>
  <w:num w:numId="29" w16cid:durableId="831262744">
    <w:abstractNumId w:val="35"/>
  </w:num>
  <w:num w:numId="30" w16cid:durableId="1245728733">
    <w:abstractNumId w:val="41"/>
  </w:num>
  <w:num w:numId="31" w16cid:durableId="916137428">
    <w:abstractNumId w:val="19"/>
  </w:num>
  <w:num w:numId="32" w16cid:durableId="633826337">
    <w:abstractNumId w:val="44"/>
  </w:num>
  <w:num w:numId="33" w16cid:durableId="1952466745">
    <w:abstractNumId w:val="30"/>
  </w:num>
  <w:num w:numId="34" w16cid:durableId="1672636216">
    <w:abstractNumId w:val="11"/>
  </w:num>
  <w:num w:numId="35" w16cid:durableId="2038847548">
    <w:abstractNumId w:val="45"/>
  </w:num>
  <w:num w:numId="36" w16cid:durableId="959847550">
    <w:abstractNumId w:val="40"/>
  </w:num>
  <w:num w:numId="37" w16cid:durableId="1271931968">
    <w:abstractNumId w:val="4"/>
  </w:num>
  <w:num w:numId="38" w16cid:durableId="687753897">
    <w:abstractNumId w:val="47"/>
  </w:num>
  <w:num w:numId="39" w16cid:durableId="661661278">
    <w:abstractNumId w:val="43"/>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9"/>
  </w:num>
  <w:num w:numId="50" w16cid:durableId="1211108821">
    <w:abstractNumId w:val="3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460D"/>
    <w:rsid w:val="00106DC7"/>
    <w:rsid w:val="00112247"/>
    <w:rsid w:val="00112391"/>
    <w:rsid w:val="00112751"/>
    <w:rsid w:val="00114F52"/>
    <w:rsid w:val="00121D33"/>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020F"/>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40554"/>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2808"/>
    <w:rsid w:val="003E3389"/>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610"/>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2475D"/>
    <w:rsid w:val="00630F39"/>
    <w:rsid w:val="006326D1"/>
    <w:rsid w:val="00632E0A"/>
    <w:rsid w:val="00633165"/>
    <w:rsid w:val="00634C02"/>
    <w:rsid w:val="0064176F"/>
    <w:rsid w:val="006447DE"/>
    <w:rsid w:val="0065276E"/>
    <w:rsid w:val="00654329"/>
    <w:rsid w:val="00654CEC"/>
    <w:rsid w:val="00655507"/>
    <w:rsid w:val="006712A7"/>
    <w:rsid w:val="00672C90"/>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6F05C4"/>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3A02"/>
    <w:rsid w:val="0078469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1CC4"/>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262"/>
    <w:rsid w:val="00836FEC"/>
    <w:rsid w:val="00841F9D"/>
    <w:rsid w:val="008420E1"/>
    <w:rsid w:val="00843D58"/>
    <w:rsid w:val="00844D98"/>
    <w:rsid w:val="00846D84"/>
    <w:rsid w:val="00850FB1"/>
    <w:rsid w:val="0085230E"/>
    <w:rsid w:val="008550A1"/>
    <w:rsid w:val="0085728B"/>
    <w:rsid w:val="00861038"/>
    <w:rsid w:val="00864BA8"/>
    <w:rsid w:val="00866B50"/>
    <w:rsid w:val="008708F1"/>
    <w:rsid w:val="00880539"/>
    <w:rsid w:val="008859E8"/>
    <w:rsid w:val="0088737B"/>
    <w:rsid w:val="00892716"/>
    <w:rsid w:val="00893067"/>
    <w:rsid w:val="008933DE"/>
    <w:rsid w:val="00895FCE"/>
    <w:rsid w:val="00897F3E"/>
    <w:rsid w:val="008A21B4"/>
    <w:rsid w:val="008A28D2"/>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27224"/>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3189"/>
    <w:rsid w:val="00AC4637"/>
    <w:rsid w:val="00AC4A04"/>
    <w:rsid w:val="00AD336F"/>
    <w:rsid w:val="00AD3550"/>
    <w:rsid w:val="00AD6ECE"/>
    <w:rsid w:val="00AE2564"/>
    <w:rsid w:val="00AE301F"/>
    <w:rsid w:val="00AE3302"/>
    <w:rsid w:val="00AE7077"/>
    <w:rsid w:val="00AF5609"/>
    <w:rsid w:val="00AF5D6A"/>
    <w:rsid w:val="00AF61C2"/>
    <w:rsid w:val="00AF6CC6"/>
    <w:rsid w:val="00B021FF"/>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57A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6B9"/>
    <w:rsid w:val="00C87A74"/>
    <w:rsid w:val="00C92C71"/>
    <w:rsid w:val="00C93F8F"/>
    <w:rsid w:val="00CA3593"/>
    <w:rsid w:val="00CB143A"/>
    <w:rsid w:val="00CB258E"/>
    <w:rsid w:val="00CB3C8F"/>
    <w:rsid w:val="00CC02F1"/>
    <w:rsid w:val="00CC11A6"/>
    <w:rsid w:val="00CC135E"/>
    <w:rsid w:val="00CC4414"/>
    <w:rsid w:val="00CD5D3F"/>
    <w:rsid w:val="00CF3DB3"/>
    <w:rsid w:val="00D01959"/>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470DE"/>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2980"/>
    <w:rsid w:val="00EB62E6"/>
    <w:rsid w:val="00EC38BF"/>
    <w:rsid w:val="00ED1B30"/>
    <w:rsid w:val="00ED250E"/>
    <w:rsid w:val="00ED6516"/>
    <w:rsid w:val="00EE1AC1"/>
    <w:rsid w:val="00EE39D6"/>
    <w:rsid w:val="00EE52AD"/>
    <w:rsid w:val="00F01928"/>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1038"/>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rsid w:val="0085728B"/>
    <w:pPr>
      <w:overflowPunct/>
      <w:autoSpaceDE/>
      <w:adjustRightInd/>
      <w:spacing w:before="100" w:after="100"/>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thecollector.com/why-has-stoicism-gained-popularity-in-modern-times/" TargetMode="External"/><Relationship Id="rId39" Type="http://schemas.openxmlformats.org/officeDocument/2006/relationships/hyperlink" Target="https://www.polfed.org/gloucestershire/rules-regs/standards-of-professional-behaviour/"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legislation.gov.uk/ukpga/1988/27/section/1" TargetMode="External"/><Relationship Id="rId42" Type="http://schemas.openxmlformats.org/officeDocument/2006/relationships/hyperlink" Target="https://www.legislation.gov.uk/ukpga/1997/40/conten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v.uk/government/publications/adult-online-hate-harassment-and-abuse-a-rapid-evidence-assess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ictims-code" TargetMode="External"/><Relationship Id="rId32" Type="http://schemas.openxmlformats.org/officeDocument/2006/relationships/hyperlink" Target="https://www.legislation.gov.uk/ukpga/1996/25/contents" TargetMode="External"/><Relationship Id="rId37" Type="http://schemas.openxmlformats.org/officeDocument/2006/relationships/hyperlink" Target="https://iep.utm.edu/stoicism/" TargetMode="External"/><Relationship Id="rId40" Type="http://schemas.openxmlformats.org/officeDocument/2006/relationships/hyperlink" Target="https://www.policemag.com/patrol/article/15346750/gaining-compliance-with-targeted-pressure.t"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 TargetMode="External"/><Relationship Id="rId28" Type="http://schemas.openxmlformats.org/officeDocument/2006/relationships/hyperlink" Target="https://www.legislation.gov.uk/ukpga/2003/42/contents" TargetMode="External"/><Relationship Id="rId36" Type="http://schemas.openxmlformats.org/officeDocument/2006/relationships/hyperlink" Target="https://www.npcc.police.uk/our-work/violence-against-women-and-girl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leadershiptribe.co.uk/blog/the-drama-triangle-explained"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ethics/code-of-ethics" TargetMode="External"/><Relationship Id="rId27" Type="http://schemas.openxmlformats.org/officeDocument/2006/relationships/hyperlink" Target="https://plato.stanford.edu/entries/stoicism/#Logi" TargetMode="External"/><Relationship Id="rId30" Type="http://schemas.openxmlformats.org/officeDocument/2006/relationships/hyperlink" Target="https://www.gov.wales/ethnic-group-national-identity-language-and-religion-wales-census-2021-html#:~:text=90.6%25%20of%20the%20population%20identified" TargetMode="External"/><Relationship Id="rId35" Type="http://schemas.openxmlformats.org/officeDocument/2006/relationships/hyperlink" Target="https://www.gov.uk/government/publications/the-code-of-practice-for-victims-of-crime" TargetMode="External"/><Relationship Id="rId43" Type="http://schemas.openxmlformats.org/officeDocument/2006/relationships/hyperlink" Target="https://www.who.int/news-room/questions-and-answers/item/stres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verywellmind.com/imposter-syndrome-and-social-anxiety-disorder-4156469" TargetMode="External"/><Relationship Id="rId33" Type="http://schemas.openxmlformats.org/officeDocument/2006/relationships/hyperlink" Target="https://www.legislation.gov.uk/ukpga/Vict/24-25/100/section/47" TargetMode="External"/><Relationship Id="rId38" Type="http://schemas.openxmlformats.org/officeDocument/2006/relationships/hyperlink" Target="https://www.polfed.org/news/latest-news/2022/mental-health-related-absences-soar-to-record-highs/" TargetMode="External"/><Relationship Id="rId46" Type="http://schemas.microsoft.com/office/2020/10/relationships/intelligence" Target="intelligence2.xml"/><Relationship Id="rId20" Type="http://schemas.openxmlformats.org/officeDocument/2006/relationships/hyperlink" Target="https://www.webmd.com/mental-health/psychological-benefits-of-routine" TargetMode="External"/><Relationship Id="rId41"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32</Pages>
  <Words>8225</Words>
  <Characters>46888</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Hughes,Ioan swp8772</cp:lastModifiedBy>
  <cp:revision>20</cp:revision>
  <cp:lastPrinted>2019-08-13T11:47:00Z</cp:lastPrinted>
  <dcterms:created xsi:type="dcterms:W3CDTF">2024-04-09T13:56:00Z</dcterms:created>
  <dcterms:modified xsi:type="dcterms:W3CDTF">2024-07-08T22:41:00Z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2024-04-09T12:54:02Z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3d262524-0d7d-4e42-8332-574b88d2c2e9</vt:lpwstr>
  </property>
  <property fmtid="{D5CDD505-2E9C-101B-9397-08002B2CF9AE}" pid="9" name="MSIP_Label_66cf8fe5-b7b7-4df7-b38d-1c61ac2f6639_ContentBits">
    <vt:lpwstr>0</vt:lpwstr>
  </property>
</Properties>
</file>