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72BC42" w14:textId="77777777" w:rsidR="00611EF1" w:rsidRDefault="00611EF1" w:rsidP="00611EF1">
      <w:pPr>
        <w:jc w:val="left"/>
      </w:pPr>
      <w:r w:rsidRPr="00611EF1">
        <w:rPr>
          <w:noProof/>
          <w:lang w:val="en-US" w:bidi="bn-BD"/>
        </w:rPr>
        <w:drawing>
          <wp:anchor distT="0" distB="0" distL="114300" distR="114300" simplePos="0" relativeHeight="251658240" behindDoc="0" locked="0" layoutInCell="1" allowOverlap="1" wp14:anchorId="59840F9E" wp14:editId="00D9FC78">
            <wp:simplePos x="0" y="0"/>
            <wp:positionH relativeFrom="column">
              <wp:posOffset>2078780</wp:posOffset>
            </wp:positionH>
            <wp:positionV relativeFrom="paragraph">
              <wp:posOffset>92098</wp:posOffset>
            </wp:positionV>
            <wp:extent cx="1991003" cy="85737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991003" cy="857370"/>
                    </a:xfrm>
                    <a:prstGeom prst="rect">
                      <a:avLst/>
                    </a:prstGeom>
                  </pic:spPr>
                </pic:pic>
              </a:graphicData>
            </a:graphic>
          </wp:anchor>
        </w:drawing>
      </w:r>
    </w:p>
    <w:tbl>
      <w:tblPr>
        <w:tblW w:w="9717" w:type="dxa"/>
        <w:tblInd w:w="93" w:type="dxa"/>
        <w:tblLook w:val="04A0" w:firstRow="1" w:lastRow="0" w:firstColumn="1" w:lastColumn="0" w:noHBand="0" w:noVBand="1"/>
      </w:tblPr>
      <w:tblGrid>
        <w:gridCol w:w="1688"/>
        <w:gridCol w:w="3231"/>
        <w:gridCol w:w="3037"/>
        <w:gridCol w:w="1761"/>
      </w:tblGrid>
      <w:tr w:rsidR="00611EF1" w:rsidRPr="00611EF1" w14:paraId="386151A4" w14:textId="77777777" w:rsidTr="00611EF1">
        <w:trPr>
          <w:trHeight w:val="372"/>
        </w:trPr>
        <w:tc>
          <w:tcPr>
            <w:tcW w:w="1688" w:type="dxa"/>
            <w:tcBorders>
              <w:top w:val="single" w:sz="4" w:space="0" w:color="auto"/>
              <w:left w:val="single" w:sz="4" w:space="0" w:color="auto"/>
              <w:bottom w:val="single" w:sz="4" w:space="0" w:color="auto"/>
              <w:right w:val="single" w:sz="4" w:space="0" w:color="auto"/>
            </w:tcBorders>
            <w:noWrap/>
            <w:hideMark/>
          </w:tcPr>
          <w:p w14:paraId="5CAD1714" w14:textId="77777777" w:rsidR="00611EF1" w:rsidRPr="00611EF1" w:rsidRDefault="00611EF1" w:rsidP="00611EF1">
            <w:pPr>
              <w:spacing w:line="240" w:lineRule="auto"/>
              <w:jc w:val="left"/>
              <w:rPr>
                <w:color w:val="000000"/>
                <w:lang w:val="en-US" w:bidi="bn-BD"/>
              </w:rPr>
            </w:pPr>
            <w:r w:rsidRPr="00611EF1">
              <w:rPr>
                <w:color w:val="000000"/>
                <w:lang w:val="en-US" w:bidi="bn-BD"/>
              </w:rPr>
              <w:t>Student Name</w:t>
            </w:r>
          </w:p>
        </w:tc>
        <w:tc>
          <w:tcPr>
            <w:tcW w:w="3231" w:type="dxa"/>
            <w:tcBorders>
              <w:top w:val="single" w:sz="4" w:space="0" w:color="auto"/>
              <w:left w:val="nil"/>
              <w:bottom w:val="single" w:sz="4" w:space="0" w:color="auto"/>
              <w:right w:val="single" w:sz="4" w:space="0" w:color="auto"/>
            </w:tcBorders>
            <w:noWrap/>
            <w:hideMark/>
          </w:tcPr>
          <w:p w14:paraId="775B31B4" w14:textId="0E1675C1" w:rsidR="00611EF1" w:rsidRPr="00611EF1" w:rsidRDefault="00611EF1" w:rsidP="00611EF1">
            <w:pPr>
              <w:spacing w:line="240" w:lineRule="auto"/>
              <w:jc w:val="left"/>
              <w:rPr>
                <w:color w:val="000000"/>
                <w:lang w:val="en-US" w:bidi="bn-BD"/>
              </w:rPr>
            </w:pPr>
            <w:r w:rsidRPr="00611EF1">
              <w:rPr>
                <w:color w:val="000000"/>
                <w:lang w:val="en-US" w:bidi="bn-BD"/>
              </w:rPr>
              <w:t> </w:t>
            </w:r>
            <w:r w:rsidR="00AE238F" w:rsidRPr="00AE238F">
              <w:rPr>
                <w:rFonts w:ascii="Arial" w:eastAsia="Aptos" w:hAnsi="Arial" w:cs="Arial"/>
                <w:b/>
                <w:bCs/>
                <w:kern w:val="2"/>
                <w14:ligatures w14:val="standardContextual"/>
              </w:rPr>
              <w:t>Md Sujon Sikder</w:t>
            </w:r>
          </w:p>
        </w:tc>
        <w:tc>
          <w:tcPr>
            <w:tcW w:w="3037" w:type="dxa"/>
            <w:tcBorders>
              <w:top w:val="single" w:sz="4" w:space="0" w:color="auto"/>
              <w:left w:val="nil"/>
              <w:bottom w:val="single" w:sz="4" w:space="0" w:color="auto"/>
              <w:right w:val="single" w:sz="4" w:space="0" w:color="auto"/>
            </w:tcBorders>
            <w:noWrap/>
            <w:hideMark/>
          </w:tcPr>
          <w:p w14:paraId="008EC5A0" w14:textId="77777777" w:rsidR="00611EF1" w:rsidRPr="00611EF1" w:rsidRDefault="00611EF1" w:rsidP="00611EF1">
            <w:pPr>
              <w:spacing w:line="240" w:lineRule="auto"/>
              <w:jc w:val="left"/>
              <w:rPr>
                <w:color w:val="000000"/>
                <w:lang w:val="en-US" w:bidi="bn-BD"/>
              </w:rPr>
            </w:pPr>
            <w:r w:rsidRPr="00611EF1">
              <w:rPr>
                <w:color w:val="000000"/>
                <w:lang w:val="en-US" w:bidi="bn-BD"/>
              </w:rPr>
              <w:t>Student Id</w:t>
            </w:r>
          </w:p>
        </w:tc>
        <w:tc>
          <w:tcPr>
            <w:tcW w:w="1761" w:type="dxa"/>
            <w:tcBorders>
              <w:top w:val="single" w:sz="4" w:space="0" w:color="auto"/>
              <w:left w:val="nil"/>
              <w:bottom w:val="single" w:sz="4" w:space="0" w:color="auto"/>
              <w:right w:val="single" w:sz="4" w:space="0" w:color="auto"/>
            </w:tcBorders>
            <w:noWrap/>
            <w:hideMark/>
          </w:tcPr>
          <w:p w14:paraId="00402893" w14:textId="25887267" w:rsidR="00611EF1" w:rsidRPr="00611EF1" w:rsidRDefault="00611EF1" w:rsidP="00611EF1">
            <w:pPr>
              <w:spacing w:line="240" w:lineRule="auto"/>
              <w:jc w:val="left"/>
              <w:rPr>
                <w:color w:val="000000"/>
                <w:lang w:val="en-US" w:bidi="bn-BD"/>
              </w:rPr>
            </w:pPr>
            <w:r w:rsidRPr="00611EF1">
              <w:rPr>
                <w:color w:val="000000"/>
                <w:lang w:val="en-US" w:bidi="bn-BD"/>
              </w:rPr>
              <w:t> </w:t>
            </w:r>
            <w:r w:rsidR="00AE238F" w:rsidRPr="00AC07AB">
              <w:rPr>
                <w:rFonts w:eastAsia="Aptos" w:cs="Arial"/>
                <w:b/>
                <w:bCs/>
              </w:rPr>
              <w:t>2503755</w:t>
            </w:r>
          </w:p>
        </w:tc>
      </w:tr>
      <w:tr w:rsidR="00611EF1" w:rsidRPr="00611EF1" w14:paraId="3DB4BAE2" w14:textId="77777777" w:rsidTr="00611EF1">
        <w:trPr>
          <w:trHeight w:val="372"/>
        </w:trPr>
        <w:tc>
          <w:tcPr>
            <w:tcW w:w="1688" w:type="dxa"/>
            <w:tcBorders>
              <w:top w:val="nil"/>
              <w:left w:val="single" w:sz="4" w:space="0" w:color="auto"/>
              <w:bottom w:val="single" w:sz="4" w:space="0" w:color="auto"/>
              <w:right w:val="single" w:sz="4" w:space="0" w:color="auto"/>
            </w:tcBorders>
            <w:noWrap/>
            <w:hideMark/>
          </w:tcPr>
          <w:p w14:paraId="0885D570" w14:textId="77777777" w:rsidR="00611EF1" w:rsidRPr="00611EF1" w:rsidRDefault="00611EF1" w:rsidP="00611EF1">
            <w:pPr>
              <w:spacing w:line="240" w:lineRule="auto"/>
              <w:jc w:val="left"/>
              <w:rPr>
                <w:color w:val="000000"/>
                <w:lang w:val="en-US" w:bidi="bn-BD"/>
              </w:rPr>
            </w:pPr>
            <w:proofErr w:type="spellStart"/>
            <w:r w:rsidRPr="00611EF1">
              <w:rPr>
                <w:color w:val="000000"/>
                <w:lang w:val="en-US" w:bidi="bn-BD"/>
              </w:rPr>
              <w:t>Programme</w:t>
            </w:r>
            <w:proofErr w:type="spellEnd"/>
            <w:r w:rsidRPr="00611EF1">
              <w:rPr>
                <w:color w:val="000000"/>
                <w:lang w:val="en-US" w:bidi="bn-BD"/>
              </w:rPr>
              <w:t>:</w:t>
            </w:r>
          </w:p>
        </w:tc>
        <w:tc>
          <w:tcPr>
            <w:tcW w:w="8029" w:type="dxa"/>
            <w:gridSpan w:val="3"/>
            <w:tcBorders>
              <w:top w:val="single" w:sz="4" w:space="0" w:color="auto"/>
              <w:left w:val="nil"/>
              <w:bottom w:val="single" w:sz="4" w:space="0" w:color="auto"/>
              <w:right w:val="single" w:sz="4" w:space="0" w:color="auto"/>
            </w:tcBorders>
            <w:noWrap/>
            <w:hideMark/>
          </w:tcPr>
          <w:p w14:paraId="1159D107" w14:textId="77777777" w:rsidR="00611EF1" w:rsidRPr="00611EF1" w:rsidRDefault="00611EF1" w:rsidP="00611EF1">
            <w:pPr>
              <w:spacing w:line="240" w:lineRule="auto"/>
              <w:jc w:val="left"/>
              <w:rPr>
                <w:color w:val="000000"/>
                <w:lang w:val="en-US" w:bidi="bn-BD"/>
              </w:rPr>
            </w:pPr>
            <w:r w:rsidRPr="00611EF1">
              <w:rPr>
                <w:color w:val="000000"/>
                <w:lang w:val="en-US" w:bidi="bn-BD"/>
              </w:rPr>
              <w:t>Master of Business Administration</w:t>
            </w:r>
          </w:p>
        </w:tc>
      </w:tr>
      <w:tr w:rsidR="00611EF1" w:rsidRPr="00611EF1" w14:paraId="6B257A35" w14:textId="77777777" w:rsidTr="00611EF1">
        <w:trPr>
          <w:trHeight w:val="372"/>
        </w:trPr>
        <w:tc>
          <w:tcPr>
            <w:tcW w:w="1688" w:type="dxa"/>
            <w:tcBorders>
              <w:top w:val="nil"/>
              <w:left w:val="single" w:sz="4" w:space="0" w:color="auto"/>
              <w:bottom w:val="single" w:sz="4" w:space="0" w:color="auto"/>
              <w:right w:val="single" w:sz="4" w:space="0" w:color="auto"/>
            </w:tcBorders>
            <w:noWrap/>
            <w:hideMark/>
          </w:tcPr>
          <w:p w14:paraId="59723290" w14:textId="77777777" w:rsidR="00611EF1" w:rsidRPr="00611EF1" w:rsidRDefault="00611EF1" w:rsidP="00611EF1">
            <w:pPr>
              <w:spacing w:line="240" w:lineRule="auto"/>
              <w:jc w:val="left"/>
              <w:rPr>
                <w:color w:val="000000"/>
                <w:lang w:val="en-US" w:bidi="bn-BD"/>
              </w:rPr>
            </w:pPr>
            <w:r w:rsidRPr="00611EF1">
              <w:rPr>
                <w:color w:val="000000"/>
                <w:lang w:val="en-US" w:bidi="bn-BD"/>
              </w:rPr>
              <w:t>Module:</w:t>
            </w:r>
          </w:p>
        </w:tc>
        <w:tc>
          <w:tcPr>
            <w:tcW w:w="8029" w:type="dxa"/>
            <w:gridSpan w:val="3"/>
            <w:tcBorders>
              <w:top w:val="single" w:sz="4" w:space="0" w:color="auto"/>
              <w:left w:val="nil"/>
              <w:bottom w:val="single" w:sz="4" w:space="0" w:color="auto"/>
              <w:right w:val="single" w:sz="4" w:space="0" w:color="auto"/>
            </w:tcBorders>
            <w:noWrap/>
            <w:hideMark/>
          </w:tcPr>
          <w:p w14:paraId="0D0A9C93" w14:textId="77777777" w:rsidR="00611EF1" w:rsidRPr="00611EF1" w:rsidRDefault="00611EF1" w:rsidP="00611EF1">
            <w:pPr>
              <w:spacing w:line="240" w:lineRule="auto"/>
              <w:jc w:val="left"/>
              <w:rPr>
                <w:color w:val="000000"/>
                <w:lang w:val="en-US" w:bidi="bn-BD"/>
              </w:rPr>
            </w:pPr>
            <w:r w:rsidRPr="00611EF1">
              <w:rPr>
                <w:color w:val="000000"/>
                <w:lang w:val="en-US" w:bidi="bn-BD"/>
              </w:rPr>
              <w:t>Financial Management</w:t>
            </w:r>
          </w:p>
        </w:tc>
      </w:tr>
      <w:tr w:rsidR="00611EF1" w:rsidRPr="00611EF1" w14:paraId="0B86DD2C" w14:textId="77777777" w:rsidTr="00611EF1">
        <w:trPr>
          <w:trHeight w:val="1116"/>
        </w:trPr>
        <w:tc>
          <w:tcPr>
            <w:tcW w:w="1688" w:type="dxa"/>
            <w:tcBorders>
              <w:top w:val="nil"/>
              <w:left w:val="single" w:sz="4" w:space="0" w:color="auto"/>
              <w:bottom w:val="single" w:sz="4" w:space="0" w:color="auto"/>
              <w:right w:val="single" w:sz="4" w:space="0" w:color="auto"/>
            </w:tcBorders>
            <w:noWrap/>
            <w:hideMark/>
          </w:tcPr>
          <w:p w14:paraId="17CE360C" w14:textId="77777777" w:rsidR="00611EF1" w:rsidRPr="00611EF1" w:rsidRDefault="00611EF1" w:rsidP="00611EF1">
            <w:pPr>
              <w:spacing w:line="240" w:lineRule="auto"/>
              <w:jc w:val="left"/>
              <w:rPr>
                <w:color w:val="000000"/>
                <w:lang w:val="en-US" w:bidi="bn-BD"/>
              </w:rPr>
            </w:pPr>
            <w:r w:rsidRPr="00611EF1">
              <w:rPr>
                <w:color w:val="000000"/>
                <w:lang w:val="en-US" w:bidi="bn-BD"/>
              </w:rPr>
              <w:t xml:space="preserve">Module code: </w:t>
            </w:r>
          </w:p>
        </w:tc>
        <w:tc>
          <w:tcPr>
            <w:tcW w:w="3231" w:type="dxa"/>
            <w:tcBorders>
              <w:top w:val="nil"/>
              <w:left w:val="nil"/>
              <w:bottom w:val="single" w:sz="4" w:space="0" w:color="auto"/>
              <w:right w:val="single" w:sz="4" w:space="0" w:color="auto"/>
            </w:tcBorders>
            <w:noWrap/>
            <w:hideMark/>
          </w:tcPr>
          <w:p w14:paraId="5CFC2853" w14:textId="77777777" w:rsidR="00611EF1" w:rsidRPr="00611EF1" w:rsidRDefault="00611EF1" w:rsidP="00611EF1">
            <w:pPr>
              <w:spacing w:line="240" w:lineRule="auto"/>
              <w:jc w:val="left"/>
              <w:rPr>
                <w:color w:val="000000"/>
                <w:lang w:val="en-US" w:bidi="bn-BD"/>
              </w:rPr>
            </w:pPr>
            <w:r w:rsidRPr="00611EF1">
              <w:rPr>
                <w:color w:val="000000"/>
                <w:lang w:val="en-US" w:bidi="bn-BD"/>
              </w:rPr>
              <w:t>LCMB7002</w:t>
            </w:r>
          </w:p>
        </w:tc>
        <w:tc>
          <w:tcPr>
            <w:tcW w:w="3037" w:type="dxa"/>
            <w:tcBorders>
              <w:top w:val="nil"/>
              <w:left w:val="nil"/>
              <w:bottom w:val="single" w:sz="4" w:space="0" w:color="auto"/>
              <w:right w:val="single" w:sz="4" w:space="0" w:color="auto"/>
            </w:tcBorders>
            <w:hideMark/>
          </w:tcPr>
          <w:p w14:paraId="50A3DA4F" w14:textId="77777777" w:rsidR="00611EF1" w:rsidRPr="00611EF1" w:rsidRDefault="00611EF1" w:rsidP="00611EF1">
            <w:pPr>
              <w:spacing w:line="240" w:lineRule="auto"/>
              <w:jc w:val="left"/>
              <w:rPr>
                <w:color w:val="000000"/>
                <w:lang w:val="en-US" w:bidi="bn-BD"/>
              </w:rPr>
            </w:pPr>
            <w:r w:rsidRPr="00611EF1">
              <w:rPr>
                <w:color w:val="000000"/>
                <w:lang w:val="en-US" w:bidi="bn-BD"/>
              </w:rPr>
              <w:t xml:space="preserve">Contribution to </w:t>
            </w:r>
            <w:r w:rsidRPr="00611EF1">
              <w:rPr>
                <w:color w:val="000000"/>
                <w:lang w:val="en-US" w:bidi="bn-BD"/>
              </w:rPr>
              <w:br/>
              <w:t xml:space="preserve">Overall Module </w:t>
            </w:r>
            <w:r w:rsidRPr="00611EF1">
              <w:rPr>
                <w:color w:val="000000"/>
                <w:lang w:val="en-US" w:bidi="bn-BD"/>
              </w:rPr>
              <w:br/>
              <w:t xml:space="preserve">Assessment (%): </w:t>
            </w:r>
          </w:p>
        </w:tc>
        <w:tc>
          <w:tcPr>
            <w:tcW w:w="1761" w:type="dxa"/>
            <w:tcBorders>
              <w:top w:val="nil"/>
              <w:left w:val="nil"/>
              <w:bottom w:val="single" w:sz="4" w:space="0" w:color="auto"/>
              <w:right w:val="single" w:sz="4" w:space="0" w:color="auto"/>
            </w:tcBorders>
            <w:noWrap/>
            <w:hideMark/>
          </w:tcPr>
          <w:p w14:paraId="38FAE097" w14:textId="77777777" w:rsidR="00611EF1" w:rsidRPr="00611EF1" w:rsidRDefault="00611EF1" w:rsidP="00611EF1">
            <w:pPr>
              <w:spacing w:line="240" w:lineRule="auto"/>
              <w:jc w:val="left"/>
              <w:rPr>
                <w:color w:val="000000"/>
                <w:lang w:val="en-US" w:bidi="bn-BD"/>
              </w:rPr>
            </w:pPr>
            <w:r w:rsidRPr="00611EF1">
              <w:rPr>
                <w:color w:val="000000"/>
                <w:lang w:val="en-US" w:bidi="bn-BD"/>
              </w:rPr>
              <w:t>100%</w:t>
            </w:r>
          </w:p>
        </w:tc>
      </w:tr>
      <w:tr w:rsidR="00611EF1" w:rsidRPr="00611EF1" w14:paraId="3DF9C3B5" w14:textId="77777777" w:rsidTr="00611EF1">
        <w:trPr>
          <w:trHeight w:val="744"/>
        </w:trPr>
        <w:tc>
          <w:tcPr>
            <w:tcW w:w="1688" w:type="dxa"/>
            <w:tcBorders>
              <w:top w:val="nil"/>
              <w:left w:val="single" w:sz="4" w:space="0" w:color="auto"/>
              <w:bottom w:val="single" w:sz="4" w:space="0" w:color="auto"/>
              <w:right w:val="single" w:sz="4" w:space="0" w:color="auto"/>
            </w:tcBorders>
            <w:noWrap/>
            <w:hideMark/>
          </w:tcPr>
          <w:p w14:paraId="4FDF8C11" w14:textId="77777777" w:rsidR="00611EF1" w:rsidRPr="00611EF1" w:rsidRDefault="00611EF1" w:rsidP="00611EF1">
            <w:pPr>
              <w:spacing w:line="240" w:lineRule="auto"/>
              <w:jc w:val="left"/>
              <w:rPr>
                <w:color w:val="000000"/>
                <w:lang w:val="en-US" w:bidi="bn-BD"/>
              </w:rPr>
            </w:pPr>
            <w:r w:rsidRPr="00611EF1">
              <w:rPr>
                <w:color w:val="000000"/>
                <w:lang w:val="en-US" w:bidi="bn-BD"/>
              </w:rPr>
              <w:t>Assignment Title:</w:t>
            </w:r>
          </w:p>
        </w:tc>
        <w:tc>
          <w:tcPr>
            <w:tcW w:w="3231" w:type="dxa"/>
            <w:tcBorders>
              <w:top w:val="nil"/>
              <w:left w:val="nil"/>
              <w:bottom w:val="single" w:sz="4" w:space="0" w:color="auto"/>
              <w:right w:val="single" w:sz="4" w:space="0" w:color="auto"/>
            </w:tcBorders>
            <w:hideMark/>
          </w:tcPr>
          <w:p w14:paraId="4E0D5306" w14:textId="77777777" w:rsidR="00611EF1" w:rsidRPr="00611EF1" w:rsidRDefault="00611EF1" w:rsidP="00611EF1">
            <w:pPr>
              <w:spacing w:line="240" w:lineRule="auto"/>
              <w:jc w:val="left"/>
              <w:rPr>
                <w:color w:val="000000"/>
                <w:lang w:val="en-US" w:bidi="bn-BD"/>
              </w:rPr>
            </w:pPr>
            <w:r w:rsidRPr="00611EF1">
              <w:rPr>
                <w:color w:val="000000"/>
                <w:lang w:val="en-US" w:bidi="bn-BD"/>
              </w:rPr>
              <w:t>Assessment component: Financial performance and management</w:t>
            </w:r>
          </w:p>
        </w:tc>
        <w:tc>
          <w:tcPr>
            <w:tcW w:w="3037" w:type="dxa"/>
            <w:tcBorders>
              <w:top w:val="nil"/>
              <w:left w:val="nil"/>
              <w:bottom w:val="single" w:sz="4" w:space="0" w:color="auto"/>
              <w:right w:val="single" w:sz="4" w:space="0" w:color="auto"/>
            </w:tcBorders>
            <w:hideMark/>
          </w:tcPr>
          <w:p w14:paraId="7036E7C4" w14:textId="77777777" w:rsidR="00611EF1" w:rsidRPr="00611EF1" w:rsidRDefault="00611EF1" w:rsidP="00611EF1">
            <w:pPr>
              <w:spacing w:line="240" w:lineRule="auto"/>
              <w:jc w:val="left"/>
              <w:rPr>
                <w:color w:val="000000"/>
                <w:lang w:val="en-US" w:bidi="bn-BD"/>
              </w:rPr>
            </w:pPr>
            <w:r w:rsidRPr="00611EF1">
              <w:rPr>
                <w:color w:val="000000"/>
                <w:lang w:val="en-US" w:bidi="bn-BD"/>
              </w:rPr>
              <w:t xml:space="preserve">Word count (or </w:t>
            </w:r>
            <w:r w:rsidRPr="00611EF1">
              <w:rPr>
                <w:color w:val="000000"/>
                <w:lang w:val="en-US" w:bidi="bn-BD"/>
              </w:rPr>
              <w:br/>
              <w:t xml:space="preserve">equivalent): </w:t>
            </w:r>
          </w:p>
        </w:tc>
        <w:tc>
          <w:tcPr>
            <w:tcW w:w="1761" w:type="dxa"/>
            <w:tcBorders>
              <w:top w:val="nil"/>
              <w:left w:val="nil"/>
              <w:bottom w:val="single" w:sz="4" w:space="0" w:color="auto"/>
              <w:right w:val="single" w:sz="4" w:space="0" w:color="auto"/>
            </w:tcBorders>
            <w:noWrap/>
            <w:hideMark/>
          </w:tcPr>
          <w:p w14:paraId="05663B33" w14:textId="1330CDF7" w:rsidR="00611EF1" w:rsidRPr="00611EF1" w:rsidRDefault="00611EF1" w:rsidP="00611EF1">
            <w:pPr>
              <w:spacing w:line="240" w:lineRule="auto"/>
              <w:jc w:val="left"/>
              <w:rPr>
                <w:color w:val="000000"/>
                <w:lang w:val="en-US" w:bidi="bn-BD"/>
              </w:rPr>
            </w:pPr>
            <w:r w:rsidRPr="00611EF1">
              <w:rPr>
                <w:color w:val="000000"/>
                <w:lang w:val="en-US" w:bidi="bn-BD"/>
              </w:rPr>
              <w:t> </w:t>
            </w:r>
            <w:r w:rsidR="00AE238F">
              <w:rPr>
                <w:color w:val="000000"/>
                <w:lang w:val="en-US" w:bidi="bn-BD"/>
              </w:rPr>
              <w:t>5462</w:t>
            </w:r>
          </w:p>
        </w:tc>
      </w:tr>
      <w:tr w:rsidR="00611EF1" w:rsidRPr="00611EF1" w14:paraId="3DD86D0C" w14:textId="77777777" w:rsidTr="00611EF1">
        <w:trPr>
          <w:trHeight w:val="1488"/>
        </w:trPr>
        <w:tc>
          <w:tcPr>
            <w:tcW w:w="1688" w:type="dxa"/>
            <w:tcBorders>
              <w:top w:val="nil"/>
              <w:left w:val="single" w:sz="4" w:space="0" w:color="auto"/>
              <w:bottom w:val="single" w:sz="4" w:space="0" w:color="auto"/>
              <w:right w:val="single" w:sz="4" w:space="0" w:color="auto"/>
            </w:tcBorders>
            <w:noWrap/>
            <w:hideMark/>
          </w:tcPr>
          <w:p w14:paraId="31D5C8BA" w14:textId="77777777" w:rsidR="00611EF1" w:rsidRPr="00611EF1" w:rsidRDefault="00611EF1" w:rsidP="00611EF1">
            <w:pPr>
              <w:spacing w:line="240" w:lineRule="auto"/>
              <w:jc w:val="left"/>
              <w:rPr>
                <w:color w:val="000000"/>
                <w:lang w:val="en-US" w:bidi="bn-BD"/>
              </w:rPr>
            </w:pPr>
            <w:r w:rsidRPr="00611EF1">
              <w:rPr>
                <w:color w:val="000000"/>
                <w:lang w:val="en-US" w:bidi="bn-BD"/>
              </w:rPr>
              <w:t>Submission deadline:</w:t>
            </w:r>
          </w:p>
        </w:tc>
        <w:tc>
          <w:tcPr>
            <w:tcW w:w="3231" w:type="dxa"/>
            <w:tcBorders>
              <w:top w:val="nil"/>
              <w:left w:val="nil"/>
              <w:bottom w:val="single" w:sz="4" w:space="0" w:color="auto"/>
              <w:right w:val="single" w:sz="4" w:space="0" w:color="auto"/>
            </w:tcBorders>
            <w:hideMark/>
          </w:tcPr>
          <w:p w14:paraId="71825678" w14:textId="77777777" w:rsidR="00611EF1" w:rsidRPr="00611EF1" w:rsidRDefault="00611EF1" w:rsidP="00611EF1">
            <w:pPr>
              <w:spacing w:line="240" w:lineRule="auto"/>
              <w:jc w:val="left"/>
              <w:rPr>
                <w:color w:val="000000"/>
                <w:lang w:val="en-US" w:bidi="bn-BD"/>
              </w:rPr>
            </w:pPr>
            <w:r w:rsidRPr="00611EF1">
              <w:rPr>
                <w:color w:val="000000"/>
                <w:lang w:val="en-US" w:bidi="bn-BD"/>
              </w:rPr>
              <w:t>Monday 22nd December 2025 by 2pm</w:t>
            </w:r>
          </w:p>
        </w:tc>
        <w:tc>
          <w:tcPr>
            <w:tcW w:w="3037" w:type="dxa"/>
            <w:tcBorders>
              <w:top w:val="nil"/>
              <w:left w:val="nil"/>
              <w:bottom w:val="single" w:sz="4" w:space="0" w:color="auto"/>
              <w:right w:val="single" w:sz="4" w:space="0" w:color="auto"/>
            </w:tcBorders>
            <w:hideMark/>
          </w:tcPr>
          <w:p w14:paraId="303C1DB3" w14:textId="77777777" w:rsidR="00611EF1" w:rsidRPr="00611EF1" w:rsidRDefault="00611EF1" w:rsidP="00611EF1">
            <w:pPr>
              <w:spacing w:line="240" w:lineRule="auto"/>
              <w:jc w:val="left"/>
              <w:rPr>
                <w:color w:val="000000"/>
                <w:lang w:val="en-US" w:bidi="bn-BD"/>
              </w:rPr>
            </w:pPr>
            <w:r w:rsidRPr="00611EF1">
              <w:rPr>
                <w:color w:val="000000"/>
                <w:lang w:val="en-US" w:bidi="bn-BD"/>
              </w:rPr>
              <w:t xml:space="preserve">Return date of </w:t>
            </w:r>
            <w:r w:rsidRPr="00611EF1">
              <w:rPr>
                <w:color w:val="000000"/>
                <w:lang w:val="en-US" w:bidi="bn-BD"/>
              </w:rPr>
              <w:br/>
              <w:t xml:space="preserve">provisional </w:t>
            </w:r>
            <w:r w:rsidRPr="00611EF1">
              <w:rPr>
                <w:color w:val="000000"/>
                <w:lang w:val="en-US" w:bidi="bn-BD"/>
              </w:rPr>
              <w:br/>
              <w:t xml:space="preserve">marks &amp; written </w:t>
            </w:r>
            <w:r w:rsidRPr="00611EF1">
              <w:rPr>
                <w:color w:val="000000"/>
                <w:lang w:val="en-US" w:bidi="bn-BD"/>
              </w:rPr>
              <w:br/>
              <w:t xml:space="preserve">feedback: </w:t>
            </w:r>
          </w:p>
        </w:tc>
        <w:tc>
          <w:tcPr>
            <w:tcW w:w="1761" w:type="dxa"/>
            <w:tcBorders>
              <w:top w:val="nil"/>
              <w:left w:val="nil"/>
              <w:bottom w:val="single" w:sz="4" w:space="0" w:color="auto"/>
              <w:right w:val="single" w:sz="4" w:space="0" w:color="auto"/>
            </w:tcBorders>
            <w:noWrap/>
            <w:hideMark/>
          </w:tcPr>
          <w:p w14:paraId="0D4C2948" w14:textId="77777777" w:rsidR="00611EF1" w:rsidRPr="00611EF1" w:rsidRDefault="00611EF1" w:rsidP="00611EF1">
            <w:pPr>
              <w:spacing w:line="240" w:lineRule="auto"/>
              <w:jc w:val="left"/>
              <w:rPr>
                <w:color w:val="000000"/>
                <w:lang w:val="en-US" w:bidi="bn-BD"/>
              </w:rPr>
            </w:pPr>
            <w:r w:rsidRPr="00611EF1">
              <w:rPr>
                <w:color w:val="000000"/>
                <w:lang w:val="en-US" w:bidi="bn-BD"/>
              </w:rPr>
              <w:t xml:space="preserve">30th January 2026 </w:t>
            </w:r>
          </w:p>
        </w:tc>
      </w:tr>
    </w:tbl>
    <w:p w14:paraId="32DC408C" w14:textId="77777777" w:rsidR="00216D88" w:rsidRDefault="00216D88" w:rsidP="00216D88"/>
    <w:p w14:paraId="46A516DF" w14:textId="77777777" w:rsidR="00216D88" w:rsidRDefault="00216D88" w:rsidP="00216D88"/>
    <w:p w14:paraId="466B44F3" w14:textId="77777777" w:rsidR="00216D88" w:rsidRDefault="00216D88" w:rsidP="00216D88"/>
    <w:p w14:paraId="1C40F340" w14:textId="77777777" w:rsidR="00216D88" w:rsidRDefault="00216D88" w:rsidP="00216D88"/>
    <w:p w14:paraId="02C090FB" w14:textId="77777777" w:rsidR="00216D88" w:rsidRDefault="00216D88" w:rsidP="00216D88"/>
    <w:p w14:paraId="30869F89" w14:textId="77777777" w:rsidR="00216D88" w:rsidRDefault="00216D88" w:rsidP="00216D88"/>
    <w:p w14:paraId="37A32702" w14:textId="77777777" w:rsidR="00216D88" w:rsidRDefault="00216D88" w:rsidP="00216D88"/>
    <w:p w14:paraId="091C5936" w14:textId="77777777" w:rsidR="00216D88" w:rsidRDefault="00216D88" w:rsidP="00216D88"/>
    <w:p w14:paraId="1F972C29" w14:textId="77777777" w:rsidR="00216D88" w:rsidRDefault="00216D88" w:rsidP="00216D88"/>
    <w:p w14:paraId="0585D593" w14:textId="77777777" w:rsidR="00216D88" w:rsidRDefault="00216D88" w:rsidP="00216D88"/>
    <w:p w14:paraId="7A5F101C" w14:textId="77777777" w:rsidR="00216D88" w:rsidRDefault="00216D88" w:rsidP="00216D88"/>
    <w:p w14:paraId="2BFA0CB7" w14:textId="77777777" w:rsidR="00216D88" w:rsidRDefault="00216D88" w:rsidP="00216D88"/>
    <w:p w14:paraId="32C69CC7" w14:textId="77777777" w:rsidR="00216D88" w:rsidRDefault="00216D88" w:rsidP="00216D88"/>
    <w:p w14:paraId="08793F09" w14:textId="77777777" w:rsidR="00216D88" w:rsidRDefault="00216D88" w:rsidP="00216D88"/>
    <w:p w14:paraId="2E73ED59" w14:textId="77777777" w:rsidR="00216D88" w:rsidRDefault="00216D88" w:rsidP="00216D88"/>
    <w:p w14:paraId="30654833" w14:textId="77777777" w:rsidR="00216D88" w:rsidRDefault="00216D88" w:rsidP="00216D88"/>
    <w:tbl>
      <w:tblPr>
        <w:tblStyle w:val="TableGrid"/>
        <w:tblW w:w="0" w:type="auto"/>
        <w:tblLook w:val="04A0" w:firstRow="1" w:lastRow="0" w:firstColumn="1" w:lastColumn="0" w:noHBand="0" w:noVBand="1"/>
      </w:tblPr>
      <w:tblGrid>
        <w:gridCol w:w="4788"/>
        <w:gridCol w:w="4788"/>
      </w:tblGrid>
      <w:tr w:rsidR="003501D9" w14:paraId="18DF965E" w14:textId="77777777" w:rsidTr="003501D9">
        <w:tc>
          <w:tcPr>
            <w:tcW w:w="4788" w:type="dxa"/>
          </w:tcPr>
          <w:p w14:paraId="388F9057" w14:textId="77777777" w:rsidR="003501D9" w:rsidRDefault="003501D9" w:rsidP="003501D9">
            <w:pPr>
              <w:rPr>
                <w:rFonts w:ascii="Times New Roman" w:hAnsi="Times New Roman" w:cs="Times New Roman"/>
                <w:sz w:val="24"/>
                <w:szCs w:val="24"/>
              </w:rPr>
            </w:pPr>
            <w:r w:rsidRPr="003501D9">
              <w:rPr>
                <w:rFonts w:ascii="Times New Roman" w:hAnsi="Times New Roman" w:cs="Times New Roman"/>
                <w:b/>
                <w:bCs/>
                <w:sz w:val="24"/>
                <w:szCs w:val="24"/>
              </w:rPr>
              <w:t>Keywords:</w:t>
            </w:r>
            <w:r w:rsidRPr="003501D9">
              <w:rPr>
                <w:rFonts w:ascii="Times New Roman" w:hAnsi="Times New Roman" w:cs="Times New Roman"/>
                <w:sz w:val="24"/>
                <w:szCs w:val="24"/>
              </w:rPr>
              <w:t xml:space="preserve"> </w:t>
            </w:r>
          </w:p>
          <w:p w14:paraId="76A11BD7" w14:textId="77777777" w:rsidR="003501D9" w:rsidRPr="003501D9" w:rsidRDefault="003501D9" w:rsidP="003501D9">
            <w:pPr>
              <w:pStyle w:val="ListParagraph"/>
              <w:numPr>
                <w:ilvl w:val="0"/>
                <w:numId w:val="31"/>
              </w:numPr>
              <w:rPr>
                <w:rFonts w:ascii="Times New Roman" w:hAnsi="Times New Roman" w:cs="Times New Roman"/>
                <w:sz w:val="24"/>
                <w:szCs w:val="24"/>
              </w:rPr>
            </w:pPr>
            <w:r w:rsidRPr="003501D9">
              <w:rPr>
                <w:rFonts w:ascii="Times New Roman" w:hAnsi="Times New Roman" w:cs="Times New Roman"/>
                <w:sz w:val="24"/>
                <w:szCs w:val="24"/>
              </w:rPr>
              <w:t xml:space="preserve">Liquidity. </w:t>
            </w:r>
          </w:p>
          <w:p w14:paraId="1DB5F6D3" w14:textId="77777777" w:rsidR="003501D9" w:rsidRPr="003501D9" w:rsidRDefault="003501D9" w:rsidP="003501D9">
            <w:pPr>
              <w:pStyle w:val="ListParagraph"/>
              <w:numPr>
                <w:ilvl w:val="0"/>
                <w:numId w:val="31"/>
              </w:numPr>
              <w:rPr>
                <w:rFonts w:ascii="Times New Roman" w:hAnsi="Times New Roman" w:cs="Times New Roman"/>
                <w:sz w:val="24"/>
                <w:szCs w:val="24"/>
              </w:rPr>
            </w:pPr>
            <w:r w:rsidRPr="003501D9">
              <w:rPr>
                <w:rFonts w:ascii="Times New Roman" w:hAnsi="Times New Roman" w:cs="Times New Roman"/>
                <w:sz w:val="24"/>
                <w:szCs w:val="24"/>
              </w:rPr>
              <w:t xml:space="preserve">Financial Performance. </w:t>
            </w:r>
          </w:p>
          <w:p w14:paraId="68CACFE5" w14:textId="77777777" w:rsidR="003501D9" w:rsidRPr="003501D9" w:rsidRDefault="003501D9" w:rsidP="003501D9">
            <w:pPr>
              <w:pStyle w:val="ListParagraph"/>
              <w:numPr>
                <w:ilvl w:val="0"/>
                <w:numId w:val="31"/>
              </w:numPr>
              <w:rPr>
                <w:rFonts w:ascii="Times New Roman" w:hAnsi="Times New Roman" w:cs="Times New Roman"/>
                <w:sz w:val="24"/>
                <w:szCs w:val="24"/>
              </w:rPr>
            </w:pPr>
            <w:r w:rsidRPr="003501D9">
              <w:rPr>
                <w:rFonts w:ascii="Times New Roman" w:hAnsi="Times New Roman" w:cs="Times New Roman"/>
                <w:sz w:val="24"/>
                <w:szCs w:val="24"/>
              </w:rPr>
              <w:t xml:space="preserve">Restructuring. </w:t>
            </w:r>
          </w:p>
          <w:p w14:paraId="47967CD3" w14:textId="77777777" w:rsidR="003501D9" w:rsidRPr="003501D9" w:rsidRDefault="003501D9" w:rsidP="003501D9">
            <w:pPr>
              <w:pStyle w:val="ListParagraph"/>
              <w:numPr>
                <w:ilvl w:val="0"/>
                <w:numId w:val="31"/>
              </w:numPr>
              <w:rPr>
                <w:rFonts w:ascii="Times New Roman" w:hAnsi="Times New Roman" w:cs="Times New Roman"/>
                <w:sz w:val="24"/>
                <w:szCs w:val="24"/>
              </w:rPr>
            </w:pPr>
            <w:r w:rsidRPr="003501D9">
              <w:rPr>
                <w:rFonts w:ascii="Times New Roman" w:hAnsi="Times New Roman" w:cs="Times New Roman"/>
                <w:sz w:val="24"/>
                <w:szCs w:val="24"/>
              </w:rPr>
              <w:t>Capital Budgeting.</w:t>
            </w:r>
          </w:p>
          <w:p w14:paraId="733F956C" w14:textId="77777777" w:rsidR="003501D9" w:rsidRPr="003501D9" w:rsidRDefault="003501D9" w:rsidP="003501D9">
            <w:pPr>
              <w:pStyle w:val="ListParagraph"/>
              <w:numPr>
                <w:ilvl w:val="0"/>
                <w:numId w:val="31"/>
              </w:numPr>
              <w:rPr>
                <w:rFonts w:ascii="Times New Roman" w:hAnsi="Times New Roman" w:cs="Times New Roman"/>
                <w:sz w:val="24"/>
                <w:szCs w:val="24"/>
              </w:rPr>
            </w:pPr>
            <w:r w:rsidRPr="003501D9">
              <w:rPr>
                <w:rFonts w:ascii="Times New Roman" w:hAnsi="Times New Roman" w:cs="Times New Roman"/>
                <w:sz w:val="24"/>
                <w:szCs w:val="24"/>
              </w:rPr>
              <w:t>Profitability.</w:t>
            </w:r>
          </w:p>
          <w:p w14:paraId="69544A37" w14:textId="77777777" w:rsidR="003501D9" w:rsidRPr="003501D9" w:rsidRDefault="003501D9" w:rsidP="003501D9">
            <w:pPr>
              <w:pStyle w:val="ListParagraph"/>
              <w:numPr>
                <w:ilvl w:val="0"/>
                <w:numId w:val="31"/>
              </w:numPr>
              <w:rPr>
                <w:rFonts w:ascii="Times New Roman" w:hAnsi="Times New Roman" w:cs="Times New Roman"/>
                <w:sz w:val="24"/>
                <w:szCs w:val="24"/>
              </w:rPr>
            </w:pPr>
            <w:r w:rsidRPr="003501D9">
              <w:rPr>
                <w:rFonts w:ascii="Times New Roman" w:hAnsi="Times New Roman" w:cs="Times New Roman"/>
                <w:sz w:val="24"/>
                <w:szCs w:val="24"/>
              </w:rPr>
              <w:t>Altman Z-Score</w:t>
            </w:r>
          </w:p>
          <w:p w14:paraId="61B01517" w14:textId="77777777" w:rsidR="003501D9" w:rsidRPr="003501D9" w:rsidRDefault="003501D9" w:rsidP="003501D9">
            <w:pPr>
              <w:pStyle w:val="ListParagraph"/>
              <w:numPr>
                <w:ilvl w:val="0"/>
                <w:numId w:val="31"/>
              </w:numPr>
              <w:rPr>
                <w:rFonts w:ascii="Times New Roman" w:hAnsi="Times New Roman" w:cs="Times New Roman"/>
                <w:sz w:val="24"/>
                <w:szCs w:val="24"/>
              </w:rPr>
            </w:pPr>
            <w:r w:rsidRPr="003501D9">
              <w:rPr>
                <w:rFonts w:ascii="Times New Roman" w:hAnsi="Times New Roman" w:cs="Times New Roman"/>
                <w:sz w:val="24"/>
                <w:szCs w:val="24"/>
              </w:rPr>
              <w:t>Shareholder Value.</w:t>
            </w:r>
          </w:p>
          <w:p w14:paraId="3B260FE3" w14:textId="77777777" w:rsidR="003501D9" w:rsidRDefault="003501D9" w:rsidP="00216D88"/>
        </w:tc>
        <w:tc>
          <w:tcPr>
            <w:tcW w:w="4788" w:type="dxa"/>
          </w:tcPr>
          <w:p w14:paraId="3E3C4CF5" w14:textId="77777777" w:rsidR="003501D9" w:rsidRPr="003501D9" w:rsidRDefault="003501D9" w:rsidP="003501D9">
            <w:pPr>
              <w:jc w:val="center"/>
              <w:rPr>
                <w:rFonts w:ascii="Times New Roman" w:hAnsi="Times New Roman" w:cs="Times New Roman"/>
                <w:b/>
                <w:bCs/>
                <w:sz w:val="28"/>
                <w:szCs w:val="28"/>
                <w:u w:val="single"/>
              </w:rPr>
            </w:pPr>
            <w:r w:rsidRPr="003501D9">
              <w:rPr>
                <w:rFonts w:ascii="Times New Roman" w:hAnsi="Times New Roman" w:cs="Times New Roman"/>
                <w:b/>
                <w:bCs/>
                <w:sz w:val="28"/>
                <w:szCs w:val="28"/>
                <w:u w:val="single"/>
              </w:rPr>
              <w:t>Abstract</w:t>
            </w:r>
          </w:p>
          <w:p w14:paraId="2A613683" w14:textId="77777777" w:rsidR="003501D9" w:rsidRDefault="003501D9" w:rsidP="00216D88">
            <w:pPr>
              <w:rPr>
                <w:rFonts w:ascii="Times New Roman" w:hAnsi="Times New Roman" w:cs="Times New Roman"/>
                <w:sz w:val="24"/>
                <w:szCs w:val="24"/>
              </w:rPr>
            </w:pPr>
            <w:r w:rsidRPr="003501D9">
              <w:rPr>
                <w:rFonts w:ascii="Times New Roman" w:hAnsi="Times New Roman" w:cs="Times New Roman"/>
                <w:sz w:val="24"/>
                <w:szCs w:val="24"/>
              </w:rPr>
              <w:t xml:space="preserve">This report provides an evaluation of the financial performance and management of general electronics Plc. between 2020 and 2024 which is a period characterized by harsh market environment and poor profitability. The review uses ratio evaluation, Altman Z-score, and capital budgeting models to evaluate the financial status and potential investment of the company. </w:t>
            </w:r>
          </w:p>
          <w:p w14:paraId="6E74FB74" w14:textId="77777777" w:rsidR="003501D9" w:rsidRPr="003501D9" w:rsidRDefault="003501D9" w:rsidP="003501D9">
            <w:pPr>
              <w:rPr>
                <w:rFonts w:ascii="Times New Roman" w:hAnsi="Times New Roman" w:cs="Times New Roman"/>
              </w:rPr>
            </w:pPr>
            <w:r w:rsidRPr="003501D9">
              <w:rPr>
                <w:rFonts w:ascii="Times New Roman" w:hAnsi="Times New Roman" w:cs="Times New Roman"/>
                <w:sz w:val="24"/>
                <w:szCs w:val="24"/>
              </w:rPr>
              <w:t>Results reveal weak</w:t>
            </w:r>
            <w:r>
              <w:rPr>
                <w:rFonts w:ascii="Times New Roman" w:hAnsi="Times New Roman" w:cs="Times New Roman"/>
                <w:sz w:val="24"/>
                <w:szCs w:val="24"/>
              </w:rPr>
              <w:t>ening liquidity, 1.5%</w:t>
            </w:r>
            <w:r w:rsidRPr="003501D9">
              <w:rPr>
                <w:rFonts w:ascii="Times New Roman" w:hAnsi="Times New Roman" w:cs="Times New Roman"/>
                <w:sz w:val="24"/>
                <w:szCs w:val="24"/>
              </w:rPr>
              <w:t xml:space="preserve"> less returns on net assets and equity, and</w:t>
            </w:r>
            <w:r>
              <w:rPr>
                <w:rFonts w:ascii="Times New Roman" w:hAnsi="Times New Roman" w:cs="Times New Roman"/>
                <w:sz w:val="24"/>
                <w:szCs w:val="24"/>
              </w:rPr>
              <w:t xml:space="preserve"> increasing leverage, but</w:t>
            </w:r>
            <w:r w:rsidRPr="003501D9">
              <w:rPr>
                <w:rFonts w:ascii="Times New Roman" w:hAnsi="Times New Roman" w:cs="Times New Roman"/>
                <w:sz w:val="24"/>
                <w:szCs w:val="24"/>
              </w:rPr>
              <w:t xml:space="preserve"> 2024 </w:t>
            </w:r>
            <w:r>
              <w:rPr>
                <w:rFonts w:ascii="Times New Roman" w:hAnsi="Times New Roman" w:cs="Times New Roman"/>
                <w:sz w:val="24"/>
                <w:szCs w:val="24"/>
              </w:rPr>
              <w:t xml:space="preserve">data </w:t>
            </w:r>
            <w:proofErr w:type="gramStart"/>
            <w:r w:rsidRPr="003501D9">
              <w:rPr>
                <w:rFonts w:ascii="Times New Roman" w:hAnsi="Times New Roman" w:cs="Times New Roman"/>
                <w:sz w:val="24"/>
                <w:szCs w:val="24"/>
              </w:rPr>
              <w:t>suggests</w:t>
            </w:r>
            <w:proofErr w:type="gramEnd"/>
            <w:r w:rsidRPr="003501D9">
              <w:rPr>
                <w:rFonts w:ascii="Times New Roman" w:hAnsi="Times New Roman" w:cs="Times New Roman"/>
                <w:sz w:val="24"/>
                <w:szCs w:val="24"/>
              </w:rPr>
              <w:t xml:space="preserve"> a partial recovery. The Altman Z-score of 2.70 indicates financial distress, and it needs to restructure itself into strategic models. Some of the suggestions that could be made are optimization of costs, improvement of working capital, debt restructuring and sale of low performing assets. Projects A and C are the only investment alternatives that have positive NPVs and IRRs, with Project C having the best long-term value creation. </w:t>
            </w:r>
          </w:p>
        </w:tc>
      </w:tr>
    </w:tbl>
    <w:p w14:paraId="549845FA" w14:textId="77777777" w:rsidR="00216D88" w:rsidRDefault="00216D88" w:rsidP="00216D88"/>
    <w:p w14:paraId="70C159A4" w14:textId="77777777" w:rsidR="00216D88" w:rsidRDefault="00216D88" w:rsidP="00216D88"/>
    <w:p w14:paraId="4498CFE7" w14:textId="77777777" w:rsidR="00216D88" w:rsidRDefault="00216D88" w:rsidP="00216D88"/>
    <w:p w14:paraId="356CBD57" w14:textId="77777777" w:rsidR="00216D88" w:rsidRDefault="00216D88" w:rsidP="00216D88"/>
    <w:p w14:paraId="27A88614" w14:textId="77777777" w:rsidR="00216D88" w:rsidRDefault="00216D88" w:rsidP="00216D88"/>
    <w:p w14:paraId="072C6E15" w14:textId="77777777" w:rsidR="00216D88" w:rsidRDefault="00216D88" w:rsidP="00216D88"/>
    <w:p w14:paraId="4E87D3AD" w14:textId="77777777" w:rsidR="00216D88" w:rsidRDefault="00216D88" w:rsidP="00216D88"/>
    <w:p w14:paraId="4BD06897" w14:textId="77777777" w:rsidR="00216D88" w:rsidRDefault="00216D88" w:rsidP="00216D88"/>
    <w:sdt>
      <w:sdtPr>
        <w:rPr>
          <w:rFonts w:ascii="Times New Roman" w:eastAsia="Times New Roman" w:hAnsi="Times New Roman" w:cs="Times New Roman"/>
          <w:b w:val="0"/>
          <w:bCs w:val="0"/>
          <w:color w:val="auto"/>
          <w:sz w:val="24"/>
          <w:szCs w:val="24"/>
          <w:lang w:val="en-GB" w:eastAsia="en-US"/>
        </w:rPr>
        <w:id w:val="-1355110612"/>
        <w:docPartObj>
          <w:docPartGallery w:val="Table of Contents"/>
          <w:docPartUnique/>
        </w:docPartObj>
      </w:sdtPr>
      <w:sdtEndPr>
        <w:rPr>
          <w:noProof/>
        </w:rPr>
      </w:sdtEndPr>
      <w:sdtContent>
        <w:p w14:paraId="15495368" w14:textId="77777777" w:rsidR="00755F4E" w:rsidRPr="00755F4E" w:rsidRDefault="00755F4E" w:rsidP="00755F4E">
          <w:pPr>
            <w:pStyle w:val="TOCHeading"/>
            <w:jc w:val="center"/>
            <w:rPr>
              <w:rFonts w:ascii="Times New Roman" w:hAnsi="Times New Roman" w:cs="Times New Roman"/>
              <w:color w:val="000000" w:themeColor="text1"/>
            </w:rPr>
          </w:pPr>
          <w:r w:rsidRPr="00755F4E">
            <w:rPr>
              <w:rFonts w:ascii="Times New Roman" w:hAnsi="Times New Roman" w:cs="Times New Roman"/>
              <w:color w:val="000000" w:themeColor="text1"/>
            </w:rPr>
            <w:t>Table of Contents</w:t>
          </w:r>
        </w:p>
        <w:p w14:paraId="39117B7F" w14:textId="77777777" w:rsidR="00755F4E" w:rsidRDefault="00755F4E">
          <w:pPr>
            <w:pStyle w:val="TOC1"/>
            <w:tabs>
              <w:tab w:val="right" w:leader="dot" w:pos="9350"/>
            </w:tabs>
            <w:rPr>
              <w:rFonts w:asciiTheme="minorHAnsi" w:eastAsiaTheme="minorEastAsia" w:hAnsiTheme="minorHAnsi" w:cs="Vrinda"/>
              <w:noProof/>
              <w:sz w:val="22"/>
              <w:szCs w:val="28"/>
              <w:lang w:val="en-US" w:bidi="bn-BD"/>
            </w:rPr>
          </w:pPr>
          <w:r>
            <w:fldChar w:fldCharType="begin"/>
          </w:r>
          <w:r>
            <w:instrText xml:space="preserve"> TOC \o "1-3" \h \z \u </w:instrText>
          </w:r>
          <w:r>
            <w:fldChar w:fldCharType="separate"/>
          </w:r>
          <w:hyperlink w:anchor="_Toc213449436" w:history="1">
            <w:r w:rsidRPr="00607239">
              <w:rPr>
                <w:rStyle w:val="Hyperlink"/>
                <w:noProof/>
              </w:rPr>
              <w:t>1.0 Introduction:</w:t>
            </w:r>
            <w:r>
              <w:rPr>
                <w:noProof/>
                <w:webHidden/>
              </w:rPr>
              <w:tab/>
            </w:r>
            <w:r>
              <w:rPr>
                <w:noProof/>
                <w:webHidden/>
              </w:rPr>
              <w:fldChar w:fldCharType="begin"/>
            </w:r>
            <w:r>
              <w:rPr>
                <w:noProof/>
                <w:webHidden/>
              </w:rPr>
              <w:instrText xml:space="preserve"> PAGEREF _Toc213449436 \h </w:instrText>
            </w:r>
            <w:r>
              <w:rPr>
                <w:noProof/>
                <w:webHidden/>
              </w:rPr>
            </w:r>
            <w:r>
              <w:rPr>
                <w:noProof/>
                <w:webHidden/>
              </w:rPr>
              <w:fldChar w:fldCharType="separate"/>
            </w:r>
            <w:r w:rsidR="00F1602C">
              <w:rPr>
                <w:noProof/>
                <w:webHidden/>
              </w:rPr>
              <w:t>4</w:t>
            </w:r>
            <w:r>
              <w:rPr>
                <w:noProof/>
                <w:webHidden/>
              </w:rPr>
              <w:fldChar w:fldCharType="end"/>
            </w:r>
          </w:hyperlink>
        </w:p>
        <w:p w14:paraId="6EBB923F" w14:textId="77777777" w:rsidR="00755F4E" w:rsidRDefault="00755F4E">
          <w:pPr>
            <w:pStyle w:val="TOC1"/>
            <w:tabs>
              <w:tab w:val="right" w:leader="dot" w:pos="9350"/>
            </w:tabs>
            <w:rPr>
              <w:rFonts w:asciiTheme="minorHAnsi" w:eastAsiaTheme="minorEastAsia" w:hAnsiTheme="minorHAnsi" w:cs="Vrinda"/>
              <w:noProof/>
              <w:sz w:val="22"/>
              <w:szCs w:val="28"/>
              <w:lang w:val="en-US" w:bidi="bn-BD"/>
            </w:rPr>
          </w:pPr>
          <w:hyperlink w:anchor="_Toc213449437" w:history="1">
            <w:r w:rsidRPr="00607239">
              <w:rPr>
                <w:rStyle w:val="Hyperlink"/>
                <w:noProof/>
              </w:rPr>
              <w:t>2.0 Financial Health Check (General Electronics):</w:t>
            </w:r>
            <w:r>
              <w:rPr>
                <w:noProof/>
                <w:webHidden/>
              </w:rPr>
              <w:tab/>
            </w:r>
            <w:r>
              <w:rPr>
                <w:noProof/>
                <w:webHidden/>
              </w:rPr>
              <w:fldChar w:fldCharType="begin"/>
            </w:r>
            <w:r>
              <w:rPr>
                <w:noProof/>
                <w:webHidden/>
              </w:rPr>
              <w:instrText xml:space="preserve"> PAGEREF _Toc213449437 \h </w:instrText>
            </w:r>
            <w:r>
              <w:rPr>
                <w:noProof/>
                <w:webHidden/>
              </w:rPr>
            </w:r>
            <w:r>
              <w:rPr>
                <w:noProof/>
                <w:webHidden/>
              </w:rPr>
              <w:fldChar w:fldCharType="separate"/>
            </w:r>
            <w:r w:rsidR="00F1602C">
              <w:rPr>
                <w:noProof/>
                <w:webHidden/>
              </w:rPr>
              <w:t>5</w:t>
            </w:r>
            <w:r>
              <w:rPr>
                <w:noProof/>
                <w:webHidden/>
              </w:rPr>
              <w:fldChar w:fldCharType="end"/>
            </w:r>
          </w:hyperlink>
        </w:p>
        <w:p w14:paraId="2CE6764C"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38" w:history="1">
            <w:r w:rsidRPr="00607239">
              <w:rPr>
                <w:rStyle w:val="Hyperlink"/>
                <w:noProof/>
              </w:rPr>
              <w:t>2.1 Ratio Analysis</w:t>
            </w:r>
            <w:r>
              <w:rPr>
                <w:noProof/>
                <w:webHidden/>
              </w:rPr>
              <w:tab/>
            </w:r>
            <w:r>
              <w:rPr>
                <w:noProof/>
                <w:webHidden/>
              </w:rPr>
              <w:fldChar w:fldCharType="begin"/>
            </w:r>
            <w:r>
              <w:rPr>
                <w:noProof/>
                <w:webHidden/>
              </w:rPr>
              <w:instrText xml:space="preserve"> PAGEREF _Toc213449438 \h </w:instrText>
            </w:r>
            <w:r>
              <w:rPr>
                <w:noProof/>
                <w:webHidden/>
              </w:rPr>
            </w:r>
            <w:r>
              <w:rPr>
                <w:noProof/>
                <w:webHidden/>
              </w:rPr>
              <w:fldChar w:fldCharType="separate"/>
            </w:r>
            <w:r w:rsidR="00F1602C">
              <w:rPr>
                <w:noProof/>
                <w:webHidden/>
              </w:rPr>
              <w:t>5</w:t>
            </w:r>
            <w:r>
              <w:rPr>
                <w:noProof/>
                <w:webHidden/>
              </w:rPr>
              <w:fldChar w:fldCharType="end"/>
            </w:r>
          </w:hyperlink>
        </w:p>
        <w:p w14:paraId="2054FB62"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39" w:history="1">
            <w:r w:rsidRPr="00607239">
              <w:rPr>
                <w:rStyle w:val="Hyperlink"/>
                <w:noProof/>
              </w:rPr>
              <w:t>2.2 Cash Flow Considerations</w:t>
            </w:r>
            <w:r>
              <w:rPr>
                <w:noProof/>
                <w:webHidden/>
              </w:rPr>
              <w:tab/>
            </w:r>
            <w:r>
              <w:rPr>
                <w:noProof/>
                <w:webHidden/>
              </w:rPr>
              <w:fldChar w:fldCharType="begin"/>
            </w:r>
            <w:r>
              <w:rPr>
                <w:noProof/>
                <w:webHidden/>
              </w:rPr>
              <w:instrText xml:space="preserve"> PAGEREF _Toc213449439 \h </w:instrText>
            </w:r>
            <w:r>
              <w:rPr>
                <w:noProof/>
                <w:webHidden/>
              </w:rPr>
            </w:r>
            <w:r>
              <w:rPr>
                <w:noProof/>
                <w:webHidden/>
              </w:rPr>
              <w:fldChar w:fldCharType="separate"/>
            </w:r>
            <w:r w:rsidR="00F1602C">
              <w:rPr>
                <w:noProof/>
                <w:webHidden/>
              </w:rPr>
              <w:t>7</w:t>
            </w:r>
            <w:r>
              <w:rPr>
                <w:noProof/>
                <w:webHidden/>
              </w:rPr>
              <w:fldChar w:fldCharType="end"/>
            </w:r>
          </w:hyperlink>
        </w:p>
        <w:p w14:paraId="773C93CC"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40" w:history="1">
            <w:r w:rsidRPr="00607239">
              <w:rPr>
                <w:rStyle w:val="Hyperlink"/>
                <w:noProof/>
              </w:rPr>
              <w:t>2.3 Financial Distress, Altman Z-Score</w:t>
            </w:r>
            <w:r>
              <w:rPr>
                <w:noProof/>
                <w:webHidden/>
              </w:rPr>
              <w:tab/>
            </w:r>
            <w:r>
              <w:rPr>
                <w:noProof/>
                <w:webHidden/>
              </w:rPr>
              <w:fldChar w:fldCharType="begin"/>
            </w:r>
            <w:r>
              <w:rPr>
                <w:noProof/>
                <w:webHidden/>
              </w:rPr>
              <w:instrText xml:space="preserve"> PAGEREF _Toc213449440 \h </w:instrText>
            </w:r>
            <w:r>
              <w:rPr>
                <w:noProof/>
                <w:webHidden/>
              </w:rPr>
            </w:r>
            <w:r>
              <w:rPr>
                <w:noProof/>
                <w:webHidden/>
              </w:rPr>
              <w:fldChar w:fldCharType="separate"/>
            </w:r>
            <w:r w:rsidR="00F1602C">
              <w:rPr>
                <w:noProof/>
                <w:webHidden/>
              </w:rPr>
              <w:t>7</w:t>
            </w:r>
            <w:r>
              <w:rPr>
                <w:noProof/>
                <w:webHidden/>
              </w:rPr>
              <w:fldChar w:fldCharType="end"/>
            </w:r>
          </w:hyperlink>
        </w:p>
        <w:p w14:paraId="69FEF7F6"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41" w:history="1">
            <w:r w:rsidRPr="00607239">
              <w:rPr>
                <w:rStyle w:val="Hyperlink"/>
                <w:noProof/>
              </w:rPr>
              <w:t>2.4 Summary of Strengths and Weaknesses</w:t>
            </w:r>
            <w:r>
              <w:rPr>
                <w:noProof/>
                <w:webHidden/>
              </w:rPr>
              <w:tab/>
            </w:r>
            <w:r>
              <w:rPr>
                <w:noProof/>
                <w:webHidden/>
              </w:rPr>
              <w:fldChar w:fldCharType="begin"/>
            </w:r>
            <w:r>
              <w:rPr>
                <w:noProof/>
                <w:webHidden/>
              </w:rPr>
              <w:instrText xml:space="preserve"> PAGEREF _Toc213449441 \h </w:instrText>
            </w:r>
            <w:r>
              <w:rPr>
                <w:noProof/>
                <w:webHidden/>
              </w:rPr>
            </w:r>
            <w:r>
              <w:rPr>
                <w:noProof/>
                <w:webHidden/>
              </w:rPr>
              <w:fldChar w:fldCharType="separate"/>
            </w:r>
            <w:r w:rsidR="00F1602C">
              <w:rPr>
                <w:noProof/>
                <w:webHidden/>
              </w:rPr>
              <w:t>8</w:t>
            </w:r>
            <w:r>
              <w:rPr>
                <w:noProof/>
                <w:webHidden/>
              </w:rPr>
              <w:fldChar w:fldCharType="end"/>
            </w:r>
          </w:hyperlink>
        </w:p>
        <w:p w14:paraId="757B8622"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42" w:history="1">
            <w:r w:rsidRPr="00607239">
              <w:rPr>
                <w:rStyle w:val="Hyperlink"/>
                <w:noProof/>
              </w:rPr>
              <w:t>2.5 Preliminary Considerations:</w:t>
            </w:r>
            <w:r>
              <w:rPr>
                <w:noProof/>
                <w:webHidden/>
              </w:rPr>
              <w:tab/>
            </w:r>
            <w:r>
              <w:rPr>
                <w:noProof/>
                <w:webHidden/>
              </w:rPr>
              <w:fldChar w:fldCharType="begin"/>
            </w:r>
            <w:r>
              <w:rPr>
                <w:noProof/>
                <w:webHidden/>
              </w:rPr>
              <w:instrText xml:space="preserve"> PAGEREF _Toc213449442 \h </w:instrText>
            </w:r>
            <w:r>
              <w:rPr>
                <w:noProof/>
                <w:webHidden/>
              </w:rPr>
            </w:r>
            <w:r>
              <w:rPr>
                <w:noProof/>
                <w:webHidden/>
              </w:rPr>
              <w:fldChar w:fldCharType="separate"/>
            </w:r>
            <w:r w:rsidR="00F1602C">
              <w:rPr>
                <w:noProof/>
                <w:webHidden/>
              </w:rPr>
              <w:t>8</w:t>
            </w:r>
            <w:r>
              <w:rPr>
                <w:noProof/>
                <w:webHidden/>
              </w:rPr>
              <w:fldChar w:fldCharType="end"/>
            </w:r>
          </w:hyperlink>
        </w:p>
        <w:p w14:paraId="1ED5CA87" w14:textId="77777777" w:rsidR="00755F4E" w:rsidRDefault="00755F4E">
          <w:pPr>
            <w:pStyle w:val="TOC1"/>
            <w:tabs>
              <w:tab w:val="right" w:leader="dot" w:pos="9350"/>
            </w:tabs>
            <w:rPr>
              <w:rFonts w:asciiTheme="minorHAnsi" w:eastAsiaTheme="minorEastAsia" w:hAnsiTheme="minorHAnsi" w:cs="Vrinda"/>
              <w:noProof/>
              <w:sz w:val="22"/>
              <w:szCs w:val="28"/>
              <w:lang w:val="en-US" w:bidi="bn-BD"/>
            </w:rPr>
          </w:pPr>
          <w:hyperlink w:anchor="_Toc213449443" w:history="1">
            <w:r w:rsidRPr="00607239">
              <w:rPr>
                <w:rStyle w:val="Hyperlink"/>
                <w:noProof/>
              </w:rPr>
              <w:t>3.0 Working Capital Management Analysis</w:t>
            </w:r>
            <w:r>
              <w:rPr>
                <w:noProof/>
                <w:webHidden/>
              </w:rPr>
              <w:tab/>
            </w:r>
            <w:r>
              <w:rPr>
                <w:noProof/>
                <w:webHidden/>
              </w:rPr>
              <w:fldChar w:fldCharType="begin"/>
            </w:r>
            <w:r>
              <w:rPr>
                <w:noProof/>
                <w:webHidden/>
              </w:rPr>
              <w:instrText xml:space="preserve"> PAGEREF _Toc213449443 \h </w:instrText>
            </w:r>
            <w:r>
              <w:rPr>
                <w:noProof/>
                <w:webHidden/>
              </w:rPr>
            </w:r>
            <w:r>
              <w:rPr>
                <w:noProof/>
                <w:webHidden/>
              </w:rPr>
              <w:fldChar w:fldCharType="separate"/>
            </w:r>
            <w:r w:rsidR="00F1602C">
              <w:rPr>
                <w:noProof/>
                <w:webHidden/>
              </w:rPr>
              <w:t>10</w:t>
            </w:r>
            <w:r>
              <w:rPr>
                <w:noProof/>
                <w:webHidden/>
              </w:rPr>
              <w:fldChar w:fldCharType="end"/>
            </w:r>
          </w:hyperlink>
        </w:p>
        <w:p w14:paraId="0AC76068"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44" w:history="1">
            <w:r w:rsidRPr="00607239">
              <w:rPr>
                <w:rStyle w:val="Hyperlink"/>
                <w:noProof/>
              </w:rPr>
              <w:t>3.1 Cash Operating Cycle Analysis:</w:t>
            </w:r>
            <w:r>
              <w:rPr>
                <w:noProof/>
                <w:webHidden/>
              </w:rPr>
              <w:tab/>
            </w:r>
            <w:r>
              <w:rPr>
                <w:noProof/>
                <w:webHidden/>
              </w:rPr>
              <w:fldChar w:fldCharType="begin"/>
            </w:r>
            <w:r>
              <w:rPr>
                <w:noProof/>
                <w:webHidden/>
              </w:rPr>
              <w:instrText xml:space="preserve"> PAGEREF _Toc213449444 \h </w:instrText>
            </w:r>
            <w:r>
              <w:rPr>
                <w:noProof/>
                <w:webHidden/>
              </w:rPr>
            </w:r>
            <w:r>
              <w:rPr>
                <w:noProof/>
                <w:webHidden/>
              </w:rPr>
              <w:fldChar w:fldCharType="separate"/>
            </w:r>
            <w:r w:rsidR="00F1602C">
              <w:rPr>
                <w:noProof/>
                <w:webHidden/>
              </w:rPr>
              <w:t>10</w:t>
            </w:r>
            <w:r>
              <w:rPr>
                <w:noProof/>
                <w:webHidden/>
              </w:rPr>
              <w:fldChar w:fldCharType="end"/>
            </w:r>
          </w:hyperlink>
        </w:p>
        <w:p w14:paraId="1DCA3493"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45" w:history="1">
            <w:r w:rsidRPr="00607239">
              <w:rPr>
                <w:rStyle w:val="Hyperlink"/>
                <w:noProof/>
              </w:rPr>
              <w:t>3.2 Strategies to Improve Liquidity</w:t>
            </w:r>
            <w:r>
              <w:rPr>
                <w:noProof/>
                <w:webHidden/>
              </w:rPr>
              <w:tab/>
            </w:r>
            <w:r>
              <w:rPr>
                <w:noProof/>
                <w:webHidden/>
              </w:rPr>
              <w:fldChar w:fldCharType="begin"/>
            </w:r>
            <w:r>
              <w:rPr>
                <w:noProof/>
                <w:webHidden/>
              </w:rPr>
              <w:instrText xml:space="preserve"> PAGEREF _Toc213449445 \h </w:instrText>
            </w:r>
            <w:r>
              <w:rPr>
                <w:noProof/>
                <w:webHidden/>
              </w:rPr>
            </w:r>
            <w:r>
              <w:rPr>
                <w:noProof/>
                <w:webHidden/>
              </w:rPr>
              <w:fldChar w:fldCharType="separate"/>
            </w:r>
            <w:r w:rsidR="00F1602C">
              <w:rPr>
                <w:noProof/>
                <w:webHidden/>
              </w:rPr>
              <w:t>11</w:t>
            </w:r>
            <w:r>
              <w:rPr>
                <w:noProof/>
                <w:webHidden/>
              </w:rPr>
              <w:fldChar w:fldCharType="end"/>
            </w:r>
          </w:hyperlink>
        </w:p>
        <w:p w14:paraId="714FA71E" w14:textId="77777777" w:rsidR="00755F4E" w:rsidRDefault="00755F4E">
          <w:pPr>
            <w:pStyle w:val="TOC3"/>
            <w:tabs>
              <w:tab w:val="right" w:leader="dot" w:pos="9350"/>
            </w:tabs>
            <w:rPr>
              <w:noProof/>
            </w:rPr>
          </w:pPr>
          <w:hyperlink w:anchor="_Toc213449446" w:history="1">
            <w:r w:rsidRPr="00607239">
              <w:rPr>
                <w:rStyle w:val="Hyperlink"/>
                <w:noProof/>
              </w:rPr>
              <w:t>3.2.1 Inventory Management</w:t>
            </w:r>
            <w:r>
              <w:rPr>
                <w:noProof/>
                <w:webHidden/>
              </w:rPr>
              <w:tab/>
            </w:r>
            <w:r>
              <w:rPr>
                <w:noProof/>
                <w:webHidden/>
              </w:rPr>
              <w:fldChar w:fldCharType="begin"/>
            </w:r>
            <w:r>
              <w:rPr>
                <w:noProof/>
                <w:webHidden/>
              </w:rPr>
              <w:instrText xml:space="preserve"> PAGEREF _Toc213449446 \h </w:instrText>
            </w:r>
            <w:r>
              <w:rPr>
                <w:noProof/>
                <w:webHidden/>
              </w:rPr>
            </w:r>
            <w:r>
              <w:rPr>
                <w:noProof/>
                <w:webHidden/>
              </w:rPr>
              <w:fldChar w:fldCharType="separate"/>
            </w:r>
            <w:r w:rsidR="00F1602C">
              <w:rPr>
                <w:noProof/>
                <w:webHidden/>
              </w:rPr>
              <w:t>11</w:t>
            </w:r>
            <w:r>
              <w:rPr>
                <w:noProof/>
                <w:webHidden/>
              </w:rPr>
              <w:fldChar w:fldCharType="end"/>
            </w:r>
          </w:hyperlink>
        </w:p>
        <w:p w14:paraId="17CB2130" w14:textId="77777777" w:rsidR="00755F4E" w:rsidRDefault="00755F4E">
          <w:pPr>
            <w:pStyle w:val="TOC3"/>
            <w:tabs>
              <w:tab w:val="right" w:leader="dot" w:pos="9350"/>
            </w:tabs>
            <w:rPr>
              <w:noProof/>
            </w:rPr>
          </w:pPr>
          <w:hyperlink w:anchor="_Toc213449447" w:history="1">
            <w:r w:rsidRPr="00607239">
              <w:rPr>
                <w:rStyle w:val="Hyperlink"/>
                <w:noProof/>
              </w:rPr>
              <w:t>3.2.2 Accounts Receivable Management:</w:t>
            </w:r>
            <w:r>
              <w:rPr>
                <w:noProof/>
                <w:webHidden/>
              </w:rPr>
              <w:tab/>
            </w:r>
            <w:r>
              <w:rPr>
                <w:noProof/>
                <w:webHidden/>
              </w:rPr>
              <w:fldChar w:fldCharType="begin"/>
            </w:r>
            <w:r>
              <w:rPr>
                <w:noProof/>
                <w:webHidden/>
              </w:rPr>
              <w:instrText xml:space="preserve"> PAGEREF _Toc213449447 \h </w:instrText>
            </w:r>
            <w:r>
              <w:rPr>
                <w:noProof/>
                <w:webHidden/>
              </w:rPr>
            </w:r>
            <w:r>
              <w:rPr>
                <w:noProof/>
                <w:webHidden/>
              </w:rPr>
              <w:fldChar w:fldCharType="separate"/>
            </w:r>
            <w:r w:rsidR="00F1602C">
              <w:rPr>
                <w:noProof/>
                <w:webHidden/>
              </w:rPr>
              <w:t>11</w:t>
            </w:r>
            <w:r>
              <w:rPr>
                <w:noProof/>
                <w:webHidden/>
              </w:rPr>
              <w:fldChar w:fldCharType="end"/>
            </w:r>
          </w:hyperlink>
        </w:p>
        <w:p w14:paraId="66C4E881" w14:textId="77777777" w:rsidR="00755F4E" w:rsidRDefault="00755F4E">
          <w:pPr>
            <w:pStyle w:val="TOC3"/>
            <w:tabs>
              <w:tab w:val="right" w:leader="dot" w:pos="9350"/>
            </w:tabs>
            <w:rPr>
              <w:noProof/>
            </w:rPr>
          </w:pPr>
          <w:hyperlink w:anchor="_Toc213449448" w:history="1">
            <w:r w:rsidRPr="00607239">
              <w:rPr>
                <w:rStyle w:val="Hyperlink"/>
                <w:noProof/>
              </w:rPr>
              <w:t>3.2.3 Payable Management:</w:t>
            </w:r>
            <w:r>
              <w:rPr>
                <w:noProof/>
                <w:webHidden/>
              </w:rPr>
              <w:tab/>
            </w:r>
            <w:r>
              <w:rPr>
                <w:noProof/>
                <w:webHidden/>
              </w:rPr>
              <w:fldChar w:fldCharType="begin"/>
            </w:r>
            <w:r>
              <w:rPr>
                <w:noProof/>
                <w:webHidden/>
              </w:rPr>
              <w:instrText xml:space="preserve"> PAGEREF _Toc213449448 \h </w:instrText>
            </w:r>
            <w:r>
              <w:rPr>
                <w:noProof/>
                <w:webHidden/>
              </w:rPr>
            </w:r>
            <w:r>
              <w:rPr>
                <w:noProof/>
                <w:webHidden/>
              </w:rPr>
              <w:fldChar w:fldCharType="separate"/>
            </w:r>
            <w:r w:rsidR="00F1602C">
              <w:rPr>
                <w:noProof/>
                <w:webHidden/>
              </w:rPr>
              <w:t>12</w:t>
            </w:r>
            <w:r>
              <w:rPr>
                <w:noProof/>
                <w:webHidden/>
              </w:rPr>
              <w:fldChar w:fldCharType="end"/>
            </w:r>
          </w:hyperlink>
        </w:p>
        <w:p w14:paraId="2B18944D" w14:textId="77777777" w:rsidR="00755F4E" w:rsidRDefault="00755F4E">
          <w:pPr>
            <w:pStyle w:val="TOC3"/>
            <w:tabs>
              <w:tab w:val="right" w:leader="dot" w:pos="9350"/>
            </w:tabs>
            <w:rPr>
              <w:noProof/>
            </w:rPr>
          </w:pPr>
          <w:hyperlink w:anchor="_Toc213449449" w:history="1">
            <w:r w:rsidRPr="00607239">
              <w:rPr>
                <w:rStyle w:val="Hyperlink"/>
                <w:noProof/>
              </w:rPr>
              <w:t>3.2.4 Cash Management Practices:</w:t>
            </w:r>
            <w:r>
              <w:rPr>
                <w:noProof/>
                <w:webHidden/>
              </w:rPr>
              <w:tab/>
            </w:r>
            <w:r>
              <w:rPr>
                <w:noProof/>
                <w:webHidden/>
              </w:rPr>
              <w:fldChar w:fldCharType="begin"/>
            </w:r>
            <w:r>
              <w:rPr>
                <w:noProof/>
                <w:webHidden/>
              </w:rPr>
              <w:instrText xml:space="preserve"> PAGEREF _Toc213449449 \h </w:instrText>
            </w:r>
            <w:r>
              <w:rPr>
                <w:noProof/>
                <w:webHidden/>
              </w:rPr>
            </w:r>
            <w:r>
              <w:rPr>
                <w:noProof/>
                <w:webHidden/>
              </w:rPr>
              <w:fldChar w:fldCharType="separate"/>
            </w:r>
            <w:r w:rsidR="00F1602C">
              <w:rPr>
                <w:noProof/>
                <w:webHidden/>
              </w:rPr>
              <w:t>12</w:t>
            </w:r>
            <w:r>
              <w:rPr>
                <w:noProof/>
                <w:webHidden/>
              </w:rPr>
              <w:fldChar w:fldCharType="end"/>
            </w:r>
          </w:hyperlink>
        </w:p>
        <w:p w14:paraId="68FE15FA"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50" w:history="1">
            <w:r w:rsidRPr="00607239">
              <w:rPr>
                <w:rStyle w:val="Hyperlink"/>
                <w:noProof/>
              </w:rPr>
              <w:t>3.3 Short-Term vs Long-Term Financing Options</w:t>
            </w:r>
            <w:r>
              <w:rPr>
                <w:noProof/>
                <w:webHidden/>
              </w:rPr>
              <w:tab/>
            </w:r>
            <w:r>
              <w:rPr>
                <w:noProof/>
                <w:webHidden/>
              </w:rPr>
              <w:fldChar w:fldCharType="begin"/>
            </w:r>
            <w:r>
              <w:rPr>
                <w:noProof/>
                <w:webHidden/>
              </w:rPr>
              <w:instrText xml:space="preserve"> PAGEREF _Toc213449450 \h </w:instrText>
            </w:r>
            <w:r>
              <w:rPr>
                <w:noProof/>
                <w:webHidden/>
              </w:rPr>
            </w:r>
            <w:r>
              <w:rPr>
                <w:noProof/>
                <w:webHidden/>
              </w:rPr>
              <w:fldChar w:fldCharType="separate"/>
            </w:r>
            <w:r w:rsidR="00F1602C">
              <w:rPr>
                <w:noProof/>
                <w:webHidden/>
              </w:rPr>
              <w:t>12</w:t>
            </w:r>
            <w:r>
              <w:rPr>
                <w:noProof/>
                <w:webHidden/>
              </w:rPr>
              <w:fldChar w:fldCharType="end"/>
            </w:r>
          </w:hyperlink>
        </w:p>
        <w:p w14:paraId="769E0703" w14:textId="77777777" w:rsidR="00755F4E" w:rsidRDefault="00755F4E">
          <w:pPr>
            <w:pStyle w:val="TOC1"/>
            <w:tabs>
              <w:tab w:val="right" w:leader="dot" w:pos="9350"/>
            </w:tabs>
            <w:rPr>
              <w:rFonts w:asciiTheme="minorHAnsi" w:eastAsiaTheme="minorEastAsia" w:hAnsiTheme="minorHAnsi" w:cs="Vrinda"/>
              <w:noProof/>
              <w:sz w:val="22"/>
              <w:szCs w:val="28"/>
              <w:lang w:val="en-US" w:bidi="bn-BD"/>
            </w:rPr>
          </w:pPr>
          <w:hyperlink w:anchor="_Toc213449451" w:history="1">
            <w:r w:rsidRPr="00607239">
              <w:rPr>
                <w:rStyle w:val="Hyperlink"/>
                <w:noProof/>
              </w:rPr>
              <w:t>4.0 Strategic Financial Restructuring Options</w:t>
            </w:r>
            <w:r>
              <w:rPr>
                <w:noProof/>
                <w:webHidden/>
              </w:rPr>
              <w:tab/>
            </w:r>
            <w:r>
              <w:rPr>
                <w:noProof/>
                <w:webHidden/>
              </w:rPr>
              <w:fldChar w:fldCharType="begin"/>
            </w:r>
            <w:r>
              <w:rPr>
                <w:noProof/>
                <w:webHidden/>
              </w:rPr>
              <w:instrText xml:space="preserve"> PAGEREF _Toc213449451 \h </w:instrText>
            </w:r>
            <w:r>
              <w:rPr>
                <w:noProof/>
                <w:webHidden/>
              </w:rPr>
            </w:r>
            <w:r>
              <w:rPr>
                <w:noProof/>
                <w:webHidden/>
              </w:rPr>
              <w:fldChar w:fldCharType="separate"/>
            </w:r>
            <w:r w:rsidR="00F1602C">
              <w:rPr>
                <w:noProof/>
                <w:webHidden/>
              </w:rPr>
              <w:t>14</w:t>
            </w:r>
            <w:r>
              <w:rPr>
                <w:noProof/>
                <w:webHidden/>
              </w:rPr>
              <w:fldChar w:fldCharType="end"/>
            </w:r>
          </w:hyperlink>
        </w:p>
        <w:p w14:paraId="277FED36"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52" w:history="1">
            <w:r w:rsidRPr="00607239">
              <w:rPr>
                <w:rStyle w:val="Hyperlink"/>
                <w:noProof/>
              </w:rPr>
              <w:t>4.1 Shareholder Value, Debt Structure and Operational Flexibility</w:t>
            </w:r>
            <w:r>
              <w:rPr>
                <w:noProof/>
                <w:webHidden/>
              </w:rPr>
              <w:tab/>
            </w:r>
            <w:r>
              <w:rPr>
                <w:noProof/>
                <w:webHidden/>
              </w:rPr>
              <w:fldChar w:fldCharType="begin"/>
            </w:r>
            <w:r>
              <w:rPr>
                <w:noProof/>
                <w:webHidden/>
              </w:rPr>
              <w:instrText xml:space="preserve"> PAGEREF _Toc213449452 \h </w:instrText>
            </w:r>
            <w:r>
              <w:rPr>
                <w:noProof/>
                <w:webHidden/>
              </w:rPr>
            </w:r>
            <w:r>
              <w:rPr>
                <w:noProof/>
                <w:webHidden/>
              </w:rPr>
              <w:fldChar w:fldCharType="separate"/>
            </w:r>
            <w:r w:rsidR="00F1602C">
              <w:rPr>
                <w:noProof/>
                <w:webHidden/>
              </w:rPr>
              <w:t>15</w:t>
            </w:r>
            <w:r>
              <w:rPr>
                <w:noProof/>
                <w:webHidden/>
              </w:rPr>
              <w:fldChar w:fldCharType="end"/>
            </w:r>
          </w:hyperlink>
        </w:p>
        <w:p w14:paraId="71BBF27A"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53" w:history="1">
            <w:r w:rsidRPr="00607239">
              <w:rPr>
                <w:rStyle w:val="Hyperlink"/>
                <w:noProof/>
              </w:rPr>
              <w:t>4.2 Ethical and International Concerns</w:t>
            </w:r>
            <w:r>
              <w:rPr>
                <w:noProof/>
                <w:webHidden/>
              </w:rPr>
              <w:tab/>
            </w:r>
            <w:r>
              <w:rPr>
                <w:noProof/>
                <w:webHidden/>
              </w:rPr>
              <w:fldChar w:fldCharType="begin"/>
            </w:r>
            <w:r>
              <w:rPr>
                <w:noProof/>
                <w:webHidden/>
              </w:rPr>
              <w:instrText xml:space="preserve"> PAGEREF _Toc213449453 \h </w:instrText>
            </w:r>
            <w:r>
              <w:rPr>
                <w:noProof/>
                <w:webHidden/>
              </w:rPr>
            </w:r>
            <w:r>
              <w:rPr>
                <w:noProof/>
                <w:webHidden/>
              </w:rPr>
              <w:fldChar w:fldCharType="separate"/>
            </w:r>
            <w:r w:rsidR="00F1602C">
              <w:rPr>
                <w:noProof/>
                <w:webHidden/>
              </w:rPr>
              <w:t>16</w:t>
            </w:r>
            <w:r>
              <w:rPr>
                <w:noProof/>
                <w:webHidden/>
              </w:rPr>
              <w:fldChar w:fldCharType="end"/>
            </w:r>
          </w:hyperlink>
        </w:p>
        <w:p w14:paraId="5252258F"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54" w:history="1">
            <w:r w:rsidRPr="00607239">
              <w:rPr>
                <w:rStyle w:val="Hyperlink"/>
                <w:noProof/>
              </w:rPr>
              <w:t>4.3 Phased and Comprehensive Restructuring plan</w:t>
            </w:r>
            <w:r>
              <w:rPr>
                <w:noProof/>
                <w:webHidden/>
              </w:rPr>
              <w:tab/>
            </w:r>
            <w:r>
              <w:rPr>
                <w:noProof/>
                <w:webHidden/>
              </w:rPr>
              <w:fldChar w:fldCharType="begin"/>
            </w:r>
            <w:r>
              <w:rPr>
                <w:noProof/>
                <w:webHidden/>
              </w:rPr>
              <w:instrText xml:space="preserve"> PAGEREF _Toc213449454 \h </w:instrText>
            </w:r>
            <w:r>
              <w:rPr>
                <w:noProof/>
                <w:webHidden/>
              </w:rPr>
            </w:r>
            <w:r>
              <w:rPr>
                <w:noProof/>
                <w:webHidden/>
              </w:rPr>
              <w:fldChar w:fldCharType="separate"/>
            </w:r>
            <w:r w:rsidR="00F1602C">
              <w:rPr>
                <w:noProof/>
                <w:webHidden/>
              </w:rPr>
              <w:t>16</w:t>
            </w:r>
            <w:r>
              <w:rPr>
                <w:noProof/>
                <w:webHidden/>
              </w:rPr>
              <w:fldChar w:fldCharType="end"/>
            </w:r>
          </w:hyperlink>
        </w:p>
        <w:p w14:paraId="3477C6BA" w14:textId="77777777" w:rsidR="00755F4E" w:rsidRDefault="00755F4E">
          <w:pPr>
            <w:pStyle w:val="TOC1"/>
            <w:tabs>
              <w:tab w:val="right" w:leader="dot" w:pos="9350"/>
            </w:tabs>
            <w:rPr>
              <w:rFonts w:asciiTheme="minorHAnsi" w:eastAsiaTheme="minorEastAsia" w:hAnsiTheme="minorHAnsi" w:cs="Vrinda"/>
              <w:noProof/>
              <w:sz w:val="22"/>
              <w:szCs w:val="28"/>
              <w:lang w:val="en-US" w:bidi="bn-BD"/>
            </w:rPr>
          </w:pPr>
          <w:hyperlink w:anchor="_Toc213449455" w:history="1">
            <w:r w:rsidRPr="00607239">
              <w:rPr>
                <w:rStyle w:val="Hyperlink"/>
                <w:noProof/>
              </w:rPr>
              <w:t>5.0 Investment Analysis and Capital Budgeting</w:t>
            </w:r>
            <w:r>
              <w:rPr>
                <w:noProof/>
                <w:webHidden/>
              </w:rPr>
              <w:tab/>
            </w:r>
            <w:r>
              <w:rPr>
                <w:noProof/>
                <w:webHidden/>
              </w:rPr>
              <w:fldChar w:fldCharType="begin"/>
            </w:r>
            <w:r>
              <w:rPr>
                <w:noProof/>
                <w:webHidden/>
              </w:rPr>
              <w:instrText xml:space="preserve"> PAGEREF _Toc213449455 \h </w:instrText>
            </w:r>
            <w:r>
              <w:rPr>
                <w:noProof/>
                <w:webHidden/>
              </w:rPr>
            </w:r>
            <w:r>
              <w:rPr>
                <w:noProof/>
                <w:webHidden/>
              </w:rPr>
              <w:fldChar w:fldCharType="separate"/>
            </w:r>
            <w:r w:rsidR="00F1602C">
              <w:rPr>
                <w:noProof/>
                <w:webHidden/>
              </w:rPr>
              <w:t>17</w:t>
            </w:r>
            <w:r>
              <w:rPr>
                <w:noProof/>
                <w:webHidden/>
              </w:rPr>
              <w:fldChar w:fldCharType="end"/>
            </w:r>
          </w:hyperlink>
        </w:p>
        <w:p w14:paraId="720F96FF"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56" w:history="1">
            <w:r w:rsidRPr="00607239">
              <w:rPr>
                <w:rStyle w:val="Hyperlink"/>
                <w:noProof/>
              </w:rPr>
              <w:t>5.1 Capital Budgeting Results Analysis</w:t>
            </w:r>
            <w:r>
              <w:rPr>
                <w:noProof/>
                <w:webHidden/>
              </w:rPr>
              <w:tab/>
            </w:r>
            <w:r>
              <w:rPr>
                <w:noProof/>
                <w:webHidden/>
              </w:rPr>
              <w:fldChar w:fldCharType="begin"/>
            </w:r>
            <w:r>
              <w:rPr>
                <w:noProof/>
                <w:webHidden/>
              </w:rPr>
              <w:instrText xml:space="preserve"> PAGEREF _Toc213449456 \h </w:instrText>
            </w:r>
            <w:r>
              <w:rPr>
                <w:noProof/>
                <w:webHidden/>
              </w:rPr>
            </w:r>
            <w:r>
              <w:rPr>
                <w:noProof/>
                <w:webHidden/>
              </w:rPr>
              <w:fldChar w:fldCharType="separate"/>
            </w:r>
            <w:r w:rsidR="00F1602C">
              <w:rPr>
                <w:noProof/>
                <w:webHidden/>
              </w:rPr>
              <w:t>17</w:t>
            </w:r>
            <w:r>
              <w:rPr>
                <w:noProof/>
                <w:webHidden/>
              </w:rPr>
              <w:fldChar w:fldCharType="end"/>
            </w:r>
          </w:hyperlink>
        </w:p>
        <w:p w14:paraId="5B20B523" w14:textId="77777777" w:rsidR="00755F4E" w:rsidRDefault="00755F4E">
          <w:pPr>
            <w:pStyle w:val="TOC3"/>
            <w:tabs>
              <w:tab w:val="right" w:leader="dot" w:pos="9350"/>
            </w:tabs>
            <w:rPr>
              <w:noProof/>
            </w:rPr>
          </w:pPr>
          <w:hyperlink w:anchor="_Toc213449457" w:history="1">
            <w:r w:rsidRPr="00607239">
              <w:rPr>
                <w:rStyle w:val="Hyperlink"/>
                <w:noProof/>
              </w:rPr>
              <w:t>5.1.1 Payback Period (PBP)</w:t>
            </w:r>
            <w:r>
              <w:rPr>
                <w:noProof/>
                <w:webHidden/>
              </w:rPr>
              <w:tab/>
            </w:r>
            <w:r>
              <w:rPr>
                <w:noProof/>
                <w:webHidden/>
              </w:rPr>
              <w:fldChar w:fldCharType="begin"/>
            </w:r>
            <w:r>
              <w:rPr>
                <w:noProof/>
                <w:webHidden/>
              </w:rPr>
              <w:instrText xml:space="preserve"> PAGEREF _Toc213449457 \h </w:instrText>
            </w:r>
            <w:r>
              <w:rPr>
                <w:noProof/>
                <w:webHidden/>
              </w:rPr>
            </w:r>
            <w:r>
              <w:rPr>
                <w:noProof/>
                <w:webHidden/>
              </w:rPr>
              <w:fldChar w:fldCharType="separate"/>
            </w:r>
            <w:r w:rsidR="00F1602C">
              <w:rPr>
                <w:noProof/>
                <w:webHidden/>
              </w:rPr>
              <w:t>17</w:t>
            </w:r>
            <w:r>
              <w:rPr>
                <w:noProof/>
                <w:webHidden/>
              </w:rPr>
              <w:fldChar w:fldCharType="end"/>
            </w:r>
          </w:hyperlink>
        </w:p>
        <w:p w14:paraId="10D1ED57" w14:textId="77777777" w:rsidR="00755F4E" w:rsidRDefault="00755F4E">
          <w:pPr>
            <w:pStyle w:val="TOC3"/>
            <w:tabs>
              <w:tab w:val="right" w:leader="dot" w:pos="9350"/>
            </w:tabs>
            <w:rPr>
              <w:noProof/>
            </w:rPr>
          </w:pPr>
          <w:hyperlink w:anchor="_Toc213449458" w:history="1">
            <w:r w:rsidRPr="00607239">
              <w:rPr>
                <w:rStyle w:val="Hyperlink"/>
                <w:noProof/>
              </w:rPr>
              <w:t>5.1.2 Accounting Rate of Return</w:t>
            </w:r>
            <w:r>
              <w:rPr>
                <w:noProof/>
                <w:webHidden/>
              </w:rPr>
              <w:tab/>
            </w:r>
            <w:r>
              <w:rPr>
                <w:noProof/>
                <w:webHidden/>
              </w:rPr>
              <w:fldChar w:fldCharType="begin"/>
            </w:r>
            <w:r>
              <w:rPr>
                <w:noProof/>
                <w:webHidden/>
              </w:rPr>
              <w:instrText xml:space="preserve"> PAGEREF _Toc213449458 \h </w:instrText>
            </w:r>
            <w:r>
              <w:rPr>
                <w:noProof/>
                <w:webHidden/>
              </w:rPr>
            </w:r>
            <w:r>
              <w:rPr>
                <w:noProof/>
                <w:webHidden/>
              </w:rPr>
              <w:fldChar w:fldCharType="separate"/>
            </w:r>
            <w:r w:rsidR="00F1602C">
              <w:rPr>
                <w:noProof/>
                <w:webHidden/>
              </w:rPr>
              <w:t>17</w:t>
            </w:r>
            <w:r>
              <w:rPr>
                <w:noProof/>
                <w:webHidden/>
              </w:rPr>
              <w:fldChar w:fldCharType="end"/>
            </w:r>
          </w:hyperlink>
        </w:p>
        <w:p w14:paraId="608ACC1D" w14:textId="77777777" w:rsidR="00755F4E" w:rsidRDefault="00755F4E">
          <w:pPr>
            <w:pStyle w:val="TOC3"/>
            <w:tabs>
              <w:tab w:val="right" w:leader="dot" w:pos="9350"/>
            </w:tabs>
            <w:rPr>
              <w:noProof/>
            </w:rPr>
          </w:pPr>
          <w:hyperlink w:anchor="_Toc213449459" w:history="1">
            <w:r w:rsidRPr="00607239">
              <w:rPr>
                <w:rStyle w:val="Hyperlink"/>
                <w:noProof/>
              </w:rPr>
              <w:t>5.1.3 Net Present Value (NPV)</w:t>
            </w:r>
            <w:r>
              <w:rPr>
                <w:noProof/>
                <w:webHidden/>
              </w:rPr>
              <w:tab/>
            </w:r>
            <w:r>
              <w:rPr>
                <w:noProof/>
                <w:webHidden/>
              </w:rPr>
              <w:fldChar w:fldCharType="begin"/>
            </w:r>
            <w:r>
              <w:rPr>
                <w:noProof/>
                <w:webHidden/>
              </w:rPr>
              <w:instrText xml:space="preserve"> PAGEREF _Toc213449459 \h </w:instrText>
            </w:r>
            <w:r>
              <w:rPr>
                <w:noProof/>
                <w:webHidden/>
              </w:rPr>
            </w:r>
            <w:r>
              <w:rPr>
                <w:noProof/>
                <w:webHidden/>
              </w:rPr>
              <w:fldChar w:fldCharType="separate"/>
            </w:r>
            <w:r w:rsidR="00F1602C">
              <w:rPr>
                <w:noProof/>
                <w:webHidden/>
              </w:rPr>
              <w:t>18</w:t>
            </w:r>
            <w:r>
              <w:rPr>
                <w:noProof/>
                <w:webHidden/>
              </w:rPr>
              <w:fldChar w:fldCharType="end"/>
            </w:r>
          </w:hyperlink>
        </w:p>
        <w:p w14:paraId="47C56680" w14:textId="77777777" w:rsidR="00755F4E" w:rsidRDefault="00755F4E">
          <w:pPr>
            <w:pStyle w:val="TOC3"/>
            <w:tabs>
              <w:tab w:val="right" w:leader="dot" w:pos="9350"/>
            </w:tabs>
            <w:rPr>
              <w:noProof/>
            </w:rPr>
          </w:pPr>
          <w:hyperlink w:anchor="_Toc213449460" w:history="1">
            <w:r w:rsidRPr="00607239">
              <w:rPr>
                <w:rStyle w:val="Hyperlink"/>
                <w:noProof/>
              </w:rPr>
              <w:t>5.1.4 Profitability Index (PI)</w:t>
            </w:r>
            <w:r>
              <w:rPr>
                <w:noProof/>
                <w:webHidden/>
              </w:rPr>
              <w:tab/>
            </w:r>
            <w:r>
              <w:rPr>
                <w:noProof/>
                <w:webHidden/>
              </w:rPr>
              <w:fldChar w:fldCharType="begin"/>
            </w:r>
            <w:r>
              <w:rPr>
                <w:noProof/>
                <w:webHidden/>
              </w:rPr>
              <w:instrText xml:space="preserve"> PAGEREF _Toc213449460 \h </w:instrText>
            </w:r>
            <w:r>
              <w:rPr>
                <w:noProof/>
                <w:webHidden/>
              </w:rPr>
            </w:r>
            <w:r>
              <w:rPr>
                <w:noProof/>
                <w:webHidden/>
              </w:rPr>
              <w:fldChar w:fldCharType="separate"/>
            </w:r>
            <w:r w:rsidR="00F1602C">
              <w:rPr>
                <w:noProof/>
                <w:webHidden/>
              </w:rPr>
              <w:t>18</w:t>
            </w:r>
            <w:r>
              <w:rPr>
                <w:noProof/>
                <w:webHidden/>
              </w:rPr>
              <w:fldChar w:fldCharType="end"/>
            </w:r>
          </w:hyperlink>
        </w:p>
        <w:p w14:paraId="7AFA20E7" w14:textId="77777777" w:rsidR="00755F4E" w:rsidRDefault="00755F4E">
          <w:pPr>
            <w:pStyle w:val="TOC3"/>
            <w:tabs>
              <w:tab w:val="right" w:leader="dot" w:pos="9350"/>
            </w:tabs>
            <w:rPr>
              <w:noProof/>
            </w:rPr>
          </w:pPr>
          <w:hyperlink w:anchor="_Toc213449461" w:history="1">
            <w:r w:rsidRPr="00607239">
              <w:rPr>
                <w:rStyle w:val="Hyperlink"/>
                <w:noProof/>
              </w:rPr>
              <w:t>5.1.5 Internal Rate of Return (IRR)</w:t>
            </w:r>
            <w:r>
              <w:rPr>
                <w:noProof/>
                <w:webHidden/>
              </w:rPr>
              <w:tab/>
            </w:r>
            <w:r>
              <w:rPr>
                <w:noProof/>
                <w:webHidden/>
              </w:rPr>
              <w:fldChar w:fldCharType="begin"/>
            </w:r>
            <w:r>
              <w:rPr>
                <w:noProof/>
                <w:webHidden/>
              </w:rPr>
              <w:instrText xml:space="preserve"> PAGEREF _Toc213449461 \h </w:instrText>
            </w:r>
            <w:r>
              <w:rPr>
                <w:noProof/>
                <w:webHidden/>
              </w:rPr>
            </w:r>
            <w:r>
              <w:rPr>
                <w:noProof/>
                <w:webHidden/>
              </w:rPr>
              <w:fldChar w:fldCharType="separate"/>
            </w:r>
            <w:r w:rsidR="00F1602C">
              <w:rPr>
                <w:noProof/>
                <w:webHidden/>
              </w:rPr>
              <w:t>19</w:t>
            </w:r>
            <w:r>
              <w:rPr>
                <w:noProof/>
                <w:webHidden/>
              </w:rPr>
              <w:fldChar w:fldCharType="end"/>
            </w:r>
          </w:hyperlink>
        </w:p>
        <w:p w14:paraId="68CD270A"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62" w:history="1">
            <w:r w:rsidRPr="00607239">
              <w:rPr>
                <w:rStyle w:val="Hyperlink"/>
                <w:noProof/>
              </w:rPr>
              <w:t>5.2 Project Risk and Cash Flow Volatility</w:t>
            </w:r>
            <w:r>
              <w:rPr>
                <w:noProof/>
                <w:webHidden/>
              </w:rPr>
              <w:tab/>
            </w:r>
            <w:r>
              <w:rPr>
                <w:noProof/>
                <w:webHidden/>
              </w:rPr>
              <w:fldChar w:fldCharType="begin"/>
            </w:r>
            <w:r>
              <w:rPr>
                <w:noProof/>
                <w:webHidden/>
              </w:rPr>
              <w:instrText xml:space="preserve"> PAGEREF _Toc213449462 \h </w:instrText>
            </w:r>
            <w:r>
              <w:rPr>
                <w:noProof/>
                <w:webHidden/>
              </w:rPr>
            </w:r>
            <w:r>
              <w:rPr>
                <w:noProof/>
                <w:webHidden/>
              </w:rPr>
              <w:fldChar w:fldCharType="separate"/>
            </w:r>
            <w:r w:rsidR="00F1602C">
              <w:rPr>
                <w:noProof/>
                <w:webHidden/>
              </w:rPr>
              <w:t>19</w:t>
            </w:r>
            <w:r>
              <w:rPr>
                <w:noProof/>
                <w:webHidden/>
              </w:rPr>
              <w:fldChar w:fldCharType="end"/>
            </w:r>
          </w:hyperlink>
        </w:p>
        <w:p w14:paraId="215FA4D8"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63" w:history="1">
            <w:r w:rsidRPr="00607239">
              <w:rPr>
                <w:rStyle w:val="Hyperlink"/>
                <w:noProof/>
              </w:rPr>
              <w:t>5.3 Strategic and Financial Implications</w:t>
            </w:r>
            <w:r>
              <w:rPr>
                <w:noProof/>
                <w:webHidden/>
              </w:rPr>
              <w:tab/>
            </w:r>
            <w:r>
              <w:rPr>
                <w:noProof/>
                <w:webHidden/>
              </w:rPr>
              <w:fldChar w:fldCharType="begin"/>
            </w:r>
            <w:r>
              <w:rPr>
                <w:noProof/>
                <w:webHidden/>
              </w:rPr>
              <w:instrText xml:space="preserve"> PAGEREF _Toc213449463 \h </w:instrText>
            </w:r>
            <w:r>
              <w:rPr>
                <w:noProof/>
                <w:webHidden/>
              </w:rPr>
            </w:r>
            <w:r>
              <w:rPr>
                <w:noProof/>
                <w:webHidden/>
              </w:rPr>
              <w:fldChar w:fldCharType="separate"/>
            </w:r>
            <w:r w:rsidR="00F1602C">
              <w:rPr>
                <w:noProof/>
                <w:webHidden/>
              </w:rPr>
              <w:t>20</w:t>
            </w:r>
            <w:r>
              <w:rPr>
                <w:noProof/>
                <w:webHidden/>
              </w:rPr>
              <w:fldChar w:fldCharType="end"/>
            </w:r>
          </w:hyperlink>
        </w:p>
        <w:p w14:paraId="6D43AFC2" w14:textId="77777777" w:rsidR="00755F4E" w:rsidRDefault="00755F4E">
          <w:pPr>
            <w:pStyle w:val="TOC3"/>
            <w:tabs>
              <w:tab w:val="right" w:leader="dot" w:pos="9350"/>
            </w:tabs>
            <w:rPr>
              <w:noProof/>
            </w:rPr>
          </w:pPr>
          <w:hyperlink w:anchor="_Toc213449464" w:history="1">
            <w:r w:rsidRPr="00607239">
              <w:rPr>
                <w:rStyle w:val="Hyperlink"/>
                <w:noProof/>
              </w:rPr>
              <w:t>5.3.1 Liquidity and Solvency</w:t>
            </w:r>
            <w:r>
              <w:rPr>
                <w:noProof/>
                <w:webHidden/>
              </w:rPr>
              <w:tab/>
            </w:r>
            <w:r>
              <w:rPr>
                <w:noProof/>
                <w:webHidden/>
              </w:rPr>
              <w:fldChar w:fldCharType="begin"/>
            </w:r>
            <w:r>
              <w:rPr>
                <w:noProof/>
                <w:webHidden/>
              </w:rPr>
              <w:instrText xml:space="preserve"> PAGEREF _Toc213449464 \h </w:instrText>
            </w:r>
            <w:r>
              <w:rPr>
                <w:noProof/>
                <w:webHidden/>
              </w:rPr>
            </w:r>
            <w:r>
              <w:rPr>
                <w:noProof/>
                <w:webHidden/>
              </w:rPr>
              <w:fldChar w:fldCharType="separate"/>
            </w:r>
            <w:r w:rsidR="00F1602C">
              <w:rPr>
                <w:noProof/>
                <w:webHidden/>
              </w:rPr>
              <w:t>20</w:t>
            </w:r>
            <w:r>
              <w:rPr>
                <w:noProof/>
                <w:webHidden/>
              </w:rPr>
              <w:fldChar w:fldCharType="end"/>
            </w:r>
          </w:hyperlink>
        </w:p>
        <w:p w14:paraId="58BA95A5" w14:textId="77777777" w:rsidR="00755F4E" w:rsidRDefault="00755F4E">
          <w:pPr>
            <w:pStyle w:val="TOC3"/>
            <w:tabs>
              <w:tab w:val="right" w:leader="dot" w:pos="9350"/>
            </w:tabs>
            <w:rPr>
              <w:noProof/>
            </w:rPr>
          </w:pPr>
          <w:hyperlink w:anchor="_Toc213449465" w:history="1">
            <w:r w:rsidRPr="00607239">
              <w:rPr>
                <w:rStyle w:val="Hyperlink"/>
                <w:noProof/>
              </w:rPr>
              <w:t>5.3.2 Profitability Recovery</w:t>
            </w:r>
            <w:r>
              <w:rPr>
                <w:noProof/>
                <w:webHidden/>
              </w:rPr>
              <w:tab/>
            </w:r>
            <w:r>
              <w:rPr>
                <w:noProof/>
                <w:webHidden/>
              </w:rPr>
              <w:fldChar w:fldCharType="begin"/>
            </w:r>
            <w:r>
              <w:rPr>
                <w:noProof/>
                <w:webHidden/>
              </w:rPr>
              <w:instrText xml:space="preserve"> PAGEREF _Toc213449465 \h </w:instrText>
            </w:r>
            <w:r>
              <w:rPr>
                <w:noProof/>
                <w:webHidden/>
              </w:rPr>
            </w:r>
            <w:r>
              <w:rPr>
                <w:noProof/>
                <w:webHidden/>
              </w:rPr>
              <w:fldChar w:fldCharType="separate"/>
            </w:r>
            <w:r w:rsidR="00F1602C">
              <w:rPr>
                <w:noProof/>
                <w:webHidden/>
              </w:rPr>
              <w:t>20</w:t>
            </w:r>
            <w:r>
              <w:rPr>
                <w:noProof/>
                <w:webHidden/>
              </w:rPr>
              <w:fldChar w:fldCharType="end"/>
            </w:r>
          </w:hyperlink>
        </w:p>
        <w:p w14:paraId="090BB1A3"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66" w:history="1">
            <w:r w:rsidRPr="00607239">
              <w:rPr>
                <w:rStyle w:val="Hyperlink"/>
                <w:noProof/>
              </w:rPr>
              <w:t>5.4 Recommended Capital Rationing</w:t>
            </w:r>
            <w:r>
              <w:rPr>
                <w:noProof/>
                <w:webHidden/>
              </w:rPr>
              <w:tab/>
            </w:r>
            <w:r>
              <w:rPr>
                <w:noProof/>
                <w:webHidden/>
              </w:rPr>
              <w:fldChar w:fldCharType="begin"/>
            </w:r>
            <w:r>
              <w:rPr>
                <w:noProof/>
                <w:webHidden/>
              </w:rPr>
              <w:instrText xml:space="preserve"> PAGEREF _Toc213449466 \h </w:instrText>
            </w:r>
            <w:r>
              <w:rPr>
                <w:noProof/>
                <w:webHidden/>
              </w:rPr>
            </w:r>
            <w:r>
              <w:rPr>
                <w:noProof/>
                <w:webHidden/>
              </w:rPr>
              <w:fldChar w:fldCharType="separate"/>
            </w:r>
            <w:r w:rsidR="00F1602C">
              <w:rPr>
                <w:noProof/>
                <w:webHidden/>
              </w:rPr>
              <w:t>20</w:t>
            </w:r>
            <w:r>
              <w:rPr>
                <w:noProof/>
                <w:webHidden/>
              </w:rPr>
              <w:fldChar w:fldCharType="end"/>
            </w:r>
          </w:hyperlink>
        </w:p>
        <w:p w14:paraId="20AA73C3" w14:textId="77777777" w:rsidR="00755F4E" w:rsidRDefault="00755F4E">
          <w:pPr>
            <w:pStyle w:val="TOC1"/>
            <w:tabs>
              <w:tab w:val="right" w:leader="dot" w:pos="9350"/>
            </w:tabs>
            <w:rPr>
              <w:rFonts w:asciiTheme="minorHAnsi" w:eastAsiaTheme="minorEastAsia" w:hAnsiTheme="minorHAnsi" w:cs="Vrinda"/>
              <w:noProof/>
              <w:sz w:val="22"/>
              <w:szCs w:val="28"/>
              <w:lang w:val="en-US" w:bidi="bn-BD"/>
            </w:rPr>
          </w:pPr>
          <w:hyperlink w:anchor="_Toc213449467" w:history="1">
            <w:r w:rsidRPr="00607239">
              <w:rPr>
                <w:rStyle w:val="Hyperlink"/>
                <w:noProof/>
              </w:rPr>
              <w:t>6.0 Conclusion</w:t>
            </w:r>
            <w:r>
              <w:rPr>
                <w:noProof/>
                <w:webHidden/>
              </w:rPr>
              <w:tab/>
            </w:r>
            <w:r>
              <w:rPr>
                <w:noProof/>
                <w:webHidden/>
              </w:rPr>
              <w:fldChar w:fldCharType="begin"/>
            </w:r>
            <w:r>
              <w:rPr>
                <w:noProof/>
                <w:webHidden/>
              </w:rPr>
              <w:instrText xml:space="preserve"> PAGEREF _Toc213449467 \h </w:instrText>
            </w:r>
            <w:r>
              <w:rPr>
                <w:noProof/>
                <w:webHidden/>
              </w:rPr>
            </w:r>
            <w:r>
              <w:rPr>
                <w:noProof/>
                <w:webHidden/>
              </w:rPr>
              <w:fldChar w:fldCharType="separate"/>
            </w:r>
            <w:r w:rsidR="00F1602C">
              <w:rPr>
                <w:noProof/>
                <w:webHidden/>
              </w:rPr>
              <w:t>21</w:t>
            </w:r>
            <w:r>
              <w:rPr>
                <w:noProof/>
                <w:webHidden/>
              </w:rPr>
              <w:fldChar w:fldCharType="end"/>
            </w:r>
          </w:hyperlink>
        </w:p>
        <w:p w14:paraId="4627C67F" w14:textId="77777777" w:rsidR="00755F4E" w:rsidRDefault="00755F4E">
          <w:pPr>
            <w:pStyle w:val="TOC1"/>
            <w:tabs>
              <w:tab w:val="right" w:leader="dot" w:pos="9350"/>
            </w:tabs>
            <w:rPr>
              <w:rFonts w:asciiTheme="minorHAnsi" w:eastAsiaTheme="minorEastAsia" w:hAnsiTheme="minorHAnsi" w:cs="Vrinda"/>
              <w:noProof/>
              <w:sz w:val="22"/>
              <w:szCs w:val="28"/>
              <w:lang w:val="en-US" w:bidi="bn-BD"/>
            </w:rPr>
          </w:pPr>
          <w:hyperlink w:anchor="_Toc213449468" w:history="1">
            <w:r w:rsidRPr="00607239">
              <w:rPr>
                <w:rStyle w:val="Hyperlink"/>
                <w:noProof/>
              </w:rPr>
              <w:t>Reference List</w:t>
            </w:r>
            <w:r>
              <w:rPr>
                <w:noProof/>
                <w:webHidden/>
              </w:rPr>
              <w:tab/>
            </w:r>
            <w:r>
              <w:rPr>
                <w:noProof/>
                <w:webHidden/>
              </w:rPr>
              <w:fldChar w:fldCharType="begin"/>
            </w:r>
            <w:r>
              <w:rPr>
                <w:noProof/>
                <w:webHidden/>
              </w:rPr>
              <w:instrText xml:space="preserve"> PAGEREF _Toc213449468 \h </w:instrText>
            </w:r>
            <w:r>
              <w:rPr>
                <w:noProof/>
                <w:webHidden/>
              </w:rPr>
            </w:r>
            <w:r>
              <w:rPr>
                <w:noProof/>
                <w:webHidden/>
              </w:rPr>
              <w:fldChar w:fldCharType="separate"/>
            </w:r>
            <w:r w:rsidR="00F1602C">
              <w:rPr>
                <w:noProof/>
                <w:webHidden/>
              </w:rPr>
              <w:t>22</w:t>
            </w:r>
            <w:r>
              <w:rPr>
                <w:noProof/>
                <w:webHidden/>
              </w:rPr>
              <w:fldChar w:fldCharType="end"/>
            </w:r>
          </w:hyperlink>
        </w:p>
        <w:p w14:paraId="7EF6DAFD" w14:textId="77777777" w:rsidR="00755F4E" w:rsidRDefault="00755F4E">
          <w:pPr>
            <w:pStyle w:val="TOC1"/>
            <w:tabs>
              <w:tab w:val="right" w:leader="dot" w:pos="9350"/>
            </w:tabs>
            <w:rPr>
              <w:rFonts w:asciiTheme="minorHAnsi" w:eastAsiaTheme="minorEastAsia" w:hAnsiTheme="minorHAnsi" w:cs="Vrinda"/>
              <w:noProof/>
              <w:sz w:val="22"/>
              <w:szCs w:val="28"/>
              <w:lang w:val="en-US" w:bidi="bn-BD"/>
            </w:rPr>
          </w:pPr>
          <w:hyperlink w:anchor="_Toc213449469" w:history="1">
            <w:r w:rsidRPr="00607239">
              <w:rPr>
                <w:rStyle w:val="Hyperlink"/>
                <w:noProof/>
              </w:rPr>
              <w:t>Appendices:</w:t>
            </w:r>
            <w:r>
              <w:rPr>
                <w:noProof/>
                <w:webHidden/>
              </w:rPr>
              <w:tab/>
            </w:r>
            <w:r>
              <w:rPr>
                <w:noProof/>
                <w:webHidden/>
              </w:rPr>
              <w:fldChar w:fldCharType="begin"/>
            </w:r>
            <w:r>
              <w:rPr>
                <w:noProof/>
                <w:webHidden/>
              </w:rPr>
              <w:instrText xml:space="preserve"> PAGEREF _Toc213449469 \h </w:instrText>
            </w:r>
            <w:r>
              <w:rPr>
                <w:noProof/>
                <w:webHidden/>
              </w:rPr>
            </w:r>
            <w:r>
              <w:rPr>
                <w:noProof/>
                <w:webHidden/>
              </w:rPr>
              <w:fldChar w:fldCharType="separate"/>
            </w:r>
            <w:r w:rsidR="00F1602C">
              <w:rPr>
                <w:noProof/>
                <w:webHidden/>
              </w:rPr>
              <w:t>25</w:t>
            </w:r>
            <w:r>
              <w:rPr>
                <w:noProof/>
                <w:webHidden/>
              </w:rPr>
              <w:fldChar w:fldCharType="end"/>
            </w:r>
          </w:hyperlink>
        </w:p>
        <w:p w14:paraId="5F3C087B"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70" w:history="1">
            <w:r w:rsidRPr="00607239">
              <w:rPr>
                <w:rStyle w:val="Hyperlink"/>
                <w:noProof/>
              </w:rPr>
              <w:t>1.0 Ratio Analysis</w:t>
            </w:r>
            <w:r>
              <w:rPr>
                <w:noProof/>
                <w:webHidden/>
              </w:rPr>
              <w:tab/>
            </w:r>
            <w:r>
              <w:rPr>
                <w:noProof/>
                <w:webHidden/>
              </w:rPr>
              <w:fldChar w:fldCharType="begin"/>
            </w:r>
            <w:r>
              <w:rPr>
                <w:noProof/>
                <w:webHidden/>
              </w:rPr>
              <w:instrText xml:space="preserve"> PAGEREF _Toc213449470 \h </w:instrText>
            </w:r>
            <w:r>
              <w:rPr>
                <w:noProof/>
                <w:webHidden/>
              </w:rPr>
            </w:r>
            <w:r>
              <w:rPr>
                <w:noProof/>
                <w:webHidden/>
              </w:rPr>
              <w:fldChar w:fldCharType="separate"/>
            </w:r>
            <w:r w:rsidR="00F1602C">
              <w:rPr>
                <w:noProof/>
                <w:webHidden/>
              </w:rPr>
              <w:t>25</w:t>
            </w:r>
            <w:r>
              <w:rPr>
                <w:noProof/>
                <w:webHidden/>
              </w:rPr>
              <w:fldChar w:fldCharType="end"/>
            </w:r>
          </w:hyperlink>
        </w:p>
        <w:p w14:paraId="1D1E382B"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71" w:history="1">
            <w:r w:rsidRPr="00607239">
              <w:rPr>
                <w:rStyle w:val="Hyperlink"/>
                <w:noProof/>
              </w:rPr>
              <w:t>2.0 Altman’s Z-score</w:t>
            </w:r>
            <w:r>
              <w:rPr>
                <w:noProof/>
                <w:webHidden/>
              </w:rPr>
              <w:tab/>
            </w:r>
            <w:r>
              <w:rPr>
                <w:noProof/>
                <w:webHidden/>
              </w:rPr>
              <w:fldChar w:fldCharType="begin"/>
            </w:r>
            <w:r>
              <w:rPr>
                <w:noProof/>
                <w:webHidden/>
              </w:rPr>
              <w:instrText xml:space="preserve"> PAGEREF _Toc213449471 \h </w:instrText>
            </w:r>
            <w:r>
              <w:rPr>
                <w:noProof/>
                <w:webHidden/>
              </w:rPr>
            </w:r>
            <w:r>
              <w:rPr>
                <w:noProof/>
                <w:webHidden/>
              </w:rPr>
              <w:fldChar w:fldCharType="separate"/>
            </w:r>
            <w:r w:rsidR="00F1602C">
              <w:rPr>
                <w:noProof/>
                <w:webHidden/>
              </w:rPr>
              <w:t>27</w:t>
            </w:r>
            <w:r>
              <w:rPr>
                <w:noProof/>
                <w:webHidden/>
              </w:rPr>
              <w:fldChar w:fldCharType="end"/>
            </w:r>
          </w:hyperlink>
        </w:p>
        <w:p w14:paraId="2B5D8929"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72" w:history="1">
            <w:r w:rsidRPr="00607239">
              <w:rPr>
                <w:rStyle w:val="Hyperlink"/>
                <w:noProof/>
              </w:rPr>
              <w:t>3.0 Investment Analysis Calculation</w:t>
            </w:r>
            <w:r>
              <w:rPr>
                <w:noProof/>
                <w:webHidden/>
              </w:rPr>
              <w:tab/>
            </w:r>
            <w:r>
              <w:rPr>
                <w:noProof/>
                <w:webHidden/>
              </w:rPr>
              <w:fldChar w:fldCharType="begin"/>
            </w:r>
            <w:r>
              <w:rPr>
                <w:noProof/>
                <w:webHidden/>
              </w:rPr>
              <w:instrText xml:space="preserve"> PAGEREF _Toc213449472 \h </w:instrText>
            </w:r>
            <w:r>
              <w:rPr>
                <w:noProof/>
                <w:webHidden/>
              </w:rPr>
            </w:r>
            <w:r>
              <w:rPr>
                <w:noProof/>
                <w:webHidden/>
              </w:rPr>
              <w:fldChar w:fldCharType="separate"/>
            </w:r>
            <w:r w:rsidR="00F1602C">
              <w:rPr>
                <w:noProof/>
                <w:webHidden/>
              </w:rPr>
              <w:t>27</w:t>
            </w:r>
            <w:r>
              <w:rPr>
                <w:noProof/>
                <w:webHidden/>
              </w:rPr>
              <w:fldChar w:fldCharType="end"/>
            </w:r>
          </w:hyperlink>
        </w:p>
        <w:p w14:paraId="3E63C4EF"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73" w:history="1">
            <w:r w:rsidRPr="00607239">
              <w:rPr>
                <w:rStyle w:val="Hyperlink"/>
                <w:noProof/>
              </w:rPr>
              <w:t>4.0 Altman’s Z-Score Trends from 2020-2024</w:t>
            </w:r>
            <w:r>
              <w:rPr>
                <w:noProof/>
                <w:webHidden/>
              </w:rPr>
              <w:tab/>
            </w:r>
            <w:r>
              <w:rPr>
                <w:noProof/>
                <w:webHidden/>
              </w:rPr>
              <w:fldChar w:fldCharType="begin"/>
            </w:r>
            <w:r>
              <w:rPr>
                <w:noProof/>
                <w:webHidden/>
              </w:rPr>
              <w:instrText xml:space="preserve"> PAGEREF _Toc213449473 \h </w:instrText>
            </w:r>
            <w:r>
              <w:rPr>
                <w:noProof/>
                <w:webHidden/>
              </w:rPr>
            </w:r>
            <w:r>
              <w:rPr>
                <w:noProof/>
                <w:webHidden/>
              </w:rPr>
              <w:fldChar w:fldCharType="separate"/>
            </w:r>
            <w:r w:rsidR="00F1602C">
              <w:rPr>
                <w:noProof/>
                <w:webHidden/>
              </w:rPr>
              <w:t>28</w:t>
            </w:r>
            <w:r>
              <w:rPr>
                <w:noProof/>
                <w:webHidden/>
              </w:rPr>
              <w:fldChar w:fldCharType="end"/>
            </w:r>
          </w:hyperlink>
        </w:p>
        <w:p w14:paraId="1486D2E7" w14:textId="77777777" w:rsidR="00755F4E" w:rsidRDefault="00755F4E">
          <w:pPr>
            <w:pStyle w:val="TOC2"/>
            <w:tabs>
              <w:tab w:val="right" w:leader="dot" w:pos="9350"/>
            </w:tabs>
            <w:rPr>
              <w:rFonts w:asciiTheme="minorHAnsi" w:eastAsiaTheme="minorEastAsia" w:hAnsiTheme="minorHAnsi" w:cs="Vrinda"/>
              <w:noProof/>
              <w:sz w:val="22"/>
              <w:szCs w:val="28"/>
              <w:lang w:val="en-US" w:bidi="bn-BD"/>
            </w:rPr>
          </w:pPr>
          <w:hyperlink w:anchor="_Toc213449474" w:history="1">
            <w:r w:rsidRPr="00607239">
              <w:rPr>
                <w:rStyle w:val="Hyperlink"/>
                <w:noProof/>
              </w:rPr>
              <w:t>5.0 Cash Operating Cycle Graph</w:t>
            </w:r>
            <w:r>
              <w:rPr>
                <w:noProof/>
                <w:webHidden/>
              </w:rPr>
              <w:tab/>
            </w:r>
            <w:r>
              <w:rPr>
                <w:noProof/>
                <w:webHidden/>
              </w:rPr>
              <w:fldChar w:fldCharType="begin"/>
            </w:r>
            <w:r>
              <w:rPr>
                <w:noProof/>
                <w:webHidden/>
              </w:rPr>
              <w:instrText xml:space="preserve"> PAGEREF _Toc213449474 \h </w:instrText>
            </w:r>
            <w:r>
              <w:rPr>
                <w:noProof/>
                <w:webHidden/>
              </w:rPr>
            </w:r>
            <w:r>
              <w:rPr>
                <w:noProof/>
                <w:webHidden/>
              </w:rPr>
              <w:fldChar w:fldCharType="separate"/>
            </w:r>
            <w:r w:rsidR="00F1602C">
              <w:rPr>
                <w:noProof/>
                <w:webHidden/>
              </w:rPr>
              <w:t>28</w:t>
            </w:r>
            <w:r>
              <w:rPr>
                <w:noProof/>
                <w:webHidden/>
              </w:rPr>
              <w:fldChar w:fldCharType="end"/>
            </w:r>
          </w:hyperlink>
        </w:p>
        <w:p w14:paraId="1355A5BD" w14:textId="77777777" w:rsidR="00755F4E" w:rsidRDefault="00755F4E">
          <w:r>
            <w:rPr>
              <w:b/>
              <w:bCs/>
              <w:noProof/>
            </w:rPr>
            <w:fldChar w:fldCharType="end"/>
          </w:r>
        </w:p>
      </w:sdtContent>
    </w:sdt>
    <w:p w14:paraId="57C3F184" w14:textId="77777777" w:rsidR="00216D88" w:rsidRDefault="00216D88" w:rsidP="00216D88"/>
    <w:p w14:paraId="13153517" w14:textId="77777777" w:rsidR="00216D88" w:rsidRDefault="00216D88" w:rsidP="00216D88"/>
    <w:p w14:paraId="2FA2688E" w14:textId="77777777" w:rsidR="00216D88" w:rsidRDefault="00216D88" w:rsidP="00216D88"/>
    <w:p w14:paraId="0491E815" w14:textId="77777777" w:rsidR="00216D88" w:rsidRDefault="00216D88" w:rsidP="00216D88"/>
    <w:p w14:paraId="6C810E98" w14:textId="77777777" w:rsidR="00216D88" w:rsidRDefault="00216D88" w:rsidP="00216D88"/>
    <w:p w14:paraId="2E19DA6D" w14:textId="77777777" w:rsidR="00216D88" w:rsidRDefault="00216D88" w:rsidP="00216D88"/>
    <w:p w14:paraId="30DD4F28" w14:textId="77777777" w:rsidR="00755F4E" w:rsidRDefault="00755F4E" w:rsidP="00216D88"/>
    <w:p w14:paraId="353276EA" w14:textId="77777777" w:rsidR="00755F4E" w:rsidRDefault="00755F4E" w:rsidP="00216D88"/>
    <w:p w14:paraId="6C08D07D" w14:textId="77777777" w:rsidR="00216D88" w:rsidRDefault="00DD3D7C" w:rsidP="006D5AD2">
      <w:pPr>
        <w:pStyle w:val="Heading1"/>
        <w:spacing w:line="360" w:lineRule="auto"/>
      </w:pPr>
      <w:bookmarkStart w:id="0" w:name="_Toc213449436"/>
      <w:r>
        <w:t xml:space="preserve">1.0 </w:t>
      </w:r>
      <w:r w:rsidR="00216D88">
        <w:t>Introduction:</w:t>
      </w:r>
      <w:bookmarkEnd w:id="0"/>
      <w:r w:rsidR="00216D88">
        <w:t xml:space="preserve"> </w:t>
      </w:r>
    </w:p>
    <w:p w14:paraId="29333150" w14:textId="77777777" w:rsidR="00216D88" w:rsidRDefault="00216D88" w:rsidP="006D5AD2">
      <w:r>
        <w:t xml:space="preserve">General Electronics Plc. is a multinational company that deals with consumer electronics and industrial production </w:t>
      </w:r>
      <w:proofErr w:type="gramStart"/>
      <w:r>
        <w:t>sector</w:t>
      </w:r>
      <w:proofErr w:type="gramEnd"/>
      <w:r>
        <w:t xml:space="preserve"> and it is a diversified company. The company has not been spared as it has suffered unstable market conditions over the last five years due to technological upheaval, inflation and post-pandemic supply chain uncertainty. Consequently, the management has put increased focus on evaluating the financial stability of the firm, liquidity and the ability to strategically invest in the firm. This report is aimed to provide a full-fledged analysis of the financial performance of General Electronics during the years 2020-2024, by diagnosing the financial strength and weakness, and suggest the proper restructuring and investment strategy to guarantee the long-term sustainability and maximisation of shareholder value.</w:t>
      </w:r>
    </w:p>
    <w:p w14:paraId="2BF7A51A" w14:textId="77777777" w:rsidR="00F31E86" w:rsidRDefault="00216D88" w:rsidP="006D5AD2">
      <w:r>
        <w:t>The report uses both quantitative and qualitative analytical approach. Some of the important financial methods are ratio analysis to determine the profitability, liquidity, efficiency, gearing and investment performance, Altman Z-score model to determine the likelihood of a firm going through financial distress and capital budgeting methods like Net Present Value (NPV), Internal Rate of Return (IRR) and Payback Period (PBP) to determine the viability of a certain investment. Also, the analysis will be done for the cash flow patterns and working capital management activities to understand the possible liquidity limitations. The contextualisation of the analysis is based on academic literature about corporate finance, theory of working capital and theory of capital structure management (</w:t>
      </w:r>
      <w:proofErr w:type="spellStart"/>
      <w:r>
        <w:t>Atrill</w:t>
      </w:r>
      <w:proofErr w:type="spellEnd"/>
      <w:r>
        <w:t xml:space="preserve"> and McLaney, </w:t>
      </w:r>
      <w:r w:rsidR="00F55612">
        <w:t>2022</w:t>
      </w:r>
      <w:r w:rsidR="00044D48">
        <w:t>; Brigham and Ehrhardt, 2019</w:t>
      </w:r>
      <w:r>
        <w:t xml:space="preserve">). </w:t>
      </w:r>
    </w:p>
    <w:p w14:paraId="5685A485" w14:textId="77777777" w:rsidR="00E13DFA" w:rsidRDefault="00E13DFA" w:rsidP="006D5AD2"/>
    <w:p w14:paraId="6005667E" w14:textId="77777777" w:rsidR="00E13DFA" w:rsidRDefault="00E13DFA" w:rsidP="006D5AD2"/>
    <w:p w14:paraId="4A39EA5B" w14:textId="77777777" w:rsidR="00E13DFA" w:rsidRDefault="00E13DFA" w:rsidP="006D5AD2"/>
    <w:p w14:paraId="2AE08531" w14:textId="77777777" w:rsidR="00E13DFA" w:rsidRDefault="00E13DFA" w:rsidP="006D5AD2"/>
    <w:p w14:paraId="0262845E" w14:textId="77777777" w:rsidR="00E13DFA" w:rsidRDefault="00E13DFA" w:rsidP="006D5AD2"/>
    <w:p w14:paraId="187CBC47" w14:textId="77777777" w:rsidR="00E13DFA" w:rsidRDefault="00E13DFA" w:rsidP="006D5AD2"/>
    <w:p w14:paraId="044FB722" w14:textId="77777777" w:rsidR="00E13DFA" w:rsidRDefault="00E13DFA" w:rsidP="006D5AD2"/>
    <w:p w14:paraId="01313479" w14:textId="77777777" w:rsidR="00E13DFA" w:rsidRDefault="00E13DFA" w:rsidP="006D5AD2"/>
    <w:p w14:paraId="57B6C45F" w14:textId="77777777" w:rsidR="00E13DFA" w:rsidRDefault="00E13DFA" w:rsidP="006D5AD2"/>
    <w:p w14:paraId="1998561E" w14:textId="77777777" w:rsidR="00E13DFA" w:rsidRDefault="00E13DFA" w:rsidP="006D5AD2"/>
    <w:p w14:paraId="042C8788" w14:textId="77777777" w:rsidR="00E13DFA" w:rsidRDefault="00DD3D7C" w:rsidP="007C4B82">
      <w:pPr>
        <w:pStyle w:val="Heading1"/>
        <w:spacing w:line="360" w:lineRule="auto"/>
      </w:pPr>
      <w:bookmarkStart w:id="1" w:name="_Toc213449437"/>
      <w:r>
        <w:t xml:space="preserve">2.0 </w:t>
      </w:r>
      <w:r w:rsidR="00E13DFA">
        <w:t>Financial Health Check (General Electronics):</w:t>
      </w:r>
      <w:bookmarkEnd w:id="1"/>
      <w:r w:rsidR="00E13DFA">
        <w:t xml:space="preserve"> </w:t>
      </w:r>
    </w:p>
    <w:p w14:paraId="3B581C96" w14:textId="77777777" w:rsidR="00E13DFA" w:rsidRDefault="00E13DFA" w:rsidP="007C4B82">
      <w:r>
        <w:t xml:space="preserve">General Electronics is a </w:t>
      </w:r>
      <w:proofErr w:type="gramStart"/>
      <w:r>
        <w:t>multinationals</w:t>
      </w:r>
      <w:proofErr w:type="gramEnd"/>
      <w:r>
        <w:t xml:space="preserve"> in consumer electronics industry that has been experiencing tremendous financial and operational difficulties within the last five years. Performance analysis of the company showed that there was a decline in the profitability of the business, the increase of leverage and the loss of investor confidence. </w:t>
      </w:r>
      <w:r w:rsidR="007C4B82">
        <w:t>Additional insights are given below-</w:t>
      </w:r>
    </w:p>
    <w:p w14:paraId="3E4D7877" w14:textId="77777777" w:rsidR="00DD3D7C" w:rsidRDefault="00DD3D7C" w:rsidP="007C4B82">
      <w:pPr>
        <w:pStyle w:val="Heading2"/>
        <w:spacing w:line="360" w:lineRule="auto"/>
      </w:pPr>
      <w:bookmarkStart w:id="2" w:name="_Toc213449438"/>
      <w:r>
        <w:t>2.1 Ratio Analysis</w:t>
      </w:r>
      <w:bookmarkEnd w:id="2"/>
    </w:p>
    <w:p w14:paraId="3D133C21" w14:textId="77777777" w:rsidR="00E13DFA" w:rsidRDefault="00E13DFA" w:rsidP="007C4B82">
      <w:r>
        <w:t>Ratio analysis is the key element of financial diagnostics, and it provides a multidimensional view of liquidity, profitability, efficiency, and solvency (Brigham and Ehrhardt, 2019). The model used to supplement the ratio pattern includes the Altman Z score model (Altman, 1968) that is used to measure default risk and financial distresses.</w:t>
      </w:r>
      <w:r w:rsidR="00034125">
        <w:t xml:space="preserve"> The ratio analysis is given below-</w:t>
      </w:r>
    </w:p>
    <w:p w14:paraId="25F6A218" w14:textId="77777777" w:rsidR="00E13DFA" w:rsidRPr="00382697" w:rsidRDefault="00E13DFA" w:rsidP="007C4B82">
      <w:pPr>
        <w:pStyle w:val="NoSpacing"/>
        <w:spacing w:line="360" w:lineRule="auto"/>
        <w:rPr>
          <w:b/>
          <w:bCs/>
        </w:rPr>
      </w:pPr>
      <w:r w:rsidRPr="00382697">
        <w:rPr>
          <w:b/>
          <w:bCs/>
        </w:rPr>
        <w:t>Profitability Analysis</w:t>
      </w:r>
    </w:p>
    <w:p w14:paraId="01B53FF9" w14:textId="77777777" w:rsidR="00E13DFA" w:rsidRDefault="00E13DFA" w:rsidP="007C4B82">
      <w:r>
        <w:t>The ratio of profitability reveals the capability of a company to raise profits against sales, assets, and equity (</w:t>
      </w:r>
      <w:proofErr w:type="spellStart"/>
      <w:r>
        <w:t>Atrill</w:t>
      </w:r>
      <w:proofErr w:type="spellEnd"/>
      <w:r>
        <w:t xml:space="preserve"> and McLaney, 2022). During 2020-2024 General Electronics has become significantly less profitable, but in 2024 it has already started to recover. Gross Profit Margin (GPM) will decrease to 23.20 in the year 2023 and then improve to 28.87 in the year 2024. This volatility points to internal inefficiencies of the operations and unstable costs of production, which can be associated with the disturbances of the global supply chains and the increased prices of the components (Deloitte, 2023).</w:t>
      </w:r>
      <w:r w:rsidR="00382697">
        <w:t xml:space="preserve"> </w:t>
      </w:r>
      <w:r>
        <w:t>In 2023, the Net Profit Margin became negative (-23.36%</w:t>
      </w:r>
      <w:r w:rsidR="00382697">
        <w:t>) and is also poor in 2024 (-6.09%</w:t>
      </w:r>
      <w:r>
        <w:t xml:space="preserve">). The losses are indicative of excessive overheads, lack of cost absorption as well as potentially unprofitable product </w:t>
      </w:r>
      <w:proofErr w:type="spellStart"/>
      <w:proofErr w:type="gramStart"/>
      <w:r>
        <w:t>lines.The</w:t>
      </w:r>
      <w:proofErr w:type="spellEnd"/>
      <w:proofErr w:type="gramEnd"/>
      <w:r>
        <w:t xml:space="preserve"> same can be said about Return on Assets (ROA) and Return on Equity (ROE), as both were deep into the unprofitable years (2023, -27.60 percent and 2023, -54.91 percent). The extent to which the ROE is falling suggests high erosion of value to the shareholders.</w:t>
      </w:r>
    </w:p>
    <w:p w14:paraId="2163F15A" w14:textId="77777777" w:rsidR="00E13DFA" w:rsidRPr="00382697" w:rsidRDefault="00E13DFA" w:rsidP="007C4B82">
      <w:pPr>
        <w:pStyle w:val="NoSpacing"/>
        <w:spacing w:line="360" w:lineRule="auto"/>
        <w:rPr>
          <w:b/>
          <w:bCs/>
        </w:rPr>
      </w:pPr>
      <w:r w:rsidRPr="00382697">
        <w:rPr>
          <w:b/>
          <w:bCs/>
        </w:rPr>
        <w:t>Liquidity Analysis</w:t>
      </w:r>
    </w:p>
    <w:p w14:paraId="122EBE86" w14:textId="77777777" w:rsidR="00E13DFA" w:rsidRDefault="00E13DFA" w:rsidP="007C4B82">
      <w:r>
        <w:t>The liquidity ratios measure the capacity of the firm to fulfil immediate liabilities (Ross et al., 2019</w:t>
      </w:r>
      <w:proofErr w:type="gramStart"/>
      <w:r>
        <w:t>).The</w:t>
      </w:r>
      <w:proofErr w:type="gramEnd"/>
      <w:r>
        <w:t xml:space="preserve"> Current Ratio also decreased, 1.82 in 2020 to 1.53 in 2024 which shows that there is less flexibility in the working capital. Although the ratio shows a growth of above 1, the decreasing trend is an indicator of constrained liquidity. Quick Ratio (Liquidity Ratio) worsened </w:t>
      </w:r>
      <w:r>
        <w:lastRenderedPageBreak/>
        <w:t xml:space="preserve">its position of 1.15 to 1.03 in the same </w:t>
      </w:r>
      <w:proofErr w:type="gramStart"/>
      <w:r>
        <w:t>time period</w:t>
      </w:r>
      <w:proofErr w:type="gramEnd"/>
      <w:r>
        <w:t xml:space="preserve">, which proves that the liquid resources of the company </w:t>
      </w:r>
      <w:proofErr w:type="gramStart"/>
      <w:r>
        <w:t>with the exception of</w:t>
      </w:r>
      <w:proofErr w:type="gramEnd"/>
      <w:r>
        <w:t xml:space="preserve"> inventory have deteriorated. The Cash Ratio decreased by 0.32 to 0.17 indicating a small amount of cash available as compared to debts.</w:t>
      </w:r>
    </w:p>
    <w:p w14:paraId="264FE755" w14:textId="77777777" w:rsidR="00E13DFA" w:rsidRDefault="00E13DFA" w:rsidP="007C4B82">
      <w:r>
        <w:t xml:space="preserve">This kind of degradation means that there will be more reliance on short-term financing and the payment </w:t>
      </w:r>
      <w:r w:rsidR="00382697">
        <w:t xml:space="preserve">to suppliers being delayed. A </w:t>
      </w:r>
      <w:r>
        <w:t xml:space="preserve">ratio </w:t>
      </w:r>
      <w:r w:rsidR="00382697">
        <w:t xml:space="preserve">above 1 </w:t>
      </w:r>
      <w:r>
        <w:t>is said to be safe, but the decreasing tendency and low cash reserves indicate a possibility of General Electronics struggling to cover unanticipated liabilities or take advantage of investment opportunities (Brealey, Myers and Allen, 2020).</w:t>
      </w:r>
    </w:p>
    <w:p w14:paraId="626A7ABF" w14:textId="77777777" w:rsidR="00E13DFA" w:rsidRPr="00382697" w:rsidRDefault="00E13DFA" w:rsidP="007C4B82">
      <w:pPr>
        <w:pStyle w:val="NoSpacing"/>
        <w:spacing w:line="360" w:lineRule="auto"/>
        <w:rPr>
          <w:b/>
          <w:bCs/>
        </w:rPr>
      </w:pPr>
      <w:r w:rsidRPr="00382697">
        <w:rPr>
          <w:b/>
          <w:bCs/>
        </w:rPr>
        <w:t>Efficiency (Activity) Ratios</w:t>
      </w:r>
    </w:p>
    <w:p w14:paraId="29F3ED8B" w14:textId="77777777" w:rsidR="00E13DFA" w:rsidRDefault="00E13DFA" w:rsidP="007C4B82">
      <w:r>
        <w:t xml:space="preserve">Efficiency ratios are the ratios that </w:t>
      </w:r>
      <w:proofErr w:type="spellStart"/>
      <w:r>
        <w:t>analyze</w:t>
      </w:r>
      <w:proofErr w:type="spellEnd"/>
      <w:r>
        <w:t xml:space="preserve"> the use of the assets of the company and the ability to maintain receivables and payables (</w:t>
      </w:r>
      <w:proofErr w:type="spellStart"/>
      <w:r>
        <w:t>Atrill</w:t>
      </w:r>
      <w:proofErr w:type="spellEnd"/>
      <w:r>
        <w:t xml:space="preserve"> and McLaney, 2022). Receivables Collection Period was stable </w:t>
      </w:r>
      <w:r w:rsidR="00623E68">
        <w:t xml:space="preserve">that was increased from 77 days in 2020 to 106 days to 2024 </w:t>
      </w:r>
      <w:r>
        <w:t xml:space="preserve">implying </w:t>
      </w:r>
      <w:r w:rsidR="00623E68">
        <w:t xml:space="preserve">low credit management and low </w:t>
      </w:r>
      <w:r>
        <w:t xml:space="preserve">cash inflow velocity of its customers. The Payables Payment Period </w:t>
      </w:r>
      <w:r w:rsidR="00623E68">
        <w:t xml:space="preserve">has been 69 </w:t>
      </w:r>
      <w:r>
        <w:t>days</w:t>
      </w:r>
      <w:r w:rsidR="00623E68">
        <w:t xml:space="preserve"> in 2020 that have been increased to 93 days in 2024 which reflect that the company has managed to delay its </w:t>
      </w:r>
      <w:r>
        <w:t>payments made to the suppliers</w:t>
      </w:r>
      <w:r w:rsidR="00623E68">
        <w:t xml:space="preserve"> which is beneficial for efficient cash management and business continuity</w:t>
      </w:r>
      <w:r>
        <w:t xml:space="preserve">. The Asset Turnover Ratio increased in 2024 to 1.22 compared to 1.08 in 2022, which indicates a better aspect in utilizing the total assets in generating revenue. These measurements demonstrate efficiency in operations and a strict working capital control. Nevertheless, with the low profitability level, the efficiency is yet to be converted to increased returns. </w:t>
      </w:r>
    </w:p>
    <w:p w14:paraId="0DECC684" w14:textId="77777777" w:rsidR="00E13DFA" w:rsidRPr="00382697" w:rsidRDefault="00E13DFA" w:rsidP="007C4B82">
      <w:pPr>
        <w:pStyle w:val="NoSpacing"/>
        <w:spacing w:line="360" w:lineRule="auto"/>
        <w:rPr>
          <w:b/>
          <w:bCs/>
        </w:rPr>
      </w:pPr>
      <w:r w:rsidRPr="00382697">
        <w:rPr>
          <w:b/>
          <w:bCs/>
        </w:rPr>
        <w:t>Gearing (Solvency) Ratios</w:t>
      </w:r>
    </w:p>
    <w:p w14:paraId="4F886156" w14:textId="77777777" w:rsidR="00034125" w:rsidRDefault="00E13DFA" w:rsidP="007C4B82">
      <w:r>
        <w:t>Gearing ratios are used to describe the debt and equity financing. Increased gearing increases financial risks yet may advantage returns with proper management (Brealey et al., 2020). Debt-to-Equity Ratio increased consistently in 2020-24 by a significant margin suggesting an increased reliance on borrowed capital.</w:t>
      </w:r>
      <w:r w:rsidR="00382697">
        <w:t xml:space="preserve"> </w:t>
      </w:r>
      <w:r>
        <w:t>The Interest Coverage Ratio had decreased significantly by 41.08 in 2021 to 4.55 in 2024. Though the company is still able to fund interest payments, this reduction was an indication of a narrowing down in operating margins and increasing exposure to risks.</w:t>
      </w:r>
      <w:r w:rsidR="00382697">
        <w:t xml:space="preserve"> </w:t>
      </w:r>
      <w:r>
        <w:t xml:space="preserve">Increased leverage has placed pressure on the solvency of the company restricting flexibility in future financing choices. Ross et al. (2019) note that the interest coverage ratio of </w:t>
      </w:r>
      <w:r>
        <w:lastRenderedPageBreak/>
        <w:t>below 3 is a red flag, whereas General Electronics does not hit this point yet, but the decreasing trend is rather troubling.</w:t>
      </w:r>
    </w:p>
    <w:p w14:paraId="3E0B009A" w14:textId="77777777" w:rsidR="00E13DFA" w:rsidRPr="00382697" w:rsidRDefault="00E13DFA" w:rsidP="007C4B82">
      <w:pPr>
        <w:pStyle w:val="NoSpacing"/>
        <w:spacing w:line="360" w:lineRule="auto"/>
        <w:rPr>
          <w:b/>
          <w:bCs/>
        </w:rPr>
      </w:pPr>
      <w:r w:rsidRPr="00382697">
        <w:rPr>
          <w:b/>
          <w:bCs/>
        </w:rPr>
        <w:t>Investment Ratios</w:t>
      </w:r>
    </w:p>
    <w:p w14:paraId="4722DE0D" w14:textId="77777777" w:rsidR="00E13DFA" w:rsidRDefault="00E13DFA" w:rsidP="007C4B82">
      <w:r>
        <w:t xml:space="preserve">Investment ratios will give openness to shareholder value and market </w:t>
      </w:r>
      <w:proofErr w:type="spellStart"/>
      <w:proofErr w:type="gramStart"/>
      <w:r>
        <w:t>perception.Earnings</w:t>
      </w:r>
      <w:proofErr w:type="spellEnd"/>
      <w:proofErr w:type="gramEnd"/>
      <w:r>
        <w:t xml:space="preserve"> per Share (EPS) decreased -£7.64 in 2023 that eventually recovered in the immediate next year -£1.85 in 2024.This trend represents the inventory losses in 2023 and decline in shareholder returns. Long-term decreased EPS can destroy investor trust and lower share prices (Brigham and Ehrhardt, 2019). The low EPS ratio of the company also points towards the fact that future equity issues might not be as appealing to the shareholders </w:t>
      </w:r>
      <w:proofErr w:type="gramStart"/>
      <w:r>
        <w:t>as long as</w:t>
      </w:r>
      <w:proofErr w:type="gramEnd"/>
      <w:r>
        <w:t xml:space="preserve"> the company does not become more profitable.</w:t>
      </w:r>
    </w:p>
    <w:p w14:paraId="1FAD64DA" w14:textId="77777777" w:rsidR="00382697" w:rsidRDefault="00DD3D7C" w:rsidP="007C4B82">
      <w:pPr>
        <w:pStyle w:val="Heading2"/>
        <w:spacing w:line="360" w:lineRule="auto"/>
      </w:pPr>
      <w:bookmarkStart w:id="3" w:name="_Toc213449439"/>
      <w:r>
        <w:t xml:space="preserve">2.2 </w:t>
      </w:r>
      <w:r w:rsidR="00382697">
        <w:t>Cash Flow Considerations</w:t>
      </w:r>
      <w:bookmarkEnd w:id="3"/>
    </w:p>
    <w:p w14:paraId="5A02C7A6" w14:textId="77777777" w:rsidR="00382697" w:rsidRDefault="00382697" w:rsidP="007C4B82">
      <w:r>
        <w:t>The decreasing ratios of cash and the low profitability are signs that the company has limited free cash flow and liquidity since there are no detailed cash flow data available. The low cash generation limits the investing power and the possibility to pay debts (Palepu and Healy, 2020).</w:t>
      </w:r>
    </w:p>
    <w:p w14:paraId="37B21DF2" w14:textId="77777777" w:rsidR="00382697" w:rsidRDefault="00382697" w:rsidP="007C4B82">
      <w:r>
        <w:t>It is possible there is a negative operating cash flow of the firm in 2023 which implies that the operations have been being financed (by the issuance of debt). This trend is unsustainable and it puts financial risks at risk unless the trend is reversed by increasing efficiency and cost management.</w:t>
      </w:r>
    </w:p>
    <w:p w14:paraId="4733A34E" w14:textId="77777777" w:rsidR="00382697" w:rsidRDefault="00DD3D7C" w:rsidP="007C4B82">
      <w:pPr>
        <w:pStyle w:val="Heading2"/>
        <w:spacing w:line="360" w:lineRule="auto"/>
      </w:pPr>
      <w:bookmarkStart w:id="4" w:name="_Toc213449440"/>
      <w:r>
        <w:t xml:space="preserve">2.3 </w:t>
      </w:r>
      <w:r w:rsidR="00382697">
        <w:t>Financial Distress, Altman Z-Score</w:t>
      </w:r>
      <w:bookmarkEnd w:id="4"/>
    </w:p>
    <w:p w14:paraId="230CD1BC" w14:textId="77777777" w:rsidR="00382697" w:rsidRDefault="00382697" w:rsidP="007C4B82">
      <w:r>
        <w:t>The relative likelihood of bankruptcy is forecasted by the Altman Z-score model that incorporates important financial ratios to obtain a composite score (Altman, 1968). Such is the case of General Electronics whose Z-score dropped drastically by 41.48 in 2021 to 2.70 in 2024.</w:t>
      </w:r>
    </w:p>
    <w:p w14:paraId="3DD6F070" w14:textId="77777777" w:rsidR="00382697" w:rsidRDefault="00382697" w:rsidP="007C4B82">
      <w:r>
        <w:t>The bloom above 3.0 in Z-score is an indicator of financial stability, 1.8 to 3.0 is an indicator of tipsiness and below 1.8 is an indicator of high risk of bankruptcy (Altman, 2000). Thus, the resulting score of 2.70 puts the company in the grey zone of high but not severe distress.</w:t>
      </w:r>
    </w:p>
    <w:p w14:paraId="79D2DC0A" w14:textId="77777777" w:rsidR="00382697" w:rsidRDefault="00382697" w:rsidP="007C4B82">
      <w:r>
        <w:t>The drastic decline of previous high scores abnormally suggests extreme financial deterioration which may be attributable to volatile profits, declining retained earnings, and increase in leverage. This strengthens the argument in the urgency of an effective financial restructuring strategy to avoid the possibility of default.</w:t>
      </w:r>
    </w:p>
    <w:p w14:paraId="2950664B" w14:textId="77777777" w:rsidR="00755F4E" w:rsidRDefault="00755F4E" w:rsidP="007C4B82"/>
    <w:p w14:paraId="0C710C10" w14:textId="77777777" w:rsidR="00382697" w:rsidRDefault="00DD3D7C" w:rsidP="007C4B82">
      <w:pPr>
        <w:pStyle w:val="Heading2"/>
        <w:spacing w:line="360" w:lineRule="auto"/>
      </w:pPr>
      <w:bookmarkStart w:id="5" w:name="_Toc213449441"/>
      <w:r>
        <w:t xml:space="preserve">2.4 </w:t>
      </w:r>
      <w:r w:rsidR="00382697">
        <w:t>Summary of Strengths and Weaknesses</w:t>
      </w:r>
      <w:bookmarkEnd w:id="5"/>
    </w:p>
    <w:p w14:paraId="67E879DB" w14:textId="77777777" w:rsidR="00382697" w:rsidRPr="00382697" w:rsidRDefault="00382697" w:rsidP="007C4B82">
      <w:pPr>
        <w:rPr>
          <w:b/>
          <w:bCs/>
        </w:rPr>
      </w:pPr>
      <w:r w:rsidRPr="00382697">
        <w:rPr>
          <w:b/>
          <w:bCs/>
        </w:rPr>
        <w:t>Strengths:</w:t>
      </w:r>
    </w:p>
    <w:p w14:paraId="5C97C1AA" w14:textId="77777777" w:rsidR="00382697" w:rsidRDefault="00382697" w:rsidP="007C4B82">
      <w:pPr>
        <w:pStyle w:val="ListParagraph"/>
        <w:numPr>
          <w:ilvl w:val="0"/>
          <w:numId w:val="15"/>
        </w:numPr>
      </w:pPr>
      <w:r>
        <w:t>Better gross profit margin of 2024 is an indication of an early recovery.</w:t>
      </w:r>
    </w:p>
    <w:p w14:paraId="44ED814E" w14:textId="77777777" w:rsidR="00382697" w:rsidRDefault="00382697" w:rsidP="007C4B82">
      <w:pPr>
        <w:pStyle w:val="ListParagraph"/>
        <w:numPr>
          <w:ilvl w:val="0"/>
          <w:numId w:val="15"/>
        </w:numPr>
      </w:pPr>
      <w:r>
        <w:t>Effective payable and receivables management.</w:t>
      </w:r>
    </w:p>
    <w:p w14:paraId="6686726A" w14:textId="77777777" w:rsidR="00D6768E" w:rsidRDefault="00D6768E" w:rsidP="007C4B82">
      <w:pPr>
        <w:pStyle w:val="ListParagraph"/>
        <w:numPr>
          <w:ilvl w:val="0"/>
          <w:numId w:val="15"/>
        </w:numPr>
      </w:pPr>
      <w:r>
        <w:t>Strong discipline in asset management.</w:t>
      </w:r>
    </w:p>
    <w:p w14:paraId="4EE0279F" w14:textId="77777777" w:rsidR="00382697" w:rsidRPr="00382697" w:rsidRDefault="00D6768E" w:rsidP="007C4B82">
      <w:pPr>
        <w:rPr>
          <w:b/>
          <w:bCs/>
        </w:rPr>
      </w:pPr>
      <w:r>
        <w:rPr>
          <w:b/>
          <w:bCs/>
        </w:rPr>
        <w:t>Weaknesses:</w:t>
      </w:r>
    </w:p>
    <w:p w14:paraId="085CD3CF" w14:textId="77777777" w:rsidR="00382697" w:rsidRDefault="00382697" w:rsidP="007C4B82">
      <w:pPr>
        <w:pStyle w:val="ListParagraph"/>
        <w:numPr>
          <w:ilvl w:val="0"/>
          <w:numId w:val="16"/>
        </w:numPr>
      </w:pPr>
      <w:r>
        <w:t>Reduced liquidity and poor cash reserves.</w:t>
      </w:r>
    </w:p>
    <w:p w14:paraId="6C3665E4" w14:textId="77777777" w:rsidR="00382697" w:rsidRDefault="00382697" w:rsidP="007C4B82">
      <w:pPr>
        <w:pStyle w:val="ListParagraph"/>
        <w:numPr>
          <w:ilvl w:val="0"/>
          <w:numId w:val="16"/>
        </w:numPr>
      </w:pPr>
      <w:r>
        <w:t>Increase in leverage and reduced interest coverage.</w:t>
      </w:r>
    </w:p>
    <w:p w14:paraId="7DEFD6C8" w14:textId="77777777" w:rsidR="00382697" w:rsidRDefault="00382697" w:rsidP="007C4B82">
      <w:pPr>
        <w:pStyle w:val="ListParagraph"/>
        <w:numPr>
          <w:ilvl w:val="0"/>
          <w:numId w:val="16"/>
        </w:numPr>
      </w:pPr>
      <w:r>
        <w:t>Weakening Altman Z-score of financial vulnerability.</w:t>
      </w:r>
    </w:p>
    <w:p w14:paraId="750FB9B4" w14:textId="77777777" w:rsidR="00382697" w:rsidRPr="00382697" w:rsidRDefault="00382697" w:rsidP="007C4B82">
      <w:pPr>
        <w:rPr>
          <w:b/>
          <w:bCs/>
        </w:rPr>
      </w:pPr>
      <w:r w:rsidRPr="00382697">
        <w:rPr>
          <w:b/>
          <w:bCs/>
        </w:rPr>
        <w:t>Opportunities:</w:t>
      </w:r>
    </w:p>
    <w:p w14:paraId="775422C0" w14:textId="77777777" w:rsidR="00382697" w:rsidRDefault="00382697" w:rsidP="007C4B82">
      <w:pPr>
        <w:pStyle w:val="ListParagraph"/>
        <w:numPr>
          <w:ilvl w:val="0"/>
          <w:numId w:val="17"/>
        </w:numPr>
      </w:pPr>
      <w:r>
        <w:t>Possible optimization of costs of production and sourcing.</w:t>
      </w:r>
    </w:p>
    <w:p w14:paraId="71C62365" w14:textId="77777777" w:rsidR="00382697" w:rsidRDefault="00382697" w:rsidP="007C4B82">
      <w:pPr>
        <w:pStyle w:val="ListParagraph"/>
        <w:numPr>
          <w:ilvl w:val="0"/>
          <w:numId w:val="17"/>
        </w:numPr>
      </w:pPr>
      <w:r>
        <w:t>Restoration of the capital structure may help in lowering interest burden.</w:t>
      </w:r>
    </w:p>
    <w:p w14:paraId="5948DF70" w14:textId="77777777" w:rsidR="00382697" w:rsidRDefault="00382697" w:rsidP="007C4B82">
      <w:pPr>
        <w:pStyle w:val="ListParagraph"/>
        <w:numPr>
          <w:ilvl w:val="0"/>
          <w:numId w:val="17"/>
        </w:numPr>
      </w:pPr>
      <w:r>
        <w:t>The increase of the profitability rests with expansion of high-margin product lines globally.</w:t>
      </w:r>
    </w:p>
    <w:p w14:paraId="5BB0AE5E" w14:textId="77777777" w:rsidR="00382697" w:rsidRPr="00382697" w:rsidRDefault="00382697" w:rsidP="007C4B82">
      <w:pPr>
        <w:rPr>
          <w:b/>
          <w:bCs/>
        </w:rPr>
      </w:pPr>
      <w:r w:rsidRPr="00382697">
        <w:rPr>
          <w:b/>
          <w:bCs/>
        </w:rPr>
        <w:t>Threats:</w:t>
      </w:r>
    </w:p>
    <w:p w14:paraId="241E2E75" w14:textId="77777777" w:rsidR="00382697" w:rsidRDefault="00382697" w:rsidP="007C4B82">
      <w:pPr>
        <w:pStyle w:val="ListParagraph"/>
        <w:numPr>
          <w:ilvl w:val="0"/>
          <w:numId w:val="18"/>
        </w:numPr>
      </w:pPr>
      <w:r>
        <w:t>Emerging competition and high rate of technological shift in consumer electronics industry.</w:t>
      </w:r>
    </w:p>
    <w:p w14:paraId="34E8FDF8" w14:textId="77777777" w:rsidR="00382697" w:rsidRDefault="00382697" w:rsidP="007C4B82">
      <w:pPr>
        <w:pStyle w:val="ListParagraph"/>
        <w:numPr>
          <w:ilvl w:val="0"/>
          <w:numId w:val="18"/>
        </w:numPr>
      </w:pPr>
      <w:r>
        <w:t>International supply chain risk and currency risk exposures.</w:t>
      </w:r>
    </w:p>
    <w:p w14:paraId="6963E729" w14:textId="77777777" w:rsidR="00382697" w:rsidRDefault="00382697" w:rsidP="007C4B82">
      <w:pPr>
        <w:pStyle w:val="ListParagraph"/>
        <w:numPr>
          <w:ilvl w:val="0"/>
          <w:numId w:val="18"/>
        </w:numPr>
      </w:pPr>
      <w:r>
        <w:t xml:space="preserve">Little investor confidence </w:t>
      </w:r>
      <w:proofErr w:type="gramStart"/>
      <w:r>
        <w:t>as a result of</w:t>
      </w:r>
      <w:proofErr w:type="gramEnd"/>
      <w:r>
        <w:t xml:space="preserve"> continued losses.</w:t>
      </w:r>
    </w:p>
    <w:p w14:paraId="38A80874" w14:textId="77777777" w:rsidR="00382697" w:rsidRDefault="00DD3D7C" w:rsidP="007C4B82">
      <w:pPr>
        <w:pStyle w:val="Heading2"/>
        <w:spacing w:line="360" w:lineRule="auto"/>
      </w:pPr>
      <w:bookmarkStart w:id="6" w:name="_Toc213449442"/>
      <w:r>
        <w:t xml:space="preserve">2.5 </w:t>
      </w:r>
      <w:r w:rsidR="00382697">
        <w:t>Preliminary Considerations:</w:t>
      </w:r>
      <w:bookmarkEnd w:id="6"/>
    </w:p>
    <w:p w14:paraId="21592DF3" w14:textId="77777777" w:rsidR="00382697" w:rsidRDefault="00382697" w:rsidP="007C4B82">
      <w:r>
        <w:t>An effective recovery should be sustainable and should involve a multi-facet approach that entails operation, financial and strategic interventions.</w:t>
      </w:r>
      <w:r w:rsidR="00DD3D7C">
        <w:t xml:space="preserve"> The preliminary considerations are given below-</w:t>
      </w:r>
    </w:p>
    <w:p w14:paraId="754474A7" w14:textId="77777777" w:rsidR="00382697" w:rsidRDefault="00382697" w:rsidP="007C4B82">
      <w:pPr>
        <w:pStyle w:val="ListParagraph"/>
        <w:numPr>
          <w:ilvl w:val="0"/>
          <w:numId w:val="19"/>
        </w:numPr>
      </w:pPr>
      <w:r w:rsidRPr="00DD3D7C">
        <w:rPr>
          <w:b/>
          <w:bCs/>
        </w:rPr>
        <w:t>Rationalisation of Costs and Margin Improvement:</w:t>
      </w:r>
      <w:r>
        <w:t xml:space="preserve"> The company needs to review its cost base through contracting with suppliers, attaining lean production systems, and automating production processes. Another tool that can be used to detect gaps in efficiency is benchmarking to the industry leaders (Grant, 2022).</w:t>
      </w:r>
    </w:p>
    <w:p w14:paraId="5E3C1F68" w14:textId="77777777" w:rsidR="00382697" w:rsidRDefault="00382697" w:rsidP="007C4B82">
      <w:pPr>
        <w:pStyle w:val="ListParagraph"/>
        <w:numPr>
          <w:ilvl w:val="0"/>
          <w:numId w:val="19"/>
        </w:numPr>
      </w:pPr>
      <w:r w:rsidRPr="00DD3D7C">
        <w:rPr>
          <w:b/>
          <w:bCs/>
        </w:rPr>
        <w:lastRenderedPageBreak/>
        <w:t>Optimisation of Working Capital:</w:t>
      </w:r>
      <w:r>
        <w:t xml:space="preserve"> Internal funds can be released through the strengthening of the cash management by increasing payable days moderately, reducing inventory, and incentivising the quicker collection of receivables (Ross et al., 2019).</w:t>
      </w:r>
    </w:p>
    <w:p w14:paraId="438DB278" w14:textId="77777777" w:rsidR="00382697" w:rsidRDefault="00382697" w:rsidP="007C4B82">
      <w:pPr>
        <w:pStyle w:val="ListParagraph"/>
        <w:numPr>
          <w:ilvl w:val="0"/>
          <w:numId w:val="19"/>
        </w:numPr>
      </w:pPr>
      <w:r w:rsidRPr="00DD3D7C">
        <w:rPr>
          <w:b/>
          <w:bCs/>
        </w:rPr>
        <w:t>Restructuring Capital Structure:</w:t>
      </w:r>
      <w:r>
        <w:t xml:space="preserve"> Since the debt-to-equity ratio has increased, the company ought to consider partial debt restructuring or infusion of equity. This will lead to lower solvency and investor confidence through reduction of short-term debt dependence (Brealey et al., 2020).</w:t>
      </w:r>
    </w:p>
    <w:p w14:paraId="2E048FB2" w14:textId="77777777" w:rsidR="00382697" w:rsidRDefault="00DD3D7C" w:rsidP="007C4B82">
      <w:pPr>
        <w:pStyle w:val="ListParagraph"/>
        <w:numPr>
          <w:ilvl w:val="0"/>
          <w:numId w:val="19"/>
        </w:numPr>
      </w:pPr>
      <w:r w:rsidRPr="00DD3D7C">
        <w:rPr>
          <w:b/>
          <w:bCs/>
        </w:rPr>
        <w:t xml:space="preserve">Diversification of Product and </w:t>
      </w:r>
      <w:r w:rsidR="00382697" w:rsidRPr="00DD3D7C">
        <w:rPr>
          <w:b/>
          <w:bCs/>
        </w:rPr>
        <w:t>Market:</w:t>
      </w:r>
      <w:r>
        <w:t xml:space="preserve"> </w:t>
      </w:r>
      <w:r w:rsidR="00382697">
        <w:t>To stabilise revenues, General Electronics must shift towards high margin consumer markets, e.g., green technologies or smart appliances. It is also long-term competitiveness (Grant, 2022) to invest in innovation.</w:t>
      </w:r>
    </w:p>
    <w:p w14:paraId="00095AF0" w14:textId="77777777" w:rsidR="00382697" w:rsidRDefault="00382697" w:rsidP="007C4B82">
      <w:pPr>
        <w:pStyle w:val="ListParagraph"/>
        <w:numPr>
          <w:ilvl w:val="0"/>
          <w:numId w:val="19"/>
        </w:numPr>
      </w:pPr>
      <w:r w:rsidRPr="00DD3D7C">
        <w:rPr>
          <w:b/>
          <w:bCs/>
        </w:rPr>
        <w:t>Ecological and Environmental Protection:</w:t>
      </w:r>
      <w:r w:rsidR="00DD3D7C">
        <w:t xml:space="preserve"> </w:t>
      </w:r>
      <w:r>
        <w:t>Incorporation of environmental, social, and governance (ESG) principles in the business strategy may improve the brand image and engage responsible investors (Koller, Goedhart and Wessels, 2020).</w:t>
      </w:r>
    </w:p>
    <w:p w14:paraId="01F2504E" w14:textId="77777777" w:rsidR="0083694F" w:rsidRDefault="0083694F" w:rsidP="0083694F">
      <w:pPr>
        <w:pStyle w:val="ListParagraph"/>
        <w:rPr>
          <w:b/>
          <w:bCs/>
        </w:rPr>
      </w:pPr>
    </w:p>
    <w:p w14:paraId="47FF6CC5" w14:textId="77777777" w:rsidR="0083694F" w:rsidRDefault="0083694F" w:rsidP="0083694F">
      <w:pPr>
        <w:pStyle w:val="ListParagraph"/>
        <w:rPr>
          <w:b/>
          <w:bCs/>
        </w:rPr>
      </w:pPr>
    </w:p>
    <w:p w14:paraId="2CFC9E0C" w14:textId="77777777" w:rsidR="0083694F" w:rsidRDefault="0083694F" w:rsidP="0083694F">
      <w:pPr>
        <w:pStyle w:val="ListParagraph"/>
        <w:rPr>
          <w:b/>
          <w:bCs/>
        </w:rPr>
      </w:pPr>
    </w:p>
    <w:p w14:paraId="724809DF" w14:textId="77777777" w:rsidR="0083694F" w:rsidRDefault="0083694F" w:rsidP="0083694F">
      <w:pPr>
        <w:pStyle w:val="ListParagraph"/>
        <w:rPr>
          <w:b/>
          <w:bCs/>
        </w:rPr>
      </w:pPr>
    </w:p>
    <w:p w14:paraId="50AFB635" w14:textId="77777777" w:rsidR="0083694F" w:rsidRDefault="0083694F" w:rsidP="0083694F">
      <w:pPr>
        <w:pStyle w:val="ListParagraph"/>
        <w:rPr>
          <w:b/>
          <w:bCs/>
        </w:rPr>
      </w:pPr>
    </w:p>
    <w:p w14:paraId="7FEDF561" w14:textId="77777777" w:rsidR="0083694F" w:rsidRDefault="0083694F" w:rsidP="0083694F">
      <w:pPr>
        <w:pStyle w:val="ListParagraph"/>
        <w:rPr>
          <w:b/>
          <w:bCs/>
        </w:rPr>
      </w:pPr>
    </w:p>
    <w:p w14:paraId="66EB7A2E" w14:textId="77777777" w:rsidR="0083694F" w:rsidRDefault="0083694F" w:rsidP="0083694F">
      <w:pPr>
        <w:pStyle w:val="ListParagraph"/>
        <w:rPr>
          <w:b/>
          <w:bCs/>
        </w:rPr>
      </w:pPr>
    </w:p>
    <w:p w14:paraId="72BB1EC9" w14:textId="77777777" w:rsidR="0083694F" w:rsidRDefault="0083694F" w:rsidP="0083694F">
      <w:pPr>
        <w:pStyle w:val="ListParagraph"/>
        <w:rPr>
          <w:b/>
          <w:bCs/>
        </w:rPr>
      </w:pPr>
    </w:p>
    <w:p w14:paraId="0F98EA53" w14:textId="77777777" w:rsidR="0083694F" w:rsidRDefault="0083694F" w:rsidP="0083694F">
      <w:pPr>
        <w:pStyle w:val="ListParagraph"/>
        <w:rPr>
          <w:b/>
          <w:bCs/>
        </w:rPr>
      </w:pPr>
    </w:p>
    <w:p w14:paraId="78623BCE" w14:textId="77777777" w:rsidR="0083694F" w:rsidRDefault="0083694F" w:rsidP="0083694F">
      <w:pPr>
        <w:pStyle w:val="ListParagraph"/>
        <w:rPr>
          <w:b/>
          <w:bCs/>
        </w:rPr>
      </w:pPr>
    </w:p>
    <w:p w14:paraId="6B9D3CE1" w14:textId="77777777" w:rsidR="0083694F" w:rsidRDefault="0083694F" w:rsidP="0083694F">
      <w:pPr>
        <w:pStyle w:val="ListParagraph"/>
        <w:rPr>
          <w:b/>
          <w:bCs/>
        </w:rPr>
      </w:pPr>
    </w:p>
    <w:p w14:paraId="0A3564ED" w14:textId="77777777" w:rsidR="0083694F" w:rsidRDefault="0083694F" w:rsidP="0083694F">
      <w:pPr>
        <w:pStyle w:val="ListParagraph"/>
        <w:rPr>
          <w:b/>
          <w:bCs/>
        </w:rPr>
      </w:pPr>
    </w:p>
    <w:p w14:paraId="3D6D7BD7" w14:textId="77777777" w:rsidR="0083694F" w:rsidRDefault="0083694F" w:rsidP="0083694F">
      <w:pPr>
        <w:pStyle w:val="ListParagraph"/>
        <w:rPr>
          <w:b/>
          <w:bCs/>
        </w:rPr>
      </w:pPr>
    </w:p>
    <w:p w14:paraId="2C34B33C" w14:textId="77777777" w:rsidR="0083694F" w:rsidRDefault="0083694F" w:rsidP="0083694F">
      <w:pPr>
        <w:pStyle w:val="ListParagraph"/>
        <w:rPr>
          <w:b/>
          <w:bCs/>
        </w:rPr>
      </w:pPr>
    </w:p>
    <w:p w14:paraId="7CCCCD40" w14:textId="77777777" w:rsidR="0083694F" w:rsidRDefault="0083694F" w:rsidP="0083694F">
      <w:pPr>
        <w:pStyle w:val="ListParagraph"/>
      </w:pPr>
    </w:p>
    <w:p w14:paraId="57EB02E4" w14:textId="77777777" w:rsidR="00D6768E" w:rsidRDefault="00D6768E" w:rsidP="00623E68"/>
    <w:p w14:paraId="6DDABB38" w14:textId="77777777" w:rsidR="00755F4E" w:rsidRDefault="00755F4E" w:rsidP="00623E68"/>
    <w:p w14:paraId="7B4D3DBD" w14:textId="77777777" w:rsidR="00623E68" w:rsidRDefault="00A25C4B" w:rsidP="00A25C4B">
      <w:pPr>
        <w:pStyle w:val="Heading1"/>
      </w:pPr>
      <w:bookmarkStart w:id="7" w:name="_Toc213449443"/>
      <w:r>
        <w:lastRenderedPageBreak/>
        <w:t xml:space="preserve">3.0 </w:t>
      </w:r>
      <w:r w:rsidR="00623E68">
        <w:t>Work</w:t>
      </w:r>
      <w:r>
        <w:t>ing Capital Management Analysis</w:t>
      </w:r>
      <w:bookmarkEnd w:id="7"/>
    </w:p>
    <w:p w14:paraId="5D46792A" w14:textId="77777777" w:rsidR="00623E68" w:rsidRDefault="00A25C4B" w:rsidP="007C4B82">
      <w:pPr>
        <w:pStyle w:val="Heading2"/>
        <w:spacing w:line="360" w:lineRule="auto"/>
      </w:pPr>
      <w:bookmarkStart w:id="8" w:name="_Toc213449444"/>
      <w:r>
        <w:t>3.1 Cash Operating Cycle Analysis:</w:t>
      </w:r>
      <w:bookmarkEnd w:id="8"/>
    </w:p>
    <w:p w14:paraId="73A323AF" w14:textId="77777777" w:rsidR="00623E68" w:rsidRDefault="00623E68" w:rsidP="007C4B82">
      <w:r>
        <w:t>The cash operating cycle (COC) is the time it takes a firm to translate its investments on inventory and receivables into cash on sales and it is one of the indicators of liquidity and performance of a business. The past five years of operating cycle of cash flows is strongly fluctuating General Electronics 2020 - 107.83 days, 2021 - 107.98 days, 2022 - 137.20 days, 2023 - 162.40 days, 2024 - 120.85 days. This trend shows a great rise in the cycle in 2022-2023 and it will be followed by a moderate improvement i</w:t>
      </w:r>
      <w:r w:rsidR="00044D48">
        <w:t>n 2024 (Brigham &amp; Ehrhardt, 2019</w:t>
      </w:r>
      <w:r>
        <w:t>).</w:t>
      </w:r>
      <w:r w:rsidR="00611EF1">
        <w:t xml:space="preserve"> It is graphically shown below-</w:t>
      </w:r>
    </w:p>
    <w:p w14:paraId="549CF233" w14:textId="77777777" w:rsidR="00611EF1" w:rsidRDefault="00611EF1" w:rsidP="007C4B82"/>
    <w:p w14:paraId="24047182" w14:textId="77777777" w:rsidR="00611EF1" w:rsidRDefault="00611EF1" w:rsidP="00611EF1">
      <w:pPr>
        <w:jc w:val="center"/>
      </w:pPr>
      <w:r>
        <w:rPr>
          <w:noProof/>
          <w:lang w:val="en-US" w:bidi="bn-BD"/>
        </w:rPr>
        <w:drawing>
          <wp:inline distT="0" distB="0" distL="0" distR="0" wp14:anchorId="5E414FA6" wp14:editId="0A996953">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983600B" w14:textId="77777777" w:rsidR="00611EF1" w:rsidRDefault="00611EF1" w:rsidP="00611EF1">
      <w:pPr>
        <w:jc w:val="center"/>
      </w:pPr>
      <w:r w:rsidRPr="00611EF1">
        <w:rPr>
          <w:b/>
          <w:bCs/>
        </w:rPr>
        <w:t>Table-01</w:t>
      </w:r>
      <w:r>
        <w:t>: Cash Operating Cycle of General Electronics from 2020-2024 (Author).</w:t>
      </w:r>
    </w:p>
    <w:p w14:paraId="20085B57" w14:textId="77777777" w:rsidR="00611EF1" w:rsidRDefault="00611EF1" w:rsidP="00611EF1"/>
    <w:p w14:paraId="7BA4EE2C" w14:textId="77777777" w:rsidR="00A25C4B" w:rsidRDefault="00623E68" w:rsidP="00611EF1">
      <w:r>
        <w:t xml:space="preserve">The high turnover 2021 to 2023 took the form of highest at 162.40 days, which signifies that the company was progressively choosing to gather more time to turn inventory and receivables into cash. There is the possibility of a long period of COC that is caused by the overstocked </w:t>
      </w:r>
      <w:proofErr w:type="gramStart"/>
      <w:r>
        <w:t>inventory;</w:t>
      </w:r>
      <w:proofErr w:type="gramEnd"/>
      <w:r>
        <w:t xml:space="preserve"> delays in the collection of receivables or poor management of payables. </w:t>
      </w:r>
    </w:p>
    <w:p w14:paraId="0151F876" w14:textId="77777777" w:rsidR="00623E68" w:rsidRDefault="00623E68" w:rsidP="007C4B82">
      <w:r>
        <w:t xml:space="preserve">In the case of General Electronics, which functions in a highly competitive and innovation-related consumer electronics market, such inefficiencies might be especially expensive, as there is a danger that the products may become obsolete, and costs on inventory carrying increase </w:t>
      </w:r>
      <w:r>
        <w:lastRenderedPageBreak/>
        <w:t>(Higgins, 2020).</w:t>
      </w:r>
      <w:r w:rsidR="00A25C4B">
        <w:t xml:space="preserve"> </w:t>
      </w:r>
      <w:r>
        <w:t>The fact that the corrective measures which were presumably implemented were minor and the cycle itself stayed above the levels in pre-2022 indicates that the company has not addressed its working capital inefficiencies to its fullest extent, even though it has slightly decreased its days. In relation, an industry-wide COC of over 120 days is high with the implication that a large portion of cash is tied up in operations, instead of being available in investment, debt servicing or strategi</w:t>
      </w:r>
      <w:r w:rsidR="00A25C4B">
        <w:t>c initiatives (Ross et al., 2019</w:t>
      </w:r>
      <w:r>
        <w:t>).</w:t>
      </w:r>
    </w:p>
    <w:p w14:paraId="40B57EB0" w14:textId="77777777" w:rsidR="00623E68" w:rsidRDefault="00A25C4B" w:rsidP="007C4B82">
      <w:pPr>
        <w:pStyle w:val="Heading2"/>
        <w:spacing w:line="360" w:lineRule="auto"/>
      </w:pPr>
      <w:bookmarkStart w:id="9" w:name="_Toc213449445"/>
      <w:r>
        <w:t>3.2 Strategies to Improve Liquidity</w:t>
      </w:r>
      <w:bookmarkEnd w:id="9"/>
    </w:p>
    <w:p w14:paraId="0DCA0C25" w14:textId="77777777" w:rsidR="00623E68" w:rsidRPr="00A25C4B" w:rsidRDefault="00A25C4B" w:rsidP="007C4B82">
      <w:pPr>
        <w:pStyle w:val="Heading3"/>
      </w:pPr>
      <w:bookmarkStart w:id="10" w:name="_Toc213449446"/>
      <w:r>
        <w:t xml:space="preserve">3.2.1 </w:t>
      </w:r>
      <w:r w:rsidR="00623E68" w:rsidRPr="00A25C4B">
        <w:t>Inventory Management</w:t>
      </w:r>
      <w:bookmarkEnd w:id="10"/>
    </w:p>
    <w:p w14:paraId="1B409D18" w14:textId="77777777" w:rsidR="00623E68" w:rsidRDefault="00623E68" w:rsidP="007C4B82">
      <w:r>
        <w:t xml:space="preserve">The inventory in most consumer </w:t>
      </w:r>
      <w:r w:rsidR="00A25C4B">
        <w:t>electronics</w:t>
      </w:r>
      <w:r>
        <w:t xml:space="preserve"> companies is the greatest part of the working capital. Long inventory turnover has a direct impact on the COC and is a waste of capital that might otherwise be used to increase the company or to reduce its debts. The trends in the COCs of General Electronics indicate that the inventory levels could have grown disproportionately to the sales which could have been caused by excessive production or inaccurate forecasting of demand. The adoption of new demand planning methods, including predictive analytics and machine learning will allow maximizing the level of stocks and holding costs.</w:t>
      </w:r>
    </w:p>
    <w:p w14:paraId="18D7574C" w14:textId="77777777" w:rsidR="00623E68" w:rsidRDefault="00623E68" w:rsidP="007C4B82">
      <w:r>
        <w:t xml:space="preserve">In addition, a just-in-time (JIT) strategy will help synchronize procurement with sales data that is underway to reduce stocks that do not move and the threat of obsolescence, which is quite significant in the rapidly changing technological environment of the industry (Higgins, 2020). Regular SKU rationalization could also improve on the slow-moving </w:t>
      </w:r>
      <w:proofErr w:type="gramStart"/>
      <w:r>
        <w:t>stock</w:t>
      </w:r>
      <w:proofErr w:type="gramEnd"/>
      <w:r>
        <w:t xml:space="preserve"> and every capital could be re-invested in high-margin products or innovation-driven projects.</w:t>
      </w:r>
    </w:p>
    <w:p w14:paraId="183CAD38" w14:textId="77777777" w:rsidR="00A25C4B" w:rsidRDefault="00A25C4B" w:rsidP="007C4B82">
      <w:pPr>
        <w:pStyle w:val="Heading3"/>
      </w:pPr>
      <w:bookmarkStart w:id="11" w:name="_Toc213449447"/>
      <w:r>
        <w:t xml:space="preserve">3.2.2 </w:t>
      </w:r>
      <w:r w:rsidR="00623E68" w:rsidRPr="00A25C4B">
        <w:t>Accounts Receivable Management:</w:t>
      </w:r>
      <w:bookmarkEnd w:id="11"/>
      <w:r w:rsidR="00623E68">
        <w:t xml:space="preserve"> </w:t>
      </w:r>
    </w:p>
    <w:p w14:paraId="6ACDF011" w14:textId="77777777" w:rsidR="00623E68" w:rsidRDefault="00623E68" w:rsidP="007C4B82">
      <w:r>
        <w:t>This is also referred to as</w:t>
      </w:r>
      <w:r w:rsidR="00A25C4B">
        <w:t xml:space="preserve"> the accounts receivable department</w:t>
      </w:r>
      <w:r>
        <w:t>.</w:t>
      </w:r>
      <w:r w:rsidR="00A25C4B">
        <w:t xml:space="preserve"> </w:t>
      </w:r>
      <w:r>
        <w:t>The data indicates that General Electronics might have experienced customer payment delays, one of the factors that contributed to the long cycle experienced in 2022-2023. This is important in strengthening credit management policies. It may include carrying out in-depth creditworthiness tests prior to making credit, providing tiered terms of payment depending on risk, and providing incentives to settle bills ahead o</w:t>
      </w:r>
      <w:r w:rsidR="00246644">
        <w:t>f time (Brigham &amp; Ehrhardt, 2019</w:t>
      </w:r>
      <w:r>
        <w:t>).</w:t>
      </w:r>
    </w:p>
    <w:p w14:paraId="797FBB40" w14:textId="77777777" w:rsidR="00623E68" w:rsidRDefault="00623E68" w:rsidP="007C4B82">
      <w:r>
        <w:t xml:space="preserve">Electronic making of invoices and remittance systems may also speed up the process of collections by cutting down the time spent in processing and errors made in administration. Also, </w:t>
      </w:r>
      <w:r>
        <w:lastRenderedPageBreak/>
        <w:t>aged receivables can be monitored continuously, thus indicating overdue accounts, so that proactive steps can be taken to collect accounts impacting negatively on the liquidity.</w:t>
      </w:r>
    </w:p>
    <w:p w14:paraId="343F88DA" w14:textId="77777777" w:rsidR="00A25C4B" w:rsidRDefault="00A25C4B" w:rsidP="007C4B82">
      <w:pPr>
        <w:pStyle w:val="Heading3"/>
      </w:pPr>
      <w:bookmarkStart w:id="12" w:name="_Toc213449448"/>
      <w:r>
        <w:t xml:space="preserve">3.2.3 </w:t>
      </w:r>
      <w:r w:rsidR="00623E68" w:rsidRPr="00A25C4B">
        <w:t>Payable Management:</w:t>
      </w:r>
      <w:bookmarkEnd w:id="12"/>
      <w:r w:rsidR="00623E68">
        <w:t xml:space="preserve"> </w:t>
      </w:r>
    </w:p>
    <w:p w14:paraId="0471DDC1" w14:textId="77777777" w:rsidR="00623E68" w:rsidRDefault="00623E68" w:rsidP="007C4B82">
      <w:r>
        <w:t xml:space="preserve">Optimization of accounts payable provides means through which to increase liquidity without extra funding. The extension of supplier payment terms where feasible will in turn provide a natural buffer within which they can finance their operations. Nevertheless, these steps </w:t>
      </w:r>
      <w:proofErr w:type="gramStart"/>
      <w:r>
        <w:t>have to</w:t>
      </w:r>
      <w:proofErr w:type="gramEnd"/>
      <w:r>
        <w:t xml:space="preserve"> be taken strategically but they should not jeopardize supplier relations and result in fines or supply chain breakdown. The matching of the payables and receivable collection period can even-out the cash flows in short-term without amplified the fi</w:t>
      </w:r>
      <w:r w:rsidR="00A25C4B">
        <w:t>nancial risks (Ross et al., 2019</w:t>
      </w:r>
      <w:r>
        <w:t>).</w:t>
      </w:r>
    </w:p>
    <w:p w14:paraId="1F54DE53" w14:textId="77777777" w:rsidR="00A25C4B" w:rsidRDefault="00A25C4B" w:rsidP="007C4B82">
      <w:pPr>
        <w:pStyle w:val="Heading3"/>
      </w:pPr>
      <w:bookmarkStart w:id="13" w:name="_Toc213449449"/>
      <w:r>
        <w:t xml:space="preserve">3.2.4 </w:t>
      </w:r>
      <w:r w:rsidR="00623E68" w:rsidRPr="00A25C4B">
        <w:t>Cash Management Practices</w:t>
      </w:r>
      <w:r w:rsidRPr="00A25C4B">
        <w:t>:</w:t>
      </w:r>
      <w:bookmarkEnd w:id="13"/>
      <w:r>
        <w:t xml:space="preserve"> </w:t>
      </w:r>
    </w:p>
    <w:p w14:paraId="15E1EC3F" w14:textId="77777777" w:rsidR="00623E68" w:rsidRDefault="00623E68" w:rsidP="007C4B82">
      <w:r>
        <w:t>The cash management system used by General electronics, being a multinational corporation, needs to be centralized. The process of consolidating the cash flow visibility of operations in the global arena can enable real-time observation of the positions in liquidity and effective allocation of surplus funds. Cash pooling, intercompany netting, and short-term investments are all techniques that can maximize idle cash balances and provide adequate liquidity to meet operational requirements (Higgins, 2020).</w:t>
      </w:r>
    </w:p>
    <w:p w14:paraId="1730FB6A" w14:textId="77777777" w:rsidR="00623E68" w:rsidRDefault="00A25C4B" w:rsidP="007C4B82">
      <w:pPr>
        <w:pStyle w:val="Heading2"/>
        <w:spacing w:line="360" w:lineRule="auto"/>
      </w:pPr>
      <w:bookmarkStart w:id="14" w:name="_Toc213449450"/>
      <w:r>
        <w:t>3.3 Short-Term vs Long-Term Financing Options</w:t>
      </w:r>
      <w:bookmarkEnd w:id="14"/>
    </w:p>
    <w:p w14:paraId="4D29D2C5" w14:textId="77777777" w:rsidR="00A25C4B" w:rsidRDefault="00623E68" w:rsidP="007C4B82">
      <w:r>
        <w:t xml:space="preserve">As a solution of liquidity constraints, both short-term and long-term financing sources are supposed to be considered </w:t>
      </w:r>
      <w:proofErr w:type="gramStart"/>
      <w:r>
        <w:t>in regard to</w:t>
      </w:r>
      <w:proofErr w:type="gramEnd"/>
      <w:r>
        <w:t xml:space="preserve"> the working capital requirement of General Electronics.</w:t>
      </w:r>
    </w:p>
    <w:p w14:paraId="5887B16C" w14:textId="77777777" w:rsidR="00623E68" w:rsidRDefault="00A25C4B" w:rsidP="007C4B82">
      <w:r w:rsidRPr="00A25C4B">
        <w:rPr>
          <w:b/>
          <w:bCs/>
        </w:rPr>
        <w:t>Short term financing</w:t>
      </w:r>
      <w:r w:rsidR="00623E68">
        <w:t xml:space="preserve"> in the form of revolving credit, trade credit and factoring will give instant access to liquidity to take care of any changes in receivables or inventory needs. These instruments also are adaptable and sensitive to the requirements of operations but may have increased interest rates and refinancing risks when cash flows are b</w:t>
      </w:r>
      <w:r w:rsidR="00246644">
        <w:t>ound (Brigham and Ehrhardt, 2019</w:t>
      </w:r>
      <w:r w:rsidR="00623E68">
        <w:t>). As an example, over-utilizing short term debt to finance inventory can increase financial leverage but not solve the inefficiency in the working capital management.</w:t>
      </w:r>
    </w:p>
    <w:p w14:paraId="68AE5E9D" w14:textId="77777777" w:rsidR="00623E68" w:rsidRDefault="00623E68" w:rsidP="007C4B82">
      <w:r>
        <w:t xml:space="preserve">Financed with </w:t>
      </w:r>
      <w:r w:rsidRPr="00A25C4B">
        <w:rPr>
          <w:b/>
          <w:bCs/>
        </w:rPr>
        <w:t>long-term financing</w:t>
      </w:r>
      <w:r>
        <w:t xml:space="preserve"> which may include bonds or equity issues or long-term loans is used to fund the strategic investments in infrastructure, technology or automation. These instruments are more expensive in terms of interest payments, but stable enough that enable the company to make systemic changes that make the COC less expensive in the short and long </w:t>
      </w:r>
      <w:r>
        <w:lastRenderedPageBreak/>
        <w:t>term. Examples here are the deployment of integrated enterprise resource planning (ERP) systems or automated receivable management tools, which involve high costs initially but will provide long-term benefits of operation effici</w:t>
      </w:r>
      <w:r w:rsidR="00A25C4B">
        <w:t>ency payments (Ross et al., 2019</w:t>
      </w:r>
      <w:r>
        <w:t>).</w:t>
      </w:r>
    </w:p>
    <w:p w14:paraId="047099D6" w14:textId="77777777" w:rsidR="00623E68" w:rsidRDefault="00623E68" w:rsidP="007C4B82">
      <w:r>
        <w:t xml:space="preserve">A combined solution is also frequently the best: both short and long-term financing may support short-term operational liquidity requirements, but long-term financing may support the implementation of long-term strategic working capital changes. Risk mitigation through the balancing of the two also helps to avoid the need to overly rely on short-term credit markets that persist in volatility, </w:t>
      </w:r>
      <w:proofErr w:type="gramStart"/>
      <w:r>
        <w:t>and also</w:t>
      </w:r>
      <w:proofErr w:type="gramEnd"/>
      <w:r>
        <w:t xml:space="preserve"> it ensures that the company </w:t>
      </w:r>
      <w:proofErr w:type="gramStart"/>
      <w:r>
        <w:t>is able to</w:t>
      </w:r>
      <w:proofErr w:type="gramEnd"/>
      <w:r>
        <w:t xml:space="preserve"> continue running operations even as it looks to make efficiency gains (Higgins, 2020).</w:t>
      </w:r>
    </w:p>
    <w:p w14:paraId="6ECA5053" w14:textId="77777777" w:rsidR="0083694F" w:rsidRDefault="0083694F" w:rsidP="007C4B82"/>
    <w:p w14:paraId="62787916" w14:textId="77777777" w:rsidR="0083694F" w:rsidRDefault="0083694F" w:rsidP="00623E68"/>
    <w:p w14:paraId="42CA2146" w14:textId="77777777" w:rsidR="0083694F" w:rsidRDefault="0083694F" w:rsidP="00623E68"/>
    <w:p w14:paraId="5F6B63ED" w14:textId="77777777" w:rsidR="0083694F" w:rsidRDefault="0083694F" w:rsidP="00623E68"/>
    <w:p w14:paraId="35E571B6" w14:textId="77777777" w:rsidR="00755F4E" w:rsidRDefault="00755F4E" w:rsidP="00623E68"/>
    <w:p w14:paraId="3E481B33" w14:textId="77777777" w:rsidR="00755F4E" w:rsidRDefault="00755F4E" w:rsidP="00623E68"/>
    <w:p w14:paraId="6F484353" w14:textId="77777777" w:rsidR="00755F4E" w:rsidRDefault="00755F4E" w:rsidP="00623E68"/>
    <w:p w14:paraId="424BB226" w14:textId="77777777" w:rsidR="00755F4E" w:rsidRDefault="00755F4E" w:rsidP="00623E68"/>
    <w:p w14:paraId="6CFE4454" w14:textId="77777777" w:rsidR="00755F4E" w:rsidRDefault="00755F4E" w:rsidP="00623E68"/>
    <w:p w14:paraId="71903343" w14:textId="77777777" w:rsidR="00755F4E" w:rsidRDefault="00755F4E" w:rsidP="00623E68"/>
    <w:p w14:paraId="440B8EFF" w14:textId="77777777" w:rsidR="00755F4E" w:rsidRDefault="00755F4E" w:rsidP="00623E68"/>
    <w:p w14:paraId="0A7997A5" w14:textId="77777777" w:rsidR="00755F4E" w:rsidRDefault="00755F4E" w:rsidP="00623E68"/>
    <w:p w14:paraId="75BB4199" w14:textId="77777777" w:rsidR="00755F4E" w:rsidRDefault="00755F4E" w:rsidP="00623E68"/>
    <w:p w14:paraId="2BD06E50" w14:textId="77777777" w:rsidR="00755F4E" w:rsidRDefault="00755F4E" w:rsidP="00623E68"/>
    <w:p w14:paraId="7624C3E8" w14:textId="77777777" w:rsidR="00755F4E" w:rsidRDefault="00755F4E" w:rsidP="00623E68"/>
    <w:p w14:paraId="7B7C9B1B" w14:textId="77777777" w:rsidR="00755F4E" w:rsidRDefault="00755F4E" w:rsidP="00623E68"/>
    <w:p w14:paraId="7657565D" w14:textId="77777777" w:rsidR="00755F4E" w:rsidRDefault="00755F4E" w:rsidP="00623E68"/>
    <w:p w14:paraId="0F991BDC" w14:textId="77777777" w:rsidR="00755F4E" w:rsidRDefault="00755F4E" w:rsidP="00623E68"/>
    <w:p w14:paraId="7FCE73F3" w14:textId="77777777" w:rsidR="00755F4E" w:rsidRDefault="00755F4E" w:rsidP="00623E68"/>
    <w:p w14:paraId="2E4337DA" w14:textId="77777777" w:rsidR="0083694F" w:rsidRDefault="0083694F" w:rsidP="00623E68"/>
    <w:p w14:paraId="63C2625C" w14:textId="77777777" w:rsidR="00E13DFA" w:rsidRDefault="00E13DFA" w:rsidP="006D5AD2"/>
    <w:p w14:paraId="33445E28" w14:textId="77777777" w:rsidR="00246644" w:rsidRDefault="0083694F" w:rsidP="0083694F">
      <w:pPr>
        <w:pStyle w:val="Heading1"/>
        <w:spacing w:line="360" w:lineRule="auto"/>
      </w:pPr>
      <w:bookmarkStart w:id="15" w:name="_Toc213449451"/>
      <w:r>
        <w:lastRenderedPageBreak/>
        <w:t xml:space="preserve">4.0 </w:t>
      </w:r>
      <w:r w:rsidR="00246644">
        <w:t xml:space="preserve">Strategic </w:t>
      </w:r>
      <w:r>
        <w:t>Financial Restructuring Options</w:t>
      </w:r>
      <w:bookmarkEnd w:id="15"/>
    </w:p>
    <w:p w14:paraId="60DCEC3C" w14:textId="77777777" w:rsidR="003030AB" w:rsidRDefault="00246644" w:rsidP="0083694F">
      <w:r>
        <w:t xml:space="preserve">General Electronics is struggling with the issue of regaining the lost financial stability, even as it tries to seek the growth avenues on a competitive consumer electronics market. </w:t>
      </w:r>
      <w:r w:rsidRPr="0083694F">
        <w:rPr>
          <w:b/>
          <w:bCs/>
        </w:rPr>
        <w:t xml:space="preserve">Divestiture </w:t>
      </w:r>
      <w:r>
        <w:t xml:space="preserve">is one of the most realistic short term restructuring instruments. This strategy consists of disposing of business units that either perform poorly or are not considered core to the business to create an immediate liquidity, leverage, and sharpen the strategy (Kruk, 2021). At General Electric, the sale of the </w:t>
      </w:r>
      <w:r w:rsidR="0083694F">
        <w:t>out-dated</w:t>
      </w:r>
      <w:r>
        <w:t xml:space="preserve"> product lines that have been facing decreasing demand or low-level profitability</w:t>
      </w:r>
      <w:r w:rsidR="0083694F">
        <w:t xml:space="preserve"> will help the company to fulfi</w:t>
      </w:r>
      <w:r>
        <w:t xml:space="preserve">l capital that it can invest in the new areas of high growth like smart devices, wearable, and digital services. In addition to financial issues, divestiture can also provide an opportunity to streamline and reduce the complexity of </w:t>
      </w:r>
      <w:proofErr w:type="gramStart"/>
      <w:r>
        <w:t>managers, and</w:t>
      </w:r>
      <w:proofErr w:type="gramEnd"/>
      <w:r>
        <w:t xml:space="preserve"> concentrate resources on those markets that have competitive advantages. Nevertheless, the ethical and operating factors play an important role. </w:t>
      </w:r>
    </w:p>
    <w:p w14:paraId="165FB37C" w14:textId="77777777" w:rsidR="00246644" w:rsidRDefault="00246644" w:rsidP="0083694F">
      <w:r>
        <w:t xml:space="preserve">The second form of strategy is to seek </w:t>
      </w:r>
      <w:r w:rsidRPr="0083694F">
        <w:rPr>
          <w:b/>
          <w:bCs/>
        </w:rPr>
        <w:t>mergers, acquisitions or strategic alliances</w:t>
      </w:r>
      <w:r>
        <w:t xml:space="preserve">. Among the most important advantages of mergers are scale economies, greater access to markets, complements, and the increased revenue opportunities (Clark and Ofek, 2009). In the case of General Electronics, a merger with a competitor having technological orientation or a strategic alliance with a foreign partner would open new markets, shorten the innovation process, and create operational synergies. Indicatively, supply chain merge can lead to lower production costs, and joint research and development efforts would increase product development. However, mergers have risks attached with them. Debt financing could embark a merger on higher leverage and operational flexibility, which would put the company in line with the risks of interest rates and insolvency. Issues of integration such as ensuring cultural fit, balancing the IT systems, and harmonizing management structures can doom the expected benefits in case they are not well handled. And above all, there is the international factors that </w:t>
      </w:r>
      <w:proofErr w:type="gramStart"/>
      <w:r>
        <w:t>have to</w:t>
      </w:r>
      <w:proofErr w:type="gramEnd"/>
      <w:r>
        <w:t xml:space="preserve"> be kept in mind like cross-border taxation, regulatory permits and foreign </w:t>
      </w:r>
      <w:proofErr w:type="spellStart"/>
      <w:r>
        <w:t>foreign</w:t>
      </w:r>
      <w:proofErr w:type="spellEnd"/>
      <w:r>
        <w:t xml:space="preserve"> exchange risk that will introduce a cinema of complexity (Baker and Riddick, 2012). An in-depth risk assessment and due diligence would be necessary to determine the possible synergies, the issues with operations, and the cultural and legal obstacles.</w:t>
      </w:r>
    </w:p>
    <w:p w14:paraId="70754EEC" w14:textId="77777777" w:rsidR="00246644" w:rsidRDefault="00246644" w:rsidP="0083694F">
      <w:r>
        <w:t xml:space="preserve">A third important restructuring instrument is </w:t>
      </w:r>
      <w:r w:rsidRPr="0083694F">
        <w:rPr>
          <w:b/>
          <w:bCs/>
        </w:rPr>
        <w:t>equity injection</w:t>
      </w:r>
      <w:r>
        <w:t xml:space="preserve"> which is a tool to provide a means to make the balance sheet stronger and to minimize financial weakness. General Electronics can </w:t>
      </w:r>
      <w:r>
        <w:lastRenderedPageBreak/>
        <w:t xml:space="preserve">strengthen its capital base, enhance liquidity, and decrease the debt-to-equity ratio by issuing new shares in a rights offering, public issuance, or strategic placement, through a private equity offering (Kruk, 2021). This would be a viable option that would be applicable especially in the light of the long operating cycle (or cash) of the company and liquidity strains. Bringing equity enables one to invest in technology upgrades, digitizing the world, and expansion plans without needing to make fixed interest payments on the same. Nevertheless, equity issue has repercussions to existing shareholders because they can be diluted and clear communication as well as fair management of investors is necessary. </w:t>
      </w:r>
    </w:p>
    <w:p w14:paraId="5F619A62" w14:textId="77777777" w:rsidR="00246644" w:rsidRDefault="0083694F" w:rsidP="0083694F">
      <w:pPr>
        <w:pStyle w:val="Heading2"/>
        <w:spacing w:line="360" w:lineRule="auto"/>
      </w:pPr>
      <w:bookmarkStart w:id="16" w:name="_Toc213449452"/>
      <w:r>
        <w:t xml:space="preserve">4.1 </w:t>
      </w:r>
      <w:r w:rsidR="00246644">
        <w:t>Shareholder Value, Debt Struct</w:t>
      </w:r>
      <w:r>
        <w:t>ure and Operational Flexibility</w:t>
      </w:r>
      <w:bookmarkEnd w:id="16"/>
    </w:p>
    <w:p w14:paraId="3E6C9BF6" w14:textId="77777777" w:rsidR="00246644" w:rsidRDefault="00246644" w:rsidP="0083694F">
      <w:r>
        <w:t xml:space="preserve">Shareholder value is influenced by each of the restructuring options. Divestitures have the potential to enhance the effectiveness of the use of capital (return on capital employed or ROCE) by eliminating unproductive assets and putting the management funds into more productive operations; this can lead to a better image of strategic confidence in the market (Xue and Chang, 2024). But </w:t>
      </w:r>
      <w:proofErr w:type="gramStart"/>
      <w:r>
        <w:t>short term</w:t>
      </w:r>
      <w:proofErr w:type="gramEnd"/>
      <w:r>
        <w:t xml:space="preserve"> loss of revenue due to asset sales should be replaced by an investment on profitable ventures to prevent backlash by the market. The new value in mergers and alliances can bring all these much shareholder value in the form of operational synergies, increase in revenues and a stronger market presence but this depends on the fusion and a well-understood evaluation of returns (Clark and Ofek, 2009). The equity injections enhance financial stability and investor confidence, which may lead to higher market valuation over time, but needs to be combined with strategic initiatives that are to be clearly spelled out to warrant the dilution to shareholders and make </w:t>
      </w:r>
      <w:r w:rsidR="0083694F">
        <w:t>investors trust the investment.</w:t>
      </w:r>
    </w:p>
    <w:p w14:paraId="67A7F798" w14:textId="77777777" w:rsidR="00246644" w:rsidRDefault="0083694F" w:rsidP="0083694F">
      <w:r>
        <w:t xml:space="preserve">In terms of debt, divestiture implies the cash inflow, capable of reducing leverage and interest payments, which makes it stronger in terms of liquidity and finances (Xue and Chang, 2024). Mergers </w:t>
      </w:r>
      <w:proofErr w:type="gramStart"/>
      <w:r>
        <w:t>are able to</w:t>
      </w:r>
      <w:proofErr w:type="gramEnd"/>
      <w:r>
        <w:t xml:space="preserve"> augment or perfect leverage depending on the financing structure: the debt-financed acquisition augments </w:t>
      </w:r>
      <w:proofErr w:type="gramStart"/>
      <w:r>
        <w:t>leverage, but</w:t>
      </w:r>
      <w:proofErr w:type="gramEnd"/>
      <w:r>
        <w:t xml:space="preserve"> could be counter-optimized by the economy of scale, and the equity-funded merger makes them less adaptable at the expense of the potential tax shields on debt. </w:t>
      </w:r>
      <w:r w:rsidR="00246644">
        <w:t xml:space="preserve">Equity injections directly contribute to the operational flexibility by minimising the dependence on constant financial requirements, investing into high-priority areas and buffers against the market fluctuations. It requires a moderate course of actions, focusing on moderate </w:t>
      </w:r>
      <w:r w:rsidR="00246644">
        <w:lastRenderedPageBreak/>
        <w:t xml:space="preserve">level of debts, and intelligent distribution of assets to maintain flexibility in the operations, </w:t>
      </w:r>
      <w:proofErr w:type="gramStart"/>
      <w:r w:rsidR="00246644">
        <w:t>as we</w:t>
      </w:r>
      <w:r>
        <w:t>ll as,</w:t>
      </w:r>
      <w:proofErr w:type="gramEnd"/>
      <w:r>
        <w:t xml:space="preserve"> sustainable development.</w:t>
      </w:r>
    </w:p>
    <w:p w14:paraId="31D26A25" w14:textId="77777777" w:rsidR="00246644" w:rsidRDefault="0083694F" w:rsidP="0083694F">
      <w:pPr>
        <w:pStyle w:val="Heading2"/>
        <w:spacing w:line="360" w:lineRule="auto"/>
      </w:pPr>
      <w:bookmarkStart w:id="17" w:name="_Toc213449453"/>
      <w:r>
        <w:t xml:space="preserve">4.2 </w:t>
      </w:r>
      <w:r w:rsidR="00246644">
        <w:t>Ethical and Internation</w:t>
      </w:r>
      <w:r>
        <w:t>al Concerns</w:t>
      </w:r>
      <w:bookmarkEnd w:id="17"/>
    </w:p>
    <w:p w14:paraId="703EE4CE" w14:textId="77777777" w:rsidR="00246644" w:rsidRDefault="00246644" w:rsidP="0083694F">
      <w:r>
        <w:t>Because of the international business of General Electronics, restructuring should take into consideration taxation, currency risk, and compliance with regulatory laws. Transactions across borders such as cross-border divestiture and mergers can cause complex taxes such as withholding tax, exit tax and even adhering to rules of transfer pricing (PWC, 2024). There is also currency exposure which has an impact on both operational cash flow as well as valuation because the revenues and the cost in different currencies add volatility. To avert such a risk, forward contracts, options and natural hedges are important to hedge (Baker and Riddick, 2012). The inflation risk also makes the restructuring even more complicated, especially in the new market where the price fluctuation might affect the working capital needs and the cost of capital (Das, Hasan and Sutradhar, 2024). Sensitivity searching and the use of inflation-adjusted forecasts in the financial models will guarantee realistic distribution of capital and investment planning.</w:t>
      </w:r>
    </w:p>
    <w:p w14:paraId="37DCAB19" w14:textId="77777777" w:rsidR="0083694F" w:rsidRDefault="0083694F" w:rsidP="0083694F">
      <w:r>
        <w:t xml:space="preserve">Rationalization of the workforce, shedding off the assets and mergers should be respectful towards the rights of </w:t>
      </w:r>
      <w:proofErr w:type="gramStart"/>
      <w:r>
        <w:t>employees</w:t>
      </w:r>
      <w:proofErr w:type="gramEnd"/>
      <w:r>
        <w:t xml:space="preserve"> and it should provide proactive communication concepts. A problem-solving guideline of corporate social responsibility should be in place where environmental, social, and governance commitments are ensured during financial transition, regionally and </w:t>
      </w:r>
      <w:proofErr w:type="gramStart"/>
      <w:r>
        <w:t>at all times</w:t>
      </w:r>
      <w:proofErr w:type="gramEnd"/>
      <w:r>
        <w:t xml:space="preserve"> (</w:t>
      </w:r>
      <w:proofErr w:type="spellStart"/>
      <w:r>
        <w:t>Ambarwati</w:t>
      </w:r>
      <w:proofErr w:type="spellEnd"/>
      <w:r>
        <w:t xml:space="preserve"> &amp; Haryono, 2020). </w:t>
      </w:r>
    </w:p>
    <w:p w14:paraId="279CA617" w14:textId="77777777" w:rsidR="0083694F" w:rsidRDefault="0083694F" w:rsidP="0083694F">
      <w:pPr>
        <w:pStyle w:val="Heading2"/>
        <w:spacing w:line="360" w:lineRule="auto"/>
      </w:pPr>
      <w:bookmarkStart w:id="18" w:name="_Toc213449454"/>
      <w:r>
        <w:t>4.3 Phased and Comprehensive Restructuring plan</w:t>
      </w:r>
      <w:bookmarkEnd w:id="18"/>
    </w:p>
    <w:p w14:paraId="3F9C8930" w14:textId="77777777" w:rsidR="00485708" w:rsidRDefault="0083694F" w:rsidP="00485708">
      <w:r>
        <w:t xml:space="preserve">General Electronics should be implemented in a phased manner through an integrated strategy. First, non-core businesses in the mature markets can be divested to create easy liquidity and leverage. Future strategic mergers/alliances in growth markets can be used to reach more markets and motivate economies of scale, whereas thoughtful positioning of integration risk and debt capital maintains a flexible stance. Lastly, the equity injection will be able to offer funds to the process of international expansion, computerization and the development of products. In this progressive way one can have a limited exposure to </w:t>
      </w:r>
      <w:proofErr w:type="gramStart"/>
      <w:r>
        <w:t>risk, but</w:t>
      </w:r>
      <w:proofErr w:type="gramEnd"/>
      <w:r>
        <w:t xml:space="preserve"> still have a clear focus on strategic priorities over the long term. </w:t>
      </w:r>
    </w:p>
    <w:p w14:paraId="7347BF31" w14:textId="77777777" w:rsidR="00485708" w:rsidRDefault="00485708" w:rsidP="00485708">
      <w:pPr>
        <w:pStyle w:val="Heading1"/>
      </w:pPr>
      <w:bookmarkStart w:id="19" w:name="_Toc213449455"/>
      <w:r>
        <w:lastRenderedPageBreak/>
        <w:t>5.0 Investment Analysis and Capital Budgeting</w:t>
      </w:r>
      <w:bookmarkEnd w:id="19"/>
      <w:r>
        <w:t xml:space="preserve"> </w:t>
      </w:r>
    </w:p>
    <w:p w14:paraId="227EA2F4" w14:textId="77777777" w:rsidR="00485708" w:rsidRDefault="00485708" w:rsidP="00485708">
      <w:pPr>
        <w:pStyle w:val="Heading2"/>
      </w:pPr>
      <w:bookmarkStart w:id="20" w:name="_Toc213449456"/>
      <w:r>
        <w:t>5.1 Capital Budgeting Results Analysis</w:t>
      </w:r>
      <w:bookmarkEnd w:id="20"/>
      <w:r>
        <w:t xml:space="preserve"> </w:t>
      </w:r>
    </w:p>
    <w:p w14:paraId="6F3E308C" w14:textId="77777777" w:rsidR="00485708" w:rsidRDefault="00485708" w:rsidP="00485708">
      <w:pPr>
        <w:pStyle w:val="Heading3"/>
      </w:pPr>
      <w:bookmarkStart w:id="21" w:name="_Toc213449457"/>
      <w:r>
        <w:t>5.1.1 Payback Period (PBP)</w:t>
      </w:r>
      <w:bookmarkEnd w:id="21"/>
    </w:p>
    <w:p w14:paraId="3FD956C2" w14:textId="77777777" w:rsidR="00485708" w:rsidRDefault="00485708" w:rsidP="00485708">
      <w:r>
        <w:t>The PBP is an investment liquidity ratio, which is a simple way of identifying the rate at which an investment will cover the initial cost of the investment based on the cumulative net cash inflows to the investment. As per Brealey, Myers and Allen (2020), the shorter the payback period, the better the financial flexibility that is especially important to the firm with a liquidity constraint.</w:t>
      </w:r>
    </w:p>
    <w:p w14:paraId="0FE21989" w14:textId="77777777" w:rsidR="00485708" w:rsidRDefault="00485708" w:rsidP="00485708">
      <w:r>
        <w:t xml:space="preserve">In the case of General Electronics, which has been borne by a growing pressure on the short-term debt and restricted working capital, a reduced payback period is a crucial protection against insolvency of the cash flows. Project A has a payback of 3.40 years, and project C has a payback of 3.60 years both of which are not bad in terms of a </w:t>
      </w:r>
      <w:proofErr w:type="gramStart"/>
      <w:r>
        <w:t>5 year</w:t>
      </w:r>
      <w:proofErr w:type="gramEnd"/>
      <w:r>
        <w:t xml:space="preserve"> planning horizon. </w:t>
      </w:r>
      <w:r w:rsidR="00933AE0">
        <w:t xml:space="preserve">In contrast, </w:t>
      </w:r>
      <w:r>
        <w:t>Project B has a payback of 5 years, which is the same term or time of operation, meaning little liquidity advantage and risky operations.</w:t>
      </w:r>
    </w:p>
    <w:p w14:paraId="6FFA5410" w14:textId="77777777" w:rsidR="00485708" w:rsidRDefault="00044D48" w:rsidP="00044D48">
      <w:pPr>
        <w:pStyle w:val="Heading3"/>
      </w:pPr>
      <w:bookmarkStart w:id="22" w:name="_Toc213449458"/>
      <w:r>
        <w:t xml:space="preserve">5.1.2 </w:t>
      </w:r>
      <w:r w:rsidR="00485708">
        <w:t>Accounting Rate of Return</w:t>
      </w:r>
      <w:bookmarkEnd w:id="22"/>
      <w:r w:rsidR="00485708">
        <w:t xml:space="preserve"> </w:t>
      </w:r>
    </w:p>
    <w:p w14:paraId="7177EBF6" w14:textId="77777777" w:rsidR="00485708" w:rsidRDefault="00485708" w:rsidP="00485708">
      <w:r>
        <w:t xml:space="preserve">ARR calculates the profitability on accounting basis, which is calculated as average profit realized per year compared to the initial investment (Arnold and Lewis, 2019). It is also useful, </w:t>
      </w:r>
      <w:proofErr w:type="gramStart"/>
      <w:r>
        <w:t>in regard to</w:t>
      </w:r>
      <w:proofErr w:type="gramEnd"/>
      <w:r>
        <w:t xml:space="preserve"> assessing the firm in line with its goals of improving profitability.</w:t>
      </w:r>
    </w:p>
    <w:p w14:paraId="20A429D7" w14:textId="77777777" w:rsidR="00485708" w:rsidRDefault="00485708" w:rsidP="00485708">
      <w:r>
        <w:t>Project C in this case has the best ARR of 10 which is considerably much higher than the projected average of 5% returns that General Electronics has attained over the last five years. Project A comes second with 7% followed by Project B with 0% implying the profitability is insignificant. The zero payback of Project B indicates low profit, stable-cash situation which cannot pay the opportunity cost of capital.</w:t>
      </w:r>
    </w:p>
    <w:p w14:paraId="54E5DF1E" w14:textId="77777777" w:rsidR="00485708" w:rsidRDefault="00485708" w:rsidP="00485708">
      <w:r>
        <w:t xml:space="preserve">Since the trend of profitability at General Electronics is negative, considering the outcome of the ARR, the projects A and C would reinforce the accounting returns and the profitability of the project performance. The fact that project C has a superior ARR makes it attended to the fact that the project will help improve the firms deteriorating earnings margin and earnings per asset. However, ARR is disadvantaged by the assumption of disregarding time value of money and risks of cash flows (Arnold, 2021). </w:t>
      </w:r>
    </w:p>
    <w:p w14:paraId="11AD5CB7" w14:textId="77777777" w:rsidR="00485708" w:rsidRDefault="00044D48" w:rsidP="00044D48">
      <w:pPr>
        <w:pStyle w:val="Heading3"/>
      </w:pPr>
      <w:bookmarkStart w:id="23" w:name="_Toc213449459"/>
      <w:r>
        <w:lastRenderedPageBreak/>
        <w:t xml:space="preserve">5.1.3 </w:t>
      </w:r>
      <w:r w:rsidR="00485708">
        <w:t>Net Present Value (NPV)</w:t>
      </w:r>
      <w:bookmarkEnd w:id="23"/>
    </w:p>
    <w:p w14:paraId="42CA91A7" w14:textId="77777777" w:rsidR="00485708" w:rsidRDefault="00485708" w:rsidP="00485708">
      <w:r>
        <w:t>NPV is regarded as the strongest tool of investment appraisal since it is a direct measure of how value is created to shareholders (Damodaran, 2021). It discounts future cash flows that are expected to flow in discounting the cost of capital to the company and in this instance, it is 10%.</w:t>
      </w:r>
    </w:p>
    <w:p w14:paraId="70427DD8" w14:textId="77777777" w:rsidR="00485708" w:rsidRDefault="00485708" w:rsidP="00485708">
      <w:r>
        <w:t>In the case of General electronics, the outcomes of the NPV are very much telling:</w:t>
      </w:r>
    </w:p>
    <w:p w14:paraId="41E2C0ED" w14:textId="77777777" w:rsidR="00485708" w:rsidRDefault="00485708" w:rsidP="00485708">
      <w:pPr>
        <w:pStyle w:val="ListParagraph"/>
        <w:numPr>
          <w:ilvl w:val="0"/>
          <w:numId w:val="25"/>
        </w:numPr>
      </w:pPr>
      <w:r>
        <w:t>Project C yields £4.23m,</w:t>
      </w:r>
    </w:p>
    <w:p w14:paraId="33102EDF" w14:textId="77777777" w:rsidR="00485708" w:rsidRDefault="00485708" w:rsidP="00485708">
      <w:pPr>
        <w:pStyle w:val="ListParagraph"/>
        <w:numPr>
          <w:ilvl w:val="0"/>
          <w:numId w:val="25"/>
        </w:numPr>
      </w:pPr>
      <w:r>
        <w:t>Project A yields £1.32 million,</w:t>
      </w:r>
    </w:p>
    <w:p w14:paraId="0EE2F4A3" w14:textId="77777777" w:rsidR="00485708" w:rsidRDefault="00485708" w:rsidP="00485708">
      <w:pPr>
        <w:pStyle w:val="ListParagraph"/>
        <w:numPr>
          <w:ilvl w:val="0"/>
          <w:numId w:val="25"/>
        </w:numPr>
      </w:pPr>
      <w:r>
        <w:t>The NPV of project B is negative of £7.26 million.</w:t>
      </w:r>
    </w:p>
    <w:p w14:paraId="33CFB99A" w14:textId="77777777" w:rsidR="00485708" w:rsidRDefault="00485708" w:rsidP="00485708">
      <w:r>
        <w:t>The positive NPV of projects A and C attest that they can be useful in raising shareholder wealth, whereas Project B would ruin shareholder wealth. The NPV analysis can also be aligned with the General Electronics strategic objective to rebuild investor confidence by conducting projects that increase the value of equity and the long-term solvency (Ross et al., 2022).</w:t>
      </w:r>
    </w:p>
    <w:p w14:paraId="43101F1D" w14:textId="77777777" w:rsidR="00485708" w:rsidRDefault="00044D48" w:rsidP="00044D48">
      <w:pPr>
        <w:pStyle w:val="Heading3"/>
      </w:pPr>
      <w:bookmarkStart w:id="24" w:name="_Toc213449460"/>
      <w:r>
        <w:t xml:space="preserve">5.1.4 </w:t>
      </w:r>
      <w:r w:rsidR="00485708">
        <w:t>Profitability Index (PI)</w:t>
      </w:r>
      <w:bookmarkEnd w:id="24"/>
    </w:p>
    <w:p w14:paraId="5C867107" w14:textId="77777777" w:rsidR="00485708" w:rsidRDefault="00485708" w:rsidP="00485708">
      <w:r>
        <w:t xml:space="preserve">To evaluate the efficiency of investment the PI calculates the relationship between the present and future cash flows with the starting investment (Brealey et al., 2020). It is specifically applied when there is a shortage of capital and the decision-makers need to ensure that their profits are maximum starting with the </w:t>
      </w:r>
      <w:proofErr w:type="gramStart"/>
      <w:r>
        <w:t>amount</w:t>
      </w:r>
      <w:proofErr w:type="gramEnd"/>
      <w:r>
        <w:t xml:space="preserve"> of resources they use.</w:t>
      </w:r>
    </w:p>
    <w:p w14:paraId="2CAAFD0D" w14:textId="77777777" w:rsidR="00485708" w:rsidRDefault="00485708" w:rsidP="00485708">
      <w:r>
        <w:t>In the case of General Electronics, PI is summarized in the table below-</w:t>
      </w:r>
    </w:p>
    <w:tbl>
      <w:tblPr>
        <w:tblStyle w:val="TableGrid"/>
        <w:tblW w:w="0" w:type="auto"/>
        <w:jc w:val="center"/>
        <w:tblLook w:val="04A0" w:firstRow="1" w:lastRow="0" w:firstColumn="1" w:lastColumn="0" w:noHBand="0" w:noVBand="1"/>
      </w:tblPr>
      <w:tblGrid>
        <w:gridCol w:w="4379"/>
        <w:gridCol w:w="4379"/>
      </w:tblGrid>
      <w:tr w:rsidR="00485708" w:rsidRPr="00485708" w14:paraId="1EE2F6AC" w14:textId="77777777" w:rsidTr="00F55612">
        <w:trPr>
          <w:trHeight w:val="391"/>
          <w:jc w:val="center"/>
        </w:trPr>
        <w:tc>
          <w:tcPr>
            <w:tcW w:w="4379" w:type="dxa"/>
            <w:shd w:val="clear" w:color="auto" w:fill="B8CCE4" w:themeFill="accent1" w:themeFillTint="66"/>
          </w:tcPr>
          <w:p w14:paraId="36BA9797" w14:textId="77777777" w:rsidR="00485708" w:rsidRPr="00485708" w:rsidRDefault="00485708" w:rsidP="00485708">
            <w:pPr>
              <w:jc w:val="center"/>
              <w:rPr>
                <w:rFonts w:ascii="Times New Roman" w:hAnsi="Times New Roman" w:cs="Times New Roman"/>
                <w:b/>
                <w:bCs/>
                <w:sz w:val="24"/>
                <w:szCs w:val="24"/>
              </w:rPr>
            </w:pPr>
            <w:r w:rsidRPr="00485708">
              <w:rPr>
                <w:rFonts w:ascii="Times New Roman" w:hAnsi="Times New Roman" w:cs="Times New Roman"/>
                <w:b/>
                <w:bCs/>
                <w:sz w:val="24"/>
                <w:szCs w:val="24"/>
              </w:rPr>
              <w:t>Projects</w:t>
            </w:r>
          </w:p>
        </w:tc>
        <w:tc>
          <w:tcPr>
            <w:tcW w:w="4379" w:type="dxa"/>
            <w:shd w:val="clear" w:color="auto" w:fill="B8CCE4" w:themeFill="accent1" w:themeFillTint="66"/>
          </w:tcPr>
          <w:p w14:paraId="2F565AB7" w14:textId="77777777" w:rsidR="00485708" w:rsidRPr="00485708" w:rsidRDefault="00485708" w:rsidP="00485708">
            <w:pPr>
              <w:jc w:val="center"/>
              <w:rPr>
                <w:rFonts w:ascii="Times New Roman" w:hAnsi="Times New Roman" w:cs="Times New Roman"/>
                <w:b/>
                <w:bCs/>
                <w:sz w:val="24"/>
                <w:szCs w:val="24"/>
              </w:rPr>
            </w:pPr>
            <w:r w:rsidRPr="00485708">
              <w:rPr>
                <w:rFonts w:ascii="Times New Roman" w:hAnsi="Times New Roman" w:cs="Times New Roman"/>
                <w:b/>
                <w:bCs/>
                <w:sz w:val="24"/>
                <w:szCs w:val="24"/>
              </w:rPr>
              <w:t>Profitability Index</w:t>
            </w:r>
          </w:p>
        </w:tc>
      </w:tr>
      <w:tr w:rsidR="00485708" w:rsidRPr="00485708" w14:paraId="7DA340BD" w14:textId="77777777" w:rsidTr="00044D48">
        <w:trPr>
          <w:trHeight w:val="391"/>
          <w:jc w:val="center"/>
        </w:trPr>
        <w:tc>
          <w:tcPr>
            <w:tcW w:w="4379" w:type="dxa"/>
          </w:tcPr>
          <w:p w14:paraId="041DF64F" w14:textId="77777777" w:rsidR="00485708" w:rsidRPr="00485708" w:rsidRDefault="00485708" w:rsidP="00485708">
            <w:pPr>
              <w:rPr>
                <w:rFonts w:ascii="Times New Roman" w:hAnsi="Times New Roman" w:cs="Times New Roman"/>
                <w:sz w:val="24"/>
                <w:szCs w:val="24"/>
              </w:rPr>
            </w:pPr>
            <w:r>
              <w:rPr>
                <w:rFonts w:ascii="Times New Roman" w:hAnsi="Times New Roman" w:cs="Times New Roman"/>
                <w:sz w:val="24"/>
                <w:szCs w:val="24"/>
              </w:rPr>
              <w:t xml:space="preserve">Project-A </w:t>
            </w:r>
          </w:p>
        </w:tc>
        <w:tc>
          <w:tcPr>
            <w:tcW w:w="4379" w:type="dxa"/>
          </w:tcPr>
          <w:p w14:paraId="0C7EF5AA" w14:textId="77777777" w:rsidR="00485708" w:rsidRPr="00485708" w:rsidRDefault="00485708" w:rsidP="00485708">
            <w:pPr>
              <w:rPr>
                <w:rFonts w:ascii="Times New Roman" w:hAnsi="Times New Roman" w:cs="Times New Roman"/>
                <w:sz w:val="24"/>
                <w:szCs w:val="24"/>
              </w:rPr>
            </w:pPr>
            <w:r>
              <w:rPr>
                <w:rFonts w:ascii="Times New Roman" w:hAnsi="Times New Roman" w:cs="Times New Roman"/>
                <w:sz w:val="24"/>
                <w:szCs w:val="24"/>
              </w:rPr>
              <w:t>1.03</w:t>
            </w:r>
          </w:p>
        </w:tc>
      </w:tr>
      <w:tr w:rsidR="00485708" w:rsidRPr="00485708" w14:paraId="609444CD" w14:textId="77777777" w:rsidTr="00044D48">
        <w:trPr>
          <w:trHeight w:val="391"/>
          <w:jc w:val="center"/>
        </w:trPr>
        <w:tc>
          <w:tcPr>
            <w:tcW w:w="4379" w:type="dxa"/>
          </w:tcPr>
          <w:p w14:paraId="7AF78586" w14:textId="77777777" w:rsidR="00485708" w:rsidRPr="00485708" w:rsidRDefault="00485708" w:rsidP="00485708">
            <w:pPr>
              <w:rPr>
                <w:rFonts w:ascii="Times New Roman" w:hAnsi="Times New Roman" w:cs="Times New Roman"/>
                <w:sz w:val="24"/>
                <w:szCs w:val="24"/>
              </w:rPr>
            </w:pPr>
            <w:r>
              <w:rPr>
                <w:rFonts w:ascii="Times New Roman" w:hAnsi="Times New Roman" w:cs="Times New Roman"/>
                <w:sz w:val="24"/>
                <w:szCs w:val="24"/>
              </w:rPr>
              <w:t>Project-B</w:t>
            </w:r>
          </w:p>
        </w:tc>
        <w:tc>
          <w:tcPr>
            <w:tcW w:w="4379" w:type="dxa"/>
          </w:tcPr>
          <w:p w14:paraId="04CA510E" w14:textId="77777777" w:rsidR="00485708" w:rsidRPr="00485708" w:rsidRDefault="00485708" w:rsidP="00485708">
            <w:pPr>
              <w:rPr>
                <w:rFonts w:ascii="Times New Roman" w:hAnsi="Times New Roman" w:cs="Times New Roman"/>
                <w:sz w:val="24"/>
                <w:szCs w:val="24"/>
              </w:rPr>
            </w:pPr>
            <w:r>
              <w:rPr>
                <w:rFonts w:ascii="Times New Roman" w:hAnsi="Times New Roman" w:cs="Times New Roman"/>
                <w:sz w:val="24"/>
                <w:szCs w:val="24"/>
              </w:rPr>
              <w:t>0.76</w:t>
            </w:r>
          </w:p>
        </w:tc>
      </w:tr>
      <w:tr w:rsidR="00485708" w:rsidRPr="00485708" w14:paraId="2671D9D4" w14:textId="77777777" w:rsidTr="00044D48">
        <w:trPr>
          <w:trHeight w:val="391"/>
          <w:jc w:val="center"/>
        </w:trPr>
        <w:tc>
          <w:tcPr>
            <w:tcW w:w="4379" w:type="dxa"/>
          </w:tcPr>
          <w:p w14:paraId="33204796" w14:textId="77777777" w:rsidR="00485708" w:rsidRPr="00485708" w:rsidRDefault="00485708" w:rsidP="00485708">
            <w:pPr>
              <w:rPr>
                <w:rFonts w:ascii="Times New Roman" w:hAnsi="Times New Roman" w:cs="Times New Roman"/>
                <w:sz w:val="24"/>
                <w:szCs w:val="24"/>
              </w:rPr>
            </w:pPr>
            <w:r w:rsidRPr="00485708">
              <w:rPr>
                <w:rFonts w:ascii="Times New Roman" w:hAnsi="Times New Roman" w:cs="Times New Roman"/>
                <w:sz w:val="24"/>
                <w:szCs w:val="24"/>
              </w:rPr>
              <w:t>Project-C</w:t>
            </w:r>
          </w:p>
        </w:tc>
        <w:tc>
          <w:tcPr>
            <w:tcW w:w="4379" w:type="dxa"/>
          </w:tcPr>
          <w:p w14:paraId="78671A88" w14:textId="77777777" w:rsidR="00485708" w:rsidRPr="00485708" w:rsidRDefault="00485708" w:rsidP="00485708">
            <w:pPr>
              <w:rPr>
                <w:rFonts w:ascii="Times New Roman" w:hAnsi="Times New Roman" w:cs="Times New Roman"/>
                <w:sz w:val="24"/>
                <w:szCs w:val="24"/>
              </w:rPr>
            </w:pPr>
            <w:r w:rsidRPr="00485708">
              <w:rPr>
                <w:rFonts w:ascii="Times New Roman" w:hAnsi="Times New Roman" w:cs="Times New Roman"/>
                <w:sz w:val="24"/>
                <w:szCs w:val="24"/>
              </w:rPr>
              <w:t>1.08</w:t>
            </w:r>
          </w:p>
        </w:tc>
      </w:tr>
    </w:tbl>
    <w:p w14:paraId="78BE6E9B" w14:textId="77777777" w:rsidR="00485708" w:rsidRDefault="00485708" w:rsidP="00485708">
      <w:r>
        <w:t>Project A and Project C both are above the critical value of 1.0 which is a sign that they generate more value than they spend. Project B as the one where PI is less than 1 is inefficient and should not be further considered.</w:t>
      </w:r>
    </w:p>
    <w:p w14:paraId="3CA63349" w14:textId="77777777" w:rsidR="00485708" w:rsidRDefault="00485708" w:rsidP="00485708">
      <w:r>
        <w:t xml:space="preserve">According to the £60 million capital threshold, the PI implies that Project C has the highest efficiency in terms of returns. Its bigger capital requirement (£50 million) however limits its flexibility in parallel investments. The project A may be less efficient, but since it is smaller and payoffs faster, it could be a preferred choice due to its faster reinvestment periods. An intermediate solution between the two projects that a part of the funding is done by both projects </w:t>
      </w:r>
      <w:r>
        <w:lastRenderedPageBreak/>
        <w:t>would enhance the financial balance in case the deficit may be filled by borrowing or selling assets (Arnold, 2021).</w:t>
      </w:r>
    </w:p>
    <w:p w14:paraId="4F0A3E7A" w14:textId="77777777" w:rsidR="00485708" w:rsidRDefault="00044D48" w:rsidP="00044D48">
      <w:pPr>
        <w:pStyle w:val="Heading3"/>
      </w:pPr>
      <w:bookmarkStart w:id="25" w:name="_Toc213449461"/>
      <w:r>
        <w:t xml:space="preserve">5.1.5 </w:t>
      </w:r>
      <w:r w:rsidR="00485708">
        <w:t>Internal Rate of Return (IRR)</w:t>
      </w:r>
      <w:bookmarkEnd w:id="25"/>
    </w:p>
    <w:p w14:paraId="570BA8AF" w14:textId="77777777" w:rsidR="00485708" w:rsidRDefault="00485708" w:rsidP="00485708">
      <w:r>
        <w:t xml:space="preserve">IRR is the discount rate at the value of which the NPV of the project will decrease to zero, which is the effective rate of return (Damodaran, 2021). It is also a risk-adjusted measure of </w:t>
      </w:r>
      <w:proofErr w:type="gramStart"/>
      <w:r>
        <w:t>profitability, and</w:t>
      </w:r>
      <w:proofErr w:type="gramEnd"/>
      <w:r>
        <w:t xml:space="preserve"> is a major measure to compare to the hurdle rate or cost of capital of the firm.</w:t>
      </w:r>
    </w:p>
    <w:p w14:paraId="75531DA8" w14:textId="77777777" w:rsidR="00485708" w:rsidRDefault="00485708" w:rsidP="00485708">
      <w:r>
        <w:t xml:space="preserve">The findings reveal that Project C provides IRR of 12.72, and Project A offers 11.33 which is higher than the </w:t>
      </w:r>
      <w:proofErr w:type="gramStart"/>
      <w:r>
        <w:t>10 discount</w:t>
      </w:r>
      <w:proofErr w:type="gramEnd"/>
      <w:r>
        <w:t xml:space="preserve"> rate of General Electronics. The IRR of project B stands at 0% thus it is not financially viable. The projected positive spread between the IRR and cost of capital in Projects A and C means that there exists a great potential of value creation.</w:t>
      </w:r>
    </w:p>
    <w:p w14:paraId="10A5BF4E" w14:textId="77777777" w:rsidR="001C20F8" w:rsidRDefault="00786023" w:rsidP="00786023">
      <w:pPr>
        <w:pStyle w:val="Heading2"/>
      </w:pPr>
      <w:bookmarkStart w:id="26" w:name="_Toc213449462"/>
      <w:r>
        <w:t xml:space="preserve">5.2 </w:t>
      </w:r>
      <w:r w:rsidR="001C20F8">
        <w:t>Project Risk and Cash Flow Volatility</w:t>
      </w:r>
      <w:bookmarkEnd w:id="26"/>
    </w:p>
    <w:p w14:paraId="41A8BDD2" w14:textId="77777777" w:rsidR="001C20F8" w:rsidRDefault="001C20F8" w:rsidP="001C20F8">
      <w:r>
        <w:t xml:space="preserve">An </w:t>
      </w:r>
      <w:proofErr w:type="gramStart"/>
      <w:r>
        <w:t>in depth</w:t>
      </w:r>
      <w:proofErr w:type="gramEnd"/>
      <w:r>
        <w:t xml:space="preserve"> analysis </w:t>
      </w:r>
      <w:proofErr w:type="gramStart"/>
      <w:r>
        <w:t>has to</w:t>
      </w:r>
      <w:proofErr w:type="gramEnd"/>
      <w:r>
        <w:t xml:space="preserve"> consider the risk profile of each project, especially since General electronics is financially unstable. The cash flow uncertainty, economic factors, and the industry risk drive (</w:t>
      </w:r>
      <w:proofErr w:type="spellStart"/>
      <w:r>
        <w:t>Trigeorgis</w:t>
      </w:r>
      <w:proofErr w:type="spellEnd"/>
      <w:r>
        <w:t xml:space="preserve"> and Reuer, 2017).</w:t>
      </w:r>
    </w:p>
    <w:p w14:paraId="0186FAC2" w14:textId="77777777" w:rsidR="001C20F8" w:rsidRDefault="001C20F8" w:rsidP="00786023">
      <w:pPr>
        <w:pStyle w:val="ListParagraph"/>
        <w:numPr>
          <w:ilvl w:val="0"/>
          <w:numId w:val="30"/>
        </w:numPr>
      </w:pPr>
      <w:r>
        <w:t xml:space="preserve">Project A is mediocre in terms of risk, where cash flows are between </w:t>
      </w:r>
      <w:r w:rsidR="00786023">
        <w:t>£</w:t>
      </w:r>
      <w:r>
        <w:t xml:space="preserve">8m and </w:t>
      </w:r>
      <w:r w:rsidR="00786023">
        <w:t>£</w:t>
      </w:r>
      <w:r>
        <w:t>14m, which means that its operations are predictable and the forecast is not very uncertain.</w:t>
      </w:r>
    </w:p>
    <w:p w14:paraId="324E934F" w14:textId="77777777" w:rsidR="001C20F8" w:rsidRDefault="001C20F8" w:rsidP="00786023">
      <w:pPr>
        <w:pStyle w:val="ListParagraph"/>
        <w:numPr>
          <w:ilvl w:val="0"/>
          <w:numId w:val="30"/>
        </w:numPr>
      </w:pPr>
      <w:r>
        <w:t>Project B, which is constant (</w:t>
      </w:r>
      <w:r w:rsidR="00786023">
        <w:t>£</w:t>
      </w:r>
      <w:r>
        <w:t>6m/year) does not provide a large amount of money to recoup expenses or generate buffer cash flows, both of which over wish to increase solvency risk.</w:t>
      </w:r>
    </w:p>
    <w:p w14:paraId="0B760556" w14:textId="77777777" w:rsidR="001C20F8" w:rsidRDefault="001C20F8" w:rsidP="00786023">
      <w:pPr>
        <w:pStyle w:val="ListParagraph"/>
        <w:numPr>
          <w:ilvl w:val="0"/>
          <w:numId w:val="30"/>
        </w:numPr>
      </w:pPr>
      <w:r>
        <w:t xml:space="preserve">In project C, the volatility is greater with inflows of </w:t>
      </w:r>
      <w:r w:rsidR="00786023">
        <w:t>£</w:t>
      </w:r>
      <w:r>
        <w:t xml:space="preserve">5m to </w:t>
      </w:r>
      <w:r w:rsidR="00786023">
        <w:t>£</w:t>
      </w:r>
      <w:r>
        <w:t>25m. Although this will add more uncertainty, it is also the opportunity of the greatest possible upside, so it is a high-risk, high-payoff suggestion.</w:t>
      </w:r>
    </w:p>
    <w:p w14:paraId="49B765BB" w14:textId="77777777" w:rsidR="001C20F8" w:rsidRDefault="001C20F8" w:rsidP="001C20F8">
      <w:r>
        <w:t xml:space="preserve">The risk management is vital </w:t>
      </w:r>
      <w:proofErr w:type="gramStart"/>
      <w:r>
        <w:t>in light of</w:t>
      </w:r>
      <w:proofErr w:type="gramEnd"/>
      <w:r>
        <w:t xml:space="preserve"> the poor cash flow structure of the company. Project A can be used as a short-lived stabilizing project to increase the liquidity and Project C can be used to enhance the strategic growth later when the firm will be solvent. Financial hedging, insurance, and the use of phases in capital allocation are some of the risk mitigation measures that General Electronics can implement (Arnold, 2021).</w:t>
      </w:r>
    </w:p>
    <w:p w14:paraId="1BC6A2F2" w14:textId="77777777" w:rsidR="001C20F8" w:rsidRDefault="00786023" w:rsidP="00786023">
      <w:pPr>
        <w:pStyle w:val="Heading2"/>
        <w:spacing w:line="360" w:lineRule="auto"/>
      </w:pPr>
      <w:bookmarkStart w:id="27" w:name="_Toc213449463"/>
      <w:r>
        <w:lastRenderedPageBreak/>
        <w:t xml:space="preserve">5.3 </w:t>
      </w:r>
      <w:r w:rsidR="001C20F8">
        <w:t>Strat</w:t>
      </w:r>
      <w:r>
        <w:t>egic and Financial Implications</w:t>
      </w:r>
      <w:bookmarkEnd w:id="27"/>
    </w:p>
    <w:p w14:paraId="2E65DE47" w14:textId="77777777" w:rsidR="001C20F8" w:rsidRDefault="00786023" w:rsidP="00786023">
      <w:pPr>
        <w:pStyle w:val="Heading3"/>
      </w:pPr>
      <w:bookmarkStart w:id="28" w:name="_Toc213449464"/>
      <w:r>
        <w:t xml:space="preserve">5.3.1 </w:t>
      </w:r>
      <w:r w:rsidR="001C20F8">
        <w:t>Liquidity a</w:t>
      </w:r>
      <w:r>
        <w:t>nd Solvency</w:t>
      </w:r>
      <w:bookmarkEnd w:id="28"/>
    </w:p>
    <w:p w14:paraId="150D24C2" w14:textId="77777777" w:rsidR="001C20F8" w:rsidRDefault="001C20F8" w:rsidP="00786023">
      <w:r>
        <w:t xml:space="preserve">The worsening liquidity ratio and the increasing leverage in the General Electronics </w:t>
      </w:r>
      <w:r w:rsidR="00786023">
        <w:t>demonstrate</w:t>
      </w:r>
      <w:r>
        <w:t xml:space="preserve"> the urgency in the choice of the projects which will enhance the timing of the cash flows and the measures of solvency. Projects A and C yield a quicker payback and a beneficial NPV, which increase liquidity payment and minimize the use of short-term borrowing (Brealey et al., 2020).</w:t>
      </w:r>
    </w:p>
    <w:p w14:paraId="3447ED96" w14:textId="77777777" w:rsidR="00786023" w:rsidRDefault="001C20F8" w:rsidP="001C20F8">
      <w:r>
        <w:t xml:space="preserve">Project A is one that can be implemented immediately because it is of medium size and therefore it recycles cash into operations very fast. Project C on the other hand, although providing higher value creation, might need to be financed in stages or sourced externally </w:t>
      </w:r>
      <w:proofErr w:type="gramStart"/>
      <w:r>
        <w:t>so as to</w:t>
      </w:r>
      <w:proofErr w:type="gramEnd"/>
      <w:r>
        <w:t xml:space="preserve"> avoid overstretching the liquidity. </w:t>
      </w:r>
    </w:p>
    <w:p w14:paraId="4672556E" w14:textId="77777777" w:rsidR="001C20F8" w:rsidRDefault="00786023" w:rsidP="00786023">
      <w:pPr>
        <w:pStyle w:val="Heading3"/>
      </w:pPr>
      <w:bookmarkStart w:id="29" w:name="_Toc213449465"/>
      <w:r>
        <w:t xml:space="preserve">5.3.2 </w:t>
      </w:r>
      <w:r w:rsidR="001C20F8">
        <w:t>Profitability Recovery</w:t>
      </w:r>
      <w:bookmarkEnd w:id="29"/>
    </w:p>
    <w:p w14:paraId="2B4430CF" w14:textId="77777777" w:rsidR="001C20F8" w:rsidRDefault="001C20F8" w:rsidP="001C20F8">
      <w:r>
        <w:t>The fundamental aspect of turnaround strategy at General Electric companies is to regain profit and shareholder loyalty. Project A and C add directly to this goal as they result in positive NPVs and IRRs that are over the rate of hurdle. Project B misbehaves on the other hand bringing about negative returns to profitability.</w:t>
      </w:r>
    </w:p>
    <w:p w14:paraId="7211327D" w14:textId="77777777" w:rsidR="001C20F8" w:rsidRDefault="001C20F8" w:rsidP="001C20F8">
      <w:r>
        <w:t xml:space="preserve">Projects A and C can be placed in the forefront </w:t>
      </w:r>
      <w:proofErr w:type="gramStart"/>
      <w:r>
        <w:t>in order to</w:t>
      </w:r>
      <w:proofErr w:type="gramEnd"/>
      <w:r>
        <w:t xml:space="preserve"> realize instant and long-term improvements in profitability of the company. Project A offers stability in operations and Project C offers technological innovation and expansion in the market, which is essential to competitiveness in the world consumer electronics market (Johnson, Whittington and Scholes, 2020).</w:t>
      </w:r>
    </w:p>
    <w:p w14:paraId="18CAD595" w14:textId="77777777" w:rsidR="00786023" w:rsidRDefault="00786023" w:rsidP="00F55612">
      <w:pPr>
        <w:pStyle w:val="Heading2"/>
      </w:pPr>
      <w:bookmarkStart w:id="30" w:name="_Toc213449466"/>
      <w:r>
        <w:t>5.4 Recommended Capital Rationing</w:t>
      </w:r>
      <w:bookmarkEnd w:id="30"/>
    </w:p>
    <w:p w14:paraId="38706575" w14:textId="77777777" w:rsidR="00786023" w:rsidRDefault="001C20F8" w:rsidP="00786023">
      <w:r>
        <w:t xml:space="preserve">The constraint on the amount of capital available to the </w:t>
      </w:r>
      <w:r w:rsidR="00786023">
        <w:t>£</w:t>
      </w:r>
      <w:r>
        <w:t>60 million is quite significant, and the CFO will have to create as much value as possible without compromising on financial discipline. The following scenario analysis presents possible combinations of projects that have been determined as viable under or under the budget limit:</w:t>
      </w:r>
    </w:p>
    <w:tbl>
      <w:tblPr>
        <w:tblStyle w:val="TableGrid"/>
        <w:tblW w:w="0" w:type="auto"/>
        <w:tblLook w:val="04A0" w:firstRow="1" w:lastRow="0" w:firstColumn="1" w:lastColumn="0" w:noHBand="0" w:noVBand="1"/>
      </w:tblPr>
      <w:tblGrid>
        <w:gridCol w:w="1915"/>
        <w:gridCol w:w="1915"/>
        <w:gridCol w:w="1915"/>
        <w:gridCol w:w="1915"/>
        <w:gridCol w:w="1916"/>
      </w:tblGrid>
      <w:tr w:rsidR="00786023" w:rsidRPr="00F55612" w14:paraId="2EEAA8E5" w14:textId="77777777" w:rsidTr="00F55612">
        <w:tc>
          <w:tcPr>
            <w:tcW w:w="1915" w:type="dxa"/>
            <w:shd w:val="clear" w:color="auto" w:fill="B8CCE4" w:themeFill="accent1" w:themeFillTint="66"/>
            <w:vAlign w:val="center"/>
          </w:tcPr>
          <w:p w14:paraId="4AF11969" w14:textId="77777777" w:rsidR="00786023" w:rsidRPr="00F55612" w:rsidRDefault="00786023" w:rsidP="00F55612">
            <w:pPr>
              <w:jc w:val="center"/>
              <w:rPr>
                <w:rFonts w:ascii="Times New Roman" w:hAnsi="Times New Roman" w:cs="Times New Roman"/>
                <w:b/>
                <w:bCs/>
                <w:sz w:val="24"/>
                <w:szCs w:val="24"/>
              </w:rPr>
            </w:pPr>
            <w:r w:rsidRPr="00F55612">
              <w:rPr>
                <w:rFonts w:ascii="Times New Roman" w:hAnsi="Times New Roman" w:cs="Times New Roman"/>
                <w:b/>
                <w:bCs/>
                <w:sz w:val="24"/>
                <w:szCs w:val="24"/>
              </w:rPr>
              <w:t>Alternative</w:t>
            </w:r>
          </w:p>
        </w:tc>
        <w:tc>
          <w:tcPr>
            <w:tcW w:w="1915" w:type="dxa"/>
            <w:shd w:val="clear" w:color="auto" w:fill="B8CCE4" w:themeFill="accent1" w:themeFillTint="66"/>
            <w:vAlign w:val="center"/>
          </w:tcPr>
          <w:p w14:paraId="1E68BE2B" w14:textId="77777777" w:rsidR="00786023" w:rsidRPr="00F55612" w:rsidRDefault="00786023" w:rsidP="00F55612">
            <w:pPr>
              <w:jc w:val="center"/>
              <w:rPr>
                <w:rFonts w:ascii="Times New Roman" w:hAnsi="Times New Roman" w:cs="Times New Roman"/>
                <w:b/>
                <w:bCs/>
                <w:sz w:val="24"/>
                <w:szCs w:val="24"/>
              </w:rPr>
            </w:pPr>
            <w:r w:rsidRPr="00F55612">
              <w:rPr>
                <w:rFonts w:ascii="Times New Roman" w:hAnsi="Times New Roman" w:cs="Times New Roman"/>
                <w:b/>
                <w:bCs/>
                <w:sz w:val="24"/>
                <w:szCs w:val="24"/>
              </w:rPr>
              <w:t>Projects</w:t>
            </w:r>
          </w:p>
        </w:tc>
        <w:tc>
          <w:tcPr>
            <w:tcW w:w="1915" w:type="dxa"/>
            <w:shd w:val="clear" w:color="auto" w:fill="B8CCE4" w:themeFill="accent1" w:themeFillTint="66"/>
            <w:vAlign w:val="center"/>
          </w:tcPr>
          <w:p w14:paraId="3354361D" w14:textId="77777777" w:rsidR="00786023" w:rsidRPr="00F55612" w:rsidRDefault="00786023" w:rsidP="00F55612">
            <w:pPr>
              <w:jc w:val="center"/>
              <w:rPr>
                <w:rFonts w:ascii="Times New Roman" w:hAnsi="Times New Roman" w:cs="Times New Roman"/>
                <w:b/>
                <w:bCs/>
                <w:sz w:val="24"/>
                <w:szCs w:val="24"/>
              </w:rPr>
            </w:pPr>
            <w:r w:rsidRPr="00F55612">
              <w:rPr>
                <w:rFonts w:ascii="Times New Roman" w:hAnsi="Times New Roman" w:cs="Times New Roman"/>
                <w:b/>
                <w:bCs/>
                <w:sz w:val="24"/>
                <w:szCs w:val="24"/>
              </w:rPr>
              <w:t>Total Investment (£m)</w:t>
            </w:r>
          </w:p>
        </w:tc>
        <w:tc>
          <w:tcPr>
            <w:tcW w:w="1915" w:type="dxa"/>
            <w:shd w:val="clear" w:color="auto" w:fill="B8CCE4" w:themeFill="accent1" w:themeFillTint="66"/>
            <w:vAlign w:val="center"/>
          </w:tcPr>
          <w:p w14:paraId="40ACBCBE" w14:textId="77777777" w:rsidR="00786023" w:rsidRPr="00F55612" w:rsidRDefault="00786023" w:rsidP="00F55612">
            <w:pPr>
              <w:jc w:val="center"/>
              <w:rPr>
                <w:rFonts w:ascii="Times New Roman" w:hAnsi="Times New Roman" w:cs="Times New Roman"/>
                <w:b/>
                <w:bCs/>
                <w:sz w:val="24"/>
                <w:szCs w:val="24"/>
              </w:rPr>
            </w:pPr>
            <w:r w:rsidRPr="00F55612">
              <w:rPr>
                <w:rFonts w:ascii="Times New Roman" w:hAnsi="Times New Roman" w:cs="Times New Roman"/>
                <w:b/>
                <w:bCs/>
                <w:sz w:val="24"/>
                <w:szCs w:val="24"/>
              </w:rPr>
              <w:t>Total NPV (£m)</w:t>
            </w:r>
          </w:p>
        </w:tc>
        <w:tc>
          <w:tcPr>
            <w:tcW w:w="1916" w:type="dxa"/>
            <w:shd w:val="clear" w:color="auto" w:fill="B8CCE4" w:themeFill="accent1" w:themeFillTint="66"/>
            <w:vAlign w:val="center"/>
          </w:tcPr>
          <w:p w14:paraId="3DD1A66E" w14:textId="77777777" w:rsidR="00786023" w:rsidRPr="00F55612" w:rsidRDefault="00786023" w:rsidP="00F55612">
            <w:pPr>
              <w:jc w:val="center"/>
              <w:rPr>
                <w:rFonts w:ascii="Times New Roman" w:hAnsi="Times New Roman" w:cs="Times New Roman"/>
                <w:b/>
                <w:bCs/>
                <w:sz w:val="24"/>
                <w:szCs w:val="24"/>
              </w:rPr>
            </w:pPr>
            <w:r w:rsidRPr="00F55612">
              <w:rPr>
                <w:rFonts w:ascii="Times New Roman" w:hAnsi="Times New Roman" w:cs="Times New Roman"/>
                <w:b/>
                <w:bCs/>
                <w:sz w:val="24"/>
                <w:szCs w:val="24"/>
              </w:rPr>
              <w:t>Feasibility</w:t>
            </w:r>
          </w:p>
        </w:tc>
      </w:tr>
      <w:tr w:rsidR="00786023" w:rsidRPr="00F55612" w14:paraId="1023F1F9" w14:textId="77777777" w:rsidTr="00F55612">
        <w:tc>
          <w:tcPr>
            <w:tcW w:w="1915" w:type="dxa"/>
          </w:tcPr>
          <w:p w14:paraId="7B5E3859"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1</w:t>
            </w:r>
          </w:p>
        </w:tc>
        <w:tc>
          <w:tcPr>
            <w:tcW w:w="1915" w:type="dxa"/>
          </w:tcPr>
          <w:p w14:paraId="68A4A265" w14:textId="77777777" w:rsidR="00786023" w:rsidRPr="00F55612" w:rsidRDefault="00786023" w:rsidP="00786023">
            <w:pPr>
              <w:rPr>
                <w:rFonts w:ascii="Times New Roman" w:hAnsi="Times New Roman" w:cs="Times New Roman"/>
                <w:sz w:val="24"/>
                <w:szCs w:val="24"/>
              </w:rPr>
            </w:pPr>
            <w:proofErr w:type="gramStart"/>
            <w:r w:rsidRPr="00F55612">
              <w:rPr>
                <w:rFonts w:ascii="Times New Roman" w:hAnsi="Times New Roman" w:cs="Times New Roman"/>
                <w:sz w:val="24"/>
                <w:szCs w:val="24"/>
              </w:rPr>
              <w:t>A</w:t>
            </w:r>
            <w:proofErr w:type="gramEnd"/>
            <w:r w:rsidRPr="00F55612">
              <w:rPr>
                <w:rFonts w:ascii="Times New Roman" w:hAnsi="Times New Roman" w:cs="Times New Roman"/>
                <w:sz w:val="24"/>
                <w:szCs w:val="24"/>
              </w:rPr>
              <w:t xml:space="preserve"> Only</w:t>
            </w:r>
          </w:p>
        </w:tc>
        <w:tc>
          <w:tcPr>
            <w:tcW w:w="1915" w:type="dxa"/>
          </w:tcPr>
          <w:p w14:paraId="0EF6E478"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40</w:t>
            </w:r>
          </w:p>
        </w:tc>
        <w:tc>
          <w:tcPr>
            <w:tcW w:w="1915" w:type="dxa"/>
          </w:tcPr>
          <w:p w14:paraId="30A79906"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1.32</w:t>
            </w:r>
          </w:p>
        </w:tc>
        <w:tc>
          <w:tcPr>
            <w:tcW w:w="1916" w:type="dxa"/>
          </w:tcPr>
          <w:p w14:paraId="28A65552"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Feasible</w:t>
            </w:r>
          </w:p>
        </w:tc>
      </w:tr>
      <w:tr w:rsidR="00786023" w:rsidRPr="00F55612" w14:paraId="6DD9AF44" w14:textId="77777777" w:rsidTr="00F55612">
        <w:tc>
          <w:tcPr>
            <w:tcW w:w="1915" w:type="dxa"/>
          </w:tcPr>
          <w:p w14:paraId="4E06A65D"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2</w:t>
            </w:r>
          </w:p>
        </w:tc>
        <w:tc>
          <w:tcPr>
            <w:tcW w:w="1915" w:type="dxa"/>
          </w:tcPr>
          <w:p w14:paraId="70290D82"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B Only</w:t>
            </w:r>
          </w:p>
        </w:tc>
        <w:tc>
          <w:tcPr>
            <w:tcW w:w="1915" w:type="dxa"/>
          </w:tcPr>
          <w:p w14:paraId="71F81841"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30</w:t>
            </w:r>
          </w:p>
        </w:tc>
        <w:tc>
          <w:tcPr>
            <w:tcW w:w="1915" w:type="dxa"/>
          </w:tcPr>
          <w:p w14:paraId="55C76255"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-7.26</w:t>
            </w:r>
          </w:p>
        </w:tc>
        <w:tc>
          <w:tcPr>
            <w:tcW w:w="1916" w:type="dxa"/>
          </w:tcPr>
          <w:p w14:paraId="5D14464C"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Not Feasible</w:t>
            </w:r>
          </w:p>
        </w:tc>
      </w:tr>
      <w:tr w:rsidR="00786023" w:rsidRPr="00F55612" w14:paraId="03E455BA" w14:textId="77777777" w:rsidTr="00F55612">
        <w:tc>
          <w:tcPr>
            <w:tcW w:w="1915" w:type="dxa"/>
          </w:tcPr>
          <w:p w14:paraId="5325C5DA"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lastRenderedPageBreak/>
              <w:t>3</w:t>
            </w:r>
          </w:p>
        </w:tc>
        <w:tc>
          <w:tcPr>
            <w:tcW w:w="1915" w:type="dxa"/>
          </w:tcPr>
          <w:p w14:paraId="6B2429AA"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C Only</w:t>
            </w:r>
          </w:p>
        </w:tc>
        <w:tc>
          <w:tcPr>
            <w:tcW w:w="1915" w:type="dxa"/>
          </w:tcPr>
          <w:p w14:paraId="655F470E"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50</w:t>
            </w:r>
          </w:p>
        </w:tc>
        <w:tc>
          <w:tcPr>
            <w:tcW w:w="1915" w:type="dxa"/>
          </w:tcPr>
          <w:p w14:paraId="1335DE4C"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4.23</w:t>
            </w:r>
          </w:p>
        </w:tc>
        <w:tc>
          <w:tcPr>
            <w:tcW w:w="1916" w:type="dxa"/>
          </w:tcPr>
          <w:p w14:paraId="149DC6E7"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Feasible</w:t>
            </w:r>
          </w:p>
        </w:tc>
      </w:tr>
      <w:tr w:rsidR="00786023" w:rsidRPr="00F55612" w14:paraId="323FF723" w14:textId="77777777" w:rsidTr="00F55612">
        <w:tc>
          <w:tcPr>
            <w:tcW w:w="1915" w:type="dxa"/>
          </w:tcPr>
          <w:p w14:paraId="69B970D2"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4</w:t>
            </w:r>
          </w:p>
        </w:tc>
        <w:tc>
          <w:tcPr>
            <w:tcW w:w="1915" w:type="dxa"/>
          </w:tcPr>
          <w:p w14:paraId="0A2A2799"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A+B</w:t>
            </w:r>
          </w:p>
        </w:tc>
        <w:tc>
          <w:tcPr>
            <w:tcW w:w="1915" w:type="dxa"/>
          </w:tcPr>
          <w:p w14:paraId="0E3DBD00"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70</w:t>
            </w:r>
          </w:p>
        </w:tc>
        <w:tc>
          <w:tcPr>
            <w:tcW w:w="1915" w:type="dxa"/>
          </w:tcPr>
          <w:p w14:paraId="7188671D"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-5.94</w:t>
            </w:r>
          </w:p>
        </w:tc>
        <w:tc>
          <w:tcPr>
            <w:tcW w:w="1916" w:type="dxa"/>
          </w:tcPr>
          <w:p w14:paraId="18E8B3A1"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Exceeds Limit</w:t>
            </w:r>
          </w:p>
        </w:tc>
      </w:tr>
      <w:tr w:rsidR="00786023" w:rsidRPr="00F55612" w14:paraId="52C55471" w14:textId="77777777" w:rsidTr="00F55612">
        <w:tc>
          <w:tcPr>
            <w:tcW w:w="1915" w:type="dxa"/>
          </w:tcPr>
          <w:p w14:paraId="5AF8D6C6"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5</w:t>
            </w:r>
          </w:p>
        </w:tc>
        <w:tc>
          <w:tcPr>
            <w:tcW w:w="1915" w:type="dxa"/>
          </w:tcPr>
          <w:p w14:paraId="17545AB3"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B+C</w:t>
            </w:r>
          </w:p>
        </w:tc>
        <w:tc>
          <w:tcPr>
            <w:tcW w:w="1915" w:type="dxa"/>
          </w:tcPr>
          <w:p w14:paraId="1A2846AB"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80</w:t>
            </w:r>
          </w:p>
        </w:tc>
        <w:tc>
          <w:tcPr>
            <w:tcW w:w="1915" w:type="dxa"/>
          </w:tcPr>
          <w:p w14:paraId="162BC618"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-3.03</w:t>
            </w:r>
          </w:p>
        </w:tc>
        <w:tc>
          <w:tcPr>
            <w:tcW w:w="1916" w:type="dxa"/>
          </w:tcPr>
          <w:p w14:paraId="285B547F" w14:textId="77777777" w:rsidR="00786023" w:rsidRPr="00F55612" w:rsidRDefault="00786023" w:rsidP="00786023">
            <w:pPr>
              <w:rPr>
                <w:rFonts w:ascii="Times New Roman" w:hAnsi="Times New Roman" w:cs="Times New Roman"/>
                <w:sz w:val="24"/>
                <w:szCs w:val="24"/>
              </w:rPr>
            </w:pPr>
            <w:r w:rsidRPr="00F55612">
              <w:rPr>
                <w:rFonts w:ascii="Times New Roman" w:hAnsi="Times New Roman" w:cs="Times New Roman"/>
                <w:sz w:val="24"/>
                <w:szCs w:val="24"/>
              </w:rPr>
              <w:t>Exceeds Limit</w:t>
            </w:r>
          </w:p>
        </w:tc>
      </w:tr>
      <w:tr w:rsidR="00786023" w:rsidRPr="00F55612" w14:paraId="592BC9B8" w14:textId="77777777" w:rsidTr="00F55612">
        <w:tc>
          <w:tcPr>
            <w:tcW w:w="1915" w:type="dxa"/>
          </w:tcPr>
          <w:p w14:paraId="774557C0" w14:textId="77777777" w:rsidR="00786023" w:rsidRPr="00F55612" w:rsidRDefault="00F55612" w:rsidP="00786023">
            <w:pPr>
              <w:rPr>
                <w:rFonts w:ascii="Times New Roman" w:hAnsi="Times New Roman" w:cs="Times New Roman"/>
                <w:sz w:val="24"/>
                <w:szCs w:val="24"/>
              </w:rPr>
            </w:pPr>
            <w:r w:rsidRPr="00F55612">
              <w:rPr>
                <w:rFonts w:ascii="Times New Roman" w:hAnsi="Times New Roman" w:cs="Times New Roman"/>
                <w:sz w:val="24"/>
                <w:szCs w:val="24"/>
              </w:rPr>
              <w:t>6</w:t>
            </w:r>
          </w:p>
        </w:tc>
        <w:tc>
          <w:tcPr>
            <w:tcW w:w="1915" w:type="dxa"/>
          </w:tcPr>
          <w:p w14:paraId="3A4465C0" w14:textId="77777777" w:rsidR="00786023" w:rsidRPr="00F55612" w:rsidRDefault="00F55612" w:rsidP="00786023">
            <w:pPr>
              <w:rPr>
                <w:rFonts w:ascii="Times New Roman" w:hAnsi="Times New Roman" w:cs="Times New Roman"/>
                <w:sz w:val="24"/>
                <w:szCs w:val="24"/>
              </w:rPr>
            </w:pPr>
            <w:r w:rsidRPr="00F55612">
              <w:rPr>
                <w:rFonts w:ascii="Times New Roman" w:hAnsi="Times New Roman" w:cs="Times New Roman"/>
                <w:sz w:val="24"/>
                <w:szCs w:val="24"/>
              </w:rPr>
              <w:t>A+C</w:t>
            </w:r>
          </w:p>
        </w:tc>
        <w:tc>
          <w:tcPr>
            <w:tcW w:w="1915" w:type="dxa"/>
          </w:tcPr>
          <w:p w14:paraId="6D003A1C" w14:textId="77777777" w:rsidR="00786023" w:rsidRPr="00F55612" w:rsidRDefault="00F55612" w:rsidP="00786023">
            <w:pPr>
              <w:rPr>
                <w:rFonts w:ascii="Times New Roman" w:hAnsi="Times New Roman" w:cs="Times New Roman"/>
                <w:sz w:val="24"/>
                <w:szCs w:val="24"/>
              </w:rPr>
            </w:pPr>
            <w:r w:rsidRPr="00F55612">
              <w:rPr>
                <w:rFonts w:ascii="Times New Roman" w:hAnsi="Times New Roman" w:cs="Times New Roman"/>
                <w:sz w:val="24"/>
                <w:szCs w:val="24"/>
              </w:rPr>
              <w:t>90</w:t>
            </w:r>
          </w:p>
        </w:tc>
        <w:tc>
          <w:tcPr>
            <w:tcW w:w="1915" w:type="dxa"/>
          </w:tcPr>
          <w:p w14:paraId="3CC22953" w14:textId="77777777" w:rsidR="00786023" w:rsidRPr="00F55612" w:rsidRDefault="00F55612" w:rsidP="00786023">
            <w:pPr>
              <w:rPr>
                <w:rFonts w:ascii="Times New Roman" w:hAnsi="Times New Roman" w:cs="Times New Roman"/>
                <w:sz w:val="24"/>
                <w:szCs w:val="24"/>
              </w:rPr>
            </w:pPr>
            <w:r w:rsidRPr="00F55612">
              <w:rPr>
                <w:rFonts w:ascii="Times New Roman" w:hAnsi="Times New Roman" w:cs="Times New Roman"/>
                <w:sz w:val="24"/>
                <w:szCs w:val="24"/>
              </w:rPr>
              <w:t>5.55</w:t>
            </w:r>
          </w:p>
        </w:tc>
        <w:tc>
          <w:tcPr>
            <w:tcW w:w="1916" w:type="dxa"/>
          </w:tcPr>
          <w:p w14:paraId="7FB8373B" w14:textId="77777777" w:rsidR="00786023" w:rsidRPr="00F55612" w:rsidRDefault="00F55612" w:rsidP="00786023">
            <w:pPr>
              <w:rPr>
                <w:rFonts w:ascii="Times New Roman" w:hAnsi="Times New Roman" w:cs="Times New Roman"/>
                <w:sz w:val="24"/>
                <w:szCs w:val="24"/>
              </w:rPr>
            </w:pPr>
            <w:r w:rsidRPr="00F55612">
              <w:rPr>
                <w:rFonts w:ascii="Times New Roman" w:hAnsi="Times New Roman" w:cs="Times New Roman"/>
                <w:sz w:val="24"/>
                <w:szCs w:val="24"/>
              </w:rPr>
              <w:t>Exceeds Limit</w:t>
            </w:r>
          </w:p>
        </w:tc>
      </w:tr>
    </w:tbl>
    <w:p w14:paraId="7FE67846" w14:textId="77777777" w:rsidR="00786023" w:rsidRDefault="00786023" w:rsidP="00786023"/>
    <w:p w14:paraId="47A10CDE" w14:textId="77777777" w:rsidR="001C20F8" w:rsidRDefault="001C20F8" w:rsidP="001C20F8">
      <w:r>
        <w:t>Based on the financial conditions and the performance of the project, the most appealing standalone investment is Project C which would produce the highest NPV and IRR using the given budget. Combining Projects A and C would result in increasing the combined NPV, but the joint cost (</w:t>
      </w:r>
      <w:r w:rsidR="00786023">
        <w:t>£</w:t>
      </w:r>
      <w:r>
        <w:t>90m) would be over the limit.</w:t>
      </w:r>
    </w:p>
    <w:p w14:paraId="087768A9" w14:textId="77777777" w:rsidR="00485708" w:rsidRDefault="00485708" w:rsidP="00485708"/>
    <w:p w14:paraId="67F6BDDC" w14:textId="77777777" w:rsidR="00F44B1B" w:rsidRDefault="003501D9" w:rsidP="003501D9">
      <w:pPr>
        <w:pStyle w:val="Heading1"/>
      </w:pPr>
      <w:bookmarkStart w:id="31" w:name="_Toc213449467"/>
      <w:r>
        <w:t xml:space="preserve">6.0 </w:t>
      </w:r>
      <w:r w:rsidR="00F44B1B">
        <w:t>Conclusion</w:t>
      </w:r>
      <w:bookmarkEnd w:id="31"/>
    </w:p>
    <w:p w14:paraId="7FDE9009" w14:textId="77777777" w:rsidR="003501D9" w:rsidRDefault="003501D9" w:rsidP="003501D9">
      <w:r>
        <w:t xml:space="preserve">General Electronics Plc. has experienced considerable financial and operational problems in the form of falling profitability, increasing leverage and deteriorating liquidity between 2020 and 2024. Ratio analysis indicated declining margins and low returns, but 2024 indicated an early recovery. The liquidity ratios were </w:t>
      </w:r>
      <w:proofErr w:type="gramStart"/>
      <w:r>
        <w:t>decreasing</w:t>
      </w:r>
      <w:proofErr w:type="gramEnd"/>
      <w:r>
        <w:t xml:space="preserve"> and the tightness of cash flow was revealed and the Altman Z-score has dropped down to 2.70 and this indicates that the company is in a financial distress zone. Efficiency ratios implied the controlled use of assets but inadequate profitability transformation. Such strategic restructuring variants as the divestiture of the failing operations, mergers or alliances, and the injections of equity were found to be the key in regaining the solvency and investor trust. The Project C was the best in terms of NPV and IRR and offered best potential of </w:t>
      </w:r>
      <w:proofErr w:type="gramStart"/>
      <w:r>
        <w:t>long term</w:t>
      </w:r>
      <w:proofErr w:type="gramEnd"/>
      <w:r>
        <w:t xml:space="preserve"> growth as compared to Project A which gave quicker payback and liquidity. General, the report also mentions that the financial restructuring must be balanced; better working capital management and selective capital investment should be used to reconstruct the profitability and secure the value of the shareholder.</w:t>
      </w:r>
    </w:p>
    <w:p w14:paraId="1848B7C9" w14:textId="77777777" w:rsidR="003501D9" w:rsidRDefault="003501D9" w:rsidP="003501D9"/>
    <w:p w14:paraId="38BF5FEE" w14:textId="77777777" w:rsidR="003501D9" w:rsidRDefault="003501D9" w:rsidP="003501D9"/>
    <w:p w14:paraId="20CFF2FF" w14:textId="77777777" w:rsidR="00755F4E" w:rsidRDefault="00755F4E" w:rsidP="003501D9"/>
    <w:p w14:paraId="64A9E9B1" w14:textId="77777777" w:rsidR="00755F4E" w:rsidRDefault="00755F4E" w:rsidP="003501D9"/>
    <w:p w14:paraId="657708F6" w14:textId="77777777" w:rsidR="00E13DFA" w:rsidRDefault="00E13DFA" w:rsidP="006D5AD2"/>
    <w:p w14:paraId="229FA128" w14:textId="77777777" w:rsidR="00DD3D7C" w:rsidRDefault="00DD3D7C" w:rsidP="006D5AD2"/>
    <w:p w14:paraId="60F64290" w14:textId="77777777" w:rsidR="00DD3D7C" w:rsidRDefault="00DD3D7C" w:rsidP="00246644">
      <w:pPr>
        <w:pStyle w:val="Heading1"/>
      </w:pPr>
      <w:bookmarkStart w:id="32" w:name="_Toc213449468"/>
      <w:r>
        <w:lastRenderedPageBreak/>
        <w:t>Reference List</w:t>
      </w:r>
      <w:bookmarkEnd w:id="32"/>
    </w:p>
    <w:p w14:paraId="62646FA4" w14:textId="77777777" w:rsidR="00933AE0" w:rsidRDefault="00933AE0" w:rsidP="00933AE0">
      <w:r>
        <w:t xml:space="preserve">Altman, E. I. (1968) ‘Financial ratios, discriminant analysis and the prediction of corporate bankruptcy’, </w:t>
      </w:r>
      <w:r w:rsidRPr="00933AE0">
        <w:rPr>
          <w:rStyle w:val="Emphasis"/>
          <w:rFonts w:eastAsiaTheme="majorEastAsia"/>
        </w:rPr>
        <w:t>The Journal of Finance</w:t>
      </w:r>
      <w:r>
        <w:t>, 23(4), pp. 589–609.</w:t>
      </w:r>
    </w:p>
    <w:p w14:paraId="421BE4E8" w14:textId="77777777" w:rsidR="00933AE0" w:rsidRDefault="00933AE0" w:rsidP="00933AE0">
      <w:r>
        <w:t xml:space="preserve">Altman, E. I. (2000) ‘Predicting financial distress of companies: revisiting the Z-score and ZETA models’, </w:t>
      </w:r>
      <w:r w:rsidRPr="00933AE0">
        <w:rPr>
          <w:rStyle w:val="Emphasis"/>
          <w:rFonts w:eastAsiaTheme="majorEastAsia"/>
        </w:rPr>
        <w:t>Journal of Banking &amp; Finance</w:t>
      </w:r>
      <w:r>
        <w:t>, 1(1), pp. 1–20.</w:t>
      </w:r>
    </w:p>
    <w:p w14:paraId="43297B90" w14:textId="77777777" w:rsidR="00933AE0" w:rsidRDefault="00933AE0" w:rsidP="00933AE0">
      <w:proofErr w:type="spellStart"/>
      <w:r>
        <w:t>Ambarwati</w:t>
      </w:r>
      <w:proofErr w:type="spellEnd"/>
      <w:r>
        <w:t>, S.D. &amp; Haryono, S.T. (2020) ‘Ownership structure and corporate restructuring: does it have an impact?’, International Journal of Economics, Business and Accounting Research, 5(4).</w:t>
      </w:r>
    </w:p>
    <w:p w14:paraId="297610A4" w14:textId="77777777" w:rsidR="00933AE0" w:rsidRDefault="00933AE0" w:rsidP="00933AE0">
      <w:r>
        <w:t xml:space="preserve">Arnold, G. (2021) </w:t>
      </w:r>
      <w:r w:rsidRPr="00933AE0">
        <w:rPr>
          <w:rStyle w:val="Emphasis"/>
          <w:rFonts w:eastAsiaTheme="majorEastAsia"/>
        </w:rPr>
        <w:t>Corporate Financial Management</w:t>
      </w:r>
      <w:r>
        <w:t>. 7th ed. Harlow: Pearson Education.</w:t>
      </w:r>
    </w:p>
    <w:p w14:paraId="31692870" w14:textId="77777777" w:rsidR="00933AE0" w:rsidRDefault="00933AE0" w:rsidP="00933AE0">
      <w:r>
        <w:t xml:space="preserve">Arnold, G. and Lewis, D. (2019) </w:t>
      </w:r>
      <w:r w:rsidRPr="00933AE0">
        <w:rPr>
          <w:rStyle w:val="Emphasis"/>
          <w:rFonts w:eastAsiaTheme="majorEastAsia"/>
        </w:rPr>
        <w:t>Essential Corporate Finance</w:t>
      </w:r>
      <w:r>
        <w:t>. 5th ed. Harlow: Pearson.</w:t>
      </w:r>
    </w:p>
    <w:p w14:paraId="2A4127C1" w14:textId="77777777" w:rsidR="00933AE0" w:rsidRDefault="00933AE0" w:rsidP="00933AE0">
      <w:proofErr w:type="spellStart"/>
      <w:r>
        <w:t>Atrill</w:t>
      </w:r>
      <w:proofErr w:type="spellEnd"/>
      <w:r>
        <w:t xml:space="preserve">, P. and McLaney, E. (2022) </w:t>
      </w:r>
      <w:r w:rsidRPr="00933AE0">
        <w:rPr>
          <w:rStyle w:val="Emphasis"/>
          <w:rFonts w:eastAsiaTheme="majorEastAsia"/>
        </w:rPr>
        <w:t>Accounting and Finance for Non-Specialists</w:t>
      </w:r>
      <w:r>
        <w:t>. 12th ed. Harlow: Pearson.</w:t>
      </w:r>
    </w:p>
    <w:p w14:paraId="209EF381" w14:textId="77777777" w:rsidR="00933AE0" w:rsidRDefault="00933AE0" w:rsidP="00933AE0">
      <w:proofErr w:type="spellStart"/>
      <w:r>
        <w:t>Atrill</w:t>
      </w:r>
      <w:proofErr w:type="spellEnd"/>
      <w:r>
        <w:t xml:space="preserve">, P. and McLaney, E. (2022) </w:t>
      </w:r>
      <w:r w:rsidRPr="00933AE0">
        <w:rPr>
          <w:rStyle w:val="Emphasis"/>
          <w:rFonts w:eastAsiaTheme="majorEastAsia"/>
        </w:rPr>
        <w:t>Accounting and Finance for Non-Specialists</w:t>
      </w:r>
      <w:r>
        <w:t xml:space="preserve">. 12th </w:t>
      </w:r>
      <w:proofErr w:type="spellStart"/>
      <w:r>
        <w:t>edn</w:t>
      </w:r>
      <w:proofErr w:type="spellEnd"/>
      <w:r>
        <w:t>. Harlow: Pearson Education.</w:t>
      </w:r>
    </w:p>
    <w:p w14:paraId="0CF04DEB" w14:textId="77777777" w:rsidR="00933AE0" w:rsidRDefault="00933AE0" w:rsidP="00933AE0">
      <w:r>
        <w:t>Baker, H.K. &amp; Riddick, L.A. (2012) Corporate management of foreign currency risk: conceptual framework, policies and strategies, Oxford: Oxford University Press.</w:t>
      </w:r>
    </w:p>
    <w:p w14:paraId="79E9F0BB" w14:textId="77777777" w:rsidR="00933AE0" w:rsidRDefault="00933AE0" w:rsidP="00933AE0">
      <w:r>
        <w:t xml:space="preserve">Brealey, R.A., Myers, S.C. and Allen, F. (2020) </w:t>
      </w:r>
      <w:r w:rsidRPr="00933AE0">
        <w:rPr>
          <w:rStyle w:val="Emphasis"/>
          <w:rFonts w:eastAsiaTheme="majorEastAsia"/>
        </w:rPr>
        <w:t>Principles of Corporate Finance</w:t>
      </w:r>
      <w:r>
        <w:t>. 14th ed. New York: McGraw-Hill Education.</w:t>
      </w:r>
    </w:p>
    <w:p w14:paraId="1EC53743" w14:textId="77777777" w:rsidR="00933AE0" w:rsidRDefault="00933AE0" w:rsidP="00933AE0">
      <w:r>
        <w:t xml:space="preserve">Brigham, E. F. and Ehrhardt, M. C. (2019) </w:t>
      </w:r>
      <w:r w:rsidRPr="00933AE0">
        <w:rPr>
          <w:rStyle w:val="Emphasis"/>
          <w:rFonts w:eastAsiaTheme="majorEastAsia"/>
        </w:rPr>
        <w:t>Financial Management: Theory &amp; Practice</w:t>
      </w:r>
      <w:r>
        <w:t xml:space="preserve">. 16th </w:t>
      </w:r>
      <w:proofErr w:type="spellStart"/>
      <w:r>
        <w:t>edn</w:t>
      </w:r>
      <w:proofErr w:type="spellEnd"/>
      <w:r>
        <w:t>. Boston: Cengage Learning.</w:t>
      </w:r>
    </w:p>
    <w:p w14:paraId="0EE5CC73" w14:textId="77777777" w:rsidR="00933AE0" w:rsidRDefault="00933AE0" w:rsidP="00933AE0">
      <w:r>
        <w:t>Clark, K. &amp; Ofek, E. (2009) ‘Mergers as a means of restructuring distressed firms: an empirical investigation’, Journal of Financial and Quantitative Analysis, 44(2), pp. 357–378.</w:t>
      </w:r>
    </w:p>
    <w:p w14:paraId="20E119B7" w14:textId="77777777" w:rsidR="00933AE0" w:rsidRDefault="00933AE0" w:rsidP="00933AE0">
      <w:r>
        <w:t xml:space="preserve">Damodaran, A. (2021) </w:t>
      </w:r>
      <w:r w:rsidRPr="00933AE0">
        <w:rPr>
          <w:rStyle w:val="Emphasis"/>
          <w:rFonts w:eastAsiaTheme="majorEastAsia"/>
        </w:rPr>
        <w:t>Corporate Finance: Theory and Practice</w:t>
      </w:r>
      <w:r>
        <w:t>. 4th ed. Hoboken, NJ: Wiley.</w:t>
      </w:r>
    </w:p>
    <w:p w14:paraId="76A45552" w14:textId="77777777" w:rsidR="00933AE0" w:rsidRDefault="00933AE0" w:rsidP="00933AE0">
      <w:r>
        <w:t>Das, B.C., Hasan, F. &amp; Sutradhar, S.R. (2024) ‘The impact of economic policy uncertainty and inflation risk on corporate cash holdings’, Review of Quantitative Finance and Accounting, 62, pp. 865–887.</w:t>
      </w:r>
    </w:p>
    <w:p w14:paraId="196A34CF" w14:textId="77777777" w:rsidR="00933AE0" w:rsidRDefault="00933AE0" w:rsidP="00933AE0">
      <w:r>
        <w:t xml:space="preserve">Deloitte (2023) </w:t>
      </w:r>
      <w:r w:rsidRPr="00933AE0">
        <w:rPr>
          <w:rStyle w:val="Emphasis"/>
          <w:rFonts w:eastAsiaTheme="majorEastAsia"/>
        </w:rPr>
        <w:t>Global Consumer Electronics Outlook 2023</w:t>
      </w:r>
      <w:r>
        <w:t>. Available at: https://www.deloitte.com/ (Accessed: 5 November 2025).</w:t>
      </w:r>
    </w:p>
    <w:p w14:paraId="1A78B302" w14:textId="77777777" w:rsidR="00933AE0" w:rsidRDefault="00933AE0" w:rsidP="00933AE0">
      <w:r>
        <w:t xml:space="preserve">Grant, R. M. (2022) </w:t>
      </w:r>
      <w:r w:rsidRPr="00933AE0">
        <w:rPr>
          <w:rStyle w:val="Emphasis"/>
          <w:rFonts w:eastAsiaTheme="majorEastAsia"/>
        </w:rPr>
        <w:t>Contemporary Strategy Analysis</w:t>
      </w:r>
      <w:r>
        <w:t xml:space="preserve">. 11th </w:t>
      </w:r>
      <w:proofErr w:type="spellStart"/>
      <w:r>
        <w:t>edn</w:t>
      </w:r>
      <w:proofErr w:type="spellEnd"/>
      <w:r>
        <w:t>. Hoboken, NJ: Wiley.</w:t>
      </w:r>
    </w:p>
    <w:p w14:paraId="237803FC" w14:textId="77777777" w:rsidR="00933AE0" w:rsidRDefault="00933AE0" w:rsidP="00933AE0">
      <w:r>
        <w:lastRenderedPageBreak/>
        <w:t xml:space="preserve">Higgins, R. C. (2020) </w:t>
      </w:r>
      <w:r w:rsidRPr="00933AE0">
        <w:rPr>
          <w:rStyle w:val="Emphasis"/>
          <w:rFonts w:eastAsiaTheme="majorEastAsia"/>
        </w:rPr>
        <w:t>Analysis for Financial Management</w:t>
      </w:r>
      <w:r>
        <w:t xml:space="preserve">. 12th </w:t>
      </w:r>
      <w:proofErr w:type="spellStart"/>
      <w:r>
        <w:t>edn</w:t>
      </w:r>
      <w:proofErr w:type="spellEnd"/>
      <w:r>
        <w:t>. New York: McGraw-Hill Education.</w:t>
      </w:r>
    </w:p>
    <w:p w14:paraId="4E3D8D1F" w14:textId="77777777" w:rsidR="00933AE0" w:rsidRDefault="00933AE0" w:rsidP="00933AE0">
      <w:r>
        <w:t xml:space="preserve">Johnson, G., Whittington, R. and Scholes, K. (2020) </w:t>
      </w:r>
      <w:r w:rsidRPr="00933AE0">
        <w:rPr>
          <w:rStyle w:val="Emphasis"/>
          <w:rFonts w:eastAsiaTheme="majorEastAsia"/>
        </w:rPr>
        <w:t>Exploring Corporate Strategy: Text and Cases</w:t>
      </w:r>
      <w:r>
        <w:t>. 12th ed. Harlow: Pearson Education.</w:t>
      </w:r>
    </w:p>
    <w:p w14:paraId="2A5BCF68" w14:textId="77777777" w:rsidR="00933AE0" w:rsidRDefault="00933AE0" w:rsidP="00933AE0">
      <w:r>
        <w:t xml:space="preserve">Koller, T., Goedhart, M. and Wessels, D. (2020) </w:t>
      </w:r>
      <w:r w:rsidRPr="00933AE0">
        <w:rPr>
          <w:rStyle w:val="Emphasis"/>
          <w:rFonts w:eastAsiaTheme="majorEastAsia"/>
        </w:rPr>
        <w:t>Valuation: Measuring and Managing the Value of Companies</w:t>
      </w:r>
      <w:r>
        <w:t xml:space="preserve">. 7th </w:t>
      </w:r>
      <w:proofErr w:type="spellStart"/>
      <w:r>
        <w:t>edn</w:t>
      </w:r>
      <w:proofErr w:type="spellEnd"/>
      <w:r>
        <w:t>. Hoboken, NJ: Wiley.</w:t>
      </w:r>
    </w:p>
    <w:p w14:paraId="1F3086E6" w14:textId="77777777" w:rsidR="00933AE0" w:rsidRDefault="00933AE0" w:rsidP="00933AE0">
      <w:r>
        <w:t>Kruk, S. (2021) ‘Impact of capital structure on corporate value—review of literature’, Journal of Risk and Financial Management, 14(4), 155.</w:t>
      </w:r>
    </w:p>
    <w:p w14:paraId="23B3EF49" w14:textId="77777777" w:rsidR="00933AE0" w:rsidRDefault="00933AE0" w:rsidP="00933AE0">
      <w:r>
        <w:t xml:space="preserve">Palepu, K. G. and Healy, P. M. (2020) </w:t>
      </w:r>
      <w:r w:rsidRPr="00933AE0">
        <w:rPr>
          <w:rStyle w:val="Emphasis"/>
          <w:rFonts w:eastAsiaTheme="majorEastAsia"/>
        </w:rPr>
        <w:t>Business Analysis and Valuation: Using Financial Statements</w:t>
      </w:r>
      <w:r>
        <w:t xml:space="preserve">. 6th </w:t>
      </w:r>
      <w:proofErr w:type="spellStart"/>
      <w:r>
        <w:t>edn</w:t>
      </w:r>
      <w:proofErr w:type="spellEnd"/>
      <w:r>
        <w:t>. Boston: Cengage Learning.</w:t>
      </w:r>
    </w:p>
    <w:p w14:paraId="48EF932B" w14:textId="77777777" w:rsidR="00933AE0" w:rsidRDefault="00933AE0" w:rsidP="00933AE0">
      <w:r>
        <w:t xml:space="preserve">PWC. (2024) Financial restructuring services: onshore and offshore debt, equity, quasi-equity, mezzanine financing, [online] Available at: </w:t>
      </w:r>
      <w:hyperlink r:id="rId10" w:history="1">
        <w:r w:rsidRPr="00867EBA">
          <w:rPr>
            <w:rStyle w:val="Hyperlink"/>
          </w:rPr>
          <w:t>https://www.pwc.com/vn/en/deals/assets/financial-restructuring-services.pdf</w:t>
        </w:r>
      </w:hyperlink>
    </w:p>
    <w:p w14:paraId="29EDB5AF" w14:textId="77777777" w:rsidR="00933AE0" w:rsidRDefault="00933AE0" w:rsidP="00933AE0">
      <w:r>
        <w:t xml:space="preserve">Ross, S. A., Westerfield, R. W., Jaffe, J. and Jordan, B. D. (2019) </w:t>
      </w:r>
      <w:r w:rsidRPr="00933AE0">
        <w:rPr>
          <w:rStyle w:val="Emphasis"/>
          <w:rFonts w:eastAsiaTheme="majorEastAsia"/>
        </w:rPr>
        <w:t>Corporate Finance</w:t>
      </w:r>
      <w:r>
        <w:t xml:space="preserve">. 13th </w:t>
      </w:r>
      <w:proofErr w:type="spellStart"/>
      <w:r>
        <w:t>edn</w:t>
      </w:r>
      <w:proofErr w:type="spellEnd"/>
      <w:r>
        <w:t>. New York: McGraw-Hill Education.</w:t>
      </w:r>
    </w:p>
    <w:p w14:paraId="1F5FC4FB" w14:textId="77777777" w:rsidR="00933AE0" w:rsidRDefault="00933AE0" w:rsidP="00933AE0">
      <w:proofErr w:type="spellStart"/>
      <w:r>
        <w:t>Trigeorgis</w:t>
      </w:r>
      <w:proofErr w:type="spellEnd"/>
      <w:r>
        <w:t xml:space="preserve">, L. and Reuer, J.J. (2017) </w:t>
      </w:r>
      <w:r w:rsidRPr="00933AE0">
        <w:rPr>
          <w:rStyle w:val="Emphasis"/>
          <w:rFonts w:eastAsiaTheme="majorEastAsia"/>
        </w:rPr>
        <w:t>Real Options Theory in Strategic Management</w:t>
      </w:r>
      <w:r>
        <w:t>. Bingley: Emerald Publishing.</w:t>
      </w:r>
    </w:p>
    <w:p w14:paraId="381492D2" w14:textId="77777777" w:rsidR="00933AE0" w:rsidRPr="00044D48" w:rsidRDefault="00933AE0" w:rsidP="00933AE0">
      <w:r>
        <w:t>Xue, M. &amp; Chang, C. (2024) ‘The impact of debt restructuring on corporate financial performance and risk control of listed companies’, Chinese Journal of Social Science and Management, 8(2), pp. 113–127.</w:t>
      </w:r>
    </w:p>
    <w:p w14:paraId="085160A1" w14:textId="77777777" w:rsidR="00E13DFA" w:rsidRDefault="00E13DFA" w:rsidP="00933AE0"/>
    <w:p w14:paraId="34F4A7E7" w14:textId="77777777" w:rsidR="00933AE0" w:rsidRDefault="00933AE0" w:rsidP="00933AE0"/>
    <w:p w14:paraId="28DA113A" w14:textId="77777777" w:rsidR="00933AE0" w:rsidRDefault="00933AE0" w:rsidP="00933AE0"/>
    <w:p w14:paraId="50D39C69" w14:textId="77777777" w:rsidR="00933AE0" w:rsidRDefault="00933AE0" w:rsidP="00933AE0">
      <w:pPr>
        <w:sectPr w:rsidR="00933AE0" w:rsidSect="00933AE0">
          <w:headerReference w:type="default" r:id="rId11"/>
          <w:footerReference w:type="default" r:id="rId12"/>
          <w:pgSz w:w="12240" w:h="15840"/>
          <w:pgMar w:top="1440" w:right="1440" w:bottom="1440" w:left="1440" w:header="720" w:footer="720" w:gutter="0"/>
          <w:pgNumType w:start="0"/>
          <w:cols w:space="720"/>
          <w:titlePg/>
          <w:docGrid w:linePitch="326"/>
        </w:sectPr>
      </w:pPr>
    </w:p>
    <w:p w14:paraId="612446C7" w14:textId="5F90C1BF" w:rsidR="00933AE0" w:rsidRDefault="00933AE0" w:rsidP="0062492E">
      <w:pPr>
        <w:pStyle w:val="Heading1"/>
        <w:jc w:val="center"/>
      </w:pPr>
      <w:bookmarkStart w:id="33" w:name="_Toc213449469"/>
      <w:r>
        <w:lastRenderedPageBreak/>
        <w:t>Appendices:</w:t>
      </w:r>
      <w:bookmarkEnd w:id="33"/>
    </w:p>
    <w:p w14:paraId="47BC29F1" w14:textId="3FF3E48C" w:rsidR="00933AE0" w:rsidRDefault="00933AE0" w:rsidP="0062492E">
      <w:pPr>
        <w:pStyle w:val="ListParagraph"/>
        <w:numPr>
          <w:ilvl w:val="0"/>
          <w:numId w:val="32"/>
        </w:numPr>
        <w:jc w:val="center"/>
        <w:rPr>
          <w:rStyle w:val="Heading2Char"/>
        </w:rPr>
      </w:pPr>
      <w:bookmarkStart w:id="34" w:name="_Toc213449470"/>
      <w:r w:rsidRPr="00D100F7">
        <w:rPr>
          <w:rStyle w:val="Heading2Char"/>
        </w:rPr>
        <w:t>Ratio Analysis</w:t>
      </w:r>
      <w:bookmarkEnd w:id="34"/>
    </w:p>
    <w:tbl>
      <w:tblPr>
        <w:tblStyle w:val="GridTable3-Accent4"/>
        <w:tblW w:w="10170" w:type="dxa"/>
        <w:tblLook w:val="04A0" w:firstRow="1" w:lastRow="0" w:firstColumn="1" w:lastColumn="0" w:noHBand="0" w:noVBand="1"/>
      </w:tblPr>
      <w:tblGrid>
        <w:gridCol w:w="3479"/>
        <w:gridCol w:w="26"/>
        <w:gridCol w:w="1305"/>
        <w:gridCol w:w="45"/>
        <w:gridCol w:w="1260"/>
        <w:gridCol w:w="25"/>
        <w:gridCol w:w="1330"/>
        <w:gridCol w:w="1330"/>
        <w:gridCol w:w="20"/>
        <w:gridCol w:w="1350"/>
      </w:tblGrid>
      <w:tr w:rsidR="00CD6817" w:rsidRPr="00CD6817" w14:paraId="4CC0E322" w14:textId="77777777" w:rsidTr="00CD6817">
        <w:trPr>
          <w:cnfStyle w:val="100000000000" w:firstRow="1" w:lastRow="0" w:firstColumn="0" w:lastColumn="0" w:oddVBand="0" w:evenVBand="0" w:oddHBand="0" w:evenHBand="0" w:firstRowFirstColumn="0" w:firstRowLastColumn="0" w:lastRowFirstColumn="0" w:lastRowLastColumn="0"/>
          <w:trHeight w:val="424"/>
        </w:trPr>
        <w:tc>
          <w:tcPr>
            <w:cnfStyle w:val="001000000100" w:firstRow="0" w:lastRow="0" w:firstColumn="1" w:lastColumn="0" w:oddVBand="0" w:evenVBand="0" w:oddHBand="0" w:evenHBand="0" w:firstRowFirstColumn="1" w:firstRowLastColumn="0" w:lastRowFirstColumn="0" w:lastRowLastColumn="0"/>
            <w:tcW w:w="10170" w:type="dxa"/>
            <w:gridSpan w:val="10"/>
            <w:noWrap/>
            <w:hideMark/>
          </w:tcPr>
          <w:p w14:paraId="68277503" w14:textId="77777777" w:rsidR="00CD6817" w:rsidRPr="00CD6817" w:rsidRDefault="00CD6817" w:rsidP="00CD6817">
            <w:pPr>
              <w:spacing w:line="240" w:lineRule="auto"/>
              <w:jc w:val="center"/>
              <w:rPr>
                <w:rFonts w:ascii="Calibri" w:hAnsi="Calibri" w:cs="Calibri"/>
                <w:color w:val="000000"/>
                <w:sz w:val="28"/>
                <w:szCs w:val="28"/>
                <w:lang w:val="en-US"/>
              </w:rPr>
            </w:pPr>
            <w:r w:rsidRPr="00CD6817">
              <w:rPr>
                <w:rFonts w:ascii="Calibri" w:hAnsi="Calibri" w:cs="Calibri"/>
                <w:color w:val="000000"/>
                <w:sz w:val="28"/>
                <w:szCs w:val="28"/>
                <w:lang w:val="en-US"/>
              </w:rPr>
              <w:t>Consolidated Income Statement (£m)</w:t>
            </w:r>
          </w:p>
        </w:tc>
      </w:tr>
      <w:tr w:rsidR="00CD6817" w:rsidRPr="00CD6817" w14:paraId="112E811A" w14:textId="77777777" w:rsidTr="00CD6817">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3479" w:type="dxa"/>
            <w:noWrap/>
            <w:hideMark/>
          </w:tcPr>
          <w:p w14:paraId="1ED67089" w14:textId="77777777" w:rsidR="00CD6817" w:rsidRPr="00CD6817" w:rsidRDefault="00CD6817" w:rsidP="00CD6817">
            <w:pPr>
              <w:spacing w:line="240" w:lineRule="auto"/>
              <w:jc w:val="center"/>
              <w:rPr>
                <w:rFonts w:ascii="Calibri" w:hAnsi="Calibri" w:cs="Calibri"/>
                <w:color w:val="000000"/>
                <w:sz w:val="28"/>
                <w:szCs w:val="28"/>
                <w:lang w:val="en-US"/>
              </w:rPr>
            </w:pPr>
            <w:r w:rsidRPr="00CD6817">
              <w:rPr>
                <w:rFonts w:ascii="Calibri" w:hAnsi="Calibri" w:cs="Calibri"/>
                <w:color w:val="000000"/>
                <w:sz w:val="28"/>
                <w:szCs w:val="28"/>
                <w:lang w:val="en-US"/>
              </w:rPr>
              <w:t> </w:t>
            </w:r>
          </w:p>
        </w:tc>
        <w:tc>
          <w:tcPr>
            <w:tcW w:w="1331" w:type="dxa"/>
            <w:gridSpan w:val="2"/>
            <w:noWrap/>
            <w:hideMark/>
          </w:tcPr>
          <w:p w14:paraId="23A801CD"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8"/>
                <w:szCs w:val="28"/>
                <w:lang w:val="en-US"/>
              </w:rPr>
            </w:pPr>
            <w:r w:rsidRPr="00CD6817">
              <w:rPr>
                <w:rFonts w:ascii="Calibri" w:hAnsi="Calibri" w:cs="Calibri"/>
                <w:color w:val="000000"/>
                <w:sz w:val="28"/>
                <w:szCs w:val="28"/>
                <w:lang w:val="en-US"/>
              </w:rPr>
              <w:t>2020</w:t>
            </w:r>
          </w:p>
        </w:tc>
        <w:tc>
          <w:tcPr>
            <w:tcW w:w="1330" w:type="dxa"/>
            <w:gridSpan w:val="3"/>
            <w:noWrap/>
            <w:hideMark/>
          </w:tcPr>
          <w:p w14:paraId="7F59DAA1"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8"/>
                <w:szCs w:val="28"/>
                <w:lang w:val="en-US"/>
              </w:rPr>
            </w:pPr>
            <w:r w:rsidRPr="00CD6817">
              <w:rPr>
                <w:rFonts w:ascii="Calibri" w:hAnsi="Calibri" w:cs="Calibri"/>
                <w:color w:val="000000"/>
                <w:sz w:val="28"/>
                <w:szCs w:val="28"/>
                <w:lang w:val="en-US"/>
              </w:rPr>
              <w:t>2021</w:t>
            </w:r>
          </w:p>
        </w:tc>
        <w:tc>
          <w:tcPr>
            <w:tcW w:w="1330" w:type="dxa"/>
            <w:noWrap/>
            <w:hideMark/>
          </w:tcPr>
          <w:p w14:paraId="3525456E"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8"/>
                <w:szCs w:val="28"/>
                <w:lang w:val="en-US"/>
              </w:rPr>
            </w:pPr>
            <w:r w:rsidRPr="00CD6817">
              <w:rPr>
                <w:rFonts w:ascii="Calibri" w:hAnsi="Calibri" w:cs="Calibri"/>
                <w:color w:val="000000"/>
                <w:sz w:val="28"/>
                <w:szCs w:val="28"/>
                <w:lang w:val="en-US"/>
              </w:rPr>
              <w:t>2022</w:t>
            </w:r>
          </w:p>
        </w:tc>
        <w:tc>
          <w:tcPr>
            <w:tcW w:w="1330" w:type="dxa"/>
            <w:noWrap/>
            <w:hideMark/>
          </w:tcPr>
          <w:p w14:paraId="71E55903"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8"/>
                <w:szCs w:val="28"/>
                <w:lang w:val="en-US"/>
              </w:rPr>
            </w:pPr>
            <w:r w:rsidRPr="00CD6817">
              <w:rPr>
                <w:rFonts w:ascii="Calibri" w:hAnsi="Calibri" w:cs="Calibri"/>
                <w:color w:val="000000"/>
                <w:sz w:val="28"/>
                <w:szCs w:val="28"/>
                <w:lang w:val="en-US"/>
              </w:rPr>
              <w:t>2023</w:t>
            </w:r>
          </w:p>
        </w:tc>
        <w:tc>
          <w:tcPr>
            <w:tcW w:w="1370" w:type="dxa"/>
            <w:gridSpan w:val="2"/>
            <w:noWrap/>
            <w:hideMark/>
          </w:tcPr>
          <w:p w14:paraId="0694AFF2"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8"/>
                <w:szCs w:val="28"/>
                <w:lang w:val="en-US"/>
              </w:rPr>
            </w:pPr>
            <w:r w:rsidRPr="00CD6817">
              <w:rPr>
                <w:rFonts w:ascii="Calibri" w:hAnsi="Calibri" w:cs="Calibri"/>
                <w:color w:val="000000"/>
                <w:sz w:val="28"/>
                <w:szCs w:val="28"/>
                <w:lang w:val="en-US"/>
              </w:rPr>
              <w:t>2024</w:t>
            </w:r>
          </w:p>
        </w:tc>
      </w:tr>
      <w:tr w:rsidR="00CD6817" w:rsidRPr="00CD6817" w14:paraId="79DEA124" w14:textId="77777777" w:rsidTr="00CD6817">
        <w:trPr>
          <w:trHeight w:val="338"/>
        </w:trPr>
        <w:tc>
          <w:tcPr>
            <w:cnfStyle w:val="001000000000" w:firstRow="0" w:lastRow="0" w:firstColumn="1" w:lastColumn="0" w:oddVBand="0" w:evenVBand="0" w:oddHBand="0" w:evenHBand="0" w:firstRowFirstColumn="0" w:firstRowLastColumn="0" w:lastRowFirstColumn="0" w:lastRowLastColumn="0"/>
            <w:tcW w:w="3479" w:type="dxa"/>
            <w:noWrap/>
            <w:hideMark/>
          </w:tcPr>
          <w:p w14:paraId="401B8009" w14:textId="77777777" w:rsidR="00CD6817" w:rsidRPr="00CD6817" w:rsidRDefault="00CD6817" w:rsidP="00CD6817">
            <w:pPr>
              <w:spacing w:line="240" w:lineRule="auto"/>
              <w:jc w:val="center"/>
              <w:rPr>
                <w:rFonts w:ascii="Calibri" w:hAnsi="Calibri" w:cs="Calibri"/>
                <w:color w:val="000000"/>
                <w:sz w:val="22"/>
                <w:szCs w:val="22"/>
                <w:lang w:val="en-US"/>
              </w:rPr>
            </w:pPr>
            <w:r w:rsidRPr="00CD6817">
              <w:rPr>
                <w:rFonts w:ascii="Calibri" w:hAnsi="Calibri" w:cs="Calibri"/>
                <w:color w:val="000000"/>
                <w:sz w:val="22"/>
                <w:szCs w:val="22"/>
                <w:lang w:val="en-US"/>
              </w:rPr>
              <w:t>Net Sales</w:t>
            </w:r>
          </w:p>
        </w:tc>
        <w:tc>
          <w:tcPr>
            <w:tcW w:w="1331" w:type="dxa"/>
            <w:gridSpan w:val="2"/>
            <w:noWrap/>
            <w:hideMark/>
          </w:tcPr>
          <w:p w14:paraId="7A0BBEF2"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614,680</w:t>
            </w:r>
          </w:p>
        </w:tc>
        <w:tc>
          <w:tcPr>
            <w:tcW w:w="1330" w:type="dxa"/>
            <w:gridSpan w:val="3"/>
            <w:noWrap/>
            <w:hideMark/>
          </w:tcPr>
          <w:p w14:paraId="2FA93669"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601,602</w:t>
            </w:r>
          </w:p>
        </w:tc>
        <w:tc>
          <w:tcPr>
            <w:tcW w:w="1330" w:type="dxa"/>
            <w:noWrap/>
            <w:hideMark/>
          </w:tcPr>
          <w:p w14:paraId="09993496"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542,751</w:t>
            </w:r>
          </w:p>
        </w:tc>
        <w:tc>
          <w:tcPr>
            <w:tcW w:w="1330" w:type="dxa"/>
            <w:noWrap/>
            <w:hideMark/>
          </w:tcPr>
          <w:p w14:paraId="55831B2F"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420,457</w:t>
            </w:r>
          </w:p>
        </w:tc>
        <w:tc>
          <w:tcPr>
            <w:tcW w:w="1370" w:type="dxa"/>
            <w:gridSpan w:val="2"/>
            <w:noWrap/>
            <w:hideMark/>
          </w:tcPr>
          <w:p w14:paraId="21B6B8DC"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394,879</w:t>
            </w:r>
          </w:p>
        </w:tc>
      </w:tr>
      <w:tr w:rsidR="00CD6817" w:rsidRPr="00CD6817" w14:paraId="4313B385" w14:textId="77777777" w:rsidTr="00CD6817">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3479" w:type="dxa"/>
            <w:noWrap/>
            <w:hideMark/>
          </w:tcPr>
          <w:p w14:paraId="6CD8DE62" w14:textId="77777777" w:rsidR="00CD6817" w:rsidRPr="00CD6817" w:rsidRDefault="00CD6817" w:rsidP="00CD6817">
            <w:pPr>
              <w:spacing w:line="240" w:lineRule="auto"/>
              <w:jc w:val="center"/>
              <w:rPr>
                <w:rFonts w:ascii="Calibri" w:hAnsi="Calibri" w:cs="Calibri"/>
                <w:color w:val="000000"/>
                <w:sz w:val="22"/>
                <w:szCs w:val="22"/>
                <w:lang w:val="en-US"/>
              </w:rPr>
            </w:pPr>
            <w:r w:rsidRPr="00CD6817">
              <w:rPr>
                <w:rFonts w:ascii="Calibri" w:hAnsi="Calibri" w:cs="Calibri"/>
                <w:color w:val="000000"/>
                <w:sz w:val="22"/>
                <w:szCs w:val="22"/>
                <w:lang w:val="en-US"/>
              </w:rPr>
              <w:t>Cost of Sales</w:t>
            </w:r>
          </w:p>
        </w:tc>
        <w:tc>
          <w:tcPr>
            <w:tcW w:w="1331" w:type="dxa"/>
            <w:gridSpan w:val="2"/>
            <w:noWrap/>
            <w:hideMark/>
          </w:tcPr>
          <w:p w14:paraId="56D83CA0"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(438,424)</w:t>
            </w:r>
          </w:p>
        </w:tc>
        <w:tc>
          <w:tcPr>
            <w:tcW w:w="1330" w:type="dxa"/>
            <w:gridSpan w:val="3"/>
            <w:noWrap/>
            <w:hideMark/>
          </w:tcPr>
          <w:p w14:paraId="409ABD09"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(428,586)</w:t>
            </w:r>
          </w:p>
        </w:tc>
        <w:tc>
          <w:tcPr>
            <w:tcW w:w="1330" w:type="dxa"/>
            <w:noWrap/>
            <w:hideMark/>
          </w:tcPr>
          <w:p w14:paraId="0B52E63A"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(390,459)</w:t>
            </w:r>
          </w:p>
        </w:tc>
        <w:tc>
          <w:tcPr>
            <w:tcW w:w="1330" w:type="dxa"/>
            <w:noWrap/>
            <w:hideMark/>
          </w:tcPr>
          <w:p w14:paraId="0656FE63"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(322,897)</w:t>
            </w:r>
          </w:p>
        </w:tc>
        <w:tc>
          <w:tcPr>
            <w:tcW w:w="1370" w:type="dxa"/>
            <w:gridSpan w:val="2"/>
            <w:noWrap/>
            <w:hideMark/>
          </w:tcPr>
          <w:p w14:paraId="5269E219"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(280,885)</w:t>
            </w:r>
          </w:p>
        </w:tc>
      </w:tr>
      <w:tr w:rsidR="00CD6817" w:rsidRPr="00CD6817" w14:paraId="0947D5E5" w14:textId="77777777" w:rsidTr="00CD6817">
        <w:trPr>
          <w:trHeight w:val="338"/>
        </w:trPr>
        <w:tc>
          <w:tcPr>
            <w:cnfStyle w:val="001000000000" w:firstRow="0" w:lastRow="0" w:firstColumn="1" w:lastColumn="0" w:oddVBand="0" w:evenVBand="0" w:oddHBand="0" w:evenHBand="0" w:firstRowFirstColumn="0" w:firstRowLastColumn="0" w:lastRowFirstColumn="0" w:lastRowLastColumn="0"/>
            <w:tcW w:w="3479" w:type="dxa"/>
            <w:noWrap/>
            <w:hideMark/>
          </w:tcPr>
          <w:p w14:paraId="65DAD85F" w14:textId="77777777" w:rsidR="00CD6817" w:rsidRPr="00CD6817" w:rsidRDefault="00CD6817" w:rsidP="00CD6817">
            <w:pPr>
              <w:spacing w:line="240" w:lineRule="auto"/>
              <w:jc w:val="center"/>
              <w:rPr>
                <w:rFonts w:ascii="Calibri" w:hAnsi="Calibri" w:cs="Calibri"/>
                <w:color w:val="000000"/>
                <w:sz w:val="22"/>
                <w:szCs w:val="22"/>
                <w:lang w:val="en-US"/>
              </w:rPr>
            </w:pPr>
            <w:r w:rsidRPr="00CD6817">
              <w:rPr>
                <w:rFonts w:ascii="Calibri" w:hAnsi="Calibri" w:cs="Calibri"/>
                <w:color w:val="000000"/>
                <w:sz w:val="22"/>
                <w:szCs w:val="22"/>
                <w:lang w:val="en-US"/>
              </w:rPr>
              <w:t>Gross Profit</w:t>
            </w:r>
          </w:p>
        </w:tc>
        <w:tc>
          <w:tcPr>
            <w:tcW w:w="1331" w:type="dxa"/>
            <w:gridSpan w:val="2"/>
            <w:noWrap/>
            <w:hideMark/>
          </w:tcPr>
          <w:p w14:paraId="17AB934C"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176,256</w:t>
            </w:r>
          </w:p>
        </w:tc>
        <w:tc>
          <w:tcPr>
            <w:tcW w:w="1330" w:type="dxa"/>
            <w:gridSpan w:val="3"/>
            <w:noWrap/>
            <w:hideMark/>
          </w:tcPr>
          <w:p w14:paraId="2C3E9BD5"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173,016</w:t>
            </w:r>
          </w:p>
        </w:tc>
        <w:tc>
          <w:tcPr>
            <w:tcW w:w="1330" w:type="dxa"/>
            <w:noWrap/>
            <w:hideMark/>
          </w:tcPr>
          <w:p w14:paraId="78ED1052"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152,292</w:t>
            </w:r>
          </w:p>
        </w:tc>
        <w:tc>
          <w:tcPr>
            <w:tcW w:w="1330" w:type="dxa"/>
            <w:noWrap/>
            <w:hideMark/>
          </w:tcPr>
          <w:p w14:paraId="399800BE"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97,560</w:t>
            </w:r>
          </w:p>
        </w:tc>
        <w:tc>
          <w:tcPr>
            <w:tcW w:w="1370" w:type="dxa"/>
            <w:gridSpan w:val="2"/>
            <w:noWrap/>
            <w:hideMark/>
          </w:tcPr>
          <w:p w14:paraId="176142AE"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113,994</w:t>
            </w:r>
          </w:p>
        </w:tc>
      </w:tr>
      <w:tr w:rsidR="00CD6817" w:rsidRPr="00CD6817" w14:paraId="439D7515" w14:textId="77777777" w:rsidTr="00CD6817">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3479" w:type="dxa"/>
            <w:noWrap/>
            <w:hideMark/>
          </w:tcPr>
          <w:p w14:paraId="23E56D03" w14:textId="77777777" w:rsidR="00CD6817" w:rsidRPr="00CD6817" w:rsidRDefault="00CD6817" w:rsidP="00CD6817">
            <w:pPr>
              <w:spacing w:line="240" w:lineRule="auto"/>
              <w:jc w:val="center"/>
              <w:rPr>
                <w:rFonts w:ascii="Calibri" w:hAnsi="Calibri" w:cs="Calibri"/>
                <w:color w:val="000000"/>
                <w:sz w:val="22"/>
                <w:szCs w:val="22"/>
                <w:lang w:val="en-US"/>
              </w:rPr>
            </w:pPr>
            <w:r w:rsidRPr="00CD6817">
              <w:rPr>
                <w:rFonts w:ascii="Calibri" w:hAnsi="Calibri" w:cs="Calibri"/>
                <w:color w:val="000000"/>
                <w:sz w:val="22"/>
                <w:szCs w:val="22"/>
                <w:lang w:val="en-US"/>
              </w:rPr>
              <w:t>Operating expense</w:t>
            </w:r>
          </w:p>
        </w:tc>
        <w:tc>
          <w:tcPr>
            <w:tcW w:w="1331" w:type="dxa"/>
            <w:gridSpan w:val="2"/>
            <w:noWrap/>
            <w:hideMark/>
          </w:tcPr>
          <w:p w14:paraId="3393D61F"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138,989</w:t>
            </w:r>
          </w:p>
        </w:tc>
        <w:tc>
          <w:tcPr>
            <w:tcW w:w="1330" w:type="dxa"/>
            <w:gridSpan w:val="3"/>
            <w:noWrap/>
            <w:hideMark/>
          </w:tcPr>
          <w:p w14:paraId="498A286C"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149,763</w:t>
            </w:r>
          </w:p>
        </w:tc>
        <w:tc>
          <w:tcPr>
            <w:tcW w:w="1330" w:type="dxa"/>
            <w:noWrap/>
            <w:hideMark/>
          </w:tcPr>
          <w:p w14:paraId="543D83CF"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137,744</w:t>
            </w:r>
          </w:p>
        </w:tc>
        <w:tc>
          <w:tcPr>
            <w:tcW w:w="1330" w:type="dxa"/>
            <w:noWrap/>
            <w:hideMark/>
          </w:tcPr>
          <w:p w14:paraId="56F68E77"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182,861</w:t>
            </w:r>
          </w:p>
        </w:tc>
        <w:tc>
          <w:tcPr>
            <w:tcW w:w="1370" w:type="dxa"/>
            <w:gridSpan w:val="2"/>
            <w:noWrap/>
            <w:hideMark/>
          </w:tcPr>
          <w:p w14:paraId="4BC44525"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129,291</w:t>
            </w:r>
          </w:p>
        </w:tc>
      </w:tr>
      <w:tr w:rsidR="00CD6817" w:rsidRPr="00CD6817" w14:paraId="78660A48" w14:textId="77777777" w:rsidTr="00CD6817">
        <w:trPr>
          <w:trHeight w:val="338"/>
        </w:trPr>
        <w:tc>
          <w:tcPr>
            <w:cnfStyle w:val="001000000000" w:firstRow="0" w:lastRow="0" w:firstColumn="1" w:lastColumn="0" w:oddVBand="0" w:evenVBand="0" w:oddHBand="0" w:evenHBand="0" w:firstRowFirstColumn="0" w:firstRowLastColumn="0" w:lastRowFirstColumn="0" w:lastRowLastColumn="0"/>
            <w:tcW w:w="3479" w:type="dxa"/>
            <w:noWrap/>
            <w:hideMark/>
          </w:tcPr>
          <w:p w14:paraId="0AA17BE7" w14:textId="77777777" w:rsidR="00CD6817" w:rsidRPr="00CD6817" w:rsidRDefault="00CD6817" w:rsidP="00CD6817">
            <w:pPr>
              <w:spacing w:line="240" w:lineRule="auto"/>
              <w:jc w:val="center"/>
              <w:rPr>
                <w:rFonts w:ascii="Calibri" w:hAnsi="Calibri" w:cs="Calibri"/>
                <w:color w:val="000000"/>
                <w:sz w:val="22"/>
                <w:szCs w:val="22"/>
                <w:lang w:val="en-US"/>
              </w:rPr>
            </w:pPr>
            <w:r w:rsidRPr="00CD6817">
              <w:rPr>
                <w:rFonts w:ascii="Calibri" w:hAnsi="Calibri" w:cs="Calibri"/>
                <w:color w:val="000000"/>
                <w:sz w:val="22"/>
                <w:szCs w:val="22"/>
                <w:lang w:val="en-US"/>
              </w:rPr>
              <w:t>Operating Income(loss)</w:t>
            </w:r>
          </w:p>
        </w:tc>
        <w:tc>
          <w:tcPr>
            <w:tcW w:w="1331" w:type="dxa"/>
            <w:gridSpan w:val="2"/>
            <w:noWrap/>
            <w:hideMark/>
          </w:tcPr>
          <w:p w14:paraId="701AF527"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37,267</w:t>
            </w:r>
          </w:p>
        </w:tc>
        <w:tc>
          <w:tcPr>
            <w:tcW w:w="1330" w:type="dxa"/>
            <w:gridSpan w:val="3"/>
            <w:noWrap/>
            <w:hideMark/>
          </w:tcPr>
          <w:p w14:paraId="553BC7C3"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23,253</w:t>
            </w:r>
          </w:p>
        </w:tc>
        <w:tc>
          <w:tcPr>
            <w:tcW w:w="1330" w:type="dxa"/>
            <w:noWrap/>
            <w:hideMark/>
          </w:tcPr>
          <w:p w14:paraId="716B6193"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14,548</w:t>
            </w:r>
          </w:p>
        </w:tc>
        <w:tc>
          <w:tcPr>
            <w:tcW w:w="1330" w:type="dxa"/>
            <w:noWrap/>
            <w:hideMark/>
          </w:tcPr>
          <w:p w14:paraId="3F8B2728"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(85,301)</w:t>
            </w:r>
          </w:p>
        </w:tc>
        <w:tc>
          <w:tcPr>
            <w:tcW w:w="1370" w:type="dxa"/>
            <w:gridSpan w:val="2"/>
            <w:noWrap/>
            <w:hideMark/>
          </w:tcPr>
          <w:p w14:paraId="586A12F4"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(15,297)</w:t>
            </w:r>
          </w:p>
        </w:tc>
      </w:tr>
      <w:tr w:rsidR="00CD6817" w:rsidRPr="00CD6817" w14:paraId="4317DB65" w14:textId="77777777" w:rsidTr="00CD6817">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3479" w:type="dxa"/>
            <w:noWrap/>
            <w:hideMark/>
          </w:tcPr>
          <w:p w14:paraId="7DA55EB8" w14:textId="77777777" w:rsidR="00CD6817" w:rsidRPr="00CD6817" w:rsidRDefault="00CD6817" w:rsidP="00CD6817">
            <w:pPr>
              <w:spacing w:line="240" w:lineRule="auto"/>
              <w:jc w:val="center"/>
              <w:rPr>
                <w:rFonts w:ascii="Calibri" w:hAnsi="Calibri" w:cs="Calibri"/>
                <w:color w:val="000000"/>
                <w:sz w:val="22"/>
                <w:szCs w:val="22"/>
                <w:lang w:val="en-US"/>
              </w:rPr>
            </w:pPr>
            <w:r w:rsidRPr="00CD6817">
              <w:rPr>
                <w:rFonts w:ascii="Calibri" w:hAnsi="Calibri" w:cs="Calibri"/>
                <w:color w:val="000000"/>
                <w:sz w:val="22"/>
                <w:szCs w:val="22"/>
                <w:lang w:val="en-US"/>
              </w:rPr>
              <w:t>Interest Income(expense)</w:t>
            </w:r>
          </w:p>
        </w:tc>
        <w:tc>
          <w:tcPr>
            <w:tcW w:w="1331" w:type="dxa"/>
            <w:gridSpan w:val="2"/>
            <w:noWrap/>
            <w:hideMark/>
          </w:tcPr>
          <w:p w14:paraId="4C2FAEB5"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(1,422)</w:t>
            </w:r>
          </w:p>
        </w:tc>
        <w:tc>
          <w:tcPr>
            <w:tcW w:w="1330" w:type="dxa"/>
            <w:gridSpan w:val="3"/>
            <w:noWrap/>
            <w:hideMark/>
          </w:tcPr>
          <w:p w14:paraId="5C4E24F4"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(566)</w:t>
            </w:r>
          </w:p>
        </w:tc>
        <w:tc>
          <w:tcPr>
            <w:tcW w:w="1330" w:type="dxa"/>
            <w:noWrap/>
            <w:hideMark/>
          </w:tcPr>
          <w:p w14:paraId="3CEC7E41"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(2,200)</w:t>
            </w:r>
          </w:p>
        </w:tc>
        <w:tc>
          <w:tcPr>
            <w:tcW w:w="1330" w:type="dxa"/>
            <w:noWrap/>
            <w:hideMark/>
          </w:tcPr>
          <w:p w14:paraId="57B466BE"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(4,332)</w:t>
            </w:r>
          </w:p>
        </w:tc>
        <w:tc>
          <w:tcPr>
            <w:tcW w:w="1370" w:type="dxa"/>
            <w:gridSpan w:val="2"/>
            <w:noWrap/>
            <w:hideMark/>
          </w:tcPr>
          <w:p w14:paraId="3ED66CC7"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(3,361)</w:t>
            </w:r>
          </w:p>
        </w:tc>
      </w:tr>
      <w:tr w:rsidR="00CD6817" w:rsidRPr="00CD6817" w14:paraId="661FE144" w14:textId="77777777" w:rsidTr="00CD6817">
        <w:trPr>
          <w:trHeight w:val="338"/>
        </w:trPr>
        <w:tc>
          <w:tcPr>
            <w:cnfStyle w:val="001000000000" w:firstRow="0" w:lastRow="0" w:firstColumn="1" w:lastColumn="0" w:oddVBand="0" w:evenVBand="0" w:oddHBand="0" w:evenHBand="0" w:firstRowFirstColumn="0" w:firstRowLastColumn="0" w:lastRowFirstColumn="0" w:lastRowLastColumn="0"/>
            <w:tcW w:w="3479" w:type="dxa"/>
            <w:noWrap/>
            <w:hideMark/>
          </w:tcPr>
          <w:p w14:paraId="05488803" w14:textId="77777777" w:rsidR="00CD6817" w:rsidRPr="00CD6817" w:rsidRDefault="00CD6817" w:rsidP="00CD6817">
            <w:pPr>
              <w:spacing w:line="240" w:lineRule="auto"/>
              <w:jc w:val="center"/>
              <w:rPr>
                <w:rFonts w:ascii="Calibri" w:hAnsi="Calibri" w:cs="Calibri"/>
                <w:color w:val="000000"/>
                <w:sz w:val="22"/>
                <w:szCs w:val="22"/>
                <w:lang w:val="en-US"/>
              </w:rPr>
            </w:pPr>
            <w:r w:rsidRPr="00CD6817">
              <w:rPr>
                <w:rFonts w:ascii="Calibri" w:hAnsi="Calibri" w:cs="Calibri"/>
                <w:color w:val="000000"/>
                <w:sz w:val="22"/>
                <w:szCs w:val="22"/>
                <w:lang w:val="en-US"/>
              </w:rPr>
              <w:t>Other Income(expense)</w:t>
            </w:r>
          </w:p>
        </w:tc>
        <w:tc>
          <w:tcPr>
            <w:tcW w:w="1331" w:type="dxa"/>
            <w:gridSpan w:val="2"/>
            <w:noWrap/>
            <w:hideMark/>
          </w:tcPr>
          <w:p w14:paraId="4A969828"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8,060</w:t>
            </w:r>
          </w:p>
        </w:tc>
        <w:tc>
          <w:tcPr>
            <w:tcW w:w="1330" w:type="dxa"/>
            <w:gridSpan w:val="3"/>
            <w:noWrap/>
            <w:hideMark/>
          </w:tcPr>
          <w:p w14:paraId="0E5811CC"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(6,607)</w:t>
            </w:r>
          </w:p>
        </w:tc>
        <w:tc>
          <w:tcPr>
            <w:tcW w:w="1330" w:type="dxa"/>
            <w:noWrap/>
            <w:hideMark/>
          </w:tcPr>
          <w:p w14:paraId="63AF7BB9"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(955)</w:t>
            </w:r>
          </w:p>
        </w:tc>
        <w:tc>
          <w:tcPr>
            <w:tcW w:w="1330" w:type="dxa"/>
            <w:noWrap/>
            <w:hideMark/>
          </w:tcPr>
          <w:p w14:paraId="5E2A6662"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(2,621)</w:t>
            </w:r>
          </w:p>
        </w:tc>
        <w:tc>
          <w:tcPr>
            <w:tcW w:w="1370" w:type="dxa"/>
            <w:gridSpan w:val="2"/>
            <w:noWrap/>
            <w:hideMark/>
          </w:tcPr>
          <w:p w14:paraId="1BA6B950"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60</w:t>
            </w:r>
          </w:p>
        </w:tc>
      </w:tr>
      <w:tr w:rsidR="00CD6817" w:rsidRPr="00CD6817" w14:paraId="3E326750" w14:textId="77777777" w:rsidTr="00CD6817">
        <w:trPr>
          <w:cnfStyle w:val="000000100000" w:firstRow="0" w:lastRow="0" w:firstColumn="0" w:lastColumn="0" w:oddVBand="0" w:evenVBand="0" w:oddHBand="1" w:evenHBand="0" w:firstRowFirstColumn="0" w:firstRowLastColumn="0" w:lastRowFirstColumn="0" w:lastRowLastColumn="0"/>
          <w:trHeight w:val="1077"/>
        </w:trPr>
        <w:tc>
          <w:tcPr>
            <w:cnfStyle w:val="001000000000" w:firstRow="0" w:lastRow="0" w:firstColumn="1" w:lastColumn="0" w:oddVBand="0" w:evenVBand="0" w:oddHBand="0" w:evenHBand="0" w:firstRowFirstColumn="0" w:firstRowLastColumn="0" w:lastRowFirstColumn="0" w:lastRowLastColumn="0"/>
            <w:tcW w:w="3479" w:type="dxa"/>
            <w:hideMark/>
          </w:tcPr>
          <w:p w14:paraId="7011D82C" w14:textId="77777777" w:rsidR="00CD6817" w:rsidRPr="00CD6817" w:rsidRDefault="00CD6817" w:rsidP="00CD6817">
            <w:pPr>
              <w:spacing w:line="240" w:lineRule="auto"/>
              <w:jc w:val="center"/>
              <w:rPr>
                <w:rFonts w:ascii="Calibri" w:hAnsi="Calibri" w:cs="Calibri"/>
                <w:color w:val="000000"/>
                <w:sz w:val="22"/>
                <w:szCs w:val="22"/>
                <w:lang w:val="en-US"/>
              </w:rPr>
            </w:pPr>
            <w:r w:rsidRPr="00CD6817">
              <w:rPr>
                <w:rFonts w:ascii="Calibri" w:hAnsi="Calibri" w:cs="Calibri"/>
                <w:color w:val="000000"/>
                <w:sz w:val="22"/>
                <w:szCs w:val="22"/>
                <w:lang w:val="en-US"/>
              </w:rPr>
              <w:t>Income(loss) before provision for income tax</w:t>
            </w:r>
          </w:p>
        </w:tc>
        <w:tc>
          <w:tcPr>
            <w:tcW w:w="1331" w:type="dxa"/>
            <w:gridSpan w:val="2"/>
            <w:noWrap/>
            <w:hideMark/>
          </w:tcPr>
          <w:p w14:paraId="779F1474"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43,905</w:t>
            </w:r>
          </w:p>
        </w:tc>
        <w:tc>
          <w:tcPr>
            <w:tcW w:w="1330" w:type="dxa"/>
            <w:gridSpan w:val="3"/>
            <w:noWrap/>
            <w:hideMark/>
          </w:tcPr>
          <w:p w14:paraId="2CE0ABBD"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16,080</w:t>
            </w:r>
          </w:p>
        </w:tc>
        <w:tc>
          <w:tcPr>
            <w:tcW w:w="1330" w:type="dxa"/>
            <w:noWrap/>
            <w:hideMark/>
          </w:tcPr>
          <w:p w14:paraId="42294667"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11,393</w:t>
            </w:r>
          </w:p>
        </w:tc>
        <w:tc>
          <w:tcPr>
            <w:tcW w:w="1330" w:type="dxa"/>
            <w:noWrap/>
            <w:hideMark/>
          </w:tcPr>
          <w:p w14:paraId="447EC7F7"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(92,254)</w:t>
            </w:r>
          </w:p>
        </w:tc>
        <w:tc>
          <w:tcPr>
            <w:tcW w:w="1370" w:type="dxa"/>
            <w:gridSpan w:val="2"/>
            <w:noWrap/>
            <w:hideMark/>
          </w:tcPr>
          <w:p w14:paraId="4ECA33CF"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(18,598)</w:t>
            </w:r>
          </w:p>
        </w:tc>
      </w:tr>
      <w:tr w:rsidR="00CD6817" w:rsidRPr="00CD6817" w14:paraId="1C9A1DEC" w14:textId="77777777" w:rsidTr="00CD6817">
        <w:trPr>
          <w:trHeight w:val="338"/>
        </w:trPr>
        <w:tc>
          <w:tcPr>
            <w:cnfStyle w:val="001000000000" w:firstRow="0" w:lastRow="0" w:firstColumn="1" w:lastColumn="0" w:oddVBand="0" w:evenVBand="0" w:oddHBand="0" w:evenHBand="0" w:firstRowFirstColumn="0" w:firstRowLastColumn="0" w:lastRowFirstColumn="0" w:lastRowLastColumn="0"/>
            <w:tcW w:w="3479" w:type="dxa"/>
            <w:noWrap/>
            <w:hideMark/>
          </w:tcPr>
          <w:p w14:paraId="2EB23D1C" w14:textId="77777777" w:rsidR="00CD6817" w:rsidRPr="00CD6817" w:rsidRDefault="00CD6817" w:rsidP="00CD6817">
            <w:pPr>
              <w:spacing w:line="240" w:lineRule="auto"/>
              <w:jc w:val="center"/>
              <w:rPr>
                <w:rFonts w:ascii="Calibri" w:hAnsi="Calibri" w:cs="Calibri"/>
                <w:color w:val="000000"/>
                <w:sz w:val="22"/>
                <w:szCs w:val="22"/>
                <w:lang w:val="en-US"/>
              </w:rPr>
            </w:pPr>
            <w:r w:rsidRPr="00CD6817">
              <w:rPr>
                <w:rFonts w:ascii="Calibri" w:hAnsi="Calibri" w:cs="Calibri"/>
                <w:color w:val="000000"/>
                <w:sz w:val="22"/>
                <w:szCs w:val="22"/>
                <w:lang w:val="en-US"/>
              </w:rPr>
              <w:t>Income taxes</w:t>
            </w:r>
          </w:p>
        </w:tc>
        <w:tc>
          <w:tcPr>
            <w:tcW w:w="1331" w:type="dxa"/>
            <w:gridSpan w:val="2"/>
            <w:noWrap/>
            <w:hideMark/>
          </w:tcPr>
          <w:p w14:paraId="06DF14DF"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(5,333)</w:t>
            </w:r>
          </w:p>
        </w:tc>
        <w:tc>
          <w:tcPr>
            <w:tcW w:w="1330" w:type="dxa"/>
            <w:gridSpan w:val="3"/>
            <w:noWrap/>
            <w:hideMark/>
          </w:tcPr>
          <w:p w14:paraId="37305D3E"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(10,779)</w:t>
            </w:r>
          </w:p>
        </w:tc>
        <w:tc>
          <w:tcPr>
            <w:tcW w:w="1330" w:type="dxa"/>
            <w:noWrap/>
            <w:hideMark/>
          </w:tcPr>
          <w:p w14:paraId="5575F022"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(10,986)</w:t>
            </w:r>
          </w:p>
        </w:tc>
        <w:tc>
          <w:tcPr>
            <w:tcW w:w="1330" w:type="dxa"/>
            <w:noWrap/>
            <w:hideMark/>
          </w:tcPr>
          <w:p w14:paraId="288A35AC"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(5,984)</w:t>
            </w:r>
          </w:p>
        </w:tc>
        <w:tc>
          <w:tcPr>
            <w:tcW w:w="1370" w:type="dxa"/>
            <w:gridSpan w:val="2"/>
            <w:noWrap/>
            <w:hideMark/>
          </w:tcPr>
          <w:p w14:paraId="5939E1D9" w14:textId="77777777" w:rsidR="00CD6817" w:rsidRPr="00CD6817" w:rsidRDefault="00CD6817" w:rsidP="00CD681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(5,431)</w:t>
            </w:r>
          </w:p>
        </w:tc>
      </w:tr>
      <w:tr w:rsidR="00CD6817" w:rsidRPr="00CD6817" w14:paraId="758D6AB0" w14:textId="77777777" w:rsidTr="00CD6817">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3479" w:type="dxa"/>
            <w:noWrap/>
            <w:hideMark/>
          </w:tcPr>
          <w:p w14:paraId="5F7AA346" w14:textId="77777777" w:rsidR="00CD6817" w:rsidRPr="00CD6817" w:rsidRDefault="00CD6817" w:rsidP="00CD6817">
            <w:pPr>
              <w:spacing w:line="240" w:lineRule="auto"/>
              <w:jc w:val="center"/>
              <w:rPr>
                <w:rFonts w:ascii="Calibri" w:hAnsi="Calibri" w:cs="Calibri"/>
                <w:color w:val="000000"/>
                <w:sz w:val="22"/>
                <w:szCs w:val="22"/>
                <w:lang w:val="en-US"/>
              </w:rPr>
            </w:pPr>
            <w:r w:rsidRPr="00CD6817">
              <w:rPr>
                <w:rFonts w:ascii="Calibri" w:hAnsi="Calibri" w:cs="Calibri"/>
                <w:color w:val="000000"/>
                <w:sz w:val="22"/>
                <w:szCs w:val="22"/>
                <w:lang w:val="en-US"/>
              </w:rPr>
              <w:t>Net Income(loss)</w:t>
            </w:r>
          </w:p>
        </w:tc>
        <w:tc>
          <w:tcPr>
            <w:tcW w:w="1331" w:type="dxa"/>
            <w:gridSpan w:val="2"/>
            <w:noWrap/>
            <w:hideMark/>
          </w:tcPr>
          <w:p w14:paraId="7ED6ABA3"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38,572</w:t>
            </w:r>
          </w:p>
        </w:tc>
        <w:tc>
          <w:tcPr>
            <w:tcW w:w="1330" w:type="dxa"/>
            <w:gridSpan w:val="3"/>
            <w:noWrap/>
            <w:hideMark/>
          </w:tcPr>
          <w:p w14:paraId="0C838C0C"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5,301</w:t>
            </w:r>
          </w:p>
        </w:tc>
        <w:tc>
          <w:tcPr>
            <w:tcW w:w="1330" w:type="dxa"/>
            <w:noWrap/>
            <w:hideMark/>
          </w:tcPr>
          <w:p w14:paraId="2DA05757"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407</w:t>
            </w:r>
          </w:p>
        </w:tc>
        <w:tc>
          <w:tcPr>
            <w:tcW w:w="1330" w:type="dxa"/>
            <w:noWrap/>
            <w:hideMark/>
          </w:tcPr>
          <w:p w14:paraId="7B437A2C"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(98,238)</w:t>
            </w:r>
          </w:p>
        </w:tc>
        <w:tc>
          <w:tcPr>
            <w:tcW w:w="1370" w:type="dxa"/>
            <w:gridSpan w:val="2"/>
            <w:noWrap/>
            <w:hideMark/>
          </w:tcPr>
          <w:p w14:paraId="66B2D475" w14:textId="77777777" w:rsidR="00CD6817" w:rsidRPr="00CD6817" w:rsidRDefault="00CD6817" w:rsidP="00CD681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(24,029)</w:t>
            </w:r>
          </w:p>
        </w:tc>
      </w:tr>
      <w:tr w:rsidR="00CD6817" w:rsidRPr="00CD6817" w14:paraId="1604DDA1" w14:textId="77777777" w:rsidTr="00CD6817">
        <w:trPr>
          <w:trHeight w:val="289"/>
        </w:trPr>
        <w:tc>
          <w:tcPr>
            <w:cnfStyle w:val="001000000000" w:firstRow="0" w:lastRow="0" w:firstColumn="1" w:lastColumn="0" w:oddVBand="0" w:evenVBand="0" w:oddHBand="0" w:evenHBand="0" w:firstRowFirstColumn="0" w:firstRowLastColumn="0" w:lastRowFirstColumn="0" w:lastRowLastColumn="0"/>
            <w:tcW w:w="10170" w:type="dxa"/>
            <w:gridSpan w:val="10"/>
            <w:noWrap/>
            <w:hideMark/>
          </w:tcPr>
          <w:p w14:paraId="4D42C824" w14:textId="77777777" w:rsidR="00CD6817" w:rsidRPr="00CD6817" w:rsidRDefault="00CD6817" w:rsidP="00CD6817">
            <w:pPr>
              <w:spacing w:line="240" w:lineRule="auto"/>
              <w:jc w:val="left"/>
              <w:rPr>
                <w:rFonts w:ascii="Calibri" w:hAnsi="Calibri" w:cs="Calibri"/>
                <w:b/>
                <w:bCs/>
                <w:sz w:val="22"/>
                <w:szCs w:val="22"/>
                <w:lang w:val="en-US"/>
              </w:rPr>
            </w:pPr>
            <w:r w:rsidRPr="00CD6817">
              <w:rPr>
                <w:rFonts w:ascii="Calibri" w:hAnsi="Calibri" w:cs="Calibri"/>
                <w:b/>
                <w:bCs/>
                <w:sz w:val="22"/>
                <w:szCs w:val="22"/>
                <w:lang w:val="en-US"/>
              </w:rPr>
              <w:t>Earnings (loss) per share</w:t>
            </w:r>
          </w:p>
        </w:tc>
      </w:tr>
      <w:tr w:rsidR="00CD6817" w:rsidRPr="00CD6817" w14:paraId="6881E137" w14:textId="77777777" w:rsidTr="00CD6817">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505" w:type="dxa"/>
            <w:gridSpan w:val="2"/>
            <w:noWrap/>
            <w:hideMark/>
          </w:tcPr>
          <w:p w14:paraId="53B72714" w14:textId="77777777" w:rsidR="00CD6817" w:rsidRPr="00CD6817" w:rsidRDefault="00CD6817" w:rsidP="00CD6817">
            <w:pPr>
              <w:spacing w:line="240" w:lineRule="auto"/>
              <w:jc w:val="left"/>
              <w:rPr>
                <w:rFonts w:ascii="Calibri" w:hAnsi="Calibri" w:cs="Calibri"/>
                <w:color w:val="000000"/>
                <w:sz w:val="22"/>
                <w:szCs w:val="22"/>
                <w:lang w:val="en-US"/>
              </w:rPr>
            </w:pPr>
            <w:r w:rsidRPr="00CD6817">
              <w:rPr>
                <w:rFonts w:ascii="Calibri" w:hAnsi="Calibri" w:cs="Calibri"/>
                <w:color w:val="000000"/>
                <w:sz w:val="22"/>
                <w:szCs w:val="22"/>
                <w:lang w:val="en-US"/>
              </w:rPr>
              <w:t>Basic EPS (£)</w:t>
            </w:r>
          </w:p>
        </w:tc>
        <w:tc>
          <w:tcPr>
            <w:tcW w:w="1350" w:type="dxa"/>
            <w:gridSpan w:val="2"/>
            <w:noWrap/>
            <w:hideMark/>
          </w:tcPr>
          <w:p w14:paraId="34630FF2" w14:textId="77777777" w:rsidR="00CD6817" w:rsidRPr="00CD6817" w:rsidRDefault="00CD6817" w:rsidP="00CD681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2.78</w:t>
            </w:r>
          </w:p>
        </w:tc>
        <w:tc>
          <w:tcPr>
            <w:tcW w:w="1260" w:type="dxa"/>
            <w:noWrap/>
            <w:hideMark/>
          </w:tcPr>
          <w:p w14:paraId="57677D0C" w14:textId="77777777" w:rsidR="00CD6817" w:rsidRPr="00CD6817" w:rsidRDefault="00CD6817" w:rsidP="00CD681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0.39</w:t>
            </w:r>
          </w:p>
        </w:tc>
        <w:tc>
          <w:tcPr>
            <w:tcW w:w="1355" w:type="dxa"/>
            <w:gridSpan w:val="2"/>
            <w:noWrap/>
            <w:hideMark/>
          </w:tcPr>
          <w:p w14:paraId="38350FCC" w14:textId="77777777" w:rsidR="00CD6817" w:rsidRPr="00CD6817" w:rsidRDefault="00CD6817" w:rsidP="00CD681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0.03</w:t>
            </w:r>
          </w:p>
        </w:tc>
        <w:tc>
          <w:tcPr>
            <w:tcW w:w="1350" w:type="dxa"/>
            <w:gridSpan w:val="2"/>
            <w:noWrap/>
            <w:hideMark/>
          </w:tcPr>
          <w:p w14:paraId="66ABE82A" w14:textId="77777777" w:rsidR="00CD6817" w:rsidRPr="00CD6817" w:rsidRDefault="00CD6817" w:rsidP="00CD681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-7.64</w:t>
            </w:r>
          </w:p>
        </w:tc>
        <w:tc>
          <w:tcPr>
            <w:tcW w:w="1350" w:type="dxa"/>
            <w:noWrap/>
            <w:hideMark/>
          </w:tcPr>
          <w:p w14:paraId="6BF6720A" w14:textId="77777777" w:rsidR="00CD6817" w:rsidRPr="00CD6817" w:rsidRDefault="00CD6817" w:rsidP="00CD681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-1.85</w:t>
            </w:r>
          </w:p>
        </w:tc>
      </w:tr>
      <w:tr w:rsidR="00CD6817" w:rsidRPr="00CD6817" w14:paraId="7CB997AC" w14:textId="77777777" w:rsidTr="00CD6817">
        <w:trPr>
          <w:trHeight w:val="289"/>
        </w:trPr>
        <w:tc>
          <w:tcPr>
            <w:cnfStyle w:val="001000000000" w:firstRow="0" w:lastRow="0" w:firstColumn="1" w:lastColumn="0" w:oddVBand="0" w:evenVBand="0" w:oddHBand="0" w:evenHBand="0" w:firstRowFirstColumn="0" w:firstRowLastColumn="0" w:lastRowFirstColumn="0" w:lastRowLastColumn="0"/>
            <w:tcW w:w="3505" w:type="dxa"/>
            <w:gridSpan w:val="2"/>
            <w:noWrap/>
            <w:hideMark/>
          </w:tcPr>
          <w:p w14:paraId="59A9F749" w14:textId="77777777" w:rsidR="00CD6817" w:rsidRPr="00CD6817" w:rsidRDefault="00CD6817" w:rsidP="00CD6817">
            <w:pPr>
              <w:spacing w:line="240" w:lineRule="auto"/>
              <w:jc w:val="left"/>
              <w:rPr>
                <w:rFonts w:ascii="Calibri" w:hAnsi="Calibri" w:cs="Calibri"/>
                <w:color w:val="000000"/>
                <w:sz w:val="22"/>
                <w:szCs w:val="22"/>
                <w:lang w:val="en-US"/>
              </w:rPr>
            </w:pPr>
            <w:r w:rsidRPr="00CD6817">
              <w:rPr>
                <w:rFonts w:ascii="Calibri" w:hAnsi="Calibri" w:cs="Calibri"/>
                <w:color w:val="000000"/>
                <w:sz w:val="22"/>
                <w:szCs w:val="22"/>
                <w:lang w:val="en-US"/>
              </w:rPr>
              <w:t>Diluted EPS (£)</w:t>
            </w:r>
          </w:p>
        </w:tc>
        <w:tc>
          <w:tcPr>
            <w:tcW w:w="1350" w:type="dxa"/>
            <w:gridSpan w:val="2"/>
            <w:noWrap/>
            <w:hideMark/>
          </w:tcPr>
          <w:p w14:paraId="68809278" w14:textId="77777777" w:rsidR="00CD6817" w:rsidRPr="00CD6817" w:rsidRDefault="00CD6817" w:rsidP="00CD681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2.72</w:t>
            </w:r>
          </w:p>
        </w:tc>
        <w:tc>
          <w:tcPr>
            <w:tcW w:w="1260" w:type="dxa"/>
            <w:noWrap/>
            <w:hideMark/>
          </w:tcPr>
          <w:p w14:paraId="277FF577" w14:textId="77777777" w:rsidR="00CD6817" w:rsidRPr="00CD6817" w:rsidRDefault="00CD6817" w:rsidP="00CD681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0.39</w:t>
            </w:r>
          </w:p>
        </w:tc>
        <w:tc>
          <w:tcPr>
            <w:tcW w:w="1355" w:type="dxa"/>
            <w:gridSpan w:val="2"/>
            <w:noWrap/>
            <w:hideMark/>
          </w:tcPr>
          <w:p w14:paraId="72F890F9" w14:textId="77777777" w:rsidR="00CD6817" w:rsidRPr="00CD6817" w:rsidRDefault="00CD6817" w:rsidP="00CD681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0.03</w:t>
            </w:r>
          </w:p>
        </w:tc>
        <w:tc>
          <w:tcPr>
            <w:tcW w:w="1350" w:type="dxa"/>
            <w:gridSpan w:val="2"/>
            <w:noWrap/>
            <w:hideMark/>
          </w:tcPr>
          <w:p w14:paraId="44DE89E2" w14:textId="77777777" w:rsidR="00CD6817" w:rsidRPr="00CD6817" w:rsidRDefault="00CD6817" w:rsidP="00CD681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-7.64</w:t>
            </w:r>
          </w:p>
        </w:tc>
        <w:tc>
          <w:tcPr>
            <w:tcW w:w="1350" w:type="dxa"/>
            <w:noWrap/>
            <w:hideMark/>
          </w:tcPr>
          <w:p w14:paraId="285C6C75" w14:textId="77777777" w:rsidR="00CD6817" w:rsidRPr="00CD6817" w:rsidRDefault="00CD6817" w:rsidP="00CD681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-1.85</w:t>
            </w:r>
          </w:p>
        </w:tc>
      </w:tr>
      <w:tr w:rsidR="00CD6817" w:rsidRPr="00CD6817" w14:paraId="52A607C6" w14:textId="77777777" w:rsidTr="00CD6817">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10170" w:type="dxa"/>
            <w:gridSpan w:val="10"/>
            <w:noWrap/>
            <w:hideMark/>
          </w:tcPr>
          <w:p w14:paraId="76FC9326" w14:textId="77777777" w:rsidR="00CD6817" w:rsidRPr="00CD6817" w:rsidRDefault="00CD6817" w:rsidP="00CD6817">
            <w:pPr>
              <w:spacing w:line="240" w:lineRule="auto"/>
              <w:jc w:val="left"/>
              <w:rPr>
                <w:rFonts w:ascii="Calibri" w:hAnsi="Calibri" w:cs="Calibri"/>
                <w:b/>
                <w:bCs/>
                <w:color w:val="000000"/>
                <w:sz w:val="22"/>
                <w:szCs w:val="22"/>
                <w:lang w:val="en-US"/>
              </w:rPr>
            </w:pPr>
            <w:r w:rsidRPr="00CD6817">
              <w:rPr>
                <w:rFonts w:ascii="Calibri" w:hAnsi="Calibri" w:cs="Calibri"/>
                <w:b/>
                <w:bCs/>
                <w:color w:val="000000"/>
                <w:sz w:val="22"/>
                <w:szCs w:val="22"/>
                <w:lang w:val="en-US"/>
              </w:rPr>
              <w:t>Shares used in computing earnings (loss) per share</w:t>
            </w:r>
          </w:p>
        </w:tc>
      </w:tr>
      <w:tr w:rsidR="00CD6817" w:rsidRPr="00CD6817" w14:paraId="44938C9D" w14:textId="77777777" w:rsidTr="00CD6817">
        <w:trPr>
          <w:trHeight w:val="289"/>
        </w:trPr>
        <w:tc>
          <w:tcPr>
            <w:cnfStyle w:val="001000000000" w:firstRow="0" w:lastRow="0" w:firstColumn="1" w:lastColumn="0" w:oddVBand="0" w:evenVBand="0" w:oddHBand="0" w:evenHBand="0" w:firstRowFirstColumn="0" w:firstRowLastColumn="0" w:lastRowFirstColumn="0" w:lastRowLastColumn="0"/>
            <w:tcW w:w="3505" w:type="dxa"/>
            <w:gridSpan w:val="2"/>
            <w:noWrap/>
            <w:hideMark/>
          </w:tcPr>
          <w:p w14:paraId="46851138" w14:textId="77777777" w:rsidR="00CD6817" w:rsidRPr="00CD6817" w:rsidRDefault="00CD6817" w:rsidP="00CD6817">
            <w:pPr>
              <w:spacing w:line="240" w:lineRule="auto"/>
              <w:jc w:val="left"/>
              <w:rPr>
                <w:rFonts w:ascii="Calibri" w:hAnsi="Calibri" w:cs="Calibri"/>
                <w:color w:val="000000"/>
                <w:sz w:val="22"/>
                <w:szCs w:val="22"/>
                <w:lang w:val="en-US"/>
              </w:rPr>
            </w:pPr>
            <w:r w:rsidRPr="00CD6817">
              <w:rPr>
                <w:rFonts w:ascii="Calibri" w:hAnsi="Calibri" w:cs="Calibri"/>
                <w:color w:val="000000"/>
                <w:sz w:val="22"/>
                <w:szCs w:val="22"/>
                <w:lang w:val="en-US"/>
              </w:rPr>
              <w:t>Basic</w:t>
            </w:r>
          </w:p>
        </w:tc>
        <w:tc>
          <w:tcPr>
            <w:tcW w:w="1350" w:type="dxa"/>
            <w:gridSpan w:val="2"/>
            <w:noWrap/>
            <w:hideMark/>
          </w:tcPr>
          <w:p w14:paraId="79F26676" w14:textId="77777777" w:rsidR="00CD6817" w:rsidRPr="00CD6817" w:rsidRDefault="00CD6817" w:rsidP="00CD681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13893</w:t>
            </w:r>
          </w:p>
        </w:tc>
        <w:tc>
          <w:tcPr>
            <w:tcW w:w="1260" w:type="dxa"/>
            <w:noWrap/>
            <w:hideMark/>
          </w:tcPr>
          <w:p w14:paraId="6351A3E4" w14:textId="77777777" w:rsidR="00CD6817" w:rsidRPr="00CD6817" w:rsidRDefault="00CD6817" w:rsidP="00CD681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13465</w:t>
            </w:r>
          </w:p>
        </w:tc>
        <w:tc>
          <w:tcPr>
            <w:tcW w:w="1355" w:type="dxa"/>
            <w:gridSpan w:val="2"/>
            <w:noWrap/>
            <w:hideMark/>
          </w:tcPr>
          <w:p w14:paraId="4E0958BD" w14:textId="77777777" w:rsidR="00CD6817" w:rsidRPr="00CD6817" w:rsidRDefault="00CD6817" w:rsidP="00CD681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12703</w:t>
            </w:r>
          </w:p>
        </w:tc>
        <w:tc>
          <w:tcPr>
            <w:tcW w:w="1350" w:type="dxa"/>
            <w:gridSpan w:val="2"/>
            <w:noWrap/>
            <w:hideMark/>
          </w:tcPr>
          <w:p w14:paraId="579E2E9D" w14:textId="77777777" w:rsidR="00CD6817" w:rsidRPr="00CD6817" w:rsidRDefault="00CD6817" w:rsidP="00CD681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12855</w:t>
            </w:r>
          </w:p>
        </w:tc>
        <w:tc>
          <w:tcPr>
            <w:tcW w:w="1350" w:type="dxa"/>
            <w:noWrap/>
            <w:hideMark/>
          </w:tcPr>
          <w:p w14:paraId="6A6F22B6" w14:textId="77777777" w:rsidR="00CD6817" w:rsidRPr="00CD6817" w:rsidRDefault="00CD6817" w:rsidP="00CD681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12959</w:t>
            </w:r>
          </w:p>
        </w:tc>
      </w:tr>
      <w:tr w:rsidR="00CD6817" w:rsidRPr="00CD6817" w14:paraId="43ACAA18" w14:textId="77777777" w:rsidTr="00CD6817">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505" w:type="dxa"/>
            <w:gridSpan w:val="2"/>
            <w:noWrap/>
            <w:hideMark/>
          </w:tcPr>
          <w:p w14:paraId="6B863D79" w14:textId="77777777" w:rsidR="00CD6817" w:rsidRPr="00CD6817" w:rsidRDefault="00CD6817" w:rsidP="00CD6817">
            <w:pPr>
              <w:spacing w:line="240" w:lineRule="auto"/>
              <w:jc w:val="left"/>
              <w:rPr>
                <w:rFonts w:ascii="Calibri" w:hAnsi="Calibri" w:cs="Calibri"/>
                <w:color w:val="000000"/>
                <w:sz w:val="22"/>
                <w:szCs w:val="22"/>
                <w:lang w:val="en-US"/>
              </w:rPr>
            </w:pPr>
            <w:r w:rsidRPr="00CD6817">
              <w:rPr>
                <w:rFonts w:ascii="Calibri" w:hAnsi="Calibri" w:cs="Calibri"/>
                <w:color w:val="000000"/>
                <w:sz w:val="22"/>
                <w:szCs w:val="22"/>
                <w:lang w:val="en-US"/>
              </w:rPr>
              <w:t>Diluted</w:t>
            </w:r>
          </w:p>
        </w:tc>
        <w:tc>
          <w:tcPr>
            <w:tcW w:w="1350" w:type="dxa"/>
            <w:gridSpan w:val="2"/>
            <w:noWrap/>
            <w:hideMark/>
          </w:tcPr>
          <w:p w14:paraId="17F12E04" w14:textId="77777777" w:rsidR="00CD6817" w:rsidRPr="00CD6817" w:rsidRDefault="00CD6817" w:rsidP="00CD681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14166</w:t>
            </w:r>
          </w:p>
        </w:tc>
        <w:tc>
          <w:tcPr>
            <w:tcW w:w="1260" w:type="dxa"/>
            <w:noWrap/>
            <w:hideMark/>
          </w:tcPr>
          <w:p w14:paraId="1A7F0807" w14:textId="77777777" w:rsidR="00CD6817" w:rsidRPr="00CD6817" w:rsidRDefault="00CD6817" w:rsidP="00CD681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13742</w:t>
            </w:r>
          </w:p>
        </w:tc>
        <w:tc>
          <w:tcPr>
            <w:tcW w:w="1355" w:type="dxa"/>
            <w:gridSpan w:val="2"/>
            <w:noWrap/>
            <w:hideMark/>
          </w:tcPr>
          <w:p w14:paraId="1663AD57" w14:textId="77777777" w:rsidR="00CD6817" w:rsidRPr="00CD6817" w:rsidRDefault="00CD6817" w:rsidP="00CD681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12779</w:t>
            </w:r>
          </w:p>
        </w:tc>
        <w:tc>
          <w:tcPr>
            <w:tcW w:w="1350" w:type="dxa"/>
            <w:gridSpan w:val="2"/>
            <w:noWrap/>
            <w:hideMark/>
          </w:tcPr>
          <w:p w14:paraId="08FDB04F" w14:textId="77777777" w:rsidR="00CD6817" w:rsidRPr="00CD6817" w:rsidRDefault="00CD6817" w:rsidP="00CD681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12855</w:t>
            </w:r>
          </w:p>
        </w:tc>
        <w:tc>
          <w:tcPr>
            <w:tcW w:w="1350" w:type="dxa"/>
            <w:noWrap/>
            <w:hideMark/>
          </w:tcPr>
          <w:p w14:paraId="0761880A" w14:textId="77777777" w:rsidR="00CD6817" w:rsidRPr="00CD6817" w:rsidRDefault="00CD6817" w:rsidP="00CD681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2"/>
                <w:szCs w:val="22"/>
                <w:lang w:val="en-US"/>
              </w:rPr>
            </w:pPr>
            <w:r w:rsidRPr="00CD6817">
              <w:rPr>
                <w:rFonts w:ascii="Calibri" w:hAnsi="Calibri" w:cs="Calibri"/>
                <w:color w:val="000000"/>
                <w:sz w:val="22"/>
                <w:szCs w:val="22"/>
                <w:lang w:val="en-US"/>
              </w:rPr>
              <w:t>12959</w:t>
            </w:r>
          </w:p>
        </w:tc>
      </w:tr>
    </w:tbl>
    <w:p w14:paraId="58EABA24" w14:textId="77777777" w:rsidR="007F10D2" w:rsidRDefault="007F10D2" w:rsidP="007F10D2"/>
    <w:p w14:paraId="4D915C2B" w14:textId="77777777" w:rsidR="00BE22B1" w:rsidRDefault="00BE22B1" w:rsidP="007F10D2"/>
    <w:p w14:paraId="6FC4D9F1" w14:textId="77777777" w:rsidR="00CD6817" w:rsidRDefault="00CD6817" w:rsidP="007F10D2"/>
    <w:tbl>
      <w:tblPr>
        <w:tblStyle w:val="GridTable3-Accent4"/>
        <w:tblW w:w="10124" w:type="dxa"/>
        <w:tblLook w:val="04A0" w:firstRow="1" w:lastRow="0" w:firstColumn="1" w:lastColumn="0" w:noHBand="0" w:noVBand="1"/>
      </w:tblPr>
      <w:tblGrid>
        <w:gridCol w:w="4212"/>
        <w:gridCol w:w="825"/>
        <w:gridCol w:w="371"/>
        <w:gridCol w:w="575"/>
        <w:gridCol w:w="603"/>
        <w:gridCol w:w="343"/>
        <w:gridCol w:w="946"/>
        <w:gridCol w:w="24"/>
        <w:gridCol w:w="922"/>
        <w:gridCol w:w="252"/>
        <w:gridCol w:w="1156"/>
      </w:tblGrid>
      <w:tr w:rsidR="00FA4B6F" w:rsidRPr="00FA4B6F" w14:paraId="5487E93B" w14:textId="77777777" w:rsidTr="00EE163C">
        <w:trPr>
          <w:cnfStyle w:val="100000000000" w:firstRow="1" w:lastRow="0" w:firstColumn="0" w:lastColumn="0" w:oddVBand="0" w:evenVBand="0" w:oddHBand="0" w:evenHBand="0" w:firstRowFirstColumn="0" w:firstRowLastColumn="0" w:lastRowFirstColumn="0" w:lastRowLastColumn="0"/>
          <w:trHeight w:val="501"/>
        </w:trPr>
        <w:tc>
          <w:tcPr>
            <w:cnfStyle w:val="001000000100" w:firstRow="0" w:lastRow="0" w:firstColumn="1" w:lastColumn="0" w:oddVBand="0" w:evenVBand="0" w:oddHBand="0" w:evenHBand="0" w:firstRowFirstColumn="1" w:firstRowLastColumn="0" w:lastRowFirstColumn="0" w:lastRowLastColumn="0"/>
            <w:tcW w:w="10124" w:type="dxa"/>
            <w:gridSpan w:val="11"/>
            <w:hideMark/>
          </w:tcPr>
          <w:p w14:paraId="04EEB44F" w14:textId="2CDD9F25" w:rsidR="00FA4B6F" w:rsidRPr="00FA4B6F" w:rsidRDefault="00FA4B6F" w:rsidP="00FA4B6F">
            <w:pPr>
              <w:jc w:val="center"/>
              <w:rPr>
                <w:lang w:val="en-US"/>
              </w:rPr>
            </w:pPr>
            <w:r w:rsidRPr="00FA4B6F">
              <w:rPr>
                <w:lang w:val="en-US"/>
              </w:rPr>
              <w:lastRenderedPageBreak/>
              <w:t>Consolidated Financial Position</w:t>
            </w:r>
          </w:p>
        </w:tc>
      </w:tr>
      <w:tr w:rsidR="00FA4B6F" w:rsidRPr="00FA4B6F" w14:paraId="33ACDC8B"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7D0B4E8D" w14:textId="77777777" w:rsidR="00FA4B6F" w:rsidRPr="00FA4B6F" w:rsidRDefault="00FA4B6F" w:rsidP="00FA4B6F">
            <w:pPr>
              <w:rPr>
                <w:lang w:val="en-US"/>
              </w:rPr>
            </w:pPr>
            <w:r w:rsidRPr="00FA4B6F">
              <w:rPr>
                <w:lang w:val="en-US"/>
              </w:rPr>
              <w:t> </w:t>
            </w:r>
          </w:p>
        </w:tc>
        <w:tc>
          <w:tcPr>
            <w:tcW w:w="1156" w:type="dxa"/>
            <w:gridSpan w:val="2"/>
            <w:hideMark/>
          </w:tcPr>
          <w:p w14:paraId="35D17A6C"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b/>
                <w:bCs/>
                <w:lang w:val="en-US"/>
              </w:rPr>
            </w:pPr>
            <w:r w:rsidRPr="00FA4B6F">
              <w:rPr>
                <w:b/>
                <w:bCs/>
                <w:lang w:val="en-US"/>
              </w:rPr>
              <w:t>2020</w:t>
            </w:r>
          </w:p>
        </w:tc>
        <w:tc>
          <w:tcPr>
            <w:tcW w:w="1156" w:type="dxa"/>
            <w:gridSpan w:val="2"/>
            <w:hideMark/>
          </w:tcPr>
          <w:p w14:paraId="40525D2C"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b/>
                <w:bCs/>
                <w:lang w:val="en-US"/>
              </w:rPr>
            </w:pPr>
            <w:r w:rsidRPr="00FA4B6F">
              <w:rPr>
                <w:b/>
                <w:bCs/>
                <w:lang w:val="en-US"/>
              </w:rPr>
              <w:t>2021</w:t>
            </w:r>
          </w:p>
        </w:tc>
        <w:tc>
          <w:tcPr>
            <w:tcW w:w="1288" w:type="dxa"/>
            <w:gridSpan w:val="3"/>
            <w:hideMark/>
          </w:tcPr>
          <w:p w14:paraId="32CD35F4"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b/>
                <w:bCs/>
                <w:lang w:val="en-US"/>
              </w:rPr>
            </w:pPr>
            <w:r w:rsidRPr="00FA4B6F">
              <w:rPr>
                <w:b/>
                <w:bCs/>
                <w:lang w:val="en-US"/>
              </w:rPr>
              <w:t>2022</w:t>
            </w:r>
          </w:p>
        </w:tc>
        <w:tc>
          <w:tcPr>
            <w:tcW w:w="1156" w:type="dxa"/>
            <w:gridSpan w:val="2"/>
            <w:hideMark/>
          </w:tcPr>
          <w:p w14:paraId="059BAABC"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b/>
                <w:bCs/>
                <w:lang w:val="en-US"/>
              </w:rPr>
            </w:pPr>
            <w:r w:rsidRPr="00FA4B6F">
              <w:rPr>
                <w:b/>
                <w:bCs/>
                <w:lang w:val="en-US"/>
              </w:rPr>
              <w:t>2023</w:t>
            </w:r>
          </w:p>
        </w:tc>
        <w:tc>
          <w:tcPr>
            <w:tcW w:w="1156" w:type="dxa"/>
            <w:hideMark/>
          </w:tcPr>
          <w:p w14:paraId="3FF1A0A6"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b/>
                <w:bCs/>
                <w:lang w:val="en-US"/>
              </w:rPr>
            </w:pPr>
            <w:r w:rsidRPr="00FA4B6F">
              <w:rPr>
                <w:b/>
                <w:bCs/>
                <w:lang w:val="en-US"/>
              </w:rPr>
              <w:t>2024</w:t>
            </w:r>
          </w:p>
        </w:tc>
      </w:tr>
      <w:tr w:rsidR="00FA4B6F" w:rsidRPr="00FA4B6F" w14:paraId="4FEADAB9"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09958AFA" w14:textId="77777777" w:rsidR="00FA4B6F" w:rsidRPr="00FA4B6F" w:rsidRDefault="00FA4B6F" w:rsidP="00FA4B6F">
            <w:pPr>
              <w:rPr>
                <w:lang w:val="en-US"/>
              </w:rPr>
            </w:pPr>
            <w:r w:rsidRPr="00FA4B6F">
              <w:rPr>
                <w:lang w:val="en-US"/>
              </w:rPr>
              <w:t>Assets</w:t>
            </w:r>
          </w:p>
        </w:tc>
        <w:tc>
          <w:tcPr>
            <w:tcW w:w="1156" w:type="dxa"/>
            <w:gridSpan w:val="2"/>
            <w:hideMark/>
          </w:tcPr>
          <w:p w14:paraId="4901616D"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156" w:type="dxa"/>
            <w:gridSpan w:val="2"/>
            <w:hideMark/>
          </w:tcPr>
          <w:p w14:paraId="55036CCF"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288" w:type="dxa"/>
            <w:gridSpan w:val="3"/>
            <w:hideMark/>
          </w:tcPr>
          <w:p w14:paraId="7F7235B6"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156" w:type="dxa"/>
            <w:gridSpan w:val="2"/>
            <w:hideMark/>
          </w:tcPr>
          <w:p w14:paraId="5B837243"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156" w:type="dxa"/>
            <w:hideMark/>
          </w:tcPr>
          <w:p w14:paraId="5CC36AF3"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r>
      <w:tr w:rsidR="00FA4B6F" w:rsidRPr="00FA4B6F" w14:paraId="5A2C71B8"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7FD5BB01" w14:textId="77777777" w:rsidR="00FA4B6F" w:rsidRPr="00FA4B6F" w:rsidRDefault="00FA4B6F" w:rsidP="00FA4B6F">
            <w:pPr>
              <w:rPr>
                <w:lang w:val="en-US"/>
              </w:rPr>
            </w:pPr>
            <w:r w:rsidRPr="00FA4B6F">
              <w:rPr>
                <w:lang w:val="en-US"/>
              </w:rPr>
              <w:t>Current assets</w:t>
            </w:r>
          </w:p>
        </w:tc>
        <w:tc>
          <w:tcPr>
            <w:tcW w:w="1156" w:type="dxa"/>
            <w:gridSpan w:val="2"/>
            <w:hideMark/>
          </w:tcPr>
          <w:p w14:paraId="4574005C"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b/>
                <w:bCs/>
                <w:lang w:val="en-US"/>
              </w:rPr>
            </w:pPr>
            <w:r w:rsidRPr="00FA4B6F">
              <w:rPr>
                <w:b/>
                <w:bCs/>
                <w:lang w:val="en-US"/>
              </w:rPr>
              <w:t> </w:t>
            </w:r>
          </w:p>
        </w:tc>
        <w:tc>
          <w:tcPr>
            <w:tcW w:w="1156" w:type="dxa"/>
            <w:gridSpan w:val="2"/>
            <w:hideMark/>
          </w:tcPr>
          <w:p w14:paraId="0E3EB1F3"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b/>
                <w:bCs/>
                <w:lang w:val="en-US"/>
              </w:rPr>
            </w:pPr>
            <w:r w:rsidRPr="00FA4B6F">
              <w:rPr>
                <w:b/>
                <w:bCs/>
                <w:lang w:val="en-US"/>
              </w:rPr>
              <w:t> </w:t>
            </w:r>
          </w:p>
        </w:tc>
        <w:tc>
          <w:tcPr>
            <w:tcW w:w="1288" w:type="dxa"/>
            <w:gridSpan w:val="3"/>
            <w:hideMark/>
          </w:tcPr>
          <w:p w14:paraId="163D79AB"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b/>
                <w:bCs/>
                <w:lang w:val="en-US"/>
              </w:rPr>
            </w:pPr>
            <w:r w:rsidRPr="00FA4B6F">
              <w:rPr>
                <w:b/>
                <w:bCs/>
                <w:lang w:val="en-US"/>
              </w:rPr>
              <w:t> </w:t>
            </w:r>
          </w:p>
        </w:tc>
        <w:tc>
          <w:tcPr>
            <w:tcW w:w="1156" w:type="dxa"/>
            <w:gridSpan w:val="2"/>
            <w:hideMark/>
          </w:tcPr>
          <w:p w14:paraId="4F71460C"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b/>
                <w:bCs/>
                <w:lang w:val="en-US"/>
              </w:rPr>
            </w:pPr>
            <w:r w:rsidRPr="00FA4B6F">
              <w:rPr>
                <w:b/>
                <w:bCs/>
                <w:lang w:val="en-US"/>
              </w:rPr>
              <w:t> </w:t>
            </w:r>
          </w:p>
        </w:tc>
        <w:tc>
          <w:tcPr>
            <w:tcW w:w="1156" w:type="dxa"/>
            <w:hideMark/>
          </w:tcPr>
          <w:p w14:paraId="47992BA7"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b/>
                <w:bCs/>
                <w:lang w:val="en-US"/>
              </w:rPr>
            </w:pPr>
            <w:r w:rsidRPr="00FA4B6F">
              <w:rPr>
                <w:b/>
                <w:bCs/>
                <w:lang w:val="en-US"/>
              </w:rPr>
              <w:t> </w:t>
            </w:r>
          </w:p>
        </w:tc>
      </w:tr>
      <w:tr w:rsidR="00FA4B6F" w:rsidRPr="00FA4B6F" w14:paraId="214C4E97"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761387B1" w14:textId="77777777" w:rsidR="00FA4B6F" w:rsidRPr="00FA4B6F" w:rsidRDefault="00FA4B6F" w:rsidP="00FA4B6F">
            <w:pPr>
              <w:rPr>
                <w:lang w:val="en-US"/>
              </w:rPr>
            </w:pPr>
            <w:r w:rsidRPr="00FA4B6F">
              <w:rPr>
                <w:lang w:val="en-US"/>
              </w:rPr>
              <w:t>Cash and cash equivalents</w:t>
            </w:r>
          </w:p>
        </w:tc>
        <w:tc>
          <w:tcPr>
            <w:tcW w:w="1156" w:type="dxa"/>
            <w:gridSpan w:val="2"/>
            <w:hideMark/>
          </w:tcPr>
          <w:p w14:paraId="6649880F"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57,153</w:t>
            </w:r>
          </w:p>
        </w:tc>
        <w:tc>
          <w:tcPr>
            <w:tcW w:w="1156" w:type="dxa"/>
            <w:gridSpan w:val="2"/>
            <w:hideMark/>
          </w:tcPr>
          <w:p w14:paraId="2DF5A3E8"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60,813</w:t>
            </w:r>
          </w:p>
        </w:tc>
        <w:tc>
          <w:tcPr>
            <w:tcW w:w="1288" w:type="dxa"/>
            <w:gridSpan w:val="3"/>
            <w:hideMark/>
          </w:tcPr>
          <w:p w14:paraId="439DC9C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66,740</w:t>
            </w:r>
          </w:p>
        </w:tc>
        <w:tc>
          <w:tcPr>
            <w:tcW w:w="1156" w:type="dxa"/>
            <w:gridSpan w:val="2"/>
            <w:hideMark/>
          </w:tcPr>
          <w:p w14:paraId="1753CB77"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42,751</w:t>
            </w:r>
          </w:p>
        </w:tc>
        <w:tc>
          <w:tcPr>
            <w:tcW w:w="1156" w:type="dxa"/>
            <w:hideMark/>
          </w:tcPr>
          <w:p w14:paraId="04B14FBA"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26,783</w:t>
            </w:r>
          </w:p>
        </w:tc>
      </w:tr>
      <w:tr w:rsidR="00FA4B6F" w:rsidRPr="00FA4B6F" w14:paraId="7DCAA19F"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076FBD4B" w14:textId="77777777" w:rsidR="00FA4B6F" w:rsidRPr="00FA4B6F" w:rsidRDefault="00FA4B6F" w:rsidP="00FA4B6F">
            <w:pPr>
              <w:rPr>
                <w:lang w:val="en-US"/>
              </w:rPr>
            </w:pPr>
            <w:r w:rsidRPr="00FA4B6F">
              <w:rPr>
                <w:lang w:val="en-US"/>
              </w:rPr>
              <w:t>Accounts receivable</w:t>
            </w:r>
          </w:p>
        </w:tc>
        <w:tc>
          <w:tcPr>
            <w:tcW w:w="1156" w:type="dxa"/>
            <w:gridSpan w:val="2"/>
            <w:hideMark/>
          </w:tcPr>
          <w:p w14:paraId="64BD8FD4"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129,433</w:t>
            </w:r>
          </w:p>
        </w:tc>
        <w:tc>
          <w:tcPr>
            <w:tcW w:w="1156" w:type="dxa"/>
            <w:gridSpan w:val="2"/>
            <w:hideMark/>
          </w:tcPr>
          <w:p w14:paraId="5743B0F3"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129,215</w:t>
            </w:r>
          </w:p>
        </w:tc>
        <w:tc>
          <w:tcPr>
            <w:tcW w:w="1288" w:type="dxa"/>
            <w:gridSpan w:val="3"/>
            <w:hideMark/>
          </w:tcPr>
          <w:p w14:paraId="5AE83A8F"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129,215</w:t>
            </w:r>
          </w:p>
        </w:tc>
        <w:tc>
          <w:tcPr>
            <w:tcW w:w="1156" w:type="dxa"/>
            <w:gridSpan w:val="2"/>
            <w:hideMark/>
          </w:tcPr>
          <w:p w14:paraId="1A1B6973"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112,596</w:t>
            </w:r>
          </w:p>
        </w:tc>
        <w:tc>
          <w:tcPr>
            <w:tcW w:w="1156" w:type="dxa"/>
            <w:hideMark/>
          </w:tcPr>
          <w:p w14:paraId="28A93107"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114,182</w:t>
            </w:r>
          </w:p>
        </w:tc>
      </w:tr>
      <w:tr w:rsidR="00FA4B6F" w:rsidRPr="00FA4B6F" w14:paraId="66D50E64"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61A746EC" w14:textId="77777777" w:rsidR="00FA4B6F" w:rsidRPr="00FA4B6F" w:rsidRDefault="00FA4B6F" w:rsidP="00FA4B6F">
            <w:pPr>
              <w:rPr>
                <w:lang w:val="en-US"/>
              </w:rPr>
            </w:pPr>
            <w:r w:rsidRPr="00FA4B6F">
              <w:rPr>
                <w:lang w:val="en-US"/>
              </w:rPr>
              <w:t>Contract assets</w:t>
            </w:r>
          </w:p>
        </w:tc>
        <w:tc>
          <w:tcPr>
            <w:tcW w:w="1156" w:type="dxa"/>
            <w:gridSpan w:val="2"/>
            <w:hideMark/>
          </w:tcPr>
          <w:p w14:paraId="6958B6C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9,685</w:t>
            </w:r>
          </w:p>
        </w:tc>
        <w:tc>
          <w:tcPr>
            <w:tcW w:w="1156" w:type="dxa"/>
            <w:gridSpan w:val="2"/>
            <w:hideMark/>
          </w:tcPr>
          <w:p w14:paraId="0B69EC55"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5,012</w:t>
            </w:r>
          </w:p>
        </w:tc>
        <w:tc>
          <w:tcPr>
            <w:tcW w:w="1288" w:type="dxa"/>
            <w:gridSpan w:val="3"/>
            <w:hideMark/>
          </w:tcPr>
          <w:p w14:paraId="799C3724"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7,996</w:t>
            </w:r>
          </w:p>
        </w:tc>
        <w:tc>
          <w:tcPr>
            <w:tcW w:w="1156" w:type="dxa"/>
            <w:gridSpan w:val="2"/>
            <w:hideMark/>
          </w:tcPr>
          <w:p w14:paraId="78FC5E1B"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4,240</w:t>
            </w:r>
          </w:p>
        </w:tc>
        <w:tc>
          <w:tcPr>
            <w:tcW w:w="1156" w:type="dxa"/>
            <w:hideMark/>
          </w:tcPr>
          <w:p w14:paraId="04B31FBB"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10,346</w:t>
            </w:r>
          </w:p>
        </w:tc>
      </w:tr>
      <w:tr w:rsidR="00FA4B6F" w:rsidRPr="00FA4B6F" w14:paraId="677F6690"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1695FAC8" w14:textId="77777777" w:rsidR="00FA4B6F" w:rsidRPr="00FA4B6F" w:rsidRDefault="00FA4B6F" w:rsidP="00FA4B6F">
            <w:pPr>
              <w:rPr>
                <w:lang w:val="en-US"/>
              </w:rPr>
            </w:pPr>
            <w:r w:rsidRPr="00FA4B6F">
              <w:rPr>
                <w:lang w:val="en-US"/>
              </w:rPr>
              <w:t>Inventories</w:t>
            </w:r>
          </w:p>
        </w:tc>
        <w:tc>
          <w:tcPr>
            <w:tcW w:w="1156" w:type="dxa"/>
            <w:gridSpan w:val="2"/>
            <w:hideMark/>
          </w:tcPr>
          <w:p w14:paraId="12C28614"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120,430</w:t>
            </w:r>
          </w:p>
        </w:tc>
        <w:tc>
          <w:tcPr>
            <w:tcW w:w="1156" w:type="dxa"/>
            <w:gridSpan w:val="2"/>
            <w:hideMark/>
          </w:tcPr>
          <w:p w14:paraId="4B9E6251"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134,469</w:t>
            </w:r>
          </w:p>
        </w:tc>
        <w:tc>
          <w:tcPr>
            <w:tcW w:w="1288" w:type="dxa"/>
            <w:gridSpan w:val="3"/>
            <w:hideMark/>
          </w:tcPr>
          <w:p w14:paraId="162E87FB"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140,181</w:t>
            </w:r>
          </w:p>
        </w:tc>
        <w:tc>
          <w:tcPr>
            <w:tcW w:w="1156" w:type="dxa"/>
            <w:gridSpan w:val="2"/>
            <w:hideMark/>
          </w:tcPr>
          <w:p w14:paraId="122377C3"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88,273</w:t>
            </w:r>
          </w:p>
        </w:tc>
        <w:tc>
          <w:tcPr>
            <w:tcW w:w="1156" w:type="dxa"/>
            <w:hideMark/>
          </w:tcPr>
          <w:p w14:paraId="75B62391"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79,355</w:t>
            </w:r>
          </w:p>
        </w:tc>
      </w:tr>
      <w:tr w:rsidR="00FA4B6F" w:rsidRPr="00FA4B6F" w14:paraId="13995F7C"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1D8E89F1" w14:textId="77777777" w:rsidR="00FA4B6F" w:rsidRPr="00FA4B6F" w:rsidRDefault="00FA4B6F" w:rsidP="00FA4B6F">
            <w:pPr>
              <w:rPr>
                <w:lang w:val="en-US"/>
              </w:rPr>
            </w:pPr>
            <w:r w:rsidRPr="00FA4B6F">
              <w:rPr>
                <w:lang w:val="en-US"/>
              </w:rPr>
              <w:t>Other current assets</w:t>
            </w:r>
          </w:p>
        </w:tc>
        <w:tc>
          <w:tcPr>
            <w:tcW w:w="1156" w:type="dxa"/>
            <w:gridSpan w:val="2"/>
            <w:hideMark/>
          </w:tcPr>
          <w:p w14:paraId="004E9E0C"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156" w:type="dxa"/>
            <w:gridSpan w:val="2"/>
            <w:hideMark/>
          </w:tcPr>
          <w:p w14:paraId="6311EE60"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288" w:type="dxa"/>
            <w:gridSpan w:val="3"/>
            <w:hideMark/>
          </w:tcPr>
          <w:p w14:paraId="41F2C5AC"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156" w:type="dxa"/>
            <w:gridSpan w:val="2"/>
            <w:hideMark/>
          </w:tcPr>
          <w:p w14:paraId="199635D2"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7,325</w:t>
            </w:r>
          </w:p>
        </w:tc>
        <w:tc>
          <w:tcPr>
            <w:tcW w:w="1156" w:type="dxa"/>
            <w:hideMark/>
          </w:tcPr>
          <w:p w14:paraId="329B8711"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9,478</w:t>
            </w:r>
          </w:p>
        </w:tc>
      </w:tr>
      <w:tr w:rsidR="00FA4B6F" w:rsidRPr="00FA4B6F" w14:paraId="3C4049E1"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7DF0D662" w14:textId="77777777" w:rsidR="00FA4B6F" w:rsidRPr="00FA4B6F" w:rsidRDefault="00FA4B6F" w:rsidP="00FA4B6F">
            <w:pPr>
              <w:rPr>
                <w:lang w:val="en-US"/>
              </w:rPr>
            </w:pPr>
            <w:r w:rsidRPr="00FA4B6F">
              <w:rPr>
                <w:lang w:val="en-US"/>
              </w:rPr>
              <w:t>Income tax receivable</w:t>
            </w:r>
          </w:p>
        </w:tc>
        <w:tc>
          <w:tcPr>
            <w:tcW w:w="1156" w:type="dxa"/>
            <w:gridSpan w:val="2"/>
            <w:hideMark/>
          </w:tcPr>
          <w:p w14:paraId="1B5D729A"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3,314</w:t>
            </w:r>
          </w:p>
        </w:tc>
        <w:tc>
          <w:tcPr>
            <w:tcW w:w="1156" w:type="dxa"/>
            <w:gridSpan w:val="2"/>
            <w:hideMark/>
          </w:tcPr>
          <w:p w14:paraId="6B02414E"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348</w:t>
            </w:r>
          </w:p>
        </w:tc>
        <w:tc>
          <w:tcPr>
            <w:tcW w:w="1288" w:type="dxa"/>
            <w:gridSpan w:val="3"/>
            <w:hideMark/>
          </w:tcPr>
          <w:p w14:paraId="5090327D"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4,130</w:t>
            </w:r>
          </w:p>
        </w:tc>
        <w:tc>
          <w:tcPr>
            <w:tcW w:w="1156" w:type="dxa"/>
            <w:gridSpan w:val="2"/>
            <w:hideMark/>
          </w:tcPr>
          <w:p w14:paraId="46EDC7A4"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3,666</w:t>
            </w:r>
          </w:p>
        </w:tc>
        <w:tc>
          <w:tcPr>
            <w:tcW w:w="1156" w:type="dxa"/>
            <w:hideMark/>
          </w:tcPr>
          <w:p w14:paraId="2B10BD70"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2,350</w:t>
            </w:r>
          </w:p>
        </w:tc>
      </w:tr>
      <w:tr w:rsidR="00FA4B6F" w:rsidRPr="00FA4B6F" w14:paraId="11AC2C2D"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095F0E90" w14:textId="77777777" w:rsidR="00FA4B6F" w:rsidRPr="00FA4B6F" w:rsidRDefault="00FA4B6F" w:rsidP="00FA4B6F">
            <w:pPr>
              <w:rPr>
                <w:lang w:val="en-US"/>
              </w:rPr>
            </w:pPr>
            <w:r w:rsidRPr="00FA4B6F">
              <w:rPr>
                <w:lang w:val="en-US"/>
              </w:rPr>
              <w:t>Total current assets</w:t>
            </w:r>
          </w:p>
        </w:tc>
        <w:tc>
          <w:tcPr>
            <w:tcW w:w="1156" w:type="dxa"/>
            <w:gridSpan w:val="2"/>
            <w:hideMark/>
          </w:tcPr>
          <w:p w14:paraId="1EBE6B47"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326,843</w:t>
            </w:r>
          </w:p>
        </w:tc>
        <w:tc>
          <w:tcPr>
            <w:tcW w:w="1156" w:type="dxa"/>
            <w:gridSpan w:val="2"/>
            <w:hideMark/>
          </w:tcPr>
          <w:p w14:paraId="0A2648C8"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337,146</w:t>
            </w:r>
          </w:p>
        </w:tc>
        <w:tc>
          <w:tcPr>
            <w:tcW w:w="1288" w:type="dxa"/>
            <w:gridSpan w:val="3"/>
            <w:hideMark/>
          </w:tcPr>
          <w:p w14:paraId="79C2C6CB"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338,040</w:t>
            </w:r>
          </w:p>
        </w:tc>
        <w:tc>
          <w:tcPr>
            <w:tcW w:w="1156" w:type="dxa"/>
            <w:gridSpan w:val="2"/>
            <w:hideMark/>
          </w:tcPr>
          <w:p w14:paraId="4051450B"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258,851</w:t>
            </w:r>
          </w:p>
        </w:tc>
        <w:tc>
          <w:tcPr>
            <w:tcW w:w="1156" w:type="dxa"/>
            <w:hideMark/>
          </w:tcPr>
          <w:p w14:paraId="08D29509"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242,494</w:t>
            </w:r>
          </w:p>
        </w:tc>
      </w:tr>
      <w:tr w:rsidR="00FA4B6F" w:rsidRPr="00FA4B6F" w14:paraId="3D64AFB0"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15276CC7" w14:textId="77777777" w:rsidR="00FA4B6F" w:rsidRPr="00FA4B6F" w:rsidRDefault="00FA4B6F" w:rsidP="00FA4B6F">
            <w:pPr>
              <w:rPr>
                <w:lang w:val="en-US"/>
              </w:rPr>
            </w:pPr>
            <w:r w:rsidRPr="00FA4B6F">
              <w:rPr>
                <w:lang w:val="en-US"/>
              </w:rPr>
              <w:t>Property, plant, and equipment, net</w:t>
            </w:r>
          </w:p>
        </w:tc>
        <w:tc>
          <w:tcPr>
            <w:tcW w:w="1156" w:type="dxa"/>
            <w:gridSpan w:val="2"/>
            <w:hideMark/>
          </w:tcPr>
          <w:p w14:paraId="2484CB23"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87,285</w:t>
            </w:r>
          </w:p>
        </w:tc>
        <w:tc>
          <w:tcPr>
            <w:tcW w:w="1156" w:type="dxa"/>
            <w:gridSpan w:val="2"/>
            <w:hideMark/>
          </w:tcPr>
          <w:p w14:paraId="1571C413"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74,647</w:t>
            </w:r>
          </w:p>
        </w:tc>
        <w:tc>
          <w:tcPr>
            <w:tcW w:w="1288" w:type="dxa"/>
            <w:gridSpan w:val="3"/>
            <w:hideMark/>
          </w:tcPr>
          <w:p w14:paraId="487BD5E2"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62,791</w:t>
            </w:r>
          </w:p>
        </w:tc>
        <w:tc>
          <w:tcPr>
            <w:tcW w:w="1156" w:type="dxa"/>
            <w:gridSpan w:val="2"/>
            <w:hideMark/>
          </w:tcPr>
          <w:p w14:paraId="51C915CB"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44,619</w:t>
            </w:r>
          </w:p>
        </w:tc>
        <w:tc>
          <w:tcPr>
            <w:tcW w:w="1156" w:type="dxa"/>
            <w:hideMark/>
          </w:tcPr>
          <w:p w14:paraId="2A55ECA8"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34,207</w:t>
            </w:r>
          </w:p>
        </w:tc>
      </w:tr>
      <w:tr w:rsidR="00FA4B6F" w:rsidRPr="00FA4B6F" w14:paraId="122A0E63"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5AB4D7CA" w14:textId="77777777" w:rsidR="00FA4B6F" w:rsidRPr="00FA4B6F" w:rsidRDefault="00FA4B6F" w:rsidP="00FA4B6F">
            <w:pPr>
              <w:rPr>
                <w:lang w:val="en-US"/>
              </w:rPr>
            </w:pPr>
            <w:r w:rsidRPr="00FA4B6F">
              <w:rPr>
                <w:lang w:val="en-US"/>
              </w:rPr>
              <w:t>Intangible assets</w:t>
            </w:r>
          </w:p>
        </w:tc>
        <w:tc>
          <w:tcPr>
            <w:tcW w:w="1156" w:type="dxa"/>
            <w:gridSpan w:val="2"/>
            <w:hideMark/>
          </w:tcPr>
          <w:p w14:paraId="66C74CF4"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19,710</w:t>
            </w:r>
          </w:p>
        </w:tc>
        <w:tc>
          <w:tcPr>
            <w:tcW w:w="1156" w:type="dxa"/>
            <w:gridSpan w:val="2"/>
            <w:hideMark/>
          </w:tcPr>
          <w:p w14:paraId="06E00E0D"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20,169</w:t>
            </w:r>
          </w:p>
        </w:tc>
        <w:tc>
          <w:tcPr>
            <w:tcW w:w="1288" w:type="dxa"/>
            <w:gridSpan w:val="3"/>
            <w:hideMark/>
          </w:tcPr>
          <w:p w14:paraId="5C87C14B"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24,470</w:t>
            </w:r>
          </w:p>
        </w:tc>
        <w:tc>
          <w:tcPr>
            <w:tcW w:w="1156" w:type="dxa"/>
            <w:gridSpan w:val="2"/>
            <w:hideMark/>
          </w:tcPr>
          <w:p w14:paraId="5F0F3967"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25,349</w:t>
            </w:r>
          </w:p>
        </w:tc>
        <w:tc>
          <w:tcPr>
            <w:tcW w:w="1156" w:type="dxa"/>
            <w:hideMark/>
          </w:tcPr>
          <w:p w14:paraId="661A187B"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24,038</w:t>
            </w:r>
          </w:p>
        </w:tc>
      </w:tr>
      <w:tr w:rsidR="00FA4B6F" w:rsidRPr="00FA4B6F" w14:paraId="522137E9"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7276AE6C" w14:textId="77777777" w:rsidR="00FA4B6F" w:rsidRPr="00FA4B6F" w:rsidRDefault="00FA4B6F" w:rsidP="00FA4B6F">
            <w:pPr>
              <w:rPr>
                <w:lang w:val="en-US"/>
              </w:rPr>
            </w:pPr>
            <w:r w:rsidRPr="00FA4B6F">
              <w:rPr>
                <w:lang w:val="en-US"/>
              </w:rPr>
              <w:t>Operating lease right-of-use assets</w:t>
            </w:r>
          </w:p>
        </w:tc>
        <w:tc>
          <w:tcPr>
            <w:tcW w:w="1156" w:type="dxa"/>
            <w:gridSpan w:val="2"/>
            <w:hideMark/>
          </w:tcPr>
          <w:p w14:paraId="4E0E69DB"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19,522</w:t>
            </w:r>
          </w:p>
        </w:tc>
        <w:tc>
          <w:tcPr>
            <w:tcW w:w="1156" w:type="dxa"/>
            <w:gridSpan w:val="2"/>
            <w:hideMark/>
          </w:tcPr>
          <w:p w14:paraId="19FFE3E2"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19,847</w:t>
            </w:r>
          </w:p>
        </w:tc>
        <w:tc>
          <w:tcPr>
            <w:tcW w:w="1288" w:type="dxa"/>
            <w:gridSpan w:val="3"/>
            <w:hideMark/>
          </w:tcPr>
          <w:p w14:paraId="08D6091B"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21,599</w:t>
            </w:r>
          </w:p>
        </w:tc>
        <w:tc>
          <w:tcPr>
            <w:tcW w:w="1156" w:type="dxa"/>
            <w:gridSpan w:val="2"/>
            <w:hideMark/>
          </w:tcPr>
          <w:p w14:paraId="16280689"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18,693</w:t>
            </w:r>
          </w:p>
        </w:tc>
        <w:tc>
          <w:tcPr>
            <w:tcW w:w="1156" w:type="dxa"/>
            <w:hideMark/>
          </w:tcPr>
          <w:p w14:paraId="188F7250"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14,322</w:t>
            </w:r>
          </w:p>
        </w:tc>
      </w:tr>
      <w:tr w:rsidR="00FA4B6F" w:rsidRPr="00FA4B6F" w14:paraId="1CD8BA96"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5F6ABF1B" w14:textId="77777777" w:rsidR="00FA4B6F" w:rsidRPr="00FA4B6F" w:rsidRDefault="00FA4B6F" w:rsidP="00FA4B6F">
            <w:pPr>
              <w:rPr>
                <w:lang w:val="en-US"/>
              </w:rPr>
            </w:pPr>
            <w:r w:rsidRPr="00FA4B6F">
              <w:rPr>
                <w:lang w:val="en-US"/>
              </w:rPr>
              <w:t>Deferred income taxes</w:t>
            </w:r>
          </w:p>
        </w:tc>
        <w:tc>
          <w:tcPr>
            <w:tcW w:w="1156" w:type="dxa"/>
            <w:gridSpan w:val="2"/>
            <w:hideMark/>
          </w:tcPr>
          <w:p w14:paraId="1D326A5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5,564</w:t>
            </w:r>
          </w:p>
        </w:tc>
        <w:tc>
          <w:tcPr>
            <w:tcW w:w="1156" w:type="dxa"/>
            <w:gridSpan w:val="2"/>
            <w:hideMark/>
          </w:tcPr>
          <w:p w14:paraId="32275FC8"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7,729</w:t>
            </w:r>
          </w:p>
        </w:tc>
        <w:tc>
          <w:tcPr>
            <w:tcW w:w="1288" w:type="dxa"/>
            <w:gridSpan w:val="3"/>
            <w:hideMark/>
          </w:tcPr>
          <w:p w14:paraId="2B924802"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6,242</w:t>
            </w:r>
          </w:p>
        </w:tc>
        <w:tc>
          <w:tcPr>
            <w:tcW w:w="1156" w:type="dxa"/>
            <w:gridSpan w:val="2"/>
            <w:hideMark/>
          </w:tcPr>
          <w:p w14:paraId="25E15217"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6,787</w:t>
            </w:r>
          </w:p>
        </w:tc>
        <w:tc>
          <w:tcPr>
            <w:tcW w:w="1156" w:type="dxa"/>
            <w:hideMark/>
          </w:tcPr>
          <w:p w14:paraId="5016FC45"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6,425</w:t>
            </w:r>
          </w:p>
        </w:tc>
      </w:tr>
      <w:tr w:rsidR="00FA4B6F" w:rsidRPr="00FA4B6F" w14:paraId="1F1D53D3"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417AC5F6" w14:textId="77777777" w:rsidR="00FA4B6F" w:rsidRPr="00FA4B6F" w:rsidRDefault="00FA4B6F" w:rsidP="00FA4B6F">
            <w:pPr>
              <w:rPr>
                <w:lang w:val="en-US"/>
              </w:rPr>
            </w:pPr>
            <w:r w:rsidRPr="00FA4B6F">
              <w:rPr>
                <w:lang w:val="en-US"/>
              </w:rPr>
              <w:t>Other assets</w:t>
            </w:r>
          </w:p>
        </w:tc>
        <w:tc>
          <w:tcPr>
            <w:tcW w:w="1156" w:type="dxa"/>
            <w:gridSpan w:val="2"/>
            <w:hideMark/>
          </w:tcPr>
          <w:p w14:paraId="1E09546C"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2,752</w:t>
            </w:r>
          </w:p>
        </w:tc>
        <w:tc>
          <w:tcPr>
            <w:tcW w:w="1156" w:type="dxa"/>
            <w:gridSpan w:val="2"/>
            <w:hideMark/>
          </w:tcPr>
          <w:p w14:paraId="66F875D8"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2,347</w:t>
            </w:r>
          </w:p>
        </w:tc>
        <w:tc>
          <w:tcPr>
            <w:tcW w:w="1288" w:type="dxa"/>
            <w:gridSpan w:val="3"/>
            <w:hideMark/>
          </w:tcPr>
          <w:p w14:paraId="64CDCBAA"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1,936</w:t>
            </w:r>
          </w:p>
        </w:tc>
        <w:tc>
          <w:tcPr>
            <w:tcW w:w="1156" w:type="dxa"/>
            <w:gridSpan w:val="2"/>
            <w:hideMark/>
          </w:tcPr>
          <w:p w14:paraId="460B1DB0"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1,573</w:t>
            </w:r>
          </w:p>
        </w:tc>
        <w:tc>
          <w:tcPr>
            <w:tcW w:w="1156" w:type="dxa"/>
            <w:hideMark/>
          </w:tcPr>
          <w:p w14:paraId="337EB61D"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1,868</w:t>
            </w:r>
          </w:p>
        </w:tc>
      </w:tr>
      <w:tr w:rsidR="00FA4B6F" w:rsidRPr="00FA4B6F" w14:paraId="7FF677BD"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43257E99" w14:textId="77777777" w:rsidR="00FA4B6F" w:rsidRPr="00FA4B6F" w:rsidRDefault="00FA4B6F" w:rsidP="00FA4B6F">
            <w:pPr>
              <w:rPr>
                <w:lang w:val="en-US"/>
              </w:rPr>
            </w:pPr>
            <w:r w:rsidRPr="00FA4B6F">
              <w:rPr>
                <w:lang w:val="en-US"/>
              </w:rPr>
              <w:t>Total assets</w:t>
            </w:r>
          </w:p>
        </w:tc>
        <w:tc>
          <w:tcPr>
            <w:tcW w:w="1156" w:type="dxa"/>
            <w:gridSpan w:val="2"/>
            <w:hideMark/>
          </w:tcPr>
          <w:p w14:paraId="10768F39"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510,290</w:t>
            </w:r>
          </w:p>
        </w:tc>
        <w:tc>
          <w:tcPr>
            <w:tcW w:w="1156" w:type="dxa"/>
            <w:gridSpan w:val="2"/>
            <w:hideMark/>
          </w:tcPr>
          <w:p w14:paraId="2F6136C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510,348</w:t>
            </w:r>
          </w:p>
        </w:tc>
        <w:tc>
          <w:tcPr>
            <w:tcW w:w="1288" w:type="dxa"/>
            <w:gridSpan w:val="3"/>
            <w:hideMark/>
          </w:tcPr>
          <w:p w14:paraId="3F80400C"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504,163</w:t>
            </w:r>
          </w:p>
        </w:tc>
        <w:tc>
          <w:tcPr>
            <w:tcW w:w="1156" w:type="dxa"/>
            <w:gridSpan w:val="2"/>
            <w:hideMark/>
          </w:tcPr>
          <w:p w14:paraId="3625E394"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355,872</w:t>
            </w:r>
          </w:p>
        </w:tc>
        <w:tc>
          <w:tcPr>
            <w:tcW w:w="1156" w:type="dxa"/>
            <w:hideMark/>
          </w:tcPr>
          <w:p w14:paraId="669868B9"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323,354</w:t>
            </w:r>
          </w:p>
        </w:tc>
      </w:tr>
      <w:tr w:rsidR="00FA4B6F" w:rsidRPr="00FA4B6F" w14:paraId="661851D8"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2D5C9B80" w14:textId="77777777" w:rsidR="00FA4B6F" w:rsidRPr="00FA4B6F" w:rsidRDefault="00FA4B6F" w:rsidP="00FA4B6F">
            <w:pPr>
              <w:rPr>
                <w:lang w:val="en-US"/>
              </w:rPr>
            </w:pPr>
            <w:r w:rsidRPr="00FA4B6F">
              <w:rPr>
                <w:lang w:val="en-US"/>
              </w:rPr>
              <w:t>Liabilities and Equity</w:t>
            </w:r>
          </w:p>
        </w:tc>
        <w:tc>
          <w:tcPr>
            <w:tcW w:w="1156" w:type="dxa"/>
            <w:gridSpan w:val="2"/>
            <w:hideMark/>
          </w:tcPr>
          <w:p w14:paraId="54C6517E"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156" w:type="dxa"/>
            <w:gridSpan w:val="2"/>
            <w:hideMark/>
          </w:tcPr>
          <w:p w14:paraId="5731405D"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288" w:type="dxa"/>
            <w:gridSpan w:val="3"/>
            <w:hideMark/>
          </w:tcPr>
          <w:p w14:paraId="177F17B7"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156" w:type="dxa"/>
            <w:gridSpan w:val="2"/>
            <w:hideMark/>
          </w:tcPr>
          <w:p w14:paraId="01BD787D"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156" w:type="dxa"/>
            <w:hideMark/>
          </w:tcPr>
          <w:p w14:paraId="5CC3FEF1"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r>
      <w:tr w:rsidR="00FA4B6F" w:rsidRPr="00FA4B6F" w14:paraId="107EA9DB"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4E08CAB2" w14:textId="77777777" w:rsidR="00FA4B6F" w:rsidRPr="00FA4B6F" w:rsidRDefault="00FA4B6F" w:rsidP="00FA4B6F">
            <w:pPr>
              <w:rPr>
                <w:lang w:val="en-US"/>
              </w:rPr>
            </w:pPr>
            <w:r w:rsidRPr="00FA4B6F">
              <w:rPr>
                <w:lang w:val="en-US"/>
              </w:rPr>
              <w:t>Current Liabilities</w:t>
            </w:r>
          </w:p>
        </w:tc>
        <w:tc>
          <w:tcPr>
            <w:tcW w:w="1156" w:type="dxa"/>
            <w:gridSpan w:val="2"/>
            <w:hideMark/>
          </w:tcPr>
          <w:p w14:paraId="4254F8D6"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156" w:type="dxa"/>
            <w:gridSpan w:val="2"/>
            <w:hideMark/>
          </w:tcPr>
          <w:p w14:paraId="50DB1257"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288" w:type="dxa"/>
            <w:gridSpan w:val="3"/>
            <w:hideMark/>
          </w:tcPr>
          <w:p w14:paraId="7F5B8352"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156" w:type="dxa"/>
            <w:gridSpan w:val="2"/>
            <w:hideMark/>
          </w:tcPr>
          <w:p w14:paraId="74C9DA52"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156" w:type="dxa"/>
            <w:hideMark/>
          </w:tcPr>
          <w:p w14:paraId="7EC96D9A"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r>
      <w:tr w:rsidR="00FA4B6F" w:rsidRPr="00FA4B6F" w14:paraId="09262311"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6646E23D" w14:textId="77777777" w:rsidR="00FA4B6F" w:rsidRPr="00FA4B6F" w:rsidRDefault="00FA4B6F" w:rsidP="00FA4B6F">
            <w:pPr>
              <w:rPr>
                <w:lang w:val="en-US"/>
              </w:rPr>
            </w:pPr>
            <w:r w:rsidRPr="00FA4B6F">
              <w:rPr>
                <w:lang w:val="en-US"/>
              </w:rPr>
              <w:t>Accounts payable</w:t>
            </w:r>
          </w:p>
        </w:tc>
        <w:tc>
          <w:tcPr>
            <w:tcW w:w="1156" w:type="dxa"/>
            <w:gridSpan w:val="2"/>
            <w:hideMark/>
          </w:tcPr>
          <w:p w14:paraId="48623A64"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83,229</w:t>
            </w:r>
          </w:p>
        </w:tc>
        <w:tc>
          <w:tcPr>
            <w:tcW w:w="1156" w:type="dxa"/>
            <w:gridSpan w:val="2"/>
            <w:hideMark/>
          </w:tcPr>
          <w:p w14:paraId="7B66EE4F"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92,707</w:t>
            </w:r>
          </w:p>
        </w:tc>
        <w:tc>
          <w:tcPr>
            <w:tcW w:w="1288" w:type="dxa"/>
            <w:gridSpan w:val="3"/>
            <w:hideMark/>
          </w:tcPr>
          <w:p w14:paraId="36D140B0"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71,373</w:t>
            </w:r>
          </w:p>
        </w:tc>
        <w:tc>
          <w:tcPr>
            <w:tcW w:w="1156" w:type="dxa"/>
            <w:gridSpan w:val="2"/>
            <w:hideMark/>
          </w:tcPr>
          <w:p w14:paraId="14AB80AC"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57,033</w:t>
            </w:r>
          </w:p>
        </w:tc>
        <w:tc>
          <w:tcPr>
            <w:tcW w:w="1156" w:type="dxa"/>
            <w:hideMark/>
          </w:tcPr>
          <w:p w14:paraId="12740D12"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72,031</w:t>
            </w:r>
          </w:p>
        </w:tc>
      </w:tr>
      <w:tr w:rsidR="00FA4B6F" w:rsidRPr="00FA4B6F" w14:paraId="58F16E95"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171BE725" w14:textId="77777777" w:rsidR="00FA4B6F" w:rsidRPr="00FA4B6F" w:rsidRDefault="00FA4B6F" w:rsidP="00FA4B6F">
            <w:pPr>
              <w:rPr>
                <w:lang w:val="en-US"/>
              </w:rPr>
            </w:pPr>
            <w:r w:rsidRPr="00FA4B6F">
              <w:rPr>
                <w:lang w:val="en-US"/>
              </w:rPr>
              <w:t>Lines of credit</w:t>
            </w:r>
          </w:p>
        </w:tc>
        <w:tc>
          <w:tcPr>
            <w:tcW w:w="1156" w:type="dxa"/>
            <w:gridSpan w:val="2"/>
            <w:hideMark/>
          </w:tcPr>
          <w:p w14:paraId="247F311D"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20,000</w:t>
            </w:r>
          </w:p>
        </w:tc>
        <w:tc>
          <w:tcPr>
            <w:tcW w:w="1156" w:type="dxa"/>
            <w:gridSpan w:val="2"/>
            <w:hideMark/>
          </w:tcPr>
          <w:p w14:paraId="3E8BE1A1"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56,000</w:t>
            </w:r>
          </w:p>
        </w:tc>
        <w:tc>
          <w:tcPr>
            <w:tcW w:w="1288" w:type="dxa"/>
            <w:gridSpan w:val="3"/>
            <w:hideMark/>
          </w:tcPr>
          <w:p w14:paraId="175BAAE4"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88,000</w:t>
            </w:r>
          </w:p>
        </w:tc>
        <w:tc>
          <w:tcPr>
            <w:tcW w:w="1156" w:type="dxa"/>
            <w:gridSpan w:val="2"/>
            <w:hideMark/>
          </w:tcPr>
          <w:p w14:paraId="32B7B8A8"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55,000</w:t>
            </w:r>
          </w:p>
        </w:tc>
        <w:tc>
          <w:tcPr>
            <w:tcW w:w="1156" w:type="dxa"/>
            <w:hideMark/>
          </w:tcPr>
          <w:p w14:paraId="4D33D7FA"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36,960</w:t>
            </w:r>
          </w:p>
        </w:tc>
      </w:tr>
      <w:tr w:rsidR="00FA4B6F" w:rsidRPr="00FA4B6F" w14:paraId="7ADA8144"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412C1F06" w14:textId="77777777" w:rsidR="00FA4B6F" w:rsidRPr="00FA4B6F" w:rsidRDefault="00FA4B6F" w:rsidP="00FA4B6F">
            <w:pPr>
              <w:rPr>
                <w:lang w:val="en-US"/>
              </w:rPr>
            </w:pPr>
            <w:r w:rsidRPr="00FA4B6F">
              <w:rPr>
                <w:lang w:val="en-US"/>
              </w:rPr>
              <w:lastRenderedPageBreak/>
              <w:t>Accrued compensation</w:t>
            </w:r>
          </w:p>
        </w:tc>
        <w:tc>
          <w:tcPr>
            <w:tcW w:w="1156" w:type="dxa"/>
            <w:gridSpan w:val="2"/>
            <w:hideMark/>
          </w:tcPr>
          <w:p w14:paraId="54AEFB4D"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28,931</w:t>
            </w:r>
          </w:p>
        </w:tc>
        <w:tc>
          <w:tcPr>
            <w:tcW w:w="1156" w:type="dxa"/>
            <w:gridSpan w:val="2"/>
            <w:hideMark/>
          </w:tcPr>
          <w:p w14:paraId="57EB95CF"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24,217</w:t>
            </w:r>
          </w:p>
        </w:tc>
        <w:tc>
          <w:tcPr>
            <w:tcW w:w="1288" w:type="dxa"/>
            <w:gridSpan w:val="3"/>
            <w:hideMark/>
          </w:tcPr>
          <w:p w14:paraId="03DF0211"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20,904</w:t>
            </w:r>
          </w:p>
        </w:tc>
        <w:tc>
          <w:tcPr>
            <w:tcW w:w="1156" w:type="dxa"/>
            <w:gridSpan w:val="2"/>
            <w:hideMark/>
          </w:tcPr>
          <w:p w14:paraId="1D5EEDD1"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20,305</w:t>
            </w:r>
          </w:p>
        </w:tc>
        <w:tc>
          <w:tcPr>
            <w:tcW w:w="1156" w:type="dxa"/>
            <w:hideMark/>
          </w:tcPr>
          <w:p w14:paraId="5DD621C6"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20,927</w:t>
            </w:r>
          </w:p>
        </w:tc>
      </w:tr>
      <w:tr w:rsidR="00FA4B6F" w:rsidRPr="00FA4B6F" w14:paraId="7F4AB5EA"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2B9E13D4" w14:textId="77777777" w:rsidR="00FA4B6F" w:rsidRPr="00FA4B6F" w:rsidRDefault="00FA4B6F" w:rsidP="00FA4B6F">
            <w:pPr>
              <w:rPr>
                <w:lang w:val="en-US"/>
              </w:rPr>
            </w:pPr>
            <w:r w:rsidRPr="00FA4B6F">
              <w:rPr>
                <w:lang w:val="en-US"/>
              </w:rPr>
              <w:t>Accrued sales discounts, rebates and royalties</w:t>
            </w:r>
          </w:p>
        </w:tc>
        <w:tc>
          <w:tcPr>
            <w:tcW w:w="1156" w:type="dxa"/>
            <w:gridSpan w:val="2"/>
            <w:hideMark/>
          </w:tcPr>
          <w:p w14:paraId="6A6B64E2"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10,758</w:t>
            </w:r>
          </w:p>
        </w:tc>
        <w:tc>
          <w:tcPr>
            <w:tcW w:w="1156" w:type="dxa"/>
            <w:gridSpan w:val="2"/>
            <w:hideMark/>
          </w:tcPr>
          <w:p w14:paraId="350A2D23"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9,286</w:t>
            </w:r>
          </w:p>
        </w:tc>
        <w:tc>
          <w:tcPr>
            <w:tcW w:w="1288" w:type="dxa"/>
            <w:gridSpan w:val="3"/>
            <w:hideMark/>
          </w:tcPr>
          <w:p w14:paraId="627254E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6,477</w:t>
            </w:r>
          </w:p>
        </w:tc>
        <w:tc>
          <w:tcPr>
            <w:tcW w:w="1156" w:type="dxa"/>
            <w:gridSpan w:val="2"/>
            <w:hideMark/>
          </w:tcPr>
          <w:p w14:paraId="573117A9"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5,796</w:t>
            </w:r>
          </w:p>
        </w:tc>
        <w:tc>
          <w:tcPr>
            <w:tcW w:w="1156" w:type="dxa"/>
            <w:hideMark/>
          </w:tcPr>
          <w:p w14:paraId="11658923"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5,204</w:t>
            </w:r>
          </w:p>
        </w:tc>
      </w:tr>
      <w:tr w:rsidR="00FA4B6F" w:rsidRPr="00FA4B6F" w14:paraId="1E15F203"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7031C6AB" w14:textId="77777777" w:rsidR="00FA4B6F" w:rsidRPr="00FA4B6F" w:rsidRDefault="00FA4B6F" w:rsidP="00FA4B6F">
            <w:pPr>
              <w:rPr>
                <w:lang w:val="en-US"/>
              </w:rPr>
            </w:pPr>
            <w:r w:rsidRPr="00FA4B6F">
              <w:rPr>
                <w:lang w:val="en-US"/>
              </w:rPr>
              <w:t>Other accrued liabilities</w:t>
            </w:r>
          </w:p>
        </w:tc>
        <w:tc>
          <w:tcPr>
            <w:tcW w:w="1156" w:type="dxa"/>
            <w:gridSpan w:val="2"/>
            <w:hideMark/>
          </w:tcPr>
          <w:p w14:paraId="409F8748"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33,057</w:t>
            </w:r>
          </w:p>
        </w:tc>
        <w:tc>
          <w:tcPr>
            <w:tcW w:w="1156" w:type="dxa"/>
            <w:gridSpan w:val="2"/>
            <w:hideMark/>
          </w:tcPr>
          <w:p w14:paraId="4315A40E"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30,840</w:t>
            </w:r>
          </w:p>
        </w:tc>
        <w:tc>
          <w:tcPr>
            <w:tcW w:w="1288" w:type="dxa"/>
            <w:gridSpan w:val="3"/>
            <w:hideMark/>
          </w:tcPr>
          <w:p w14:paraId="30439131"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24,134</w:t>
            </w:r>
          </w:p>
        </w:tc>
        <w:tc>
          <w:tcPr>
            <w:tcW w:w="1156" w:type="dxa"/>
            <w:gridSpan w:val="2"/>
            <w:hideMark/>
          </w:tcPr>
          <w:p w14:paraId="2B25D20E"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21,181</w:t>
            </w:r>
          </w:p>
        </w:tc>
        <w:tc>
          <w:tcPr>
            <w:tcW w:w="1156" w:type="dxa"/>
            <w:hideMark/>
          </w:tcPr>
          <w:p w14:paraId="64F820FA"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21,008</w:t>
            </w:r>
          </w:p>
        </w:tc>
      </w:tr>
      <w:tr w:rsidR="00FA4B6F" w:rsidRPr="00FA4B6F" w14:paraId="439B3AE3"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4AF212BD" w14:textId="77777777" w:rsidR="00FA4B6F" w:rsidRPr="00FA4B6F" w:rsidRDefault="00FA4B6F" w:rsidP="00FA4B6F">
            <w:pPr>
              <w:rPr>
                <w:lang w:val="en-US"/>
              </w:rPr>
            </w:pPr>
            <w:r w:rsidRPr="00FA4B6F">
              <w:rPr>
                <w:lang w:val="en-US"/>
              </w:rPr>
              <w:t>Total current liabilities</w:t>
            </w:r>
          </w:p>
        </w:tc>
        <w:tc>
          <w:tcPr>
            <w:tcW w:w="1156" w:type="dxa"/>
            <w:gridSpan w:val="2"/>
            <w:hideMark/>
          </w:tcPr>
          <w:p w14:paraId="43C5B899"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179,510</w:t>
            </w:r>
          </w:p>
        </w:tc>
        <w:tc>
          <w:tcPr>
            <w:tcW w:w="1156" w:type="dxa"/>
            <w:gridSpan w:val="2"/>
            <w:hideMark/>
          </w:tcPr>
          <w:p w14:paraId="13479A8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216,787</w:t>
            </w:r>
          </w:p>
        </w:tc>
        <w:tc>
          <w:tcPr>
            <w:tcW w:w="1288" w:type="dxa"/>
            <w:gridSpan w:val="3"/>
            <w:hideMark/>
          </w:tcPr>
          <w:p w14:paraId="3D00EC50"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216,473</w:t>
            </w:r>
          </w:p>
        </w:tc>
        <w:tc>
          <w:tcPr>
            <w:tcW w:w="1156" w:type="dxa"/>
            <w:gridSpan w:val="2"/>
            <w:hideMark/>
          </w:tcPr>
          <w:p w14:paraId="677691C7"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161,148</w:t>
            </w:r>
          </w:p>
        </w:tc>
        <w:tc>
          <w:tcPr>
            <w:tcW w:w="1156" w:type="dxa"/>
            <w:hideMark/>
          </w:tcPr>
          <w:p w14:paraId="4AC35B88"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158,291</w:t>
            </w:r>
          </w:p>
        </w:tc>
      </w:tr>
      <w:tr w:rsidR="00FA4B6F" w:rsidRPr="00FA4B6F" w14:paraId="49161045"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352EDF12" w14:textId="77777777" w:rsidR="00FA4B6F" w:rsidRPr="00FA4B6F" w:rsidRDefault="00FA4B6F" w:rsidP="00FA4B6F">
            <w:pPr>
              <w:rPr>
                <w:lang w:val="en-US"/>
              </w:rPr>
            </w:pPr>
            <w:r w:rsidRPr="00FA4B6F">
              <w:rPr>
                <w:lang w:val="en-US"/>
              </w:rPr>
              <w:t>Long term Liabilities</w:t>
            </w:r>
          </w:p>
        </w:tc>
        <w:tc>
          <w:tcPr>
            <w:tcW w:w="1156" w:type="dxa"/>
            <w:gridSpan w:val="2"/>
            <w:hideMark/>
          </w:tcPr>
          <w:p w14:paraId="62308FC0"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156" w:type="dxa"/>
            <w:gridSpan w:val="2"/>
            <w:hideMark/>
          </w:tcPr>
          <w:p w14:paraId="7C07AD43"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288" w:type="dxa"/>
            <w:gridSpan w:val="3"/>
            <w:hideMark/>
          </w:tcPr>
          <w:p w14:paraId="4D8ECE7D"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156" w:type="dxa"/>
            <w:gridSpan w:val="2"/>
            <w:hideMark/>
          </w:tcPr>
          <w:p w14:paraId="7A9461A8"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156" w:type="dxa"/>
            <w:hideMark/>
          </w:tcPr>
          <w:p w14:paraId="2973587A"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r>
      <w:tr w:rsidR="00FA4B6F" w:rsidRPr="00FA4B6F" w14:paraId="262AF77E"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6E7AF9A3" w14:textId="77777777" w:rsidR="00FA4B6F" w:rsidRPr="00FA4B6F" w:rsidRDefault="00FA4B6F" w:rsidP="00FA4B6F">
            <w:pPr>
              <w:rPr>
                <w:lang w:val="en-US"/>
              </w:rPr>
            </w:pPr>
            <w:r w:rsidRPr="00FA4B6F">
              <w:rPr>
                <w:lang w:val="en-US"/>
              </w:rPr>
              <w:t>Operating lease obligations</w:t>
            </w:r>
          </w:p>
        </w:tc>
        <w:tc>
          <w:tcPr>
            <w:tcW w:w="1156" w:type="dxa"/>
            <w:gridSpan w:val="2"/>
            <w:hideMark/>
          </w:tcPr>
          <w:p w14:paraId="7EC7C27F"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13,681</w:t>
            </w:r>
          </w:p>
        </w:tc>
        <w:tc>
          <w:tcPr>
            <w:tcW w:w="1156" w:type="dxa"/>
            <w:gridSpan w:val="2"/>
            <w:hideMark/>
          </w:tcPr>
          <w:p w14:paraId="507D6BB6"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14,266</w:t>
            </w:r>
          </w:p>
        </w:tc>
        <w:tc>
          <w:tcPr>
            <w:tcW w:w="1288" w:type="dxa"/>
            <w:gridSpan w:val="3"/>
            <w:hideMark/>
          </w:tcPr>
          <w:p w14:paraId="7699FC68"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15,027</w:t>
            </w:r>
          </w:p>
        </w:tc>
        <w:tc>
          <w:tcPr>
            <w:tcW w:w="1156" w:type="dxa"/>
            <w:gridSpan w:val="2"/>
            <w:hideMark/>
          </w:tcPr>
          <w:p w14:paraId="0C751314"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12,560</w:t>
            </w:r>
          </w:p>
        </w:tc>
        <w:tc>
          <w:tcPr>
            <w:tcW w:w="1156" w:type="dxa"/>
            <w:hideMark/>
          </w:tcPr>
          <w:p w14:paraId="02698BF5"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9,232</w:t>
            </w:r>
          </w:p>
        </w:tc>
      </w:tr>
      <w:tr w:rsidR="00FA4B6F" w:rsidRPr="00FA4B6F" w14:paraId="5117D678"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59656D2C" w14:textId="77777777" w:rsidR="00FA4B6F" w:rsidRPr="00FA4B6F" w:rsidRDefault="00FA4B6F" w:rsidP="00FA4B6F">
            <w:pPr>
              <w:rPr>
                <w:lang w:val="en-US"/>
              </w:rPr>
            </w:pPr>
            <w:r w:rsidRPr="00FA4B6F">
              <w:rPr>
                <w:lang w:val="en-US"/>
              </w:rPr>
              <w:t>Deferred income taxes</w:t>
            </w:r>
          </w:p>
        </w:tc>
        <w:tc>
          <w:tcPr>
            <w:tcW w:w="1156" w:type="dxa"/>
            <w:gridSpan w:val="2"/>
            <w:hideMark/>
          </w:tcPr>
          <w:p w14:paraId="231A1E02"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1,913</w:t>
            </w:r>
          </w:p>
        </w:tc>
        <w:tc>
          <w:tcPr>
            <w:tcW w:w="1156" w:type="dxa"/>
            <w:gridSpan w:val="2"/>
            <w:hideMark/>
          </w:tcPr>
          <w:p w14:paraId="3BFDF138"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2,394</w:t>
            </w:r>
          </w:p>
        </w:tc>
        <w:tc>
          <w:tcPr>
            <w:tcW w:w="1288" w:type="dxa"/>
            <w:gridSpan w:val="3"/>
            <w:hideMark/>
          </w:tcPr>
          <w:p w14:paraId="181BB78E"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2,724</w:t>
            </w:r>
          </w:p>
        </w:tc>
        <w:tc>
          <w:tcPr>
            <w:tcW w:w="1156" w:type="dxa"/>
            <w:gridSpan w:val="2"/>
            <w:hideMark/>
          </w:tcPr>
          <w:p w14:paraId="7A5D7DA0"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1,992</w:t>
            </w:r>
          </w:p>
        </w:tc>
        <w:tc>
          <w:tcPr>
            <w:tcW w:w="1156" w:type="dxa"/>
            <w:hideMark/>
          </w:tcPr>
          <w:p w14:paraId="6FA9686B"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1,931</w:t>
            </w:r>
          </w:p>
        </w:tc>
      </w:tr>
      <w:tr w:rsidR="00FA4B6F" w:rsidRPr="00FA4B6F" w14:paraId="09B2E3CA"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1A8B8E57" w14:textId="77777777" w:rsidR="00FA4B6F" w:rsidRPr="00FA4B6F" w:rsidRDefault="00FA4B6F" w:rsidP="00FA4B6F">
            <w:pPr>
              <w:rPr>
                <w:lang w:val="en-US"/>
              </w:rPr>
            </w:pPr>
            <w:r w:rsidRPr="00FA4B6F">
              <w:rPr>
                <w:lang w:val="en-US"/>
              </w:rPr>
              <w:t>Income tax payable</w:t>
            </w:r>
          </w:p>
        </w:tc>
        <w:tc>
          <w:tcPr>
            <w:tcW w:w="1156" w:type="dxa"/>
            <w:gridSpan w:val="2"/>
            <w:hideMark/>
          </w:tcPr>
          <w:p w14:paraId="76E063CA"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1,054</w:t>
            </w:r>
          </w:p>
        </w:tc>
        <w:tc>
          <w:tcPr>
            <w:tcW w:w="1156" w:type="dxa"/>
            <w:gridSpan w:val="2"/>
            <w:hideMark/>
          </w:tcPr>
          <w:p w14:paraId="19612177"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939</w:t>
            </w:r>
          </w:p>
        </w:tc>
        <w:tc>
          <w:tcPr>
            <w:tcW w:w="1288" w:type="dxa"/>
            <w:gridSpan w:val="3"/>
            <w:hideMark/>
          </w:tcPr>
          <w:p w14:paraId="3E4D870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723</w:t>
            </w:r>
          </w:p>
        </w:tc>
        <w:tc>
          <w:tcPr>
            <w:tcW w:w="1156" w:type="dxa"/>
            <w:gridSpan w:val="2"/>
            <w:hideMark/>
          </w:tcPr>
          <w:p w14:paraId="3F430019"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435</w:t>
            </w:r>
          </w:p>
        </w:tc>
        <w:tc>
          <w:tcPr>
            <w:tcW w:w="1156" w:type="dxa"/>
            <w:hideMark/>
          </w:tcPr>
          <w:p w14:paraId="08679B06"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72</w:t>
            </w:r>
          </w:p>
        </w:tc>
      </w:tr>
      <w:tr w:rsidR="00FA4B6F" w:rsidRPr="00FA4B6F" w14:paraId="086E3EB1"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2ED96F1C" w14:textId="77777777" w:rsidR="00FA4B6F" w:rsidRPr="00FA4B6F" w:rsidRDefault="00FA4B6F" w:rsidP="00FA4B6F">
            <w:pPr>
              <w:rPr>
                <w:lang w:val="en-US"/>
              </w:rPr>
            </w:pPr>
            <w:r w:rsidRPr="00FA4B6F">
              <w:rPr>
                <w:lang w:val="en-US"/>
              </w:rPr>
              <w:t>Other long-term liabilities</w:t>
            </w:r>
          </w:p>
        </w:tc>
        <w:tc>
          <w:tcPr>
            <w:tcW w:w="1156" w:type="dxa"/>
            <w:gridSpan w:val="2"/>
            <w:hideMark/>
          </w:tcPr>
          <w:p w14:paraId="66885DE3"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539</w:t>
            </w:r>
          </w:p>
        </w:tc>
        <w:tc>
          <w:tcPr>
            <w:tcW w:w="1156" w:type="dxa"/>
            <w:gridSpan w:val="2"/>
            <w:hideMark/>
          </w:tcPr>
          <w:p w14:paraId="1886A9B4"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13</w:t>
            </w:r>
          </w:p>
        </w:tc>
        <w:tc>
          <w:tcPr>
            <w:tcW w:w="1288" w:type="dxa"/>
            <w:gridSpan w:val="3"/>
            <w:hideMark/>
          </w:tcPr>
          <w:p w14:paraId="012928E0"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810</w:t>
            </w:r>
          </w:p>
        </w:tc>
        <w:tc>
          <w:tcPr>
            <w:tcW w:w="1156" w:type="dxa"/>
            <w:gridSpan w:val="2"/>
            <w:hideMark/>
          </w:tcPr>
          <w:p w14:paraId="2311BB9F"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817</w:t>
            </w:r>
          </w:p>
        </w:tc>
        <w:tc>
          <w:tcPr>
            <w:tcW w:w="1156" w:type="dxa"/>
            <w:hideMark/>
          </w:tcPr>
          <w:p w14:paraId="7A57769C"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723</w:t>
            </w:r>
          </w:p>
        </w:tc>
      </w:tr>
      <w:tr w:rsidR="00FA4B6F" w:rsidRPr="00FA4B6F" w14:paraId="1D5A65B5"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0867B97C" w14:textId="77777777" w:rsidR="00FA4B6F" w:rsidRPr="00FA4B6F" w:rsidRDefault="00FA4B6F" w:rsidP="00FA4B6F">
            <w:pPr>
              <w:rPr>
                <w:lang w:val="en-US"/>
              </w:rPr>
            </w:pPr>
            <w:r w:rsidRPr="00FA4B6F">
              <w:rPr>
                <w:lang w:val="en-US"/>
              </w:rPr>
              <w:t>Total liabilities</w:t>
            </w:r>
          </w:p>
        </w:tc>
        <w:tc>
          <w:tcPr>
            <w:tcW w:w="1156" w:type="dxa"/>
            <w:gridSpan w:val="2"/>
            <w:hideMark/>
          </w:tcPr>
          <w:p w14:paraId="0E4391D5"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196,898</w:t>
            </w:r>
          </w:p>
        </w:tc>
        <w:tc>
          <w:tcPr>
            <w:tcW w:w="1156" w:type="dxa"/>
            <w:gridSpan w:val="2"/>
            <w:hideMark/>
          </w:tcPr>
          <w:p w14:paraId="513E4C4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234,399</w:t>
            </w:r>
          </w:p>
        </w:tc>
        <w:tc>
          <w:tcPr>
            <w:tcW w:w="1288" w:type="dxa"/>
            <w:gridSpan w:val="3"/>
            <w:hideMark/>
          </w:tcPr>
          <w:p w14:paraId="5E022174"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235,757</w:t>
            </w:r>
          </w:p>
        </w:tc>
        <w:tc>
          <w:tcPr>
            <w:tcW w:w="1156" w:type="dxa"/>
            <w:gridSpan w:val="2"/>
            <w:hideMark/>
          </w:tcPr>
          <w:p w14:paraId="12CA462C"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176,952</w:t>
            </w:r>
          </w:p>
        </w:tc>
        <w:tc>
          <w:tcPr>
            <w:tcW w:w="1156" w:type="dxa"/>
            <w:hideMark/>
          </w:tcPr>
          <w:p w14:paraId="74F2B017"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170,249</w:t>
            </w:r>
          </w:p>
        </w:tc>
      </w:tr>
      <w:tr w:rsidR="00FA4B6F" w:rsidRPr="00FA4B6F" w14:paraId="7D7856D7"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2FFC9444" w14:textId="77777777" w:rsidR="00FA4B6F" w:rsidRPr="00FA4B6F" w:rsidRDefault="00FA4B6F" w:rsidP="00FA4B6F">
            <w:pPr>
              <w:rPr>
                <w:lang w:val="en-US"/>
              </w:rPr>
            </w:pPr>
            <w:proofErr w:type="spellStart"/>
            <w:r w:rsidRPr="00FA4B6F">
              <w:rPr>
                <w:lang w:val="en-US"/>
              </w:rPr>
              <w:t>Shareholders</w:t>
            </w:r>
            <w:proofErr w:type="spellEnd"/>
            <w:r w:rsidRPr="00FA4B6F">
              <w:rPr>
                <w:lang w:val="en-US"/>
              </w:rPr>
              <w:t xml:space="preserve"> equity</w:t>
            </w:r>
          </w:p>
        </w:tc>
        <w:tc>
          <w:tcPr>
            <w:tcW w:w="1156" w:type="dxa"/>
            <w:gridSpan w:val="2"/>
            <w:hideMark/>
          </w:tcPr>
          <w:p w14:paraId="07D0C16F"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156" w:type="dxa"/>
            <w:gridSpan w:val="2"/>
            <w:hideMark/>
          </w:tcPr>
          <w:p w14:paraId="6E9972CC"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288" w:type="dxa"/>
            <w:gridSpan w:val="3"/>
            <w:hideMark/>
          </w:tcPr>
          <w:p w14:paraId="0FD5F426"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156" w:type="dxa"/>
            <w:gridSpan w:val="2"/>
            <w:hideMark/>
          </w:tcPr>
          <w:p w14:paraId="1E0408FC"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c>
          <w:tcPr>
            <w:tcW w:w="1156" w:type="dxa"/>
            <w:hideMark/>
          </w:tcPr>
          <w:p w14:paraId="1BD96159"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 </w:t>
            </w:r>
          </w:p>
        </w:tc>
      </w:tr>
      <w:tr w:rsidR="00FA4B6F" w:rsidRPr="00FA4B6F" w14:paraId="10426AEF"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0CA86933" w14:textId="77777777" w:rsidR="00FA4B6F" w:rsidRPr="00FA4B6F" w:rsidRDefault="00FA4B6F" w:rsidP="00FA4B6F">
            <w:pPr>
              <w:rPr>
                <w:lang w:val="en-US"/>
              </w:rPr>
            </w:pPr>
            <w:r w:rsidRPr="00FA4B6F">
              <w:rPr>
                <w:lang w:val="en-US"/>
              </w:rPr>
              <w:t>Preferred stock</w:t>
            </w:r>
          </w:p>
        </w:tc>
        <w:tc>
          <w:tcPr>
            <w:tcW w:w="1156" w:type="dxa"/>
            <w:gridSpan w:val="2"/>
            <w:hideMark/>
          </w:tcPr>
          <w:p w14:paraId="33D87D01"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156" w:type="dxa"/>
            <w:gridSpan w:val="2"/>
            <w:hideMark/>
          </w:tcPr>
          <w:p w14:paraId="1340610A"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288" w:type="dxa"/>
            <w:gridSpan w:val="3"/>
            <w:hideMark/>
          </w:tcPr>
          <w:p w14:paraId="27D76FA9"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156" w:type="dxa"/>
            <w:gridSpan w:val="2"/>
            <w:hideMark/>
          </w:tcPr>
          <w:p w14:paraId="0EE3749F"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c>
          <w:tcPr>
            <w:tcW w:w="1156" w:type="dxa"/>
            <w:hideMark/>
          </w:tcPr>
          <w:p w14:paraId="46FDC384"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 </w:t>
            </w:r>
          </w:p>
        </w:tc>
      </w:tr>
      <w:tr w:rsidR="00FA4B6F" w:rsidRPr="00FA4B6F" w14:paraId="5CD6C448"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5F0D0D57" w14:textId="77777777" w:rsidR="00FA4B6F" w:rsidRPr="00FA4B6F" w:rsidRDefault="00FA4B6F" w:rsidP="00FA4B6F">
            <w:pPr>
              <w:rPr>
                <w:lang w:val="en-US"/>
              </w:rPr>
            </w:pPr>
            <w:r w:rsidRPr="00FA4B6F">
              <w:rPr>
                <w:lang w:val="en-US"/>
              </w:rPr>
              <w:t>Common stock</w:t>
            </w:r>
          </w:p>
        </w:tc>
        <w:tc>
          <w:tcPr>
            <w:tcW w:w="1156" w:type="dxa"/>
            <w:gridSpan w:val="2"/>
            <w:hideMark/>
          </w:tcPr>
          <w:p w14:paraId="12C5BD7E"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244</w:t>
            </w:r>
          </w:p>
        </w:tc>
        <w:tc>
          <w:tcPr>
            <w:tcW w:w="1156" w:type="dxa"/>
            <w:gridSpan w:val="2"/>
            <w:hideMark/>
          </w:tcPr>
          <w:p w14:paraId="47033A0E"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247</w:t>
            </w:r>
          </w:p>
        </w:tc>
        <w:tc>
          <w:tcPr>
            <w:tcW w:w="1288" w:type="dxa"/>
            <w:gridSpan w:val="3"/>
            <w:hideMark/>
          </w:tcPr>
          <w:p w14:paraId="61D6F62A"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250</w:t>
            </w:r>
          </w:p>
        </w:tc>
        <w:tc>
          <w:tcPr>
            <w:tcW w:w="1156" w:type="dxa"/>
            <w:gridSpan w:val="2"/>
            <w:hideMark/>
          </w:tcPr>
          <w:p w14:paraId="0EAE8340"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253</w:t>
            </w:r>
          </w:p>
        </w:tc>
        <w:tc>
          <w:tcPr>
            <w:tcW w:w="1156" w:type="dxa"/>
            <w:hideMark/>
          </w:tcPr>
          <w:p w14:paraId="57EDE77E"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257</w:t>
            </w:r>
          </w:p>
        </w:tc>
      </w:tr>
      <w:tr w:rsidR="00FA4B6F" w:rsidRPr="00FA4B6F" w14:paraId="44B5C8D5"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3634F37F" w14:textId="77777777" w:rsidR="00FA4B6F" w:rsidRPr="00FA4B6F" w:rsidRDefault="00FA4B6F" w:rsidP="00FA4B6F">
            <w:pPr>
              <w:rPr>
                <w:lang w:val="en-US"/>
              </w:rPr>
            </w:pPr>
            <w:r w:rsidRPr="00FA4B6F">
              <w:rPr>
                <w:lang w:val="en-US"/>
              </w:rPr>
              <w:t>Paid-in capital</w:t>
            </w:r>
          </w:p>
        </w:tc>
        <w:tc>
          <w:tcPr>
            <w:tcW w:w="1156" w:type="dxa"/>
            <w:gridSpan w:val="2"/>
            <w:hideMark/>
          </w:tcPr>
          <w:p w14:paraId="286E13D9"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302,084</w:t>
            </w:r>
          </w:p>
        </w:tc>
        <w:tc>
          <w:tcPr>
            <w:tcW w:w="1156" w:type="dxa"/>
            <w:gridSpan w:val="2"/>
            <w:hideMark/>
          </w:tcPr>
          <w:p w14:paraId="21FC34F7"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314,094</w:t>
            </w:r>
          </w:p>
        </w:tc>
        <w:tc>
          <w:tcPr>
            <w:tcW w:w="1288" w:type="dxa"/>
            <w:gridSpan w:val="3"/>
            <w:hideMark/>
          </w:tcPr>
          <w:p w14:paraId="6388A5F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326,839</w:t>
            </w:r>
          </w:p>
        </w:tc>
        <w:tc>
          <w:tcPr>
            <w:tcW w:w="1156" w:type="dxa"/>
            <w:gridSpan w:val="2"/>
            <w:hideMark/>
          </w:tcPr>
          <w:p w14:paraId="0C54FF4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336,938</w:t>
            </w:r>
          </w:p>
        </w:tc>
        <w:tc>
          <w:tcPr>
            <w:tcW w:w="1156" w:type="dxa"/>
            <w:hideMark/>
          </w:tcPr>
          <w:p w14:paraId="33D31AB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344,697</w:t>
            </w:r>
          </w:p>
        </w:tc>
      </w:tr>
      <w:tr w:rsidR="00FA4B6F" w:rsidRPr="00FA4B6F" w14:paraId="48B6E67E"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0CE67D1B" w14:textId="77777777" w:rsidR="00FA4B6F" w:rsidRPr="00FA4B6F" w:rsidRDefault="00FA4B6F" w:rsidP="00FA4B6F">
            <w:pPr>
              <w:rPr>
                <w:lang w:val="en-US"/>
              </w:rPr>
            </w:pPr>
            <w:r w:rsidRPr="00FA4B6F">
              <w:rPr>
                <w:lang w:val="en-US"/>
              </w:rPr>
              <w:t>Treasury stock</w:t>
            </w:r>
          </w:p>
        </w:tc>
        <w:tc>
          <w:tcPr>
            <w:tcW w:w="1156" w:type="dxa"/>
            <w:gridSpan w:val="2"/>
            <w:hideMark/>
          </w:tcPr>
          <w:p w14:paraId="015A339A"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(295,495)</w:t>
            </w:r>
          </w:p>
        </w:tc>
        <w:tc>
          <w:tcPr>
            <w:tcW w:w="1156" w:type="dxa"/>
            <w:gridSpan w:val="2"/>
            <w:hideMark/>
          </w:tcPr>
          <w:p w14:paraId="7C7A56A9"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(355,159)</w:t>
            </w:r>
          </w:p>
        </w:tc>
        <w:tc>
          <w:tcPr>
            <w:tcW w:w="1288" w:type="dxa"/>
            <w:gridSpan w:val="3"/>
            <w:hideMark/>
          </w:tcPr>
          <w:p w14:paraId="7C5B88AE"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(368,194)</w:t>
            </w:r>
          </w:p>
        </w:tc>
        <w:tc>
          <w:tcPr>
            <w:tcW w:w="1156" w:type="dxa"/>
            <w:gridSpan w:val="2"/>
            <w:hideMark/>
          </w:tcPr>
          <w:p w14:paraId="5E97672E"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(369,973)</w:t>
            </w:r>
          </w:p>
        </w:tc>
        <w:tc>
          <w:tcPr>
            <w:tcW w:w="1156" w:type="dxa"/>
            <w:hideMark/>
          </w:tcPr>
          <w:p w14:paraId="715E462B"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(371,930)</w:t>
            </w:r>
          </w:p>
        </w:tc>
      </w:tr>
      <w:tr w:rsidR="00FA4B6F" w:rsidRPr="00FA4B6F" w14:paraId="0CF5C4E0"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2BB547D1" w14:textId="77777777" w:rsidR="00FA4B6F" w:rsidRPr="00FA4B6F" w:rsidRDefault="00FA4B6F" w:rsidP="00FA4B6F">
            <w:pPr>
              <w:rPr>
                <w:lang w:val="en-US"/>
              </w:rPr>
            </w:pPr>
            <w:r w:rsidRPr="00FA4B6F">
              <w:rPr>
                <w:lang w:val="en-US"/>
              </w:rPr>
              <w:t>Accumulated other comprehensive income (loss)</w:t>
            </w:r>
          </w:p>
        </w:tc>
        <w:tc>
          <w:tcPr>
            <w:tcW w:w="1156" w:type="dxa"/>
            <w:gridSpan w:val="2"/>
            <w:hideMark/>
          </w:tcPr>
          <w:p w14:paraId="6490E0CF"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(18,522)</w:t>
            </w:r>
          </w:p>
        </w:tc>
        <w:tc>
          <w:tcPr>
            <w:tcW w:w="1156" w:type="dxa"/>
            <w:gridSpan w:val="2"/>
            <w:hideMark/>
          </w:tcPr>
          <w:p w14:paraId="250D54C5"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(13,524)</w:t>
            </w:r>
          </w:p>
        </w:tc>
        <w:tc>
          <w:tcPr>
            <w:tcW w:w="1288" w:type="dxa"/>
            <w:gridSpan w:val="3"/>
            <w:hideMark/>
          </w:tcPr>
          <w:p w14:paraId="0B79CECE"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(21,187)</w:t>
            </w:r>
          </w:p>
        </w:tc>
        <w:tc>
          <w:tcPr>
            <w:tcW w:w="1156" w:type="dxa"/>
            <w:gridSpan w:val="2"/>
            <w:hideMark/>
          </w:tcPr>
          <w:p w14:paraId="5AFF6204"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(20,758)</w:t>
            </w:r>
          </w:p>
        </w:tc>
        <w:tc>
          <w:tcPr>
            <w:tcW w:w="1156" w:type="dxa"/>
            <w:hideMark/>
          </w:tcPr>
          <w:p w14:paraId="1260219A"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(28,350)</w:t>
            </w:r>
          </w:p>
        </w:tc>
      </w:tr>
      <w:tr w:rsidR="00FA4B6F" w:rsidRPr="00FA4B6F" w14:paraId="0614ABE2"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4B8E7421" w14:textId="77777777" w:rsidR="00FA4B6F" w:rsidRPr="00FA4B6F" w:rsidRDefault="00FA4B6F" w:rsidP="00FA4B6F">
            <w:pPr>
              <w:rPr>
                <w:lang w:val="en-US"/>
              </w:rPr>
            </w:pPr>
            <w:r w:rsidRPr="00FA4B6F">
              <w:rPr>
                <w:lang w:val="en-US"/>
              </w:rPr>
              <w:t>Retained earnings</w:t>
            </w:r>
          </w:p>
        </w:tc>
        <w:tc>
          <w:tcPr>
            <w:tcW w:w="1156" w:type="dxa"/>
            <w:gridSpan w:val="2"/>
            <w:hideMark/>
          </w:tcPr>
          <w:p w14:paraId="3309FD04"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324,990</w:t>
            </w:r>
          </w:p>
        </w:tc>
        <w:tc>
          <w:tcPr>
            <w:tcW w:w="1156" w:type="dxa"/>
            <w:gridSpan w:val="2"/>
            <w:hideMark/>
          </w:tcPr>
          <w:p w14:paraId="213C52EE"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330,291</w:t>
            </w:r>
          </w:p>
        </w:tc>
        <w:tc>
          <w:tcPr>
            <w:tcW w:w="1288" w:type="dxa"/>
            <w:gridSpan w:val="3"/>
            <w:hideMark/>
          </w:tcPr>
          <w:p w14:paraId="22462B16"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330,698</w:t>
            </w:r>
          </w:p>
        </w:tc>
        <w:tc>
          <w:tcPr>
            <w:tcW w:w="1156" w:type="dxa"/>
            <w:gridSpan w:val="2"/>
            <w:hideMark/>
          </w:tcPr>
          <w:p w14:paraId="78EFAE6D"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232,460</w:t>
            </w:r>
          </w:p>
        </w:tc>
        <w:tc>
          <w:tcPr>
            <w:tcW w:w="1156" w:type="dxa"/>
            <w:hideMark/>
          </w:tcPr>
          <w:p w14:paraId="1E0377B9"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208,431</w:t>
            </w:r>
          </w:p>
        </w:tc>
      </w:tr>
      <w:tr w:rsidR="00FA4B6F" w:rsidRPr="00FA4B6F" w14:paraId="41BFBFE4" w14:textId="77777777" w:rsidTr="00EE163C">
        <w:trPr>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6212AF01" w14:textId="77777777" w:rsidR="00FA4B6F" w:rsidRPr="00FA4B6F" w:rsidRDefault="00FA4B6F" w:rsidP="00FA4B6F">
            <w:pPr>
              <w:rPr>
                <w:lang w:val="en-US"/>
              </w:rPr>
            </w:pPr>
            <w:r w:rsidRPr="00FA4B6F">
              <w:rPr>
                <w:lang w:val="en-US"/>
              </w:rPr>
              <w:t>Total shareholders' equity</w:t>
            </w:r>
          </w:p>
        </w:tc>
        <w:tc>
          <w:tcPr>
            <w:tcW w:w="1156" w:type="dxa"/>
            <w:gridSpan w:val="2"/>
            <w:hideMark/>
          </w:tcPr>
          <w:p w14:paraId="01D09228"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313,301</w:t>
            </w:r>
          </w:p>
        </w:tc>
        <w:tc>
          <w:tcPr>
            <w:tcW w:w="1156" w:type="dxa"/>
            <w:gridSpan w:val="2"/>
            <w:hideMark/>
          </w:tcPr>
          <w:p w14:paraId="3983C560"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275,949</w:t>
            </w:r>
          </w:p>
        </w:tc>
        <w:tc>
          <w:tcPr>
            <w:tcW w:w="1288" w:type="dxa"/>
            <w:gridSpan w:val="3"/>
            <w:hideMark/>
          </w:tcPr>
          <w:p w14:paraId="0F37BA3D"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268,406</w:t>
            </w:r>
          </w:p>
        </w:tc>
        <w:tc>
          <w:tcPr>
            <w:tcW w:w="1156" w:type="dxa"/>
            <w:gridSpan w:val="2"/>
            <w:hideMark/>
          </w:tcPr>
          <w:p w14:paraId="67F06FC7"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178,920</w:t>
            </w:r>
          </w:p>
        </w:tc>
        <w:tc>
          <w:tcPr>
            <w:tcW w:w="1156" w:type="dxa"/>
            <w:hideMark/>
          </w:tcPr>
          <w:p w14:paraId="0DFD1949" w14:textId="77777777" w:rsidR="00FA4B6F" w:rsidRPr="00FA4B6F" w:rsidRDefault="00FA4B6F" w:rsidP="00FA4B6F">
            <w:pPr>
              <w:cnfStyle w:val="000000000000" w:firstRow="0" w:lastRow="0" w:firstColumn="0" w:lastColumn="0" w:oddVBand="0" w:evenVBand="0" w:oddHBand="0" w:evenHBand="0" w:firstRowFirstColumn="0" w:firstRowLastColumn="0" w:lastRowFirstColumn="0" w:lastRowLastColumn="0"/>
              <w:rPr>
                <w:lang w:val="en-US"/>
              </w:rPr>
            </w:pPr>
            <w:r w:rsidRPr="00FA4B6F">
              <w:rPr>
                <w:lang w:val="en-US"/>
              </w:rPr>
              <w:t>153,105</w:t>
            </w:r>
          </w:p>
        </w:tc>
      </w:tr>
      <w:tr w:rsidR="00FA4B6F" w:rsidRPr="00FA4B6F" w14:paraId="3F8407C5" w14:textId="77777777" w:rsidTr="00EE163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212" w:type="dxa"/>
            <w:hideMark/>
          </w:tcPr>
          <w:p w14:paraId="74315468" w14:textId="77777777" w:rsidR="00FA4B6F" w:rsidRPr="00FA4B6F" w:rsidRDefault="00FA4B6F" w:rsidP="00FA4B6F">
            <w:pPr>
              <w:rPr>
                <w:lang w:val="en-US"/>
              </w:rPr>
            </w:pPr>
            <w:r w:rsidRPr="00FA4B6F">
              <w:rPr>
                <w:lang w:val="en-US"/>
              </w:rPr>
              <w:t>Total liabilities and equity</w:t>
            </w:r>
          </w:p>
        </w:tc>
        <w:tc>
          <w:tcPr>
            <w:tcW w:w="1156" w:type="dxa"/>
            <w:gridSpan w:val="2"/>
            <w:hideMark/>
          </w:tcPr>
          <w:p w14:paraId="23801E08"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510,290</w:t>
            </w:r>
          </w:p>
        </w:tc>
        <w:tc>
          <w:tcPr>
            <w:tcW w:w="1156" w:type="dxa"/>
            <w:gridSpan w:val="2"/>
            <w:hideMark/>
          </w:tcPr>
          <w:p w14:paraId="050CE350"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510,348</w:t>
            </w:r>
          </w:p>
        </w:tc>
        <w:tc>
          <w:tcPr>
            <w:tcW w:w="1288" w:type="dxa"/>
            <w:gridSpan w:val="3"/>
            <w:hideMark/>
          </w:tcPr>
          <w:p w14:paraId="5A7935B3"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504,163</w:t>
            </w:r>
          </w:p>
        </w:tc>
        <w:tc>
          <w:tcPr>
            <w:tcW w:w="1156" w:type="dxa"/>
            <w:gridSpan w:val="2"/>
            <w:hideMark/>
          </w:tcPr>
          <w:p w14:paraId="770DF25C"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355,872</w:t>
            </w:r>
          </w:p>
        </w:tc>
        <w:tc>
          <w:tcPr>
            <w:tcW w:w="1156" w:type="dxa"/>
            <w:hideMark/>
          </w:tcPr>
          <w:p w14:paraId="6D17A78F" w14:textId="77777777" w:rsidR="00FA4B6F" w:rsidRPr="00FA4B6F" w:rsidRDefault="00FA4B6F" w:rsidP="00FA4B6F">
            <w:pPr>
              <w:cnfStyle w:val="000000100000" w:firstRow="0" w:lastRow="0" w:firstColumn="0" w:lastColumn="0" w:oddVBand="0" w:evenVBand="0" w:oddHBand="1" w:evenHBand="0" w:firstRowFirstColumn="0" w:firstRowLastColumn="0" w:lastRowFirstColumn="0" w:lastRowLastColumn="0"/>
              <w:rPr>
                <w:lang w:val="en-US"/>
              </w:rPr>
            </w:pPr>
            <w:r w:rsidRPr="00FA4B6F">
              <w:rPr>
                <w:lang w:val="en-US"/>
              </w:rPr>
              <w:t>323,354</w:t>
            </w:r>
          </w:p>
        </w:tc>
      </w:tr>
      <w:tr w:rsidR="00EE163C" w:rsidRPr="008B5FAE" w14:paraId="670C1D32" w14:textId="77777777" w:rsidTr="00EE163C">
        <w:trPr>
          <w:gridAfter w:val="10"/>
          <w:wAfter w:w="5912" w:type="dxa"/>
          <w:trHeight w:val="312"/>
        </w:trPr>
        <w:tc>
          <w:tcPr>
            <w:cnfStyle w:val="001000000000" w:firstRow="0" w:lastRow="0" w:firstColumn="1" w:lastColumn="0" w:oddVBand="0" w:evenVBand="0" w:oddHBand="0" w:evenHBand="0" w:firstRowFirstColumn="0" w:firstRowLastColumn="0" w:lastRowFirstColumn="0" w:lastRowLastColumn="0"/>
            <w:tcW w:w="4212" w:type="dxa"/>
            <w:noWrap/>
            <w:hideMark/>
          </w:tcPr>
          <w:p w14:paraId="421CD45F" w14:textId="77777777" w:rsidR="00EE163C" w:rsidRPr="008B5FAE" w:rsidRDefault="00EE163C" w:rsidP="00190C4B">
            <w:pPr>
              <w:spacing w:line="240" w:lineRule="auto"/>
              <w:jc w:val="center"/>
              <w:rPr>
                <w:rFonts w:ascii="Calibri" w:hAnsi="Calibri" w:cs="Calibri"/>
                <w:b/>
                <w:bCs/>
                <w:color w:val="000000"/>
              </w:rPr>
            </w:pPr>
            <w:r w:rsidRPr="008B5FAE">
              <w:rPr>
                <w:rFonts w:ascii="Calibri" w:hAnsi="Calibri" w:cs="Calibri"/>
                <w:b/>
                <w:bCs/>
                <w:color w:val="000000"/>
              </w:rPr>
              <w:lastRenderedPageBreak/>
              <w:t>Consolidated Cash Flow Statement (Em)</w:t>
            </w:r>
          </w:p>
        </w:tc>
      </w:tr>
      <w:tr w:rsidR="00EE163C" w:rsidRPr="008B5FAE" w14:paraId="4BFC6846"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56C8FB74" w14:textId="77777777" w:rsidR="00EE163C" w:rsidRPr="008B5FAE" w:rsidRDefault="00EE163C" w:rsidP="00190C4B">
            <w:pPr>
              <w:spacing w:line="240" w:lineRule="auto"/>
              <w:jc w:val="center"/>
              <w:rPr>
                <w:rFonts w:ascii="Calibri" w:hAnsi="Calibri" w:cs="Calibri"/>
                <w:b/>
                <w:bCs/>
              </w:rPr>
            </w:pPr>
            <w:r w:rsidRPr="008B5FAE">
              <w:rPr>
                <w:rFonts w:ascii="Calibri" w:hAnsi="Calibri" w:cs="Calibri"/>
                <w:b/>
                <w:bCs/>
              </w:rPr>
              <w:t> </w:t>
            </w:r>
          </w:p>
        </w:tc>
        <w:tc>
          <w:tcPr>
            <w:tcW w:w="792" w:type="dxa"/>
            <w:noWrap/>
            <w:hideMark/>
          </w:tcPr>
          <w:p w14:paraId="77636761"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rPr>
            </w:pPr>
            <w:r w:rsidRPr="008B5FAE">
              <w:rPr>
                <w:rFonts w:ascii="Calibri" w:hAnsi="Calibri" w:cs="Calibri"/>
                <w:b/>
                <w:bCs/>
              </w:rPr>
              <w:t>2020</w:t>
            </w:r>
          </w:p>
        </w:tc>
        <w:tc>
          <w:tcPr>
            <w:tcW w:w="928" w:type="dxa"/>
            <w:gridSpan w:val="2"/>
            <w:noWrap/>
            <w:hideMark/>
          </w:tcPr>
          <w:p w14:paraId="3B81F710"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rPr>
            </w:pPr>
            <w:r w:rsidRPr="008B5FAE">
              <w:rPr>
                <w:rFonts w:ascii="Calibri" w:hAnsi="Calibri" w:cs="Calibri"/>
                <w:b/>
                <w:bCs/>
              </w:rPr>
              <w:t>2021</w:t>
            </w:r>
          </w:p>
        </w:tc>
        <w:tc>
          <w:tcPr>
            <w:tcW w:w="928" w:type="dxa"/>
            <w:gridSpan w:val="2"/>
            <w:noWrap/>
            <w:hideMark/>
          </w:tcPr>
          <w:p w14:paraId="03F0005A"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rPr>
            </w:pPr>
            <w:r w:rsidRPr="008B5FAE">
              <w:rPr>
                <w:rFonts w:ascii="Calibri" w:hAnsi="Calibri" w:cs="Calibri"/>
                <w:b/>
                <w:bCs/>
              </w:rPr>
              <w:t>2022</w:t>
            </w:r>
          </w:p>
        </w:tc>
        <w:tc>
          <w:tcPr>
            <w:tcW w:w="928" w:type="dxa"/>
            <w:noWrap/>
            <w:hideMark/>
          </w:tcPr>
          <w:p w14:paraId="294A2083"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rPr>
            </w:pPr>
            <w:r w:rsidRPr="008B5FAE">
              <w:rPr>
                <w:rFonts w:ascii="Calibri" w:hAnsi="Calibri" w:cs="Calibri"/>
                <w:b/>
                <w:bCs/>
              </w:rPr>
              <w:t>2023</w:t>
            </w:r>
          </w:p>
        </w:tc>
        <w:tc>
          <w:tcPr>
            <w:tcW w:w="928" w:type="dxa"/>
            <w:gridSpan w:val="2"/>
            <w:noWrap/>
            <w:hideMark/>
          </w:tcPr>
          <w:p w14:paraId="1BCE14B0"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rPr>
            </w:pPr>
            <w:r w:rsidRPr="008B5FAE">
              <w:rPr>
                <w:rFonts w:ascii="Calibri" w:hAnsi="Calibri" w:cs="Calibri"/>
                <w:b/>
                <w:bCs/>
              </w:rPr>
              <w:t>2024</w:t>
            </w:r>
          </w:p>
        </w:tc>
      </w:tr>
      <w:tr w:rsidR="00EE163C" w:rsidRPr="008B5FAE" w14:paraId="04795426"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2D391215"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Net income (loss)</w:t>
            </w:r>
          </w:p>
        </w:tc>
        <w:tc>
          <w:tcPr>
            <w:tcW w:w="792" w:type="dxa"/>
            <w:noWrap/>
            <w:hideMark/>
          </w:tcPr>
          <w:p w14:paraId="01778281"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38752</w:t>
            </w:r>
          </w:p>
        </w:tc>
        <w:tc>
          <w:tcPr>
            <w:tcW w:w="928" w:type="dxa"/>
            <w:gridSpan w:val="2"/>
            <w:noWrap/>
            <w:hideMark/>
          </w:tcPr>
          <w:p w14:paraId="60D63E4B"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501</w:t>
            </w:r>
          </w:p>
        </w:tc>
        <w:tc>
          <w:tcPr>
            <w:tcW w:w="928" w:type="dxa"/>
            <w:gridSpan w:val="2"/>
            <w:noWrap/>
            <w:hideMark/>
          </w:tcPr>
          <w:p w14:paraId="16209C44"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407</w:t>
            </w:r>
          </w:p>
        </w:tc>
        <w:tc>
          <w:tcPr>
            <w:tcW w:w="928" w:type="dxa"/>
            <w:noWrap/>
            <w:hideMark/>
          </w:tcPr>
          <w:p w14:paraId="7C17938C"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-98328</w:t>
            </w:r>
          </w:p>
        </w:tc>
        <w:tc>
          <w:tcPr>
            <w:tcW w:w="928" w:type="dxa"/>
            <w:gridSpan w:val="2"/>
            <w:noWrap/>
            <w:hideMark/>
          </w:tcPr>
          <w:p w14:paraId="2F846090"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-24029</w:t>
            </w:r>
          </w:p>
        </w:tc>
      </w:tr>
      <w:tr w:rsidR="00EE163C" w:rsidRPr="008B5FAE" w14:paraId="5CAE1358"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3D9DF57F"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Depreciation and amortization</w:t>
            </w:r>
          </w:p>
        </w:tc>
        <w:tc>
          <w:tcPr>
            <w:tcW w:w="792" w:type="dxa"/>
            <w:noWrap/>
            <w:hideMark/>
          </w:tcPr>
          <w:p w14:paraId="6FDFCBBF"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20409</w:t>
            </w:r>
          </w:p>
        </w:tc>
        <w:tc>
          <w:tcPr>
            <w:tcW w:w="928" w:type="dxa"/>
            <w:gridSpan w:val="2"/>
            <w:noWrap/>
            <w:hideMark/>
          </w:tcPr>
          <w:p w14:paraId="77984A95"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21811</w:t>
            </w:r>
          </w:p>
        </w:tc>
        <w:tc>
          <w:tcPr>
            <w:tcW w:w="928" w:type="dxa"/>
            <w:gridSpan w:val="2"/>
            <w:noWrap/>
            <w:hideMark/>
          </w:tcPr>
          <w:p w14:paraId="28721B0F"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24137</w:t>
            </w:r>
          </w:p>
        </w:tc>
        <w:tc>
          <w:tcPr>
            <w:tcW w:w="928" w:type="dxa"/>
            <w:noWrap/>
            <w:hideMark/>
          </w:tcPr>
          <w:p w14:paraId="3C84DBB3"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24203</w:t>
            </w:r>
          </w:p>
        </w:tc>
        <w:tc>
          <w:tcPr>
            <w:tcW w:w="928" w:type="dxa"/>
            <w:gridSpan w:val="2"/>
            <w:noWrap/>
            <w:hideMark/>
          </w:tcPr>
          <w:p w14:paraId="4FED4648"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22227</w:t>
            </w:r>
          </w:p>
        </w:tc>
      </w:tr>
      <w:tr w:rsidR="00EE163C" w:rsidRPr="008B5FAE" w14:paraId="495F80F0"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1D28F2FC"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Provision for credit losses</w:t>
            </w:r>
          </w:p>
        </w:tc>
        <w:tc>
          <w:tcPr>
            <w:tcW w:w="792" w:type="dxa"/>
            <w:noWrap/>
            <w:hideMark/>
          </w:tcPr>
          <w:p w14:paraId="46FE631F"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282D713B"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327</w:t>
            </w:r>
          </w:p>
        </w:tc>
        <w:tc>
          <w:tcPr>
            <w:tcW w:w="928" w:type="dxa"/>
            <w:gridSpan w:val="2"/>
            <w:noWrap/>
            <w:hideMark/>
          </w:tcPr>
          <w:p w14:paraId="725DBD85"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-1827</w:t>
            </w:r>
          </w:p>
        </w:tc>
        <w:tc>
          <w:tcPr>
            <w:tcW w:w="928" w:type="dxa"/>
            <w:noWrap/>
            <w:hideMark/>
          </w:tcPr>
          <w:p w14:paraId="113C9666"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5C627CED"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710</w:t>
            </w:r>
          </w:p>
        </w:tc>
      </w:tr>
      <w:tr w:rsidR="00EE163C" w:rsidRPr="008B5FAE" w14:paraId="3C414D7D"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6FE26627"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Deferred income taxes</w:t>
            </w:r>
          </w:p>
        </w:tc>
        <w:tc>
          <w:tcPr>
            <w:tcW w:w="792" w:type="dxa"/>
            <w:noWrap/>
            <w:hideMark/>
          </w:tcPr>
          <w:p w14:paraId="5B75E6BE"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-1301</w:t>
            </w:r>
          </w:p>
        </w:tc>
        <w:tc>
          <w:tcPr>
            <w:tcW w:w="928" w:type="dxa"/>
            <w:gridSpan w:val="2"/>
            <w:noWrap/>
            <w:hideMark/>
          </w:tcPr>
          <w:p w14:paraId="5521FB89"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-523</w:t>
            </w:r>
          </w:p>
        </w:tc>
        <w:tc>
          <w:tcPr>
            <w:tcW w:w="928" w:type="dxa"/>
            <w:gridSpan w:val="2"/>
            <w:noWrap/>
            <w:hideMark/>
          </w:tcPr>
          <w:p w14:paraId="13BBA1EC"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noWrap/>
            <w:hideMark/>
          </w:tcPr>
          <w:p w14:paraId="203F8479"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3FC9D01A"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-5067</w:t>
            </w:r>
          </w:p>
        </w:tc>
      </w:tr>
      <w:tr w:rsidR="00EE163C" w:rsidRPr="008B5FAE" w14:paraId="2D116922"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3046784C"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Shares issued for employee benefit plan</w:t>
            </w:r>
          </w:p>
        </w:tc>
        <w:tc>
          <w:tcPr>
            <w:tcW w:w="792" w:type="dxa"/>
            <w:noWrap/>
            <w:hideMark/>
          </w:tcPr>
          <w:p w14:paraId="1A81C4D1"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7F684B28"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1052</w:t>
            </w:r>
          </w:p>
        </w:tc>
        <w:tc>
          <w:tcPr>
            <w:tcW w:w="928" w:type="dxa"/>
            <w:gridSpan w:val="2"/>
            <w:noWrap/>
            <w:hideMark/>
          </w:tcPr>
          <w:p w14:paraId="5F183770"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1199</w:t>
            </w:r>
          </w:p>
        </w:tc>
        <w:tc>
          <w:tcPr>
            <w:tcW w:w="928" w:type="dxa"/>
            <w:noWrap/>
            <w:hideMark/>
          </w:tcPr>
          <w:p w14:paraId="3F13B1E8"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1193</w:t>
            </w:r>
          </w:p>
        </w:tc>
        <w:tc>
          <w:tcPr>
            <w:tcW w:w="928" w:type="dxa"/>
            <w:gridSpan w:val="2"/>
            <w:noWrap/>
            <w:hideMark/>
          </w:tcPr>
          <w:p w14:paraId="719CF289"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1593</w:t>
            </w:r>
          </w:p>
        </w:tc>
      </w:tr>
      <w:tr w:rsidR="00EE163C" w:rsidRPr="008B5FAE" w14:paraId="2DE848EF"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0FFAFE78"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Employee and director stock</w:t>
            </w:r>
            <w:r w:rsidRPr="008B5FAE">
              <w:rPr>
                <w:rFonts w:ascii="Calibri" w:hAnsi="Calibri" w:cs="Calibri"/>
                <w:color w:val="000000"/>
              </w:rPr>
              <w:noBreakHyphen/>
              <w:t>based compensation</w:t>
            </w:r>
          </w:p>
        </w:tc>
        <w:tc>
          <w:tcPr>
            <w:tcW w:w="792" w:type="dxa"/>
            <w:noWrap/>
            <w:hideMark/>
          </w:tcPr>
          <w:p w14:paraId="2B00EF27"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9122</w:t>
            </w:r>
          </w:p>
        </w:tc>
        <w:tc>
          <w:tcPr>
            <w:tcW w:w="928" w:type="dxa"/>
            <w:gridSpan w:val="2"/>
            <w:noWrap/>
            <w:hideMark/>
          </w:tcPr>
          <w:p w14:paraId="5DE36F6D"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9669</w:t>
            </w:r>
          </w:p>
        </w:tc>
        <w:tc>
          <w:tcPr>
            <w:tcW w:w="928" w:type="dxa"/>
            <w:gridSpan w:val="2"/>
            <w:noWrap/>
            <w:hideMark/>
          </w:tcPr>
          <w:p w14:paraId="793694A4"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10103</w:t>
            </w:r>
          </w:p>
        </w:tc>
        <w:tc>
          <w:tcPr>
            <w:tcW w:w="928" w:type="dxa"/>
            <w:noWrap/>
            <w:hideMark/>
          </w:tcPr>
          <w:p w14:paraId="3DF154EF"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8800</w:t>
            </w:r>
          </w:p>
        </w:tc>
        <w:tc>
          <w:tcPr>
            <w:tcW w:w="928" w:type="dxa"/>
            <w:gridSpan w:val="2"/>
            <w:noWrap/>
            <w:hideMark/>
          </w:tcPr>
          <w:p w14:paraId="6E542A51"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6700</w:t>
            </w:r>
          </w:p>
        </w:tc>
      </w:tr>
      <w:tr w:rsidR="00EE163C" w:rsidRPr="008B5FAE" w14:paraId="25B5CD45"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4342B4B1"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Impairment of goodwill</w:t>
            </w:r>
          </w:p>
        </w:tc>
        <w:tc>
          <w:tcPr>
            <w:tcW w:w="792" w:type="dxa"/>
            <w:noWrap/>
            <w:hideMark/>
          </w:tcPr>
          <w:p w14:paraId="711AC928"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2BA40216"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4DF0D7E3"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949</w:t>
            </w:r>
          </w:p>
        </w:tc>
        <w:tc>
          <w:tcPr>
            <w:tcW w:w="928" w:type="dxa"/>
            <w:noWrap/>
            <w:hideMark/>
          </w:tcPr>
          <w:p w14:paraId="2B970DC3"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194</w:t>
            </w:r>
          </w:p>
        </w:tc>
        <w:tc>
          <w:tcPr>
            <w:tcW w:w="928" w:type="dxa"/>
            <w:gridSpan w:val="2"/>
            <w:noWrap/>
            <w:hideMark/>
          </w:tcPr>
          <w:p w14:paraId="5CF7B3B3"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448</w:t>
            </w:r>
          </w:p>
        </w:tc>
      </w:tr>
      <w:tr w:rsidR="00EE163C" w:rsidRPr="008B5FAE" w14:paraId="671B6D8C"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4A90917A"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Impairment of long</w:t>
            </w:r>
            <w:r w:rsidRPr="008B5FAE">
              <w:rPr>
                <w:rFonts w:ascii="Calibri" w:hAnsi="Calibri" w:cs="Calibri"/>
                <w:color w:val="000000"/>
              </w:rPr>
              <w:noBreakHyphen/>
              <w:t>lived assets</w:t>
            </w:r>
          </w:p>
        </w:tc>
        <w:tc>
          <w:tcPr>
            <w:tcW w:w="792" w:type="dxa"/>
            <w:noWrap/>
            <w:hideMark/>
          </w:tcPr>
          <w:p w14:paraId="2729E51D"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134</w:t>
            </w:r>
          </w:p>
        </w:tc>
        <w:tc>
          <w:tcPr>
            <w:tcW w:w="928" w:type="dxa"/>
            <w:gridSpan w:val="2"/>
            <w:noWrap/>
            <w:hideMark/>
          </w:tcPr>
          <w:p w14:paraId="0D4763AD"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3338</w:t>
            </w:r>
          </w:p>
        </w:tc>
        <w:tc>
          <w:tcPr>
            <w:tcW w:w="928" w:type="dxa"/>
            <w:gridSpan w:val="2"/>
            <w:noWrap/>
            <w:hideMark/>
          </w:tcPr>
          <w:p w14:paraId="06C7AB09"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2888</w:t>
            </w:r>
          </w:p>
        </w:tc>
        <w:tc>
          <w:tcPr>
            <w:tcW w:w="928" w:type="dxa"/>
            <w:noWrap/>
            <w:hideMark/>
          </w:tcPr>
          <w:p w14:paraId="34F91AD0"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7963</w:t>
            </w:r>
          </w:p>
        </w:tc>
        <w:tc>
          <w:tcPr>
            <w:tcW w:w="928" w:type="dxa"/>
            <w:gridSpan w:val="2"/>
            <w:noWrap/>
            <w:hideMark/>
          </w:tcPr>
          <w:p w14:paraId="53866D49"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333</w:t>
            </w:r>
          </w:p>
        </w:tc>
      </w:tr>
      <w:tr w:rsidR="00EE163C" w:rsidRPr="008B5FAE" w14:paraId="0D2C9580"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22468082"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Accounts receivable and contract assets</w:t>
            </w:r>
          </w:p>
        </w:tc>
        <w:tc>
          <w:tcPr>
            <w:tcW w:w="792" w:type="dxa"/>
            <w:noWrap/>
            <w:hideMark/>
          </w:tcPr>
          <w:p w14:paraId="05BCBD3E"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14884</w:t>
            </w:r>
          </w:p>
        </w:tc>
        <w:tc>
          <w:tcPr>
            <w:tcW w:w="928" w:type="dxa"/>
            <w:gridSpan w:val="2"/>
            <w:noWrap/>
            <w:hideMark/>
          </w:tcPr>
          <w:p w14:paraId="34B4A7F9"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2007</w:t>
            </w:r>
          </w:p>
        </w:tc>
        <w:tc>
          <w:tcPr>
            <w:tcW w:w="928" w:type="dxa"/>
            <w:gridSpan w:val="2"/>
            <w:noWrap/>
            <w:hideMark/>
          </w:tcPr>
          <w:p w14:paraId="119CDAFE"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12765</w:t>
            </w:r>
          </w:p>
        </w:tc>
        <w:tc>
          <w:tcPr>
            <w:tcW w:w="928" w:type="dxa"/>
            <w:noWrap/>
            <w:hideMark/>
          </w:tcPr>
          <w:p w14:paraId="498A0C74"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5040</w:t>
            </w:r>
          </w:p>
        </w:tc>
        <w:tc>
          <w:tcPr>
            <w:tcW w:w="928" w:type="dxa"/>
            <w:gridSpan w:val="2"/>
            <w:noWrap/>
            <w:hideMark/>
          </w:tcPr>
          <w:p w14:paraId="500C913C"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-12174</w:t>
            </w:r>
          </w:p>
        </w:tc>
      </w:tr>
      <w:tr w:rsidR="00EE163C" w:rsidRPr="008B5FAE" w14:paraId="055085CE"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026FF5CB"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Inventories</w:t>
            </w:r>
          </w:p>
        </w:tc>
        <w:tc>
          <w:tcPr>
            <w:tcW w:w="792" w:type="dxa"/>
            <w:noWrap/>
            <w:hideMark/>
          </w:tcPr>
          <w:p w14:paraId="1C351942"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-215</w:t>
            </w:r>
          </w:p>
        </w:tc>
        <w:tc>
          <w:tcPr>
            <w:tcW w:w="928" w:type="dxa"/>
            <w:gridSpan w:val="2"/>
            <w:noWrap/>
            <w:hideMark/>
          </w:tcPr>
          <w:p w14:paraId="3C16A869"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8143</w:t>
            </w:r>
          </w:p>
        </w:tc>
        <w:tc>
          <w:tcPr>
            <w:tcW w:w="928" w:type="dxa"/>
            <w:gridSpan w:val="2"/>
            <w:noWrap/>
            <w:hideMark/>
          </w:tcPr>
          <w:p w14:paraId="4C478DCC"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913</w:t>
            </w:r>
          </w:p>
        </w:tc>
        <w:tc>
          <w:tcPr>
            <w:tcW w:w="928" w:type="dxa"/>
            <w:noWrap/>
            <w:hideMark/>
          </w:tcPr>
          <w:p w14:paraId="7017BA27"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514858</w:t>
            </w:r>
          </w:p>
        </w:tc>
        <w:tc>
          <w:tcPr>
            <w:tcW w:w="928" w:type="dxa"/>
            <w:gridSpan w:val="2"/>
            <w:noWrap/>
            <w:hideMark/>
          </w:tcPr>
          <w:p w14:paraId="594D4B59"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2304</w:t>
            </w:r>
          </w:p>
        </w:tc>
      </w:tr>
      <w:tr w:rsidR="00EE163C" w:rsidRPr="008B5FAE" w14:paraId="50F6B629"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7D29D599"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Prepaid expenses and other assets</w:t>
            </w:r>
          </w:p>
        </w:tc>
        <w:tc>
          <w:tcPr>
            <w:tcW w:w="792" w:type="dxa"/>
            <w:noWrap/>
            <w:hideMark/>
          </w:tcPr>
          <w:p w14:paraId="48F43D67"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-27719</w:t>
            </w:r>
          </w:p>
        </w:tc>
        <w:tc>
          <w:tcPr>
            <w:tcW w:w="928" w:type="dxa"/>
            <w:gridSpan w:val="2"/>
            <w:noWrap/>
            <w:hideMark/>
          </w:tcPr>
          <w:p w14:paraId="5CE464C5"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-26039</w:t>
            </w:r>
          </w:p>
        </w:tc>
        <w:tc>
          <w:tcPr>
            <w:tcW w:w="928" w:type="dxa"/>
            <w:gridSpan w:val="2"/>
            <w:noWrap/>
            <w:hideMark/>
          </w:tcPr>
          <w:p w14:paraId="40FAB6ED"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-9717</w:t>
            </w:r>
          </w:p>
        </w:tc>
        <w:tc>
          <w:tcPr>
            <w:tcW w:w="928" w:type="dxa"/>
            <w:noWrap/>
            <w:hideMark/>
          </w:tcPr>
          <w:p w14:paraId="6D48885F"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-22435</w:t>
            </w:r>
          </w:p>
        </w:tc>
        <w:tc>
          <w:tcPr>
            <w:tcW w:w="928" w:type="dxa"/>
            <w:gridSpan w:val="2"/>
            <w:noWrap/>
            <w:hideMark/>
          </w:tcPr>
          <w:p w14:paraId="12A4A265"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-18803</w:t>
            </w:r>
          </w:p>
        </w:tc>
      </w:tr>
      <w:tr w:rsidR="00EE163C" w:rsidRPr="008B5FAE" w14:paraId="0BEFEFC9"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23B728F3"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Accounts payable and accrued liabilities</w:t>
            </w:r>
          </w:p>
        </w:tc>
        <w:tc>
          <w:tcPr>
            <w:tcW w:w="792" w:type="dxa"/>
            <w:noWrap/>
            <w:hideMark/>
          </w:tcPr>
          <w:p w14:paraId="44AAB4E3"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4890</w:t>
            </w:r>
          </w:p>
        </w:tc>
        <w:tc>
          <w:tcPr>
            <w:tcW w:w="928" w:type="dxa"/>
            <w:gridSpan w:val="2"/>
            <w:noWrap/>
            <w:hideMark/>
          </w:tcPr>
          <w:p w14:paraId="63EA54A9"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8760</w:t>
            </w:r>
          </w:p>
        </w:tc>
        <w:tc>
          <w:tcPr>
            <w:tcW w:w="928" w:type="dxa"/>
            <w:gridSpan w:val="2"/>
            <w:noWrap/>
            <w:hideMark/>
          </w:tcPr>
          <w:p w14:paraId="2FBEBC53"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-28670</w:t>
            </w:r>
          </w:p>
        </w:tc>
        <w:tc>
          <w:tcPr>
            <w:tcW w:w="928" w:type="dxa"/>
            <w:noWrap/>
            <w:hideMark/>
          </w:tcPr>
          <w:p w14:paraId="434B8954"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21379</w:t>
            </w:r>
          </w:p>
        </w:tc>
        <w:tc>
          <w:tcPr>
            <w:tcW w:w="928" w:type="dxa"/>
            <w:gridSpan w:val="2"/>
            <w:noWrap/>
            <w:hideMark/>
          </w:tcPr>
          <w:p w14:paraId="43E038CD"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15733</w:t>
            </w:r>
          </w:p>
        </w:tc>
      </w:tr>
      <w:tr w:rsidR="00EE163C" w:rsidRPr="008B5FAE" w14:paraId="3D65655B"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0ECEA74C"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Accrued income taxes</w:t>
            </w:r>
          </w:p>
        </w:tc>
        <w:tc>
          <w:tcPr>
            <w:tcW w:w="792" w:type="dxa"/>
            <w:noWrap/>
            <w:hideMark/>
          </w:tcPr>
          <w:p w14:paraId="28F4C7B5"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-7</w:t>
            </w:r>
          </w:p>
        </w:tc>
        <w:tc>
          <w:tcPr>
            <w:tcW w:w="928" w:type="dxa"/>
            <w:gridSpan w:val="2"/>
            <w:noWrap/>
            <w:hideMark/>
          </w:tcPr>
          <w:p w14:paraId="519E2DF7"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w:t>
            </w:r>
          </w:p>
        </w:tc>
        <w:tc>
          <w:tcPr>
            <w:tcW w:w="928" w:type="dxa"/>
            <w:gridSpan w:val="2"/>
            <w:noWrap/>
            <w:hideMark/>
          </w:tcPr>
          <w:p w14:paraId="3C5633F3"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14</w:t>
            </w:r>
          </w:p>
        </w:tc>
        <w:tc>
          <w:tcPr>
            <w:tcW w:w="928" w:type="dxa"/>
            <w:noWrap/>
            <w:hideMark/>
          </w:tcPr>
          <w:p w14:paraId="5213B53D"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179</w:t>
            </w:r>
          </w:p>
        </w:tc>
        <w:tc>
          <w:tcPr>
            <w:tcW w:w="928" w:type="dxa"/>
            <w:gridSpan w:val="2"/>
            <w:noWrap/>
            <w:hideMark/>
          </w:tcPr>
          <w:p w14:paraId="591CB555"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823</w:t>
            </w:r>
          </w:p>
        </w:tc>
      </w:tr>
      <w:tr w:rsidR="00EE163C" w:rsidRPr="008B5FAE" w14:paraId="3DA4C2A8"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75EE27FA"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Net cash provided by (used for) operating activities</w:t>
            </w:r>
          </w:p>
        </w:tc>
        <w:tc>
          <w:tcPr>
            <w:tcW w:w="792" w:type="dxa"/>
            <w:noWrap/>
            <w:hideMark/>
          </w:tcPr>
          <w:p w14:paraId="4C808C71"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77352</w:t>
            </w:r>
          </w:p>
        </w:tc>
        <w:tc>
          <w:tcPr>
            <w:tcW w:w="928" w:type="dxa"/>
            <w:gridSpan w:val="2"/>
            <w:noWrap/>
            <w:hideMark/>
          </w:tcPr>
          <w:p w14:paraId="7A98B72B"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26833</w:t>
            </w:r>
          </w:p>
        </w:tc>
        <w:tc>
          <w:tcPr>
            <w:tcW w:w="928" w:type="dxa"/>
            <w:gridSpan w:val="2"/>
            <w:noWrap/>
            <w:hideMark/>
          </w:tcPr>
          <w:p w14:paraId="4FB7F0F2"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10406</w:t>
            </w:r>
          </w:p>
        </w:tc>
        <w:tc>
          <w:tcPr>
            <w:tcW w:w="928" w:type="dxa"/>
            <w:noWrap/>
            <w:hideMark/>
          </w:tcPr>
          <w:p w14:paraId="5EA3455C"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25190</w:t>
            </w:r>
          </w:p>
        </w:tc>
        <w:tc>
          <w:tcPr>
            <w:tcW w:w="928" w:type="dxa"/>
            <w:gridSpan w:val="2"/>
            <w:noWrap/>
            <w:hideMark/>
          </w:tcPr>
          <w:p w14:paraId="38A8C545"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14822</w:t>
            </w:r>
          </w:p>
        </w:tc>
      </w:tr>
      <w:tr w:rsidR="00EE163C" w:rsidRPr="008B5FAE" w14:paraId="518B25E8"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74CC71A8"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Purchase of term deposit</w:t>
            </w:r>
          </w:p>
        </w:tc>
        <w:tc>
          <w:tcPr>
            <w:tcW w:w="792" w:type="dxa"/>
            <w:noWrap/>
            <w:hideMark/>
          </w:tcPr>
          <w:p w14:paraId="623136EF"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1515673D"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71263EA9"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noWrap/>
            <w:hideMark/>
          </w:tcPr>
          <w:p w14:paraId="633EDFBD"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-7487</w:t>
            </w:r>
          </w:p>
        </w:tc>
        <w:tc>
          <w:tcPr>
            <w:tcW w:w="928" w:type="dxa"/>
            <w:gridSpan w:val="2"/>
            <w:noWrap/>
            <w:hideMark/>
          </w:tcPr>
          <w:p w14:paraId="7E1A49B8"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r>
      <w:tr w:rsidR="00EE163C" w:rsidRPr="008B5FAE" w14:paraId="2718D12B"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623A1E1B"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Redemption of term deposit</w:t>
            </w:r>
          </w:p>
        </w:tc>
        <w:tc>
          <w:tcPr>
            <w:tcW w:w="792" w:type="dxa"/>
            <w:noWrap/>
            <w:hideMark/>
          </w:tcPr>
          <w:p w14:paraId="6AA1D011"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5CB80958"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1B4B67C3"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noWrap/>
            <w:hideMark/>
          </w:tcPr>
          <w:p w14:paraId="36D861CE"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262CFDFE"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7803</w:t>
            </w:r>
          </w:p>
        </w:tc>
      </w:tr>
      <w:tr w:rsidR="00EE163C" w:rsidRPr="008B5FAE" w14:paraId="52A8B927"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7E1D1491"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Acquisition of net assets</w:t>
            </w:r>
          </w:p>
        </w:tc>
        <w:tc>
          <w:tcPr>
            <w:tcW w:w="792" w:type="dxa"/>
            <w:noWrap/>
            <w:hideMark/>
          </w:tcPr>
          <w:p w14:paraId="3CAAF67D"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05BEDDF9"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065654A7"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noWrap/>
            <w:hideMark/>
          </w:tcPr>
          <w:p w14:paraId="38FA512D"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76090243"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r>
      <w:tr w:rsidR="00EE163C" w:rsidRPr="008B5FAE" w14:paraId="28B82586"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2DD3EDE7"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Acquisition of property, plant and equipment</w:t>
            </w:r>
          </w:p>
        </w:tc>
        <w:tc>
          <w:tcPr>
            <w:tcW w:w="792" w:type="dxa"/>
            <w:noWrap/>
            <w:hideMark/>
          </w:tcPr>
          <w:p w14:paraId="365A7D80"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-16862</w:t>
            </w:r>
          </w:p>
        </w:tc>
        <w:tc>
          <w:tcPr>
            <w:tcW w:w="928" w:type="dxa"/>
            <w:gridSpan w:val="2"/>
            <w:noWrap/>
            <w:hideMark/>
          </w:tcPr>
          <w:p w14:paraId="488D7563"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-42546</w:t>
            </w:r>
          </w:p>
        </w:tc>
        <w:tc>
          <w:tcPr>
            <w:tcW w:w="928" w:type="dxa"/>
            <w:gridSpan w:val="2"/>
            <w:noWrap/>
            <w:hideMark/>
          </w:tcPr>
          <w:p w14:paraId="75DD214A"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-41902</w:t>
            </w:r>
          </w:p>
        </w:tc>
        <w:tc>
          <w:tcPr>
            <w:tcW w:w="928" w:type="dxa"/>
            <w:noWrap/>
            <w:hideMark/>
          </w:tcPr>
          <w:p w14:paraId="3F531B47"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-61104</w:t>
            </w:r>
          </w:p>
        </w:tc>
        <w:tc>
          <w:tcPr>
            <w:tcW w:w="928" w:type="dxa"/>
            <w:gridSpan w:val="2"/>
            <w:noWrap/>
            <w:hideMark/>
          </w:tcPr>
          <w:p w14:paraId="724A5552"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-45728</w:t>
            </w:r>
          </w:p>
        </w:tc>
      </w:tr>
      <w:tr w:rsidR="00EE163C" w:rsidRPr="008B5FAE" w14:paraId="42014750"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3B844D89"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Acquisition of intangible assets</w:t>
            </w:r>
          </w:p>
        </w:tc>
        <w:tc>
          <w:tcPr>
            <w:tcW w:w="792" w:type="dxa"/>
            <w:noWrap/>
            <w:hideMark/>
          </w:tcPr>
          <w:p w14:paraId="5D9F6206"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-629</w:t>
            </w:r>
          </w:p>
        </w:tc>
        <w:tc>
          <w:tcPr>
            <w:tcW w:w="928" w:type="dxa"/>
            <w:gridSpan w:val="2"/>
            <w:noWrap/>
            <w:hideMark/>
          </w:tcPr>
          <w:p w14:paraId="4680778A"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-4557</w:t>
            </w:r>
          </w:p>
        </w:tc>
        <w:tc>
          <w:tcPr>
            <w:tcW w:w="928" w:type="dxa"/>
            <w:gridSpan w:val="2"/>
            <w:noWrap/>
            <w:hideMark/>
          </w:tcPr>
          <w:p w14:paraId="4976D089"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-6749</w:t>
            </w:r>
          </w:p>
        </w:tc>
        <w:tc>
          <w:tcPr>
            <w:tcW w:w="928" w:type="dxa"/>
            <w:noWrap/>
            <w:hideMark/>
          </w:tcPr>
          <w:p w14:paraId="6E2AE4B8"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-7651</w:t>
            </w:r>
          </w:p>
        </w:tc>
        <w:tc>
          <w:tcPr>
            <w:tcW w:w="928" w:type="dxa"/>
            <w:gridSpan w:val="2"/>
            <w:noWrap/>
            <w:hideMark/>
          </w:tcPr>
          <w:p w14:paraId="7E955596"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-835</w:t>
            </w:r>
          </w:p>
        </w:tc>
      </w:tr>
      <w:tr w:rsidR="00EE163C" w:rsidRPr="008B5FAE" w14:paraId="44C5A614"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4619B096"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Net cash provided by (used for) investing activities</w:t>
            </w:r>
          </w:p>
        </w:tc>
        <w:tc>
          <w:tcPr>
            <w:tcW w:w="792" w:type="dxa"/>
            <w:noWrap/>
            <w:hideMark/>
          </w:tcPr>
          <w:p w14:paraId="6298533D"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-17565</w:t>
            </w:r>
          </w:p>
        </w:tc>
        <w:tc>
          <w:tcPr>
            <w:tcW w:w="928" w:type="dxa"/>
            <w:gridSpan w:val="2"/>
            <w:noWrap/>
            <w:hideMark/>
          </w:tcPr>
          <w:p w14:paraId="08BE48D2"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-10747</w:t>
            </w:r>
          </w:p>
        </w:tc>
        <w:tc>
          <w:tcPr>
            <w:tcW w:w="928" w:type="dxa"/>
            <w:gridSpan w:val="2"/>
            <w:noWrap/>
            <w:hideMark/>
          </w:tcPr>
          <w:p w14:paraId="06FC44DC"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-21201</w:t>
            </w:r>
          </w:p>
        </w:tc>
        <w:tc>
          <w:tcPr>
            <w:tcW w:w="928" w:type="dxa"/>
            <w:noWrap/>
            <w:hideMark/>
          </w:tcPr>
          <w:p w14:paraId="16EA519D"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-113877</w:t>
            </w:r>
          </w:p>
        </w:tc>
        <w:tc>
          <w:tcPr>
            <w:tcW w:w="928" w:type="dxa"/>
            <w:gridSpan w:val="2"/>
            <w:noWrap/>
            <w:hideMark/>
          </w:tcPr>
          <w:p w14:paraId="3649B586"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-84825</w:t>
            </w:r>
          </w:p>
        </w:tc>
      </w:tr>
      <w:tr w:rsidR="00EE163C" w:rsidRPr="008B5FAE" w14:paraId="23BB5960"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6D812348"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Borrowings under lines of credit</w:t>
            </w:r>
          </w:p>
        </w:tc>
        <w:tc>
          <w:tcPr>
            <w:tcW w:w="792" w:type="dxa"/>
            <w:noWrap/>
            <w:hideMark/>
          </w:tcPr>
          <w:p w14:paraId="0E336F14"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663917B9"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113000</w:t>
            </w:r>
          </w:p>
        </w:tc>
        <w:tc>
          <w:tcPr>
            <w:tcW w:w="928" w:type="dxa"/>
            <w:gridSpan w:val="2"/>
            <w:noWrap/>
            <w:hideMark/>
          </w:tcPr>
          <w:p w14:paraId="374FFCA8"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132000</w:t>
            </w:r>
          </w:p>
        </w:tc>
        <w:tc>
          <w:tcPr>
            <w:tcW w:w="928" w:type="dxa"/>
            <w:noWrap/>
            <w:hideMark/>
          </w:tcPr>
          <w:p w14:paraId="129C9AD1"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113000</w:t>
            </w:r>
          </w:p>
        </w:tc>
        <w:tc>
          <w:tcPr>
            <w:tcW w:w="928" w:type="dxa"/>
            <w:gridSpan w:val="2"/>
            <w:noWrap/>
            <w:hideMark/>
          </w:tcPr>
          <w:p w14:paraId="1CEBF8FA"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102193</w:t>
            </w:r>
          </w:p>
        </w:tc>
      </w:tr>
      <w:tr w:rsidR="00EE163C" w:rsidRPr="008B5FAE" w14:paraId="34575A38"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65608772"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Repayments on lines of credit</w:t>
            </w:r>
          </w:p>
        </w:tc>
        <w:tc>
          <w:tcPr>
            <w:tcW w:w="792" w:type="dxa"/>
            <w:noWrap/>
            <w:hideMark/>
          </w:tcPr>
          <w:p w14:paraId="43391CDF"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0115658A"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-113000</w:t>
            </w:r>
          </w:p>
        </w:tc>
        <w:tc>
          <w:tcPr>
            <w:tcW w:w="928" w:type="dxa"/>
            <w:gridSpan w:val="2"/>
            <w:noWrap/>
            <w:hideMark/>
          </w:tcPr>
          <w:p w14:paraId="2CE52066"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-132000</w:t>
            </w:r>
          </w:p>
        </w:tc>
        <w:tc>
          <w:tcPr>
            <w:tcW w:w="928" w:type="dxa"/>
            <w:noWrap/>
            <w:hideMark/>
          </w:tcPr>
          <w:p w14:paraId="6D18A48C"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-113000</w:t>
            </w:r>
          </w:p>
        </w:tc>
        <w:tc>
          <w:tcPr>
            <w:tcW w:w="928" w:type="dxa"/>
            <w:gridSpan w:val="2"/>
            <w:noWrap/>
            <w:hideMark/>
          </w:tcPr>
          <w:p w14:paraId="656D7CBD"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-102193</w:t>
            </w:r>
          </w:p>
        </w:tc>
      </w:tr>
      <w:tr w:rsidR="00EE163C" w:rsidRPr="008B5FAE" w14:paraId="4115474D"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162CDDFA"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lastRenderedPageBreak/>
              <w:t>Proceeds from stock option exercised</w:t>
            </w:r>
          </w:p>
        </w:tc>
        <w:tc>
          <w:tcPr>
            <w:tcW w:w="792" w:type="dxa"/>
            <w:noWrap/>
            <w:hideMark/>
          </w:tcPr>
          <w:p w14:paraId="524C8C2C"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5DAA5158"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2695</w:t>
            </w:r>
          </w:p>
        </w:tc>
        <w:tc>
          <w:tcPr>
            <w:tcW w:w="928" w:type="dxa"/>
            <w:gridSpan w:val="2"/>
            <w:noWrap/>
            <w:hideMark/>
          </w:tcPr>
          <w:p w14:paraId="69FF833E"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1640</w:t>
            </w:r>
          </w:p>
        </w:tc>
        <w:tc>
          <w:tcPr>
            <w:tcW w:w="928" w:type="dxa"/>
            <w:noWrap/>
            <w:hideMark/>
          </w:tcPr>
          <w:p w14:paraId="0A5ADF68"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1713</w:t>
            </w:r>
          </w:p>
        </w:tc>
        <w:tc>
          <w:tcPr>
            <w:tcW w:w="928" w:type="dxa"/>
            <w:gridSpan w:val="2"/>
            <w:noWrap/>
            <w:hideMark/>
          </w:tcPr>
          <w:p w14:paraId="5B395240"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52</w:t>
            </w:r>
          </w:p>
        </w:tc>
      </w:tr>
      <w:tr w:rsidR="00EE163C" w:rsidRPr="008B5FAE" w14:paraId="436539C2"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685D3DF2"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Treasury stock purchased</w:t>
            </w:r>
          </w:p>
        </w:tc>
        <w:tc>
          <w:tcPr>
            <w:tcW w:w="792" w:type="dxa"/>
            <w:noWrap/>
            <w:hideMark/>
          </w:tcPr>
          <w:p w14:paraId="5C1E591C"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134D6C1A"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-256</w:t>
            </w:r>
          </w:p>
        </w:tc>
        <w:tc>
          <w:tcPr>
            <w:tcW w:w="928" w:type="dxa"/>
            <w:gridSpan w:val="2"/>
            <w:noWrap/>
            <w:hideMark/>
          </w:tcPr>
          <w:p w14:paraId="1C38EEA0"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-1901</w:t>
            </w:r>
          </w:p>
        </w:tc>
        <w:tc>
          <w:tcPr>
            <w:tcW w:w="928" w:type="dxa"/>
            <w:noWrap/>
            <w:hideMark/>
          </w:tcPr>
          <w:p w14:paraId="4F27270C"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-1353</w:t>
            </w:r>
          </w:p>
        </w:tc>
        <w:tc>
          <w:tcPr>
            <w:tcW w:w="928" w:type="dxa"/>
            <w:gridSpan w:val="2"/>
            <w:noWrap/>
            <w:hideMark/>
          </w:tcPr>
          <w:p w14:paraId="2C11D6AB"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-1779</w:t>
            </w:r>
          </w:p>
        </w:tc>
      </w:tr>
      <w:tr w:rsidR="00EE163C" w:rsidRPr="008B5FAE" w14:paraId="07FAE4BE"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1D65A6F0"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Net cash provided by (used for) financing activities</w:t>
            </w:r>
          </w:p>
        </w:tc>
        <w:tc>
          <w:tcPr>
            <w:tcW w:w="792" w:type="dxa"/>
            <w:noWrap/>
            <w:hideMark/>
          </w:tcPr>
          <w:p w14:paraId="5FC20866"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0</w:t>
            </w:r>
          </w:p>
        </w:tc>
        <w:tc>
          <w:tcPr>
            <w:tcW w:w="928" w:type="dxa"/>
            <w:gridSpan w:val="2"/>
            <w:noWrap/>
            <w:hideMark/>
          </w:tcPr>
          <w:p w14:paraId="31C90846"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2439</w:t>
            </w:r>
          </w:p>
        </w:tc>
        <w:tc>
          <w:tcPr>
            <w:tcW w:w="928" w:type="dxa"/>
            <w:gridSpan w:val="2"/>
            <w:noWrap/>
            <w:hideMark/>
          </w:tcPr>
          <w:p w14:paraId="084F2965"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263</w:t>
            </w:r>
          </w:p>
        </w:tc>
        <w:tc>
          <w:tcPr>
            <w:tcW w:w="928" w:type="dxa"/>
            <w:noWrap/>
            <w:hideMark/>
          </w:tcPr>
          <w:p w14:paraId="5FF3B180"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20021</w:t>
            </w:r>
          </w:p>
        </w:tc>
        <w:tc>
          <w:tcPr>
            <w:tcW w:w="928" w:type="dxa"/>
            <w:gridSpan w:val="2"/>
            <w:noWrap/>
            <w:hideMark/>
          </w:tcPr>
          <w:p w14:paraId="22ED62FA"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-1727</w:t>
            </w:r>
          </w:p>
        </w:tc>
      </w:tr>
      <w:tr w:rsidR="00EE163C" w:rsidRPr="008B5FAE" w14:paraId="2B993758"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3F261149"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Effect of foreign currency exchange-rate changes</w:t>
            </w:r>
          </w:p>
        </w:tc>
        <w:tc>
          <w:tcPr>
            <w:tcW w:w="792" w:type="dxa"/>
            <w:noWrap/>
            <w:hideMark/>
          </w:tcPr>
          <w:p w14:paraId="3271E334"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843</w:t>
            </w:r>
          </w:p>
        </w:tc>
        <w:tc>
          <w:tcPr>
            <w:tcW w:w="928" w:type="dxa"/>
            <w:gridSpan w:val="2"/>
            <w:noWrap/>
            <w:hideMark/>
          </w:tcPr>
          <w:p w14:paraId="562618E2"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-844</w:t>
            </w:r>
          </w:p>
        </w:tc>
        <w:tc>
          <w:tcPr>
            <w:tcW w:w="928" w:type="dxa"/>
            <w:gridSpan w:val="2"/>
            <w:noWrap/>
            <w:hideMark/>
          </w:tcPr>
          <w:p w14:paraId="0E956B86"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2444</w:t>
            </w:r>
          </w:p>
        </w:tc>
        <w:tc>
          <w:tcPr>
            <w:tcW w:w="928" w:type="dxa"/>
            <w:noWrap/>
            <w:hideMark/>
          </w:tcPr>
          <w:p w14:paraId="154AA9DB"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-492</w:t>
            </w:r>
          </w:p>
        </w:tc>
        <w:tc>
          <w:tcPr>
            <w:tcW w:w="928" w:type="dxa"/>
            <w:gridSpan w:val="2"/>
            <w:noWrap/>
            <w:hideMark/>
          </w:tcPr>
          <w:p w14:paraId="6C62F68C"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-155</w:t>
            </w:r>
          </w:p>
        </w:tc>
      </w:tr>
      <w:tr w:rsidR="00EE163C" w:rsidRPr="008B5FAE" w14:paraId="618A1458"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2FED06C2"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Net increase (decrease) in cash and equivalents</w:t>
            </w:r>
          </w:p>
        </w:tc>
        <w:tc>
          <w:tcPr>
            <w:tcW w:w="792" w:type="dxa"/>
            <w:noWrap/>
            <w:hideMark/>
          </w:tcPr>
          <w:p w14:paraId="33290782"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-19745</w:t>
            </w:r>
          </w:p>
        </w:tc>
        <w:tc>
          <w:tcPr>
            <w:tcW w:w="928" w:type="dxa"/>
            <w:gridSpan w:val="2"/>
            <w:noWrap/>
            <w:hideMark/>
          </w:tcPr>
          <w:p w14:paraId="4811E78F"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61670</w:t>
            </w:r>
          </w:p>
        </w:tc>
        <w:tc>
          <w:tcPr>
            <w:tcW w:w="928" w:type="dxa"/>
            <w:gridSpan w:val="2"/>
            <w:noWrap/>
            <w:hideMark/>
          </w:tcPr>
          <w:p w14:paraId="71ED30EA"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5927</w:t>
            </w:r>
          </w:p>
        </w:tc>
        <w:tc>
          <w:tcPr>
            <w:tcW w:w="928" w:type="dxa"/>
            <w:noWrap/>
            <w:hideMark/>
          </w:tcPr>
          <w:p w14:paraId="337A644A"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-980</w:t>
            </w:r>
          </w:p>
        </w:tc>
        <w:tc>
          <w:tcPr>
            <w:tcW w:w="928" w:type="dxa"/>
            <w:gridSpan w:val="2"/>
            <w:noWrap/>
            <w:hideMark/>
          </w:tcPr>
          <w:p w14:paraId="79663848"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-28385</w:t>
            </w:r>
          </w:p>
        </w:tc>
      </w:tr>
      <w:tr w:rsidR="00EE163C" w:rsidRPr="008B5FAE" w14:paraId="106C127C" w14:textId="77777777" w:rsidTr="00EE163C">
        <w:trPr>
          <w:gridAfter w:val="2"/>
          <w:cnfStyle w:val="000000100000" w:firstRow="0" w:lastRow="0" w:firstColumn="0" w:lastColumn="0" w:oddVBand="0" w:evenVBand="0" w:oddHBand="1" w:evenHBand="0" w:firstRowFirstColumn="0" w:firstRowLastColumn="0" w:lastRowFirstColumn="0" w:lastRowLastColumn="0"/>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093B6D48"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Cash &amp; cash equivalents at beginning</w:t>
            </w:r>
          </w:p>
        </w:tc>
        <w:tc>
          <w:tcPr>
            <w:tcW w:w="792" w:type="dxa"/>
            <w:noWrap/>
            <w:hideMark/>
          </w:tcPr>
          <w:p w14:paraId="47DC198E"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74302</w:t>
            </w:r>
          </w:p>
        </w:tc>
        <w:tc>
          <w:tcPr>
            <w:tcW w:w="928" w:type="dxa"/>
            <w:gridSpan w:val="2"/>
            <w:noWrap/>
            <w:hideMark/>
          </w:tcPr>
          <w:p w14:paraId="61CD317A"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57153</w:t>
            </w:r>
          </w:p>
        </w:tc>
        <w:tc>
          <w:tcPr>
            <w:tcW w:w="928" w:type="dxa"/>
            <w:gridSpan w:val="2"/>
            <w:noWrap/>
            <w:hideMark/>
          </w:tcPr>
          <w:p w14:paraId="17F00DCF"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60813</w:t>
            </w:r>
          </w:p>
        </w:tc>
        <w:tc>
          <w:tcPr>
            <w:tcW w:w="928" w:type="dxa"/>
            <w:noWrap/>
            <w:hideMark/>
          </w:tcPr>
          <w:p w14:paraId="6F4E74AB"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66040</w:t>
            </w:r>
          </w:p>
        </w:tc>
        <w:tc>
          <w:tcPr>
            <w:tcW w:w="928" w:type="dxa"/>
            <w:gridSpan w:val="2"/>
            <w:noWrap/>
            <w:hideMark/>
          </w:tcPr>
          <w:p w14:paraId="2FDEC659" w14:textId="77777777" w:rsidR="00EE163C" w:rsidRPr="008B5FAE" w:rsidRDefault="00EE163C" w:rsidP="00190C4B">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sidRPr="008B5FAE">
              <w:rPr>
                <w:rFonts w:ascii="Calibri" w:hAnsi="Calibri" w:cs="Calibri"/>
                <w:color w:val="000000"/>
              </w:rPr>
              <w:t>42751</w:t>
            </w:r>
          </w:p>
        </w:tc>
      </w:tr>
      <w:tr w:rsidR="00EE163C" w:rsidRPr="008B5FAE" w14:paraId="74969AC0" w14:textId="77777777" w:rsidTr="00EE163C">
        <w:trPr>
          <w:gridAfter w:val="2"/>
          <w:wAfter w:w="1408" w:type="dxa"/>
          <w:trHeight w:val="288"/>
        </w:trPr>
        <w:tc>
          <w:tcPr>
            <w:cnfStyle w:val="001000000000" w:firstRow="0" w:lastRow="0" w:firstColumn="1" w:lastColumn="0" w:oddVBand="0" w:evenVBand="0" w:oddHBand="0" w:evenHBand="0" w:firstRowFirstColumn="0" w:firstRowLastColumn="0" w:lastRowFirstColumn="0" w:lastRowLastColumn="0"/>
            <w:tcW w:w="4212" w:type="dxa"/>
            <w:noWrap/>
            <w:hideMark/>
          </w:tcPr>
          <w:p w14:paraId="1D0DE3D5" w14:textId="77777777" w:rsidR="00EE163C" w:rsidRPr="008B5FAE" w:rsidRDefault="00EE163C" w:rsidP="00190C4B">
            <w:pPr>
              <w:spacing w:line="240" w:lineRule="auto"/>
              <w:rPr>
                <w:rFonts w:ascii="Calibri" w:hAnsi="Calibri" w:cs="Calibri"/>
                <w:color w:val="000000"/>
              </w:rPr>
            </w:pPr>
            <w:r w:rsidRPr="008B5FAE">
              <w:rPr>
                <w:rFonts w:ascii="Calibri" w:hAnsi="Calibri" w:cs="Calibri"/>
                <w:color w:val="000000"/>
              </w:rPr>
              <w:t>Cash &amp; cash equivalents at end</w:t>
            </w:r>
          </w:p>
        </w:tc>
        <w:tc>
          <w:tcPr>
            <w:tcW w:w="792" w:type="dxa"/>
            <w:noWrap/>
            <w:hideMark/>
          </w:tcPr>
          <w:p w14:paraId="38EA327A"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57153</w:t>
            </w:r>
          </w:p>
        </w:tc>
        <w:tc>
          <w:tcPr>
            <w:tcW w:w="928" w:type="dxa"/>
            <w:gridSpan w:val="2"/>
            <w:noWrap/>
            <w:hideMark/>
          </w:tcPr>
          <w:p w14:paraId="0B9F52D5"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60813</w:t>
            </w:r>
          </w:p>
        </w:tc>
        <w:tc>
          <w:tcPr>
            <w:tcW w:w="928" w:type="dxa"/>
            <w:gridSpan w:val="2"/>
            <w:noWrap/>
            <w:hideMark/>
          </w:tcPr>
          <w:p w14:paraId="7A39670E"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66040</w:t>
            </w:r>
          </w:p>
        </w:tc>
        <w:tc>
          <w:tcPr>
            <w:tcW w:w="928" w:type="dxa"/>
            <w:noWrap/>
            <w:hideMark/>
          </w:tcPr>
          <w:p w14:paraId="07336E57"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42751</w:t>
            </w:r>
          </w:p>
        </w:tc>
        <w:tc>
          <w:tcPr>
            <w:tcW w:w="928" w:type="dxa"/>
            <w:gridSpan w:val="2"/>
            <w:noWrap/>
            <w:hideMark/>
          </w:tcPr>
          <w:p w14:paraId="5B1CA298" w14:textId="77777777" w:rsidR="00EE163C" w:rsidRPr="008B5FAE" w:rsidRDefault="00EE163C" w:rsidP="00190C4B">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sidRPr="008B5FAE">
              <w:rPr>
                <w:rFonts w:ascii="Calibri" w:hAnsi="Calibri" w:cs="Calibri"/>
                <w:color w:val="000000"/>
              </w:rPr>
              <w:t>26783</w:t>
            </w:r>
          </w:p>
        </w:tc>
      </w:tr>
    </w:tbl>
    <w:p w14:paraId="2057FB50" w14:textId="77777777" w:rsidR="00FA4B6F" w:rsidRDefault="00FA4B6F" w:rsidP="007F10D2"/>
    <w:p w14:paraId="38B65007" w14:textId="77777777" w:rsidR="00FA4B6F" w:rsidRDefault="00FA4B6F" w:rsidP="007F10D2"/>
    <w:tbl>
      <w:tblPr>
        <w:tblW w:w="13574" w:type="dxa"/>
        <w:tblInd w:w="93" w:type="dxa"/>
        <w:tblLook w:val="04A0" w:firstRow="1" w:lastRow="0" w:firstColumn="1" w:lastColumn="0" w:noHBand="0" w:noVBand="1"/>
      </w:tblPr>
      <w:tblGrid>
        <w:gridCol w:w="7983"/>
        <w:gridCol w:w="1118"/>
        <w:gridCol w:w="1118"/>
        <w:gridCol w:w="1118"/>
        <w:gridCol w:w="1118"/>
        <w:gridCol w:w="1119"/>
      </w:tblGrid>
      <w:tr w:rsidR="00933AE0" w:rsidRPr="00933AE0" w14:paraId="15377281" w14:textId="77777777" w:rsidTr="00D100F7">
        <w:trPr>
          <w:trHeight w:val="644"/>
        </w:trPr>
        <w:tc>
          <w:tcPr>
            <w:tcW w:w="13574" w:type="dxa"/>
            <w:gridSpan w:val="6"/>
            <w:vMerge w:val="restart"/>
            <w:tcBorders>
              <w:top w:val="single" w:sz="4" w:space="0" w:color="auto"/>
              <w:left w:val="single" w:sz="4" w:space="0" w:color="auto"/>
              <w:bottom w:val="single" w:sz="4" w:space="0" w:color="auto"/>
              <w:right w:val="single" w:sz="4" w:space="0" w:color="auto"/>
            </w:tcBorders>
            <w:shd w:val="clear" w:color="000000" w:fill="B8CCE4"/>
            <w:noWrap/>
            <w:vAlign w:val="center"/>
            <w:hideMark/>
          </w:tcPr>
          <w:p w14:paraId="18A1E0BD" w14:textId="77777777" w:rsidR="00933AE0" w:rsidRPr="00933AE0" w:rsidRDefault="00933AE0" w:rsidP="00933AE0">
            <w:pPr>
              <w:spacing w:line="240" w:lineRule="auto"/>
              <w:jc w:val="center"/>
              <w:rPr>
                <w:b/>
                <w:bCs/>
                <w:color w:val="000000"/>
                <w:sz w:val="44"/>
                <w:szCs w:val="44"/>
                <w:lang w:val="en-US" w:bidi="bn-BD"/>
              </w:rPr>
            </w:pPr>
            <w:r w:rsidRPr="00933AE0">
              <w:rPr>
                <w:b/>
                <w:bCs/>
                <w:color w:val="000000"/>
                <w:sz w:val="44"/>
                <w:szCs w:val="44"/>
                <w:lang w:val="en-US" w:bidi="bn-BD"/>
              </w:rPr>
              <w:t>Ratio Analysis</w:t>
            </w:r>
          </w:p>
        </w:tc>
      </w:tr>
      <w:tr w:rsidR="00933AE0" w:rsidRPr="00933AE0" w14:paraId="5B3AD550" w14:textId="77777777" w:rsidTr="00D100F7">
        <w:trPr>
          <w:trHeight w:val="644"/>
        </w:trPr>
        <w:tc>
          <w:tcPr>
            <w:tcW w:w="13574" w:type="dxa"/>
            <w:gridSpan w:val="6"/>
            <w:vMerge/>
            <w:tcBorders>
              <w:top w:val="single" w:sz="4" w:space="0" w:color="auto"/>
              <w:left w:val="single" w:sz="4" w:space="0" w:color="auto"/>
              <w:bottom w:val="single" w:sz="4" w:space="0" w:color="auto"/>
              <w:right w:val="single" w:sz="4" w:space="0" w:color="auto"/>
            </w:tcBorders>
            <w:vAlign w:val="center"/>
            <w:hideMark/>
          </w:tcPr>
          <w:p w14:paraId="0B30690D" w14:textId="77777777" w:rsidR="00933AE0" w:rsidRPr="00933AE0" w:rsidRDefault="00933AE0" w:rsidP="00933AE0">
            <w:pPr>
              <w:spacing w:line="240" w:lineRule="auto"/>
              <w:jc w:val="left"/>
              <w:rPr>
                <w:b/>
                <w:bCs/>
                <w:color w:val="000000"/>
                <w:lang w:val="en-US" w:bidi="bn-BD"/>
              </w:rPr>
            </w:pPr>
          </w:p>
        </w:tc>
      </w:tr>
      <w:tr w:rsidR="00933AE0" w:rsidRPr="00933AE0" w14:paraId="543BC635"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7B1643BD" w14:textId="77777777" w:rsidR="00933AE0" w:rsidRPr="00933AE0" w:rsidRDefault="00933AE0"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20319629" w14:textId="77777777" w:rsidR="00933AE0" w:rsidRPr="00933AE0" w:rsidRDefault="00933AE0" w:rsidP="00933AE0">
            <w:pPr>
              <w:spacing w:line="240" w:lineRule="auto"/>
              <w:jc w:val="right"/>
              <w:rPr>
                <w:b/>
                <w:bCs/>
                <w:color w:val="000000"/>
                <w:lang w:val="en-US" w:bidi="bn-BD"/>
              </w:rPr>
            </w:pPr>
            <w:r w:rsidRPr="00933AE0">
              <w:rPr>
                <w:b/>
                <w:bCs/>
                <w:color w:val="000000"/>
                <w:lang w:val="en-US" w:bidi="bn-BD"/>
              </w:rPr>
              <w:t>2024</w:t>
            </w:r>
          </w:p>
        </w:tc>
        <w:tc>
          <w:tcPr>
            <w:tcW w:w="1118" w:type="dxa"/>
            <w:tcBorders>
              <w:top w:val="nil"/>
              <w:left w:val="nil"/>
              <w:bottom w:val="single" w:sz="4" w:space="0" w:color="auto"/>
              <w:right w:val="single" w:sz="4" w:space="0" w:color="auto"/>
            </w:tcBorders>
            <w:noWrap/>
            <w:hideMark/>
          </w:tcPr>
          <w:p w14:paraId="295A56F9" w14:textId="77777777" w:rsidR="00933AE0" w:rsidRPr="00933AE0" w:rsidRDefault="00933AE0" w:rsidP="00933AE0">
            <w:pPr>
              <w:spacing w:line="240" w:lineRule="auto"/>
              <w:jc w:val="right"/>
              <w:rPr>
                <w:b/>
                <w:bCs/>
                <w:color w:val="000000"/>
                <w:lang w:val="en-US" w:bidi="bn-BD"/>
              </w:rPr>
            </w:pPr>
            <w:r w:rsidRPr="00933AE0">
              <w:rPr>
                <w:b/>
                <w:bCs/>
                <w:color w:val="000000"/>
                <w:lang w:val="en-US" w:bidi="bn-BD"/>
              </w:rPr>
              <w:t>2023</w:t>
            </w:r>
          </w:p>
        </w:tc>
        <w:tc>
          <w:tcPr>
            <w:tcW w:w="1118" w:type="dxa"/>
            <w:tcBorders>
              <w:top w:val="nil"/>
              <w:left w:val="nil"/>
              <w:bottom w:val="single" w:sz="4" w:space="0" w:color="auto"/>
              <w:right w:val="single" w:sz="4" w:space="0" w:color="auto"/>
            </w:tcBorders>
            <w:noWrap/>
            <w:hideMark/>
          </w:tcPr>
          <w:p w14:paraId="09C74B27" w14:textId="77777777" w:rsidR="00933AE0" w:rsidRPr="00933AE0" w:rsidRDefault="00933AE0" w:rsidP="00933AE0">
            <w:pPr>
              <w:spacing w:line="240" w:lineRule="auto"/>
              <w:jc w:val="right"/>
              <w:rPr>
                <w:b/>
                <w:bCs/>
                <w:color w:val="000000"/>
                <w:lang w:val="en-US" w:bidi="bn-BD"/>
              </w:rPr>
            </w:pPr>
            <w:r w:rsidRPr="00933AE0">
              <w:rPr>
                <w:b/>
                <w:bCs/>
                <w:color w:val="000000"/>
                <w:lang w:val="en-US" w:bidi="bn-BD"/>
              </w:rPr>
              <w:t>2022</w:t>
            </w:r>
          </w:p>
        </w:tc>
        <w:tc>
          <w:tcPr>
            <w:tcW w:w="1118" w:type="dxa"/>
            <w:tcBorders>
              <w:top w:val="nil"/>
              <w:left w:val="nil"/>
              <w:bottom w:val="single" w:sz="4" w:space="0" w:color="auto"/>
              <w:right w:val="single" w:sz="4" w:space="0" w:color="auto"/>
            </w:tcBorders>
            <w:noWrap/>
            <w:hideMark/>
          </w:tcPr>
          <w:p w14:paraId="3D9ACF97" w14:textId="77777777" w:rsidR="00933AE0" w:rsidRPr="00933AE0" w:rsidRDefault="00933AE0" w:rsidP="00933AE0">
            <w:pPr>
              <w:spacing w:line="240" w:lineRule="auto"/>
              <w:jc w:val="right"/>
              <w:rPr>
                <w:b/>
                <w:bCs/>
                <w:color w:val="000000"/>
                <w:lang w:val="en-US" w:bidi="bn-BD"/>
              </w:rPr>
            </w:pPr>
            <w:r w:rsidRPr="00933AE0">
              <w:rPr>
                <w:b/>
                <w:bCs/>
                <w:color w:val="000000"/>
                <w:lang w:val="en-US" w:bidi="bn-BD"/>
              </w:rPr>
              <w:t>2021</w:t>
            </w:r>
          </w:p>
        </w:tc>
        <w:tc>
          <w:tcPr>
            <w:tcW w:w="1119" w:type="dxa"/>
            <w:tcBorders>
              <w:top w:val="nil"/>
              <w:left w:val="nil"/>
              <w:bottom w:val="single" w:sz="4" w:space="0" w:color="auto"/>
              <w:right w:val="single" w:sz="4" w:space="0" w:color="auto"/>
            </w:tcBorders>
            <w:noWrap/>
            <w:hideMark/>
          </w:tcPr>
          <w:p w14:paraId="771AA513" w14:textId="77777777" w:rsidR="00933AE0" w:rsidRPr="00933AE0" w:rsidRDefault="00933AE0" w:rsidP="00933AE0">
            <w:pPr>
              <w:spacing w:line="240" w:lineRule="auto"/>
              <w:jc w:val="right"/>
              <w:rPr>
                <w:b/>
                <w:bCs/>
                <w:color w:val="000000"/>
                <w:lang w:val="en-US" w:bidi="bn-BD"/>
              </w:rPr>
            </w:pPr>
            <w:r w:rsidRPr="00933AE0">
              <w:rPr>
                <w:b/>
                <w:bCs/>
                <w:color w:val="000000"/>
                <w:lang w:val="en-US" w:bidi="bn-BD"/>
              </w:rPr>
              <w:t>2020</w:t>
            </w:r>
          </w:p>
        </w:tc>
      </w:tr>
      <w:tr w:rsidR="00933AE0" w:rsidRPr="00933AE0" w14:paraId="529E96A5" w14:textId="77777777" w:rsidTr="00933AE0">
        <w:trPr>
          <w:trHeight w:val="525"/>
        </w:trPr>
        <w:tc>
          <w:tcPr>
            <w:tcW w:w="7983" w:type="dxa"/>
            <w:tcBorders>
              <w:top w:val="nil"/>
              <w:left w:val="single" w:sz="4" w:space="0" w:color="auto"/>
              <w:bottom w:val="single" w:sz="4" w:space="0" w:color="auto"/>
              <w:right w:val="single" w:sz="4" w:space="0" w:color="auto"/>
            </w:tcBorders>
            <w:shd w:val="clear" w:color="000000" w:fill="FFFF00"/>
            <w:noWrap/>
            <w:hideMark/>
          </w:tcPr>
          <w:p w14:paraId="142FC649" w14:textId="77777777" w:rsidR="00933AE0" w:rsidRPr="00933AE0" w:rsidRDefault="00933AE0" w:rsidP="00933AE0">
            <w:pPr>
              <w:spacing w:line="240" w:lineRule="auto"/>
              <w:jc w:val="left"/>
              <w:rPr>
                <w:b/>
                <w:bCs/>
                <w:color w:val="000000"/>
                <w:lang w:val="en-US" w:bidi="bn-BD"/>
              </w:rPr>
            </w:pPr>
            <w:r w:rsidRPr="00933AE0">
              <w:rPr>
                <w:b/>
                <w:bCs/>
                <w:color w:val="000000"/>
                <w:lang w:val="en-US" w:bidi="bn-BD"/>
              </w:rPr>
              <w:t>Liquidity Ratios</w:t>
            </w:r>
          </w:p>
        </w:tc>
        <w:tc>
          <w:tcPr>
            <w:tcW w:w="1118" w:type="dxa"/>
            <w:tcBorders>
              <w:top w:val="nil"/>
              <w:left w:val="nil"/>
              <w:bottom w:val="single" w:sz="4" w:space="0" w:color="auto"/>
              <w:right w:val="single" w:sz="4" w:space="0" w:color="auto"/>
            </w:tcBorders>
            <w:noWrap/>
            <w:hideMark/>
          </w:tcPr>
          <w:p w14:paraId="07D688A2" w14:textId="77777777" w:rsidR="00933AE0" w:rsidRPr="00933AE0" w:rsidRDefault="00933AE0" w:rsidP="00933AE0">
            <w:pPr>
              <w:spacing w:line="240" w:lineRule="auto"/>
              <w:jc w:val="righ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4C446579" w14:textId="77777777" w:rsidR="00933AE0" w:rsidRPr="00933AE0" w:rsidRDefault="00933AE0" w:rsidP="00933AE0">
            <w:pPr>
              <w:spacing w:line="240" w:lineRule="auto"/>
              <w:jc w:val="righ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76F5BCC1" w14:textId="77777777" w:rsidR="00933AE0" w:rsidRPr="00933AE0" w:rsidRDefault="00933AE0" w:rsidP="00933AE0">
            <w:pPr>
              <w:spacing w:line="240" w:lineRule="auto"/>
              <w:jc w:val="righ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4C57243C" w14:textId="77777777" w:rsidR="00933AE0" w:rsidRPr="00933AE0" w:rsidRDefault="00933AE0" w:rsidP="00933AE0">
            <w:pPr>
              <w:spacing w:line="240" w:lineRule="auto"/>
              <w:jc w:val="right"/>
              <w:rPr>
                <w:color w:val="000000"/>
                <w:lang w:val="en-US" w:bidi="bn-BD"/>
              </w:rPr>
            </w:pPr>
            <w:r w:rsidRPr="00933AE0">
              <w:rPr>
                <w:color w:val="000000"/>
                <w:lang w:val="en-US" w:bidi="bn-BD"/>
              </w:rPr>
              <w:t> </w:t>
            </w:r>
          </w:p>
        </w:tc>
        <w:tc>
          <w:tcPr>
            <w:tcW w:w="1119" w:type="dxa"/>
            <w:tcBorders>
              <w:top w:val="nil"/>
              <w:left w:val="nil"/>
              <w:bottom w:val="single" w:sz="4" w:space="0" w:color="auto"/>
              <w:right w:val="single" w:sz="4" w:space="0" w:color="auto"/>
            </w:tcBorders>
            <w:noWrap/>
            <w:hideMark/>
          </w:tcPr>
          <w:p w14:paraId="4615EFD5" w14:textId="77777777" w:rsidR="00933AE0" w:rsidRPr="00933AE0" w:rsidRDefault="00933AE0" w:rsidP="00933AE0">
            <w:pPr>
              <w:spacing w:line="240" w:lineRule="auto"/>
              <w:jc w:val="right"/>
              <w:rPr>
                <w:color w:val="000000"/>
                <w:lang w:val="en-US" w:bidi="bn-BD"/>
              </w:rPr>
            </w:pPr>
            <w:r w:rsidRPr="00933AE0">
              <w:rPr>
                <w:color w:val="000000"/>
                <w:lang w:val="en-US" w:bidi="bn-BD"/>
              </w:rPr>
              <w:t> </w:t>
            </w:r>
          </w:p>
        </w:tc>
      </w:tr>
      <w:tr w:rsidR="00933AE0" w:rsidRPr="00933AE0" w14:paraId="7DA2C29C"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290610BC" w14:textId="77777777" w:rsidR="00933AE0" w:rsidRPr="00933AE0" w:rsidRDefault="00933AE0" w:rsidP="00933AE0">
            <w:pPr>
              <w:spacing w:line="240" w:lineRule="auto"/>
              <w:jc w:val="left"/>
              <w:rPr>
                <w:color w:val="000000"/>
                <w:lang w:val="en-US" w:bidi="bn-BD"/>
              </w:rPr>
            </w:pPr>
            <w:r w:rsidRPr="00933AE0">
              <w:rPr>
                <w:color w:val="000000"/>
                <w:lang w:val="en-US" w:bidi="bn-BD"/>
              </w:rPr>
              <w:t>Current Ratio (Current Asset/Current Liability)</w:t>
            </w:r>
          </w:p>
        </w:tc>
        <w:tc>
          <w:tcPr>
            <w:tcW w:w="1118" w:type="dxa"/>
            <w:tcBorders>
              <w:top w:val="nil"/>
              <w:left w:val="nil"/>
              <w:bottom w:val="single" w:sz="4" w:space="0" w:color="auto"/>
              <w:right w:val="single" w:sz="4" w:space="0" w:color="auto"/>
            </w:tcBorders>
            <w:noWrap/>
            <w:hideMark/>
          </w:tcPr>
          <w:p w14:paraId="68BCB923" w14:textId="77777777" w:rsidR="00933AE0" w:rsidRPr="00933AE0" w:rsidRDefault="00933AE0" w:rsidP="00933AE0">
            <w:pPr>
              <w:spacing w:line="240" w:lineRule="auto"/>
              <w:jc w:val="left"/>
              <w:rPr>
                <w:color w:val="000000"/>
                <w:lang w:val="en-US" w:bidi="bn-BD"/>
              </w:rPr>
            </w:pPr>
            <w:r w:rsidRPr="00933AE0">
              <w:rPr>
                <w:color w:val="000000"/>
                <w:lang w:val="en-US" w:bidi="bn-BD"/>
              </w:rPr>
              <w:t>1.53</w:t>
            </w:r>
          </w:p>
        </w:tc>
        <w:tc>
          <w:tcPr>
            <w:tcW w:w="1118" w:type="dxa"/>
            <w:tcBorders>
              <w:top w:val="nil"/>
              <w:left w:val="nil"/>
              <w:bottom w:val="single" w:sz="4" w:space="0" w:color="auto"/>
              <w:right w:val="single" w:sz="4" w:space="0" w:color="auto"/>
            </w:tcBorders>
            <w:noWrap/>
            <w:hideMark/>
          </w:tcPr>
          <w:p w14:paraId="2B176070" w14:textId="77777777" w:rsidR="00933AE0" w:rsidRPr="00933AE0" w:rsidRDefault="00933AE0" w:rsidP="00933AE0">
            <w:pPr>
              <w:spacing w:line="240" w:lineRule="auto"/>
              <w:jc w:val="left"/>
              <w:rPr>
                <w:color w:val="000000"/>
                <w:lang w:val="en-US" w:bidi="bn-BD"/>
              </w:rPr>
            </w:pPr>
            <w:r w:rsidRPr="00933AE0">
              <w:rPr>
                <w:color w:val="000000"/>
                <w:lang w:val="en-US" w:bidi="bn-BD"/>
              </w:rPr>
              <w:t>1.61</w:t>
            </w:r>
          </w:p>
        </w:tc>
        <w:tc>
          <w:tcPr>
            <w:tcW w:w="1118" w:type="dxa"/>
            <w:tcBorders>
              <w:top w:val="nil"/>
              <w:left w:val="nil"/>
              <w:bottom w:val="single" w:sz="4" w:space="0" w:color="auto"/>
              <w:right w:val="single" w:sz="4" w:space="0" w:color="auto"/>
            </w:tcBorders>
            <w:noWrap/>
            <w:hideMark/>
          </w:tcPr>
          <w:p w14:paraId="3ADB71AB" w14:textId="77777777" w:rsidR="00933AE0" w:rsidRPr="00933AE0" w:rsidRDefault="00933AE0" w:rsidP="00933AE0">
            <w:pPr>
              <w:spacing w:line="240" w:lineRule="auto"/>
              <w:jc w:val="left"/>
              <w:rPr>
                <w:color w:val="000000"/>
                <w:lang w:val="en-US" w:bidi="bn-BD"/>
              </w:rPr>
            </w:pPr>
            <w:r w:rsidRPr="00933AE0">
              <w:rPr>
                <w:color w:val="000000"/>
                <w:lang w:val="en-US" w:bidi="bn-BD"/>
              </w:rPr>
              <w:t>1.56</w:t>
            </w:r>
          </w:p>
        </w:tc>
        <w:tc>
          <w:tcPr>
            <w:tcW w:w="1118" w:type="dxa"/>
            <w:tcBorders>
              <w:top w:val="nil"/>
              <w:left w:val="nil"/>
              <w:bottom w:val="single" w:sz="4" w:space="0" w:color="auto"/>
              <w:right w:val="single" w:sz="4" w:space="0" w:color="auto"/>
            </w:tcBorders>
            <w:noWrap/>
            <w:hideMark/>
          </w:tcPr>
          <w:p w14:paraId="0FA483D1" w14:textId="77777777" w:rsidR="00933AE0" w:rsidRPr="00933AE0" w:rsidRDefault="00933AE0" w:rsidP="00933AE0">
            <w:pPr>
              <w:spacing w:line="240" w:lineRule="auto"/>
              <w:jc w:val="left"/>
              <w:rPr>
                <w:color w:val="000000"/>
                <w:lang w:val="en-US" w:bidi="bn-BD"/>
              </w:rPr>
            </w:pPr>
            <w:r w:rsidRPr="00933AE0">
              <w:rPr>
                <w:color w:val="000000"/>
                <w:lang w:val="en-US" w:bidi="bn-BD"/>
              </w:rPr>
              <w:t>1.56</w:t>
            </w:r>
          </w:p>
        </w:tc>
        <w:tc>
          <w:tcPr>
            <w:tcW w:w="1119" w:type="dxa"/>
            <w:tcBorders>
              <w:top w:val="nil"/>
              <w:left w:val="nil"/>
              <w:bottom w:val="single" w:sz="4" w:space="0" w:color="auto"/>
              <w:right w:val="single" w:sz="4" w:space="0" w:color="auto"/>
            </w:tcBorders>
            <w:noWrap/>
            <w:hideMark/>
          </w:tcPr>
          <w:p w14:paraId="3561A279" w14:textId="77777777" w:rsidR="00933AE0" w:rsidRPr="00933AE0" w:rsidRDefault="00933AE0" w:rsidP="00933AE0">
            <w:pPr>
              <w:spacing w:line="240" w:lineRule="auto"/>
              <w:jc w:val="left"/>
              <w:rPr>
                <w:color w:val="000000"/>
                <w:lang w:val="en-US" w:bidi="bn-BD"/>
              </w:rPr>
            </w:pPr>
            <w:r w:rsidRPr="00933AE0">
              <w:rPr>
                <w:color w:val="000000"/>
                <w:lang w:val="en-US" w:bidi="bn-BD"/>
              </w:rPr>
              <w:t>1.82</w:t>
            </w:r>
          </w:p>
        </w:tc>
      </w:tr>
      <w:tr w:rsidR="00933AE0" w:rsidRPr="00933AE0" w14:paraId="58DF28B7"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6810E5E3" w14:textId="77777777" w:rsidR="00933AE0" w:rsidRPr="00933AE0" w:rsidRDefault="00933AE0" w:rsidP="00933AE0">
            <w:pPr>
              <w:spacing w:line="240" w:lineRule="auto"/>
              <w:jc w:val="left"/>
              <w:rPr>
                <w:color w:val="000000"/>
                <w:lang w:val="en-US" w:bidi="bn-BD"/>
              </w:rPr>
            </w:pPr>
            <w:r w:rsidRPr="00933AE0">
              <w:rPr>
                <w:color w:val="000000"/>
                <w:lang w:val="en-US" w:bidi="bn-BD"/>
              </w:rPr>
              <w:t>Liquidity Ratio (Current Asset - Inventory/Current Liability)</w:t>
            </w:r>
          </w:p>
        </w:tc>
        <w:tc>
          <w:tcPr>
            <w:tcW w:w="1118" w:type="dxa"/>
            <w:tcBorders>
              <w:top w:val="nil"/>
              <w:left w:val="nil"/>
              <w:bottom w:val="single" w:sz="4" w:space="0" w:color="auto"/>
              <w:right w:val="single" w:sz="4" w:space="0" w:color="auto"/>
            </w:tcBorders>
            <w:noWrap/>
            <w:hideMark/>
          </w:tcPr>
          <w:p w14:paraId="6B502209" w14:textId="77777777" w:rsidR="00933AE0" w:rsidRPr="00933AE0" w:rsidRDefault="00933AE0" w:rsidP="00933AE0">
            <w:pPr>
              <w:spacing w:line="240" w:lineRule="auto"/>
              <w:jc w:val="left"/>
              <w:rPr>
                <w:color w:val="000000"/>
                <w:lang w:val="en-US" w:bidi="bn-BD"/>
              </w:rPr>
            </w:pPr>
            <w:r w:rsidRPr="00933AE0">
              <w:rPr>
                <w:color w:val="000000"/>
                <w:lang w:val="en-US" w:bidi="bn-BD"/>
              </w:rPr>
              <w:t>1.03</w:t>
            </w:r>
          </w:p>
        </w:tc>
        <w:tc>
          <w:tcPr>
            <w:tcW w:w="1118" w:type="dxa"/>
            <w:tcBorders>
              <w:top w:val="nil"/>
              <w:left w:val="nil"/>
              <w:bottom w:val="single" w:sz="4" w:space="0" w:color="auto"/>
              <w:right w:val="single" w:sz="4" w:space="0" w:color="auto"/>
            </w:tcBorders>
            <w:noWrap/>
            <w:hideMark/>
          </w:tcPr>
          <w:p w14:paraId="7C3694AC" w14:textId="77777777" w:rsidR="00933AE0" w:rsidRPr="00933AE0" w:rsidRDefault="00933AE0" w:rsidP="00933AE0">
            <w:pPr>
              <w:spacing w:line="240" w:lineRule="auto"/>
              <w:jc w:val="left"/>
              <w:rPr>
                <w:color w:val="000000"/>
                <w:lang w:val="en-US" w:bidi="bn-BD"/>
              </w:rPr>
            </w:pPr>
            <w:r w:rsidRPr="00933AE0">
              <w:rPr>
                <w:color w:val="000000"/>
                <w:lang w:val="en-US" w:bidi="bn-BD"/>
              </w:rPr>
              <w:t>1.06</w:t>
            </w:r>
          </w:p>
        </w:tc>
        <w:tc>
          <w:tcPr>
            <w:tcW w:w="1118" w:type="dxa"/>
            <w:tcBorders>
              <w:top w:val="nil"/>
              <w:left w:val="nil"/>
              <w:bottom w:val="single" w:sz="4" w:space="0" w:color="auto"/>
              <w:right w:val="single" w:sz="4" w:space="0" w:color="auto"/>
            </w:tcBorders>
            <w:noWrap/>
            <w:hideMark/>
          </w:tcPr>
          <w:p w14:paraId="54F28FC8" w14:textId="77777777" w:rsidR="00933AE0" w:rsidRPr="00933AE0" w:rsidRDefault="00933AE0" w:rsidP="00933AE0">
            <w:pPr>
              <w:spacing w:line="240" w:lineRule="auto"/>
              <w:jc w:val="left"/>
              <w:rPr>
                <w:color w:val="000000"/>
                <w:lang w:val="en-US" w:bidi="bn-BD"/>
              </w:rPr>
            </w:pPr>
            <w:r w:rsidRPr="00933AE0">
              <w:rPr>
                <w:color w:val="000000"/>
                <w:lang w:val="en-US" w:bidi="bn-BD"/>
              </w:rPr>
              <w:t>0.91</w:t>
            </w:r>
          </w:p>
        </w:tc>
        <w:tc>
          <w:tcPr>
            <w:tcW w:w="1118" w:type="dxa"/>
            <w:tcBorders>
              <w:top w:val="nil"/>
              <w:left w:val="nil"/>
              <w:bottom w:val="single" w:sz="4" w:space="0" w:color="auto"/>
              <w:right w:val="single" w:sz="4" w:space="0" w:color="auto"/>
            </w:tcBorders>
            <w:noWrap/>
            <w:hideMark/>
          </w:tcPr>
          <w:p w14:paraId="7882CAE3" w14:textId="77777777" w:rsidR="00933AE0" w:rsidRPr="00933AE0" w:rsidRDefault="00933AE0" w:rsidP="00933AE0">
            <w:pPr>
              <w:spacing w:line="240" w:lineRule="auto"/>
              <w:jc w:val="left"/>
              <w:rPr>
                <w:color w:val="000000"/>
                <w:lang w:val="en-US" w:bidi="bn-BD"/>
              </w:rPr>
            </w:pPr>
            <w:r w:rsidRPr="00933AE0">
              <w:rPr>
                <w:color w:val="000000"/>
                <w:lang w:val="en-US" w:bidi="bn-BD"/>
              </w:rPr>
              <w:t>0.93</w:t>
            </w:r>
          </w:p>
        </w:tc>
        <w:tc>
          <w:tcPr>
            <w:tcW w:w="1119" w:type="dxa"/>
            <w:tcBorders>
              <w:top w:val="nil"/>
              <w:left w:val="nil"/>
              <w:bottom w:val="single" w:sz="4" w:space="0" w:color="auto"/>
              <w:right w:val="single" w:sz="4" w:space="0" w:color="auto"/>
            </w:tcBorders>
            <w:noWrap/>
            <w:hideMark/>
          </w:tcPr>
          <w:p w14:paraId="4CAE617F" w14:textId="77777777" w:rsidR="00933AE0" w:rsidRPr="00933AE0" w:rsidRDefault="00933AE0" w:rsidP="00933AE0">
            <w:pPr>
              <w:spacing w:line="240" w:lineRule="auto"/>
              <w:jc w:val="left"/>
              <w:rPr>
                <w:color w:val="000000"/>
                <w:lang w:val="en-US" w:bidi="bn-BD"/>
              </w:rPr>
            </w:pPr>
            <w:r w:rsidRPr="00933AE0">
              <w:rPr>
                <w:color w:val="000000"/>
                <w:lang w:val="en-US" w:bidi="bn-BD"/>
              </w:rPr>
              <w:t>1.15</w:t>
            </w:r>
          </w:p>
        </w:tc>
      </w:tr>
      <w:tr w:rsidR="00933AE0" w:rsidRPr="00933AE0" w14:paraId="23C2ADEB"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0429DDAF" w14:textId="77777777" w:rsidR="00933AE0" w:rsidRPr="00933AE0" w:rsidRDefault="00933AE0" w:rsidP="00933AE0">
            <w:pPr>
              <w:spacing w:line="240" w:lineRule="auto"/>
              <w:jc w:val="left"/>
              <w:rPr>
                <w:color w:val="000000"/>
                <w:lang w:val="en-US" w:bidi="bn-BD"/>
              </w:rPr>
            </w:pPr>
            <w:r w:rsidRPr="00933AE0">
              <w:rPr>
                <w:color w:val="000000"/>
                <w:lang w:val="en-US" w:bidi="bn-BD"/>
              </w:rPr>
              <w:t>Cash Ratio (Cash &amp; Cash Equivalent/ Current Liability)</w:t>
            </w:r>
          </w:p>
        </w:tc>
        <w:tc>
          <w:tcPr>
            <w:tcW w:w="1118" w:type="dxa"/>
            <w:tcBorders>
              <w:top w:val="nil"/>
              <w:left w:val="nil"/>
              <w:bottom w:val="single" w:sz="4" w:space="0" w:color="auto"/>
              <w:right w:val="single" w:sz="4" w:space="0" w:color="auto"/>
            </w:tcBorders>
            <w:noWrap/>
            <w:hideMark/>
          </w:tcPr>
          <w:p w14:paraId="552A36F3" w14:textId="77777777" w:rsidR="00933AE0" w:rsidRPr="00933AE0" w:rsidRDefault="00933AE0" w:rsidP="00933AE0">
            <w:pPr>
              <w:spacing w:line="240" w:lineRule="auto"/>
              <w:jc w:val="left"/>
              <w:rPr>
                <w:color w:val="000000"/>
                <w:lang w:val="en-US" w:bidi="bn-BD"/>
              </w:rPr>
            </w:pPr>
            <w:r w:rsidRPr="00933AE0">
              <w:rPr>
                <w:color w:val="000000"/>
                <w:lang w:val="en-US" w:bidi="bn-BD"/>
              </w:rPr>
              <w:t>0.17</w:t>
            </w:r>
          </w:p>
        </w:tc>
        <w:tc>
          <w:tcPr>
            <w:tcW w:w="1118" w:type="dxa"/>
            <w:tcBorders>
              <w:top w:val="nil"/>
              <w:left w:val="nil"/>
              <w:bottom w:val="single" w:sz="4" w:space="0" w:color="auto"/>
              <w:right w:val="single" w:sz="4" w:space="0" w:color="auto"/>
            </w:tcBorders>
            <w:noWrap/>
            <w:hideMark/>
          </w:tcPr>
          <w:p w14:paraId="4F8AE0D8" w14:textId="77777777" w:rsidR="00933AE0" w:rsidRPr="00933AE0" w:rsidRDefault="00933AE0" w:rsidP="00933AE0">
            <w:pPr>
              <w:spacing w:line="240" w:lineRule="auto"/>
              <w:jc w:val="left"/>
              <w:rPr>
                <w:color w:val="000000"/>
                <w:lang w:val="en-US" w:bidi="bn-BD"/>
              </w:rPr>
            </w:pPr>
            <w:r w:rsidRPr="00933AE0">
              <w:rPr>
                <w:color w:val="000000"/>
                <w:lang w:val="en-US" w:bidi="bn-BD"/>
              </w:rPr>
              <w:t>0.27</w:t>
            </w:r>
          </w:p>
        </w:tc>
        <w:tc>
          <w:tcPr>
            <w:tcW w:w="1118" w:type="dxa"/>
            <w:tcBorders>
              <w:top w:val="nil"/>
              <w:left w:val="nil"/>
              <w:bottom w:val="single" w:sz="4" w:space="0" w:color="auto"/>
              <w:right w:val="single" w:sz="4" w:space="0" w:color="auto"/>
            </w:tcBorders>
            <w:noWrap/>
            <w:hideMark/>
          </w:tcPr>
          <w:p w14:paraId="1DE08CC5" w14:textId="77777777" w:rsidR="00933AE0" w:rsidRPr="00933AE0" w:rsidRDefault="00933AE0" w:rsidP="00933AE0">
            <w:pPr>
              <w:spacing w:line="240" w:lineRule="auto"/>
              <w:jc w:val="left"/>
              <w:rPr>
                <w:color w:val="000000"/>
                <w:lang w:val="en-US" w:bidi="bn-BD"/>
              </w:rPr>
            </w:pPr>
            <w:r w:rsidRPr="00933AE0">
              <w:rPr>
                <w:color w:val="000000"/>
                <w:lang w:val="en-US" w:bidi="bn-BD"/>
              </w:rPr>
              <w:t>0.31</w:t>
            </w:r>
          </w:p>
        </w:tc>
        <w:tc>
          <w:tcPr>
            <w:tcW w:w="1118" w:type="dxa"/>
            <w:tcBorders>
              <w:top w:val="nil"/>
              <w:left w:val="nil"/>
              <w:bottom w:val="single" w:sz="4" w:space="0" w:color="auto"/>
              <w:right w:val="single" w:sz="4" w:space="0" w:color="auto"/>
            </w:tcBorders>
            <w:noWrap/>
            <w:hideMark/>
          </w:tcPr>
          <w:p w14:paraId="4A853449" w14:textId="77777777" w:rsidR="00933AE0" w:rsidRPr="00933AE0" w:rsidRDefault="00933AE0" w:rsidP="00933AE0">
            <w:pPr>
              <w:spacing w:line="240" w:lineRule="auto"/>
              <w:jc w:val="left"/>
              <w:rPr>
                <w:color w:val="000000"/>
                <w:lang w:val="en-US" w:bidi="bn-BD"/>
              </w:rPr>
            </w:pPr>
            <w:r w:rsidRPr="00933AE0">
              <w:rPr>
                <w:color w:val="000000"/>
                <w:lang w:val="en-US" w:bidi="bn-BD"/>
              </w:rPr>
              <w:t>0.28</w:t>
            </w:r>
          </w:p>
        </w:tc>
        <w:tc>
          <w:tcPr>
            <w:tcW w:w="1119" w:type="dxa"/>
            <w:tcBorders>
              <w:top w:val="nil"/>
              <w:left w:val="nil"/>
              <w:bottom w:val="single" w:sz="4" w:space="0" w:color="auto"/>
              <w:right w:val="single" w:sz="4" w:space="0" w:color="auto"/>
            </w:tcBorders>
            <w:noWrap/>
            <w:hideMark/>
          </w:tcPr>
          <w:p w14:paraId="7333C2BC" w14:textId="77777777" w:rsidR="00933AE0" w:rsidRPr="00933AE0" w:rsidRDefault="00933AE0" w:rsidP="00933AE0">
            <w:pPr>
              <w:spacing w:line="240" w:lineRule="auto"/>
              <w:jc w:val="left"/>
              <w:rPr>
                <w:color w:val="000000"/>
                <w:lang w:val="en-US" w:bidi="bn-BD"/>
              </w:rPr>
            </w:pPr>
            <w:r w:rsidRPr="00933AE0">
              <w:rPr>
                <w:color w:val="000000"/>
                <w:lang w:val="en-US" w:bidi="bn-BD"/>
              </w:rPr>
              <w:t>0.32</w:t>
            </w:r>
          </w:p>
        </w:tc>
      </w:tr>
      <w:tr w:rsidR="00D100F7" w:rsidRPr="00933AE0" w14:paraId="24A5857F"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7E96E15D"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7D50BA8C"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2024</w:t>
            </w:r>
          </w:p>
        </w:tc>
        <w:tc>
          <w:tcPr>
            <w:tcW w:w="1118" w:type="dxa"/>
            <w:tcBorders>
              <w:top w:val="nil"/>
              <w:left w:val="nil"/>
              <w:bottom w:val="single" w:sz="4" w:space="0" w:color="auto"/>
              <w:right w:val="single" w:sz="4" w:space="0" w:color="auto"/>
            </w:tcBorders>
            <w:noWrap/>
            <w:hideMark/>
          </w:tcPr>
          <w:p w14:paraId="1D11802D"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2023</w:t>
            </w:r>
          </w:p>
        </w:tc>
        <w:tc>
          <w:tcPr>
            <w:tcW w:w="1118" w:type="dxa"/>
            <w:tcBorders>
              <w:top w:val="nil"/>
              <w:left w:val="nil"/>
              <w:bottom w:val="single" w:sz="4" w:space="0" w:color="auto"/>
              <w:right w:val="single" w:sz="4" w:space="0" w:color="auto"/>
            </w:tcBorders>
            <w:noWrap/>
            <w:hideMark/>
          </w:tcPr>
          <w:p w14:paraId="436F06CE"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2022</w:t>
            </w:r>
          </w:p>
        </w:tc>
        <w:tc>
          <w:tcPr>
            <w:tcW w:w="1118" w:type="dxa"/>
            <w:tcBorders>
              <w:top w:val="nil"/>
              <w:left w:val="nil"/>
              <w:bottom w:val="single" w:sz="4" w:space="0" w:color="auto"/>
              <w:right w:val="single" w:sz="4" w:space="0" w:color="auto"/>
            </w:tcBorders>
            <w:noWrap/>
            <w:hideMark/>
          </w:tcPr>
          <w:p w14:paraId="1564D91E"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2021</w:t>
            </w:r>
          </w:p>
        </w:tc>
        <w:tc>
          <w:tcPr>
            <w:tcW w:w="1119" w:type="dxa"/>
            <w:tcBorders>
              <w:top w:val="nil"/>
              <w:left w:val="nil"/>
              <w:bottom w:val="single" w:sz="4" w:space="0" w:color="auto"/>
              <w:right w:val="single" w:sz="4" w:space="0" w:color="auto"/>
            </w:tcBorders>
            <w:noWrap/>
            <w:hideMark/>
          </w:tcPr>
          <w:p w14:paraId="58EA03ED"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2020</w:t>
            </w:r>
          </w:p>
        </w:tc>
      </w:tr>
      <w:tr w:rsidR="00D100F7" w:rsidRPr="00933AE0" w14:paraId="1F23FCF9" w14:textId="77777777" w:rsidTr="00D100F7">
        <w:trPr>
          <w:trHeight w:val="525"/>
        </w:trPr>
        <w:tc>
          <w:tcPr>
            <w:tcW w:w="7983" w:type="dxa"/>
            <w:tcBorders>
              <w:top w:val="nil"/>
              <w:left w:val="single" w:sz="4" w:space="0" w:color="auto"/>
              <w:bottom w:val="single" w:sz="4" w:space="0" w:color="auto"/>
              <w:right w:val="single" w:sz="4" w:space="0" w:color="auto"/>
            </w:tcBorders>
            <w:shd w:val="clear" w:color="auto" w:fill="FBD4B4" w:themeFill="accent6" w:themeFillTint="66"/>
            <w:noWrap/>
            <w:hideMark/>
          </w:tcPr>
          <w:p w14:paraId="7CFF3046" w14:textId="77777777" w:rsidR="00D100F7" w:rsidRPr="00933AE0" w:rsidRDefault="00D100F7" w:rsidP="00933AE0">
            <w:pPr>
              <w:spacing w:line="240" w:lineRule="auto"/>
              <w:jc w:val="left"/>
              <w:rPr>
                <w:b/>
                <w:bCs/>
                <w:color w:val="000000"/>
                <w:lang w:val="en-US" w:bidi="bn-BD"/>
              </w:rPr>
            </w:pPr>
            <w:r w:rsidRPr="00933AE0">
              <w:rPr>
                <w:b/>
                <w:bCs/>
                <w:color w:val="000000"/>
                <w:lang w:val="en-US" w:bidi="bn-BD"/>
              </w:rPr>
              <w:t>Efficiency Ratio</w:t>
            </w:r>
          </w:p>
        </w:tc>
        <w:tc>
          <w:tcPr>
            <w:tcW w:w="1118" w:type="dxa"/>
            <w:tcBorders>
              <w:top w:val="nil"/>
              <w:left w:val="nil"/>
              <w:bottom w:val="single" w:sz="4" w:space="0" w:color="auto"/>
              <w:right w:val="single" w:sz="4" w:space="0" w:color="auto"/>
            </w:tcBorders>
            <w:noWrap/>
            <w:hideMark/>
          </w:tcPr>
          <w:p w14:paraId="64EBF725"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4B754119"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6C4F432E"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37D13984"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9" w:type="dxa"/>
            <w:tcBorders>
              <w:top w:val="nil"/>
              <w:left w:val="nil"/>
              <w:bottom w:val="single" w:sz="4" w:space="0" w:color="auto"/>
              <w:right w:val="single" w:sz="4" w:space="0" w:color="auto"/>
            </w:tcBorders>
            <w:noWrap/>
            <w:hideMark/>
          </w:tcPr>
          <w:p w14:paraId="709855E4"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r>
      <w:tr w:rsidR="00D100F7" w:rsidRPr="00933AE0" w14:paraId="67992CB8"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42AC9A93" w14:textId="77777777" w:rsidR="00D100F7" w:rsidRPr="00933AE0" w:rsidRDefault="00D100F7" w:rsidP="00933AE0">
            <w:pPr>
              <w:spacing w:line="240" w:lineRule="auto"/>
              <w:jc w:val="left"/>
              <w:rPr>
                <w:color w:val="000000"/>
                <w:lang w:val="en-US" w:bidi="bn-BD"/>
              </w:rPr>
            </w:pPr>
            <w:r w:rsidRPr="00933AE0">
              <w:rPr>
                <w:color w:val="000000"/>
                <w:lang w:val="en-US" w:bidi="bn-BD"/>
              </w:rPr>
              <w:lastRenderedPageBreak/>
              <w:t>Inventory Turnover Ratio (COGS / Average Inventory)</w:t>
            </w:r>
          </w:p>
        </w:tc>
        <w:tc>
          <w:tcPr>
            <w:tcW w:w="1118" w:type="dxa"/>
            <w:tcBorders>
              <w:top w:val="nil"/>
              <w:left w:val="nil"/>
              <w:bottom w:val="single" w:sz="4" w:space="0" w:color="auto"/>
              <w:right w:val="single" w:sz="4" w:space="0" w:color="auto"/>
            </w:tcBorders>
            <w:noWrap/>
            <w:hideMark/>
          </w:tcPr>
          <w:p w14:paraId="72B2C321" w14:textId="77777777" w:rsidR="00D100F7" w:rsidRPr="00933AE0" w:rsidRDefault="00D100F7" w:rsidP="00933AE0">
            <w:pPr>
              <w:spacing w:line="240" w:lineRule="auto"/>
              <w:jc w:val="left"/>
              <w:rPr>
                <w:color w:val="000000"/>
                <w:lang w:val="en-US" w:bidi="bn-BD"/>
              </w:rPr>
            </w:pPr>
            <w:r w:rsidRPr="00933AE0">
              <w:rPr>
                <w:color w:val="000000"/>
                <w:lang w:val="en-US" w:bidi="bn-BD"/>
              </w:rPr>
              <w:t>3.35</w:t>
            </w:r>
          </w:p>
        </w:tc>
        <w:tc>
          <w:tcPr>
            <w:tcW w:w="1118" w:type="dxa"/>
            <w:tcBorders>
              <w:top w:val="nil"/>
              <w:left w:val="nil"/>
              <w:bottom w:val="single" w:sz="4" w:space="0" w:color="auto"/>
              <w:right w:val="single" w:sz="4" w:space="0" w:color="auto"/>
            </w:tcBorders>
            <w:noWrap/>
            <w:hideMark/>
          </w:tcPr>
          <w:p w14:paraId="4EF4BF00" w14:textId="77777777" w:rsidR="00D100F7" w:rsidRPr="00933AE0" w:rsidRDefault="00D100F7" w:rsidP="00933AE0">
            <w:pPr>
              <w:spacing w:line="240" w:lineRule="auto"/>
              <w:jc w:val="left"/>
              <w:rPr>
                <w:color w:val="000000"/>
                <w:lang w:val="en-US" w:bidi="bn-BD"/>
              </w:rPr>
            </w:pPr>
            <w:r w:rsidRPr="00933AE0">
              <w:rPr>
                <w:color w:val="000000"/>
                <w:lang w:val="en-US" w:bidi="bn-BD"/>
              </w:rPr>
              <w:t>2.83</w:t>
            </w:r>
          </w:p>
        </w:tc>
        <w:tc>
          <w:tcPr>
            <w:tcW w:w="1118" w:type="dxa"/>
            <w:tcBorders>
              <w:top w:val="nil"/>
              <w:left w:val="nil"/>
              <w:bottom w:val="single" w:sz="4" w:space="0" w:color="auto"/>
              <w:right w:val="single" w:sz="4" w:space="0" w:color="auto"/>
            </w:tcBorders>
            <w:noWrap/>
            <w:hideMark/>
          </w:tcPr>
          <w:p w14:paraId="1E504023" w14:textId="77777777" w:rsidR="00D100F7" w:rsidRPr="00933AE0" w:rsidRDefault="00D100F7" w:rsidP="00933AE0">
            <w:pPr>
              <w:spacing w:line="240" w:lineRule="auto"/>
              <w:jc w:val="left"/>
              <w:rPr>
                <w:color w:val="000000"/>
                <w:lang w:val="en-US" w:bidi="bn-BD"/>
              </w:rPr>
            </w:pPr>
            <w:r w:rsidRPr="00933AE0">
              <w:rPr>
                <w:color w:val="000000"/>
                <w:lang w:val="en-US" w:bidi="bn-BD"/>
              </w:rPr>
              <w:t>2.84</w:t>
            </w:r>
          </w:p>
        </w:tc>
        <w:tc>
          <w:tcPr>
            <w:tcW w:w="1118" w:type="dxa"/>
            <w:tcBorders>
              <w:top w:val="nil"/>
              <w:left w:val="nil"/>
              <w:bottom w:val="single" w:sz="4" w:space="0" w:color="auto"/>
              <w:right w:val="single" w:sz="4" w:space="0" w:color="auto"/>
            </w:tcBorders>
            <w:noWrap/>
            <w:hideMark/>
          </w:tcPr>
          <w:p w14:paraId="07B95017" w14:textId="77777777" w:rsidR="00D100F7" w:rsidRPr="00933AE0" w:rsidRDefault="00D100F7" w:rsidP="00933AE0">
            <w:pPr>
              <w:spacing w:line="240" w:lineRule="auto"/>
              <w:jc w:val="left"/>
              <w:rPr>
                <w:color w:val="000000"/>
                <w:lang w:val="en-US" w:bidi="bn-BD"/>
              </w:rPr>
            </w:pPr>
            <w:r w:rsidRPr="00933AE0">
              <w:rPr>
                <w:color w:val="000000"/>
                <w:lang w:val="en-US" w:bidi="bn-BD"/>
              </w:rPr>
              <w:t>3.36</w:t>
            </w:r>
          </w:p>
        </w:tc>
        <w:tc>
          <w:tcPr>
            <w:tcW w:w="1119" w:type="dxa"/>
            <w:tcBorders>
              <w:top w:val="nil"/>
              <w:left w:val="nil"/>
              <w:bottom w:val="single" w:sz="4" w:space="0" w:color="auto"/>
              <w:right w:val="single" w:sz="4" w:space="0" w:color="auto"/>
            </w:tcBorders>
            <w:noWrap/>
            <w:hideMark/>
          </w:tcPr>
          <w:p w14:paraId="6B423FDF" w14:textId="77777777" w:rsidR="00D100F7" w:rsidRPr="00933AE0" w:rsidRDefault="00D100F7" w:rsidP="00933AE0">
            <w:pPr>
              <w:spacing w:line="240" w:lineRule="auto"/>
              <w:jc w:val="left"/>
              <w:rPr>
                <w:color w:val="000000"/>
                <w:lang w:val="en-US" w:bidi="bn-BD"/>
              </w:rPr>
            </w:pPr>
            <w:r w:rsidRPr="00933AE0">
              <w:rPr>
                <w:color w:val="000000"/>
                <w:lang w:val="en-US" w:bidi="bn-BD"/>
              </w:rPr>
              <w:t>3.64</w:t>
            </w:r>
          </w:p>
        </w:tc>
      </w:tr>
      <w:tr w:rsidR="00D100F7" w:rsidRPr="00933AE0" w14:paraId="02C7A04B"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7A557F75" w14:textId="77777777" w:rsidR="00D100F7" w:rsidRPr="00933AE0" w:rsidRDefault="00D100F7" w:rsidP="00933AE0">
            <w:pPr>
              <w:spacing w:line="240" w:lineRule="auto"/>
              <w:jc w:val="left"/>
              <w:rPr>
                <w:color w:val="000000"/>
                <w:lang w:val="en-US" w:bidi="bn-BD"/>
              </w:rPr>
            </w:pPr>
            <w:r w:rsidRPr="00933AE0">
              <w:rPr>
                <w:color w:val="000000"/>
                <w:lang w:val="en-US" w:bidi="bn-BD"/>
              </w:rPr>
              <w:t>Receivables Collection Period (Trade Receivables / Revenue) × 365</w:t>
            </w:r>
          </w:p>
        </w:tc>
        <w:tc>
          <w:tcPr>
            <w:tcW w:w="1118" w:type="dxa"/>
            <w:tcBorders>
              <w:top w:val="nil"/>
              <w:left w:val="nil"/>
              <w:bottom w:val="single" w:sz="4" w:space="0" w:color="auto"/>
              <w:right w:val="single" w:sz="4" w:space="0" w:color="auto"/>
            </w:tcBorders>
            <w:noWrap/>
            <w:hideMark/>
          </w:tcPr>
          <w:p w14:paraId="3D07ABEE" w14:textId="77777777" w:rsidR="00D100F7" w:rsidRPr="00933AE0" w:rsidRDefault="00D100F7" w:rsidP="00933AE0">
            <w:pPr>
              <w:spacing w:line="240" w:lineRule="auto"/>
              <w:jc w:val="left"/>
              <w:rPr>
                <w:color w:val="000000"/>
                <w:lang w:val="en-US" w:bidi="bn-BD"/>
              </w:rPr>
            </w:pPr>
            <w:r w:rsidRPr="00933AE0">
              <w:rPr>
                <w:color w:val="000000"/>
                <w:lang w:val="en-US" w:bidi="bn-BD"/>
              </w:rPr>
              <w:t>105.54</w:t>
            </w:r>
          </w:p>
        </w:tc>
        <w:tc>
          <w:tcPr>
            <w:tcW w:w="1118" w:type="dxa"/>
            <w:tcBorders>
              <w:top w:val="nil"/>
              <w:left w:val="nil"/>
              <w:bottom w:val="single" w:sz="4" w:space="0" w:color="auto"/>
              <w:right w:val="single" w:sz="4" w:space="0" w:color="auto"/>
            </w:tcBorders>
            <w:noWrap/>
            <w:hideMark/>
          </w:tcPr>
          <w:p w14:paraId="6A5BB009" w14:textId="77777777" w:rsidR="00D100F7" w:rsidRPr="00933AE0" w:rsidRDefault="00D100F7" w:rsidP="00933AE0">
            <w:pPr>
              <w:spacing w:line="240" w:lineRule="auto"/>
              <w:jc w:val="left"/>
              <w:rPr>
                <w:color w:val="000000"/>
                <w:lang w:val="en-US" w:bidi="bn-BD"/>
              </w:rPr>
            </w:pPr>
            <w:r w:rsidRPr="00933AE0">
              <w:rPr>
                <w:color w:val="000000"/>
                <w:lang w:val="en-US" w:bidi="bn-BD"/>
              </w:rPr>
              <w:t>97.74</w:t>
            </w:r>
          </w:p>
        </w:tc>
        <w:tc>
          <w:tcPr>
            <w:tcW w:w="1118" w:type="dxa"/>
            <w:tcBorders>
              <w:top w:val="nil"/>
              <w:left w:val="nil"/>
              <w:bottom w:val="single" w:sz="4" w:space="0" w:color="auto"/>
              <w:right w:val="single" w:sz="4" w:space="0" w:color="auto"/>
            </w:tcBorders>
            <w:noWrap/>
            <w:hideMark/>
          </w:tcPr>
          <w:p w14:paraId="5A7D3CA8" w14:textId="77777777" w:rsidR="00D100F7" w:rsidRPr="00933AE0" w:rsidRDefault="00D100F7" w:rsidP="00933AE0">
            <w:pPr>
              <w:spacing w:line="240" w:lineRule="auto"/>
              <w:jc w:val="left"/>
              <w:rPr>
                <w:color w:val="000000"/>
                <w:lang w:val="en-US" w:bidi="bn-BD"/>
              </w:rPr>
            </w:pPr>
            <w:r w:rsidRPr="00933AE0">
              <w:rPr>
                <w:color w:val="000000"/>
                <w:lang w:val="en-US" w:bidi="bn-BD"/>
              </w:rPr>
              <w:t>75.55</w:t>
            </w:r>
          </w:p>
        </w:tc>
        <w:tc>
          <w:tcPr>
            <w:tcW w:w="1118" w:type="dxa"/>
            <w:tcBorders>
              <w:top w:val="nil"/>
              <w:left w:val="nil"/>
              <w:bottom w:val="single" w:sz="4" w:space="0" w:color="auto"/>
              <w:right w:val="single" w:sz="4" w:space="0" w:color="auto"/>
            </w:tcBorders>
            <w:noWrap/>
            <w:hideMark/>
          </w:tcPr>
          <w:p w14:paraId="118CEEBF" w14:textId="77777777" w:rsidR="00D100F7" w:rsidRPr="00933AE0" w:rsidRDefault="00D100F7" w:rsidP="00933AE0">
            <w:pPr>
              <w:spacing w:line="240" w:lineRule="auto"/>
              <w:jc w:val="left"/>
              <w:rPr>
                <w:color w:val="000000"/>
                <w:lang w:val="en-US" w:bidi="bn-BD"/>
              </w:rPr>
            </w:pPr>
            <w:r w:rsidRPr="00933AE0">
              <w:rPr>
                <w:color w:val="000000"/>
                <w:lang w:val="en-US" w:bidi="bn-BD"/>
              </w:rPr>
              <w:t>78.40</w:t>
            </w:r>
          </w:p>
        </w:tc>
        <w:tc>
          <w:tcPr>
            <w:tcW w:w="1119" w:type="dxa"/>
            <w:tcBorders>
              <w:top w:val="nil"/>
              <w:left w:val="nil"/>
              <w:bottom w:val="single" w:sz="4" w:space="0" w:color="auto"/>
              <w:right w:val="single" w:sz="4" w:space="0" w:color="auto"/>
            </w:tcBorders>
            <w:noWrap/>
            <w:hideMark/>
          </w:tcPr>
          <w:p w14:paraId="66AFD693" w14:textId="77777777" w:rsidR="00D100F7" w:rsidRPr="00933AE0" w:rsidRDefault="00D100F7" w:rsidP="00933AE0">
            <w:pPr>
              <w:spacing w:line="240" w:lineRule="auto"/>
              <w:jc w:val="left"/>
              <w:rPr>
                <w:color w:val="000000"/>
                <w:lang w:val="en-US" w:bidi="bn-BD"/>
              </w:rPr>
            </w:pPr>
            <w:r w:rsidRPr="00933AE0">
              <w:rPr>
                <w:color w:val="000000"/>
                <w:lang w:val="en-US" w:bidi="bn-BD"/>
              </w:rPr>
              <w:t>76.86</w:t>
            </w:r>
          </w:p>
        </w:tc>
      </w:tr>
      <w:tr w:rsidR="00D100F7" w:rsidRPr="00933AE0" w14:paraId="4C7E6AE6"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3F5D1D63" w14:textId="77777777" w:rsidR="00D100F7" w:rsidRPr="00933AE0" w:rsidRDefault="00D100F7" w:rsidP="00933AE0">
            <w:pPr>
              <w:spacing w:line="240" w:lineRule="auto"/>
              <w:jc w:val="left"/>
              <w:rPr>
                <w:color w:val="000000"/>
                <w:lang w:val="en-US" w:bidi="bn-BD"/>
              </w:rPr>
            </w:pPr>
            <w:r w:rsidRPr="00933AE0">
              <w:rPr>
                <w:color w:val="000000"/>
                <w:lang w:val="en-US" w:bidi="bn-BD"/>
              </w:rPr>
              <w:t xml:space="preserve">Payables Payment </w:t>
            </w:r>
            <w:proofErr w:type="gramStart"/>
            <w:r w:rsidRPr="00933AE0">
              <w:rPr>
                <w:color w:val="000000"/>
                <w:lang w:val="en-US" w:bidi="bn-BD"/>
              </w:rPr>
              <w:t>Period  (</w:t>
            </w:r>
            <w:proofErr w:type="gramEnd"/>
            <w:r w:rsidRPr="00933AE0">
              <w:rPr>
                <w:color w:val="000000"/>
                <w:lang w:val="en-US" w:bidi="bn-BD"/>
              </w:rPr>
              <w:t>Trade Payables / COGS) × 365</w:t>
            </w:r>
          </w:p>
        </w:tc>
        <w:tc>
          <w:tcPr>
            <w:tcW w:w="1118" w:type="dxa"/>
            <w:tcBorders>
              <w:top w:val="nil"/>
              <w:left w:val="nil"/>
              <w:bottom w:val="single" w:sz="4" w:space="0" w:color="auto"/>
              <w:right w:val="single" w:sz="4" w:space="0" w:color="auto"/>
            </w:tcBorders>
            <w:noWrap/>
            <w:hideMark/>
          </w:tcPr>
          <w:p w14:paraId="723D2506" w14:textId="77777777" w:rsidR="00D100F7" w:rsidRPr="00933AE0" w:rsidRDefault="00D100F7" w:rsidP="00933AE0">
            <w:pPr>
              <w:spacing w:line="240" w:lineRule="auto"/>
              <w:jc w:val="left"/>
              <w:rPr>
                <w:color w:val="000000"/>
                <w:lang w:val="en-US" w:bidi="bn-BD"/>
              </w:rPr>
            </w:pPr>
            <w:r w:rsidRPr="00933AE0">
              <w:rPr>
                <w:color w:val="000000"/>
                <w:lang w:val="en-US" w:bidi="bn-BD"/>
              </w:rPr>
              <w:t>93.60</w:t>
            </w:r>
          </w:p>
        </w:tc>
        <w:tc>
          <w:tcPr>
            <w:tcW w:w="1118" w:type="dxa"/>
            <w:tcBorders>
              <w:top w:val="nil"/>
              <w:left w:val="nil"/>
              <w:bottom w:val="single" w:sz="4" w:space="0" w:color="auto"/>
              <w:right w:val="single" w:sz="4" w:space="0" w:color="auto"/>
            </w:tcBorders>
            <w:noWrap/>
            <w:hideMark/>
          </w:tcPr>
          <w:p w14:paraId="2EC241A7" w14:textId="77777777" w:rsidR="00D100F7" w:rsidRPr="00933AE0" w:rsidRDefault="00D100F7" w:rsidP="00933AE0">
            <w:pPr>
              <w:spacing w:line="240" w:lineRule="auto"/>
              <w:jc w:val="left"/>
              <w:rPr>
                <w:color w:val="000000"/>
                <w:lang w:val="en-US" w:bidi="bn-BD"/>
              </w:rPr>
            </w:pPr>
            <w:r w:rsidRPr="00933AE0">
              <w:rPr>
                <w:color w:val="000000"/>
                <w:lang w:val="en-US" w:bidi="bn-BD"/>
              </w:rPr>
              <w:t>64.47</w:t>
            </w:r>
          </w:p>
        </w:tc>
        <w:tc>
          <w:tcPr>
            <w:tcW w:w="1118" w:type="dxa"/>
            <w:tcBorders>
              <w:top w:val="nil"/>
              <w:left w:val="nil"/>
              <w:bottom w:val="single" w:sz="4" w:space="0" w:color="auto"/>
              <w:right w:val="single" w:sz="4" w:space="0" w:color="auto"/>
            </w:tcBorders>
            <w:noWrap/>
            <w:hideMark/>
          </w:tcPr>
          <w:p w14:paraId="6D5D81DA" w14:textId="77777777" w:rsidR="00D100F7" w:rsidRPr="00933AE0" w:rsidRDefault="00D100F7" w:rsidP="00933AE0">
            <w:pPr>
              <w:spacing w:line="240" w:lineRule="auto"/>
              <w:jc w:val="left"/>
              <w:rPr>
                <w:color w:val="000000"/>
                <w:lang w:val="en-US" w:bidi="bn-BD"/>
              </w:rPr>
            </w:pPr>
            <w:r w:rsidRPr="00933AE0">
              <w:rPr>
                <w:color w:val="000000"/>
                <w:lang w:val="en-US" w:bidi="bn-BD"/>
              </w:rPr>
              <w:t>66.72</w:t>
            </w:r>
          </w:p>
        </w:tc>
        <w:tc>
          <w:tcPr>
            <w:tcW w:w="1118" w:type="dxa"/>
            <w:tcBorders>
              <w:top w:val="nil"/>
              <w:left w:val="nil"/>
              <w:bottom w:val="single" w:sz="4" w:space="0" w:color="auto"/>
              <w:right w:val="single" w:sz="4" w:space="0" w:color="auto"/>
            </w:tcBorders>
            <w:noWrap/>
            <w:hideMark/>
          </w:tcPr>
          <w:p w14:paraId="374B6E66" w14:textId="77777777" w:rsidR="00D100F7" w:rsidRPr="00933AE0" w:rsidRDefault="00D100F7" w:rsidP="00933AE0">
            <w:pPr>
              <w:spacing w:line="240" w:lineRule="auto"/>
              <w:jc w:val="left"/>
              <w:rPr>
                <w:color w:val="000000"/>
                <w:lang w:val="en-US" w:bidi="bn-BD"/>
              </w:rPr>
            </w:pPr>
            <w:r w:rsidRPr="00933AE0">
              <w:rPr>
                <w:color w:val="000000"/>
                <w:lang w:val="en-US" w:bidi="bn-BD"/>
              </w:rPr>
              <w:t>78.95</w:t>
            </w:r>
          </w:p>
        </w:tc>
        <w:tc>
          <w:tcPr>
            <w:tcW w:w="1119" w:type="dxa"/>
            <w:tcBorders>
              <w:top w:val="nil"/>
              <w:left w:val="nil"/>
              <w:bottom w:val="single" w:sz="4" w:space="0" w:color="auto"/>
              <w:right w:val="single" w:sz="4" w:space="0" w:color="auto"/>
            </w:tcBorders>
            <w:noWrap/>
            <w:hideMark/>
          </w:tcPr>
          <w:p w14:paraId="63D70F9A" w14:textId="77777777" w:rsidR="00D100F7" w:rsidRPr="00933AE0" w:rsidRDefault="00D100F7" w:rsidP="00933AE0">
            <w:pPr>
              <w:spacing w:line="240" w:lineRule="auto"/>
              <w:jc w:val="left"/>
              <w:rPr>
                <w:color w:val="000000"/>
                <w:lang w:val="en-US" w:bidi="bn-BD"/>
              </w:rPr>
            </w:pPr>
            <w:r w:rsidRPr="00933AE0">
              <w:rPr>
                <w:color w:val="000000"/>
                <w:lang w:val="en-US" w:bidi="bn-BD"/>
              </w:rPr>
              <w:t>69.29</w:t>
            </w:r>
          </w:p>
        </w:tc>
      </w:tr>
      <w:tr w:rsidR="00D100F7" w:rsidRPr="00933AE0" w14:paraId="3C830F9B"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28D7DF3C" w14:textId="77777777" w:rsidR="00D100F7" w:rsidRPr="00933AE0" w:rsidRDefault="00D100F7" w:rsidP="00933AE0">
            <w:pPr>
              <w:spacing w:line="240" w:lineRule="auto"/>
              <w:jc w:val="left"/>
              <w:rPr>
                <w:color w:val="000000"/>
                <w:lang w:val="en-US" w:bidi="bn-BD"/>
              </w:rPr>
            </w:pPr>
            <w:r w:rsidRPr="00933AE0">
              <w:rPr>
                <w:color w:val="000000"/>
                <w:lang w:val="en-US" w:bidi="bn-BD"/>
              </w:rPr>
              <w:t>Asset Turnover (Revenue / Total Assets)</w:t>
            </w:r>
          </w:p>
        </w:tc>
        <w:tc>
          <w:tcPr>
            <w:tcW w:w="1118" w:type="dxa"/>
            <w:tcBorders>
              <w:top w:val="nil"/>
              <w:left w:val="nil"/>
              <w:bottom w:val="single" w:sz="4" w:space="0" w:color="auto"/>
              <w:right w:val="single" w:sz="4" w:space="0" w:color="auto"/>
            </w:tcBorders>
            <w:noWrap/>
            <w:hideMark/>
          </w:tcPr>
          <w:p w14:paraId="7C9BC6ED" w14:textId="77777777" w:rsidR="00D100F7" w:rsidRPr="00933AE0" w:rsidRDefault="00D100F7" w:rsidP="00933AE0">
            <w:pPr>
              <w:spacing w:line="240" w:lineRule="auto"/>
              <w:jc w:val="left"/>
              <w:rPr>
                <w:color w:val="000000"/>
                <w:lang w:val="en-US" w:bidi="bn-BD"/>
              </w:rPr>
            </w:pPr>
            <w:r w:rsidRPr="00933AE0">
              <w:rPr>
                <w:color w:val="000000"/>
                <w:lang w:val="en-US" w:bidi="bn-BD"/>
              </w:rPr>
              <w:t>1.22</w:t>
            </w:r>
          </w:p>
        </w:tc>
        <w:tc>
          <w:tcPr>
            <w:tcW w:w="1118" w:type="dxa"/>
            <w:tcBorders>
              <w:top w:val="nil"/>
              <w:left w:val="nil"/>
              <w:bottom w:val="single" w:sz="4" w:space="0" w:color="auto"/>
              <w:right w:val="single" w:sz="4" w:space="0" w:color="auto"/>
            </w:tcBorders>
            <w:noWrap/>
            <w:hideMark/>
          </w:tcPr>
          <w:p w14:paraId="7F2B72E5" w14:textId="77777777" w:rsidR="00D100F7" w:rsidRPr="00933AE0" w:rsidRDefault="00D100F7" w:rsidP="00933AE0">
            <w:pPr>
              <w:spacing w:line="240" w:lineRule="auto"/>
              <w:jc w:val="left"/>
              <w:rPr>
                <w:color w:val="000000"/>
                <w:lang w:val="en-US" w:bidi="bn-BD"/>
              </w:rPr>
            </w:pPr>
            <w:r w:rsidRPr="00933AE0">
              <w:rPr>
                <w:color w:val="000000"/>
                <w:lang w:val="en-US" w:bidi="bn-BD"/>
              </w:rPr>
              <w:t>1.18</w:t>
            </w:r>
          </w:p>
        </w:tc>
        <w:tc>
          <w:tcPr>
            <w:tcW w:w="1118" w:type="dxa"/>
            <w:tcBorders>
              <w:top w:val="nil"/>
              <w:left w:val="nil"/>
              <w:bottom w:val="single" w:sz="4" w:space="0" w:color="auto"/>
              <w:right w:val="single" w:sz="4" w:space="0" w:color="auto"/>
            </w:tcBorders>
            <w:noWrap/>
            <w:hideMark/>
          </w:tcPr>
          <w:p w14:paraId="40E3C4AF" w14:textId="77777777" w:rsidR="00D100F7" w:rsidRPr="00933AE0" w:rsidRDefault="00D100F7" w:rsidP="00933AE0">
            <w:pPr>
              <w:spacing w:line="240" w:lineRule="auto"/>
              <w:jc w:val="left"/>
              <w:rPr>
                <w:color w:val="000000"/>
                <w:lang w:val="en-US" w:bidi="bn-BD"/>
              </w:rPr>
            </w:pPr>
            <w:r w:rsidRPr="00933AE0">
              <w:rPr>
                <w:color w:val="000000"/>
                <w:lang w:val="en-US" w:bidi="bn-BD"/>
              </w:rPr>
              <w:t>1.08</w:t>
            </w:r>
          </w:p>
        </w:tc>
        <w:tc>
          <w:tcPr>
            <w:tcW w:w="1118" w:type="dxa"/>
            <w:tcBorders>
              <w:top w:val="nil"/>
              <w:left w:val="nil"/>
              <w:bottom w:val="single" w:sz="4" w:space="0" w:color="auto"/>
              <w:right w:val="single" w:sz="4" w:space="0" w:color="auto"/>
            </w:tcBorders>
            <w:noWrap/>
            <w:hideMark/>
          </w:tcPr>
          <w:p w14:paraId="7CFD5366" w14:textId="77777777" w:rsidR="00D100F7" w:rsidRPr="00933AE0" w:rsidRDefault="00D100F7" w:rsidP="00933AE0">
            <w:pPr>
              <w:spacing w:line="240" w:lineRule="auto"/>
              <w:jc w:val="left"/>
              <w:rPr>
                <w:color w:val="000000"/>
                <w:lang w:val="en-US" w:bidi="bn-BD"/>
              </w:rPr>
            </w:pPr>
            <w:r w:rsidRPr="00933AE0">
              <w:rPr>
                <w:color w:val="000000"/>
                <w:lang w:val="en-US" w:bidi="bn-BD"/>
              </w:rPr>
              <w:t>1.18</w:t>
            </w:r>
          </w:p>
        </w:tc>
        <w:tc>
          <w:tcPr>
            <w:tcW w:w="1119" w:type="dxa"/>
            <w:tcBorders>
              <w:top w:val="nil"/>
              <w:left w:val="nil"/>
              <w:bottom w:val="single" w:sz="4" w:space="0" w:color="auto"/>
              <w:right w:val="single" w:sz="4" w:space="0" w:color="auto"/>
            </w:tcBorders>
            <w:noWrap/>
            <w:hideMark/>
          </w:tcPr>
          <w:p w14:paraId="1D756A7D" w14:textId="77777777" w:rsidR="00D100F7" w:rsidRPr="00933AE0" w:rsidRDefault="00D100F7" w:rsidP="00933AE0">
            <w:pPr>
              <w:spacing w:line="240" w:lineRule="auto"/>
              <w:jc w:val="left"/>
              <w:rPr>
                <w:color w:val="000000"/>
                <w:lang w:val="en-US" w:bidi="bn-BD"/>
              </w:rPr>
            </w:pPr>
            <w:r w:rsidRPr="00933AE0">
              <w:rPr>
                <w:color w:val="000000"/>
                <w:lang w:val="en-US" w:bidi="bn-BD"/>
              </w:rPr>
              <w:t>1.20</w:t>
            </w:r>
          </w:p>
        </w:tc>
      </w:tr>
      <w:tr w:rsidR="00D100F7" w:rsidRPr="00933AE0" w14:paraId="3C9EEF80"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0AFA911E"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499DDD47"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483EBB2B"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299F3A50"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5C8CD2CC"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9" w:type="dxa"/>
            <w:tcBorders>
              <w:top w:val="nil"/>
              <w:left w:val="nil"/>
              <w:bottom w:val="single" w:sz="4" w:space="0" w:color="auto"/>
              <w:right w:val="single" w:sz="4" w:space="0" w:color="auto"/>
            </w:tcBorders>
            <w:noWrap/>
            <w:hideMark/>
          </w:tcPr>
          <w:p w14:paraId="217FBDBE"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r>
      <w:tr w:rsidR="00D100F7" w:rsidRPr="00933AE0" w14:paraId="5865E56D" w14:textId="77777777" w:rsidTr="00D100F7">
        <w:trPr>
          <w:trHeight w:val="525"/>
        </w:trPr>
        <w:tc>
          <w:tcPr>
            <w:tcW w:w="7983" w:type="dxa"/>
            <w:tcBorders>
              <w:top w:val="nil"/>
              <w:left w:val="single" w:sz="4" w:space="0" w:color="auto"/>
              <w:bottom w:val="single" w:sz="4" w:space="0" w:color="auto"/>
              <w:right w:val="single" w:sz="4" w:space="0" w:color="auto"/>
            </w:tcBorders>
            <w:shd w:val="clear" w:color="auto" w:fill="B8CCE4" w:themeFill="accent1" w:themeFillTint="66"/>
            <w:noWrap/>
            <w:hideMark/>
          </w:tcPr>
          <w:p w14:paraId="3856D44C" w14:textId="77777777" w:rsidR="00D100F7" w:rsidRPr="00933AE0" w:rsidRDefault="00D100F7" w:rsidP="00933AE0">
            <w:pPr>
              <w:spacing w:line="240" w:lineRule="auto"/>
              <w:jc w:val="left"/>
              <w:rPr>
                <w:b/>
                <w:bCs/>
                <w:color w:val="000000"/>
                <w:lang w:val="en-US" w:bidi="bn-BD"/>
              </w:rPr>
            </w:pPr>
            <w:r w:rsidRPr="00933AE0">
              <w:rPr>
                <w:b/>
                <w:bCs/>
                <w:color w:val="000000"/>
                <w:lang w:val="en-US" w:bidi="bn-BD"/>
              </w:rPr>
              <w:t xml:space="preserve">Profitability Ratios </w:t>
            </w:r>
          </w:p>
        </w:tc>
        <w:tc>
          <w:tcPr>
            <w:tcW w:w="1118" w:type="dxa"/>
            <w:tcBorders>
              <w:top w:val="nil"/>
              <w:left w:val="nil"/>
              <w:bottom w:val="single" w:sz="4" w:space="0" w:color="auto"/>
              <w:right w:val="single" w:sz="4" w:space="0" w:color="auto"/>
            </w:tcBorders>
            <w:noWrap/>
            <w:hideMark/>
          </w:tcPr>
          <w:p w14:paraId="761B366E"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2024</w:t>
            </w:r>
          </w:p>
        </w:tc>
        <w:tc>
          <w:tcPr>
            <w:tcW w:w="1118" w:type="dxa"/>
            <w:tcBorders>
              <w:top w:val="nil"/>
              <w:left w:val="nil"/>
              <w:bottom w:val="single" w:sz="4" w:space="0" w:color="auto"/>
              <w:right w:val="single" w:sz="4" w:space="0" w:color="auto"/>
            </w:tcBorders>
            <w:noWrap/>
            <w:hideMark/>
          </w:tcPr>
          <w:p w14:paraId="0D041D77"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2023</w:t>
            </w:r>
          </w:p>
        </w:tc>
        <w:tc>
          <w:tcPr>
            <w:tcW w:w="1118" w:type="dxa"/>
            <w:tcBorders>
              <w:top w:val="nil"/>
              <w:left w:val="nil"/>
              <w:bottom w:val="single" w:sz="4" w:space="0" w:color="auto"/>
              <w:right w:val="single" w:sz="4" w:space="0" w:color="auto"/>
            </w:tcBorders>
            <w:noWrap/>
            <w:hideMark/>
          </w:tcPr>
          <w:p w14:paraId="71EB0950"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2022</w:t>
            </w:r>
          </w:p>
        </w:tc>
        <w:tc>
          <w:tcPr>
            <w:tcW w:w="1118" w:type="dxa"/>
            <w:tcBorders>
              <w:top w:val="nil"/>
              <w:left w:val="nil"/>
              <w:bottom w:val="single" w:sz="4" w:space="0" w:color="auto"/>
              <w:right w:val="single" w:sz="4" w:space="0" w:color="auto"/>
            </w:tcBorders>
            <w:noWrap/>
            <w:hideMark/>
          </w:tcPr>
          <w:p w14:paraId="60D12CE9"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2021</w:t>
            </w:r>
          </w:p>
        </w:tc>
        <w:tc>
          <w:tcPr>
            <w:tcW w:w="1119" w:type="dxa"/>
            <w:tcBorders>
              <w:top w:val="nil"/>
              <w:left w:val="nil"/>
              <w:bottom w:val="single" w:sz="4" w:space="0" w:color="auto"/>
              <w:right w:val="single" w:sz="4" w:space="0" w:color="auto"/>
            </w:tcBorders>
            <w:noWrap/>
            <w:hideMark/>
          </w:tcPr>
          <w:p w14:paraId="53B4C13B"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2020</w:t>
            </w:r>
          </w:p>
        </w:tc>
      </w:tr>
      <w:tr w:rsidR="00D100F7" w:rsidRPr="00933AE0" w14:paraId="77DD6C62"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581F5D24" w14:textId="77777777" w:rsidR="00D100F7" w:rsidRPr="00933AE0" w:rsidRDefault="00D100F7" w:rsidP="00933AE0">
            <w:pPr>
              <w:spacing w:line="240" w:lineRule="auto"/>
              <w:jc w:val="left"/>
              <w:rPr>
                <w:color w:val="000000"/>
                <w:lang w:val="en-US" w:bidi="bn-BD"/>
              </w:rPr>
            </w:pPr>
            <w:r w:rsidRPr="00933AE0">
              <w:rPr>
                <w:color w:val="000000"/>
                <w:lang w:val="en-US" w:bidi="bn-BD"/>
              </w:rPr>
              <w:t>Gross Profit Margin (Gross Profit / Revenue) × 100</w:t>
            </w:r>
          </w:p>
        </w:tc>
        <w:tc>
          <w:tcPr>
            <w:tcW w:w="1118" w:type="dxa"/>
            <w:tcBorders>
              <w:top w:val="nil"/>
              <w:left w:val="nil"/>
              <w:bottom w:val="single" w:sz="4" w:space="0" w:color="auto"/>
              <w:right w:val="single" w:sz="4" w:space="0" w:color="auto"/>
            </w:tcBorders>
            <w:noWrap/>
            <w:hideMark/>
          </w:tcPr>
          <w:p w14:paraId="4645000D" w14:textId="77777777" w:rsidR="00D100F7" w:rsidRPr="00933AE0" w:rsidRDefault="00D100F7" w:rsidP="00933AE0">
            <w:pPr>
              <w:spacing w:line="240" w:lineRule="auto"/>
              <w:jc w:val="left"/>
              <w:rPr>
                <w:color w:val="000000"/>
                <w:lang w:val="en-US" w:bidi="bn-BD"/>
              </w:rPr>
            </w:pPr>
            <w:r w:rsidRPr="00933AE0">
              <w:rPr>
                <w:color w:val="000000"/>
                <w:lang w:val="en-US" w:bidi="bn-BD"/>
              </w:rPr>
              <w:t>28.87%</w:t>
            </w:r>
          </w:p>
        </w:tc>
        <w:tc>
          <w:tcPr>
            <w:tcW w:w="1118" w:type="dxa"/>
            <w:tcBorders>
              <w:top w:val="nil"/>
              <w:left w:val="nil"/>
              <w:bottom w:val="single" w:sz="4" w:space="0" w:color="auto"/>
              <w:right w:val="single" w:sz="4" w:space="0" w:color="auto"/>
            </w:tcBorders>
            <w:noWrap/>
            <w:hideMark/>
          </w:tcPr>
          <w:p w14:paraId="601FC19F" w14:textId="77777777" w:rsidR="00D100F7" w:rsidRPr="00933AE0" w:rsidRDefault="00D100F7" w:rsidP="00933AE0">
            <w:pPr>
              <w:spacing w:line="240" w:lineRule="auto"/>
              <w:jc w:val="left"/>
              <w:rPr>
                <w:color w:val="000000"/>
                <w:lang w:val="en-US" w:bidi="bn-BD"/>
              </w:rPr>
            </w:pPr>
            <w:r w:rsidRPr="00933AE0">
              <w:rPr>
                <w:color w:val="000000"/>
                <w:lang w:val="en-US" w:bidi="bn-BD"/>
              </w:rPr>
              <w:t>23.20%</w:t>
            </w:r>
          </w:p>
        </w:tc>
        <w:tc>
          <w:tcPr>
            <w:tcW w:w="1118" w:type="dxa"/>
            <w:tcBorders>
              <w:top w:val="nil"/>
              <w:left w:val="nil"/>
              <w:bottom w:val="single" w:sz="4" w:space="0" w:color="auto"/>
              <w:right w:val="single" w:sz="4" w:space="0" w:color="auto"/>
            </w:tcBorders>
            <w:noWrap/>
            <w:hideMark/>
          </w:tcPr>
          <w:p w14:paraId="3D53D4DE" w14:textId="77777777" w:rsidR="00D100F7" w:rsidRPr="00933AE0" w:rsidRDefault="00D100F7" w:rsidP="00933AE0">
            <w:pPr>
              <w:spacing w:line="240" w:lineRule="auto"/>
              <w:jc w:val="left"/>
              <w:rPr>
                <w:color w:val="000000"/>
                <w:lang w:val="en-US" w:bidi="bn-BD"/>
              </w:rPr>
            </w:pPr>
            <w:r w:rsidRPr="00933AE0">
              <w:rPr>
                <w:color w:val="000000"/>
                <w:lang w:val="en-US" w:bidi="bn-BD"/>
              </w:rPr>
              <w:t>28.06%</w:t>
            </w:r>
          </w:p>
        </w:tc>
        <w:tc>
          <w:tcPr>
            <w:tcW w:w="1118" w:type="dxa"/>
            <w:tcBorders>
              <w:top w:val="nil"/>
              <w:left w:val="nil"/>
              <w:bottom w:val="single" w:sz="4" w:space="0" w:color="auto"/>
              <w:right w:val="single" w:sz="4" w:space="0" w:color="auto"/>
            </w:tcBorders>
            <w:noWrap/>
            <w:hideMark/>
          </w:tcPr>
          <w:p w14:paraId="541A15E6" w14:textId="77777777" w:rsidR="00D100F7" w:rsidRPr="00933AE0" w:rsidRDefault="00D100F7" w:rsidP="00933AE0">
            <w:pPr>
              <w:spacing w:line="240" w:lineRule="auto"/>
              <w:jc w:val="left"/>
              <w:rPr>
                <w:color w:val="000000"/>
                <w:lang w:val="en-US" w:bidi="bn-BD"/>
              </w:rPr>
            </w:pPr>
            <w:r w:rsidRPr="00933AE0">
              <w:rPr>
                <w:color w:val="000000"/>
                <w:lang w:val="en-US" w:bidi="bn-BD"/>
              </w:rPr>
              <w:t>28.76%</w:t>
            </w:r>
          </w:p>
        </w:tc>
        <w:tc>
          <w:tcPr>
            <w:tcW w:w="1119" w:type="dxa"/>
            <w:tcBorders>
              <w:top w:val="nil"/>
              <w:left w:val="nil"/>
              <w:bottom w:val="single" w:sz="4" w:space="0" w:color="auto"/>
              <w:right w:val="single" w:sz="4" w:space="0" w:color="auto"/>
            </w:tcBorders>
            <w:noWrap/>
            <w:hideMark/>
          </w:tcPr>
          <w:p w14:paraId="07C6FCD0" w14:textId="77777777" w:rsidR="00D100F7" w:rsidRPr="00933AE0" w:rsidRDefault="00D100F7" w:rsidP="00933AE0">
            <w:pPr>
              <w:spacing w:line="240" w:lineRule="auto"/>
              <w:jc w:val="left"/>
              <w:rPr>
                <w:color w:val="000000"/>
                <w:lang w:val="en-US" w:bidi="bn-BD"/>
              </w:rPr>
            </w:pPr>
            <w:r w:rsidRPr="00933AE0">
              <w:rPr>
                <w:color w:val="000000"/>
                <w:lang w:val="en-US" w:bidi="bn-BD"/>
              </w:rPr>
              <w:t>28.67%</w:t>
            </w:r>
          </w:p>
        </w:tc>
      </w:tr>
      <w:tr w:rsidR="00D100F7" w:rsidRPr="00933AE0" w14:paraId="693C33D7"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0493EDFB" w14:textId="77777777" w:rsidR="00D100F7" w:rsidRPr="00933AE0" w:rsidRDefault="00D100F7" w:rsidP="00933AE0">
            <w:pPr>
              <w:spacing w:line="240" w:lineRule="auto"/>
              <w:jc w:val="left"/>
              <w:rPr>
                <w:color w:val="000000"/>
                <w:lang w:val="en-US" w:bidi="bn-BD"/>
              </w:rPr>
            </w:pPr>
            <w:r w:rsidRPr="00933AE0">
              <w:rPr>
                <w:color w:val="000000"/>
                <w:lang w:val="en-US" w:bidi="bn-BD"/>
              </w:rPr>
              <w:t>Net Profit Margin (Net Profit / Revenue) × 100</w:t>
            </w:r>
          </w:p>
        </w:tc>
        <w:tc>
          <w:tcPr>
            <w:tcW w:w="1118" w:type="dxa"/>
            <w:tcBorders>
              <w:top w:val="nil"/>
              <w:left w:val="nil"/>
              <w:bottom w:val="single" w:sz="4" w:space="0" w:color="auto"/>
              <w:right w:val="single" w:sz="4" w:space="0" w:color="auto"/>
            </w:tcBorders>
            <w:noWrap/>
            <w:hideMark/>
          </w:tcPr>
          <w:p w14:paraId="3A1D6BC2" w14:textId="77777777" w:rsidR="00D100F7" w:rsidRPr="00933AE0" w:rsidRDefault="00D100F7" w:rsidP="00933AE0">
            <w:pPr>
              <w:spacing w:line="240" w:lineRule="auto"/>
              <w:jc w:val="left"/>
              <w:rPr>
                <w:color w:val="000000"/>
                <w:lang w:val="en-US" w:bidi="bn-BD"/>
              </w:rPr>
            </w:pPr>
            <w:r w:rsidRPr="00933AE0">
              <w:rPr>
                <w:color w:val="000000"/>
                <w:lang w:val="en-US" w:bidi="bn-BD"/>
              </w:rPr>
              <w:t>-6.09%</w:t>
            </w:r>
          </w:p>
        </w:tc>
        <w:tc>
          <w:tcPr>
            <w:tcW w:w="1118" w:type="dxa"/>
            <w:tcBorders>
              <w:top w:val="nil"/>
              <w:left w:val="nil"/>
              <w:bottom w:val="single" w:sz="4" w:space="0" w:color="auto"/>
              <w:right w:val="single" w:sz="4" w:space="0" w:color="auto"/>
            </w:tcBorders>
            <w:noWrap/>
            <w:hideMark/>
          </w:tcPr>
          <w:p w14:paraId="15BBC673" w14:textId="77777777" w:rsidR="00D100F7" w:rsidRPr="00933AE0" w:rsidRDefault="00D100F7" w:rsidP="00933AE0">
            <w:pPr>
              <w:spacing w:line="240" w:lineRule="auto"/>
              <w:jc w:val="left"/>
              <w:rPr>
                <w:color w:val="000000"/>
                <w:lang w:val="en-US" w:bidi="bn-BD"/>
              </w:rPr>
            </w:pPr>
            <w:r w:rsidRPr="00933AE0">
              <w:rPr>
                <w:color w:val="000000"/>
                <w:lang w:val="en-US" w:bidi="bn-BD"/>
              </w:rPr>
              <w:t>-23.36%</w:t>
            </w:r>
          </w:p>
        </w:tc>
        <w:tc>
          <w:tcPr>
            <w:tcW w:w="1118" w:type="dxa"/>
            <w:tcBorders>
              <w:top w:val="nil"/>
              <w:left w:val="nil"/>
              <w:bottom w:val="single" w:sz="4" w:space="0" w:color="auto"/>
              <w:right w:val="single" w:sz="4" w:space="0" w:color="auto"/>
            </w:tcBorders>
            <w:noWrap/>
            <w:hideMark/>
          </w:tcPr>
          <w:p w14:paraId="5FB8DC81" w14:textId="77777777" w:rsidR="00D100F7" w:rsidRPr="00933AE0" w:rsidRDefault="00D100F7" w:rsidP="00933AE0">
            <w:pPr>
              <w:spacing w:line="240" w:lineRule="auto"/>
              <w:jc w:val="left"/>
              <w:rPr>
                <w:color w:val="000000"/>
                <w:lang w:val="en-US" w:bidi="bn-BD"/>
              </w:rPr>
            </w:pPr>
            <w:r w:rsidRPr="00933AE0">
              <w:rPr>
                <w:color w:val="000000"/>
                <w:lang w:val="en-US" w:bidi="bn-BD"/>
              </w:rPr>
              <w:t>0.07%</w:t>
            </w:r>
          </w:p>
        </w:tc>
        <w:tc>
          <w:tcPr>
            <w:tcW w:w="1118" w:type="dxa"/>
            <w:tcBorders>
              <w:top w:val="nil"/>
              <w:left w:val="nil"/>
              <w:bottom w:val="single" w:sz="4" w:space="0" w:color="auto"/>
              <w:right w:val="single" w:sz="4" w:space="0" w:color="auto"/>
            </w:tcBorders>
            <w:noWrap/>
            <w:hideMark/>
          </w:tcPr>
          <w:p w14:paraId="51F01994" w14:textId="77777777" w:rsidR="00D100F7" w:rsidRPr="00933AE0" w:rsidRDefault="00D100F7" w:rsidP="00933AE0">
            <w:pPr>
              <w:spacing w:line="240" w:lineRule="auto"/>
              <w:jc w:val="left"/>
              <w:rPr>
                <w:color w:val="000000"/>
                <w:lang w:val="en-US" w:bidi="bn-BD"/>
              </w:rPr>
            </w:pPr>
            <w:r w:rsidRPr="00933AE0">
              <w:rPr>
                <w:color w:val="000000"/>
                <w:lang w:val="en-US" w:bidi="bn-BD"/>
              </w:rPr>
              <w:t>0.88%</w:t>
            </w:r>
          </w:p>
        </w:tc>
        <w:tc>
          <w:tcPr>
            <w:tcW w:w="1119" w:type="dxa"/>
            <w:tcBorders>
              <w:top w:val="nil"/>
              <w:left w:val="nil"/>
              <w:bottom w:val="single" w:sz="4" w:space="0" w:color="auto"/>
              <w:right w:val="single" w:sz="4" w:space="0" w:color="auto"/>
            </w:tcBorders>
            <w:noWrap/>
            <w:hideMark/>
          </w:tcPr>
          <w:p w14:paraId="03121F02" w14:textId="77777777" w:rsidR="00D100F7" w:rsidRPr="00933AE0" w:rsidRDefault="00D100F7" w:rsidP="00933AE0">
            <w:pPr>
              <w:spacing w:line="240" w:lineRule="auto"/>
              <w:jc w:val="left"/>
              <w:rPr>
                <w:color w:val="000000"/>
                <w:lang w:val="en-US" w:bidi="bn-BD"/>
              </w:rPr>
            </w:pPr>
            <w:r w:rsidRPr="00933AE0">
              <w:rPr>
                <w:color w:val="000000"/>
                <w:lang w:val="en-US" w:bidi="bn-BD"/>
              </w:rPr>
              <w:t>6.28%</w:t>
            </w:r>
          </w:p>
        </w:tc>
      </w:tr>
      <w:tr w:rsidR="00D100F7" w:rsidRPr="00933AE0" w14:paraId="39B37FB7"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459DAE14" w14:textId="77777777" w:rsidR="00D100F7" w:rsidRPr="00933AE0" w:rsidRDefault="00D100F7" w:rsidP="00933AE0">
            <w:pPr>
              <w:spacing w:line="240" w:lineRule="auto"/>
              <w:jc w:val="left"/>
              <w:rPr>
                <w:color w:val="000000"/>
                <w:lang w:val="en-US" w:bidi="bn-BD"/>
              </w:rPr>
            </w:pPr>
            <w:r w:rsidRPr="00933AE0">
              <w:rPr>
                <w:color w:val="000000"/>
                <w:lang w:val="en-US" w:bidi="bn-BD"/>
              </w:rPr>
              <w:t>Return on Assets (ROA) (Net Profit / Total Assets) × 100</w:t>
            </w:r>
          </w:p>
        </w:tc>
        <w:tc>
          <w:tcPr>
            <w:tcW w:w="1118" w:type="dxa"/>
            <w:tcBorders>
              <w:top w:val="nil"/>
              <w:left w:val="nil"/>
              <w:bottom w:val="single" w:sz="4" w:space="0" w:color="auto"/>
              <w:right w:val="single" w:sz="4" w:space="0" w:color="auto"/>
            </w:tcBorders>
            <w:noWrap/>
            <w:hideMark/>
          </w:tcPr>
          <w:p w14:paraId="4D2C001E" w14:textId="77777777" w:rsidR="00D100F7" w:rsidRPr="00933AE0" w:rsidRDefault="00D100F7" w:rsidP="00933AE0">
            <w:pPr>
              <w:spacing w:line="240" w:lineRule="auto"/>
              <w:jc w:val="left"/>
              <w:rPr>
                <w:color w:val="000000"/>
                <w:lang w:val="en-US" w:bidi="bn-BD"/>
              </w:rPr>
            </w:pPr>
            <w:r w:rsidRPr="00933AE0">
              <w:rPr>
                <w:color w:val="000000"/>
                <w:lang w:val="en-US" w:bidi="bn-BD"/>
              </w:rPr>
              <w:t>-7.43%</w:t>
            </w:r>
          </w:p>
        </w:tc>
        <w:tc>
          <w:tcPr>
            <w:tcW w:w="1118" w:type="dxa"/>
            <w:tcBorders>
              <w:top w:val="nil"/>
              <w:left w:val="nil"/>
              <w:bottom w:val="single" w:sz="4" w:space="0" w:color="auto"/>
              <w:right w:val="single" w:sz="4" w:space="0" w:color="auto"/>
            </w:tcBorders>
            <w:noWrap/>
            <w:hideMark/>
          </w:tcPr>
          <w:p w14:paraId="2C0D6A59" w14:textId="77777777" w:rsidR="00D100F7" w:rsidRPr="00933AE0" w:rsidRDefault="00D100F7" w:rsidP="00933AE0">
            <w:pPr>
              <w:spacing w:line="240" w:lineRule="auto"/>
              <w:jc w:val="left"/>
              <w:rPr>
                <w:color w:val="000000"/>
                <w:lang w:val="en-US" w:bidi="bn-BD"/>
              </w:rPr>
            </w:pPr>
            <w:r w:rsidRPr="00933AE0">
              <w:rPr>
                <w:color w:val="000000"/>
                <w:lang w:val="en-US" w:bidi="bn-BD"/>
              </w:rPr>
              <w:t>-27.60%</w:t>
            </w:r>
          </w:p>
        </w:tc>
        <w:tc>
          <w:tcPr>
            <w:tcW w:w="1118" w:type="dxa"/>
            <w:tcBorders>
              <w:top w:val="nil"/>
              <w:left w:val="nil"/>
              <w:bottom w:val="single" w:sz="4" w:space="0" w:color="auto"/>
              <w:right w:val="single" w:sz="4" w:space="0" w:color="auto"/>
            </w:tcBorders>
            <w:noWrap/>
            <w:hideMark/>
          </w:tcPr>
          <w:p w14:paraId="19B59DF1" w14:textId="77777777" w:rsidR="00D100F7" w:rsidRPr="00933AE0" w:rsidRDefault="00D100F7" w:rsidP="00933AE0">
            <w:pPr>
              <w:spacing w:line="240" w:lineRule="auto"/>
              <w:jc w:val="left"/>
              <w:rPr>
                <w:color w:val="000000"/>
                <w:lang w:val="en-US" w:bidi="bn-BD"/>
              </w:rPr>
            </w:pPr>
            <w:r w:rsidRPr="00933AE0">
              <w:rPr>
                <w:color w:val="000000"/>
                <w:lang w:val="en-US" w:bidi="bn-BD"/>
              </w:rPr>
              <w:t>0.08%</w:t>
            </w:r>
          </w:p>
        </w:tc>
        <w:tc>
          <w:tcPr>
            <w:tcW w:w="1118" w:type="dxa"/>
            <w:tcBorders>
              <w:top w:val="nil"/>
              <w:left w:val="nil"/>
              <w:bottom w:val="single" w:sz="4" w:space="0" w:color="auto"/>
              <w:right w:val="single" w:sz="4" w:space="0" w:color="auto"/>
            </w:tcBorders>
            <w:noWrap/>
            <w:hideMark/>
          </w:tcPr>
          <w:p w14:paraId="6778F692" w14:textId="77777777" w:rsidR="00D100F7" w:rsidRPr="00933AE0" w:rsidRDefault="00D100F7" w:rsidP="00933AE0">
            <w:pPr>
              <w:spacing w:line="240" w:lineRule="auto"/>
              <w:jc w:val="left"/>
              <w:rPr>
                <w:color w:val="000000"/>
                <w:lang w:val="en-US" w:bidi="bn-BD"/>
              </w:rPr>
            </w:pPr>
            <w:r w:rsidRPr="00933AE0">
              <w:rPr>
                <w:color w:val="000000"/>
                <w:lang w:val="en-US" w:bidi="bn-BD"/>
              </w:rPr>
              <w:t>1.04%</w:t>
            </w:r>
          </w:p>
        </w:tc>
        <w:tc>
          <w:tcPr>
            <w:tcW w:w="1119" w:type="dxa"/>
            <w:tcBorders>
              <w:top w:val="nil"/>
              <w:left w:val="nil"/>
              <w:bottom w:val="single" w:sz="4" w:space="0" w:color="auto"/>
              <w:right w:val="single" w:sz="4" w:space="0" w:color="auto"/>
            </w:tcBorders>
            <w:noWrap/>
            <w:hideMark/>
          </w:tcPr>
          <w:p w14:paraId="26983EF2" w14:textId="77777777" w:rsidR="00D100F7" w:rsidRPr="00933AE0" w:rsidRDefault="00D100F7" w:rsidP="00933AE0">
            <w:pPr>
              <w:spacing w:line="240" w:lineRule="auto"/>
              <w:jc w:val="left"/>
              <w:rPr>
                <w:color w:val="000000"/>
                <w:lang w:val="en-US" w:bidi="bn-BD"/>
              </w:rPr>
            </w:pPr>
            <w:r w:rsidRPr="00933AE0">
              <w:rPr>
                <w:color w:val="000000"/>
                <w:lang w:val="en-US" w:bidi="bn-BD"/>
              </w:rPr>
              <w:t>7.56%</w:t>
            </w:r>
          </w:p>
        </w:tc>
      </w:tr>
      <w:tr w:rsidR="00D100F7" w:rsidRPr="00933AE0" w14:paraId="4644232C"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363752FE" w14:textId="77777777" w:rsidR="00D100F7" w:rsidRPr="00933AE0" w:rsidRDefault="00D100F7" w:rsidP="00933AE0">
            <w:pPr>
              <w:spacing w:line="240" w:lineRule="auto"/>
              <w:jc w:val="left"/>
              <w:rPr>
                <w:color w:val="000000"/>
                <w:lang w:val="en-US" w:bidi="bn-BD"/>
              </w:rPr>
            </w:pPr>
            <w:r w:rsidRPr="00933AE0">
              <w:rPr>
                <w:color w:val="000000"/>
                <w:lang w:val="en-US" w:bidi="bn-BD"/>
              </w:rPr>
              <w:t>Return on Equity (ROE) (Net Profit / Shareholders’ Equity) × 100</w:t>
            </w:r>
          </w:p>
        </w:tc>
        <w:tc>
          <w:tcPr>
            <w:tcW w:w="1118" w:type="dxa"/>
            <w:tcBorders>
              <w:top w:val="nil"/>
              <w:left w:val="nil"/>
              <w:bottom w:val="single" w:sz="4" w:space="0" w:color="auto"/>
              <w:right w:val="single" w:sz="4" w:space="0" w:color="auto"/>
            </w:tcBorders>
            <w:noWrap/>
            <w:hideMark/>
          </w:tcPr>
          <w:p w14:paraId="0377A701" w14:textId="77777777" w:rsidR="00D100F7" w:rsidRPr="00933AE0" w:rsidRDefault="00D100F7" w:rsidP="00933AE0">
            <w:pPr>
              <w:spacing w:line="240" w:lineRule="auto"/>
              <w:jc w:val="left"/>
              <w:rPr>
                <w:color w:val="000000"/>
                <w:lang w:val="en-US" w:bidi="bn-BD"/>
              </w:rPr>
            </w:pPr>
            <w:r w:rsidRPr="00933AE0">
              <w:rPr>
                <w:color w:val="000000"/>
                <w:lang w:val="en-US" w:bidi="bn-BD"/>
              </w:rPr>
              <w:t>-15.69%</w:t>
            </w:r>
          </w:p>
        </w:tc>
        <w:tc>
          <w:tcPr>
            <w:tcW w:w="1118" w:type="dxa"/>
            <w:tcBorders>
              <w:top w:val="nil"/>
              <w:left w:val="nil"/>
              <w:bottom w:val="single" w:sz="4" w:space="0" w:color="auto"/>
              <w:right w:val="single" w:sz="4" w:space="0" w:color="auto"/>
            </w:tcBorders>
            <w:noWrap/>
            <w:hideMark/>
          </w:tcPr>
          <w:p w14:paraId="204E84D7" w14:textId="77777777" w:rsidR="00D100F7" w:rsidRPr="00933AE0" w:rsidRDefault="00D100F7" w:rsidP="00933AE0">
            <w:pPr>
              <w:spacing w:line="240" w:lineRule="auto"/>
              <w:jc w:val="left"/>
              <w:rPr>
                <w:color w:val="000000"/>
                <w:lang w:val="en-US" w:bidi="bn-BD"/>
              </w:rPr>
            </w:pPr>
            <w:r w:rsidRPr="00933AE0">
              <w:rPr>
                <w:color w:val="000000"/>
                <w:lang w:val="en-US" w:bidi="bn-BD"/>
              </w:rPr>
              <w:t>-54.91%</w:t>
            </w:r>
          </w:p>
        </w:tc>
        <w:tc>
          <w:tcPr>
            <w:tcW w:w="1118" w:type="dxa"/>
            <w:tcBorders>
              <w:top w:val="nil"/>
              <w:left w:val="nil"/>
              <w:bottom w:val="single" w:sz="4" w:space="0" w:color="auto"/>
              <w:right w:val="single" w:sz="4" w:space="0" w:color="auto"/>
            </w:tcBorders>
            <w:noWrap/>
            <w:hideMark/>
          </w:tcPr>
          <w:p w14:paraId="7F4AFDC6" w14:textId="77777777" w:rsidR="00D100F7" w:rsidRPr="00933AE0" w:rsidRDefault="00D100F7" w:rsidP="00933AE0">
            <w:pPr>
              <w:spacing w:line="240" w:lineRule="auto"/>
              <w:jc w:val="left"/>
              <w:rPr>
                <w:color w:val="000000"/>
                <w:lang w:val="en-US" w:bidi="bn-BD"/>
              </w:rPr>
            </w:pPr>
            <w:r w:rsidRPr="00933AE0">
              <w:rPr>
                <w:color w:val="000000"/>
                <w:lang w:val="en-US" w:bidi="bn-BD"/>
              </w:rPr>
              <w:t>0.15%</w:t>
            </w:r>
          </w:p>
        </w:tc>
        <w:tc>
          <w:tcPr>
            <w:tcW w:w="1118" w:type="dxa"/>
            <w:tcBorders>
              <w:top w:val="nil"/>
              <w:left w:val="nil"/>
              <w:bottom w:val="single" w:sz="4" w:space="0" w:color="auto"/>
              <w:right w:val="single" w:sz="4" w:space="0" w:color="auto"/>
            </w:tcBorders>
            <w:noWrap/>
            <w:hideMark/>
          </w:tcPr>
          <w:p w14:paraId="7AF694AE" w14:textId="77777777" w:rsidR="00D100F7" w:rsidRPr="00933AE0" w:rsidRDefault="00D100F7" w:rsidP="00933AE0">
            <w:pPr>
              <w:spacing w:line="240" w:lineRule="auto"/>
              <w:jc w:val="left"/>
              <w:rPr>
                <w:color w:val="000000"/>
                <w:lang w:val="en-US" w:bidi="bn-BD"/>
              </w:rPr>
            </w:pPr>
            <w:r w:rsidRPr="00933AE0">
              <w:rPr>
                <w:color w:val="000000"/>
                <w:lang w:val="en-US" w:bidi="bn-BD"/>
              </w:rPr>
              <w:t>1.92%</w:t>
            </w:r>
          </w:p>
        </w:tc>
        <w:tc>
          <w:tcPr>
            <w:tcW w:w="1119" w:type="dxa"/>
            <w:tcBorders>
              <w:top w:val="nil"/>
              <w:left w:val="nil"/>
              <w:bottom w:val="single" w:sz="4" w:space="0" w:color="auto"/>
              <w:right w:val="single" w:sz="4" w:space="0" w:color="auto"/>
            </w:tcBorders>
            <w:noWrap/>
            <w:hideMark/>
          </w:tcPr>
          <w:p w14:paraId="60B2CBDF" w14:textId="77777777" w:rsidR="00D100F7" w:rsidRPr="00933AE0" w:rsidRDefault="00D100F7" w:rsidP="00933AE0">
            <w:pPr>
              <w:spacing w:line="240" w:lineRule="auto"/>
              <w:jc w:val="left"/>
              <w:rPr>
                <w:color w:val="000000"/>
                <w:lang w:val="en-US" w:bidi="bn-BD"/>
              </w:rPr>
            </w:pPr>
            <w:r w:rsidRPr="00933AE0">
              <w:rPr>
                <w:color w:val="000000"/>
                <w:lang w:val="en-US" w:bidi="bn-BD"/>
              </w:rPr>
              <w:t>12.31%</w:t>
            </w:r>
          </w:p>
        </w:tc>
      </w:tr>
      <w:tr w:rsidR="00D100F7" w:rsidRPr="00933AE0" w14:paraId="014D1E26" w14:textId="77777777" w:rsidTr="00933AE0">
        <w:trPr>
          <w:trHeight w:val="447"/>
        </w:trPr>
        <w:tc>
          <w:tcPr>
            <w:tcW w:w="7983" w:type="dxa"/>
            <w:tcBorders>
              <w:top w:val="nil"/>
              <w:left w:val="single" w:sz="4" w:space="0" w:color="auto"/>
              <w:bottom w:val="single" w:sz="4" w:space="0" w:color="auto"/>
              <w:right w:val="single" w:sz="4" w:space="0" w:color="auto"/>
            </w:tcBorders>
            <w:noWrap/>
            <w:hideMark/>
          </w:tcPr>
          <w:p w14:paraId="3F061DCF"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68B26B55"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1FCC939E"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0647D1EB"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0C4CDCB8"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9" w:type="dxa"/>
            <w:tcBorders>
              <w:top w:val="nil"/>
              <w:left w:val="nil"/>
              <w:bottom w:val="single" w:sz="4" w:space="0" w:color="auto"/>
              <w:right w:val="single" w:sz="4" w:space="0" w:color="auto"/>
            </w:tcBorders>
            <w:noWrap/>
            <w:hideMark/>
          </w:tcPr>
          <w:p w14:paraId="7BBC4918"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r>
      <w:tr w:rsidR="00D100F7" w:rsidRPr="00933AE0" w14:paraId="1542D4A0" w14:textId="77777777" w:rsidTr="00D100F7">
        <w:trPr>
          <w:trHeight w:val="499"/>
        </w:trPr>
        <w:tc>
          <w:tcPr>
            <w:tcW w:w="7983" w:type="dxa"/>
            <w:tcBorders>
              <w:top w:val="nil"/>
              <w:left w:val="single" w:sz="4" w:space="0" w:color="auto"/>
              <w:bottom w:val="single" w:sz="4" w:space="0" w:color="auto"/>
              <w:right w:val="single" w:sz="4" w:space="0" w:color="auto"/>
            </w:tcBorders>
            <w:shd w:val="clear" w:color="auto" w:fill="B2A1C7" w:themeFill="accent4" w:themeFillTint="99"/>
            <w:noWrap/>
            <w:hideMark/>
          </w:tcPr>
          <w:p w14:paraId="068A5806" w14:textId="77777777" w:rsidR="00D100F7" w:rsidRPr="00933AE0" w:rsidRDefault="00D100F7" w:rsidP="00933AE0">
            <w:pPr>
              <w:spacing w:line="240" w:lineRule="auto"/>
              <w:jc w:val="left"/>
              <w:rPr>
                <w:b/>
                <w:bCs/>
                <w:color w:val="000000"/>
                <w:lang w:val="en-US" w:bidi="bn-BD"/>
              </w:rPr>
            </w:pPr>
            <w:r w:rsidRPr="00933AE0">
              <w:rPr>
                <w:b/>
                <w:bCs/>
                <w:color w:val="000000"/>
                <w:lang w:val="en-US" w:bidi="bn-BD"/>
              </w:rPr>
              <w:t xml:space="preserve">Gearing Ratios </w:t>
            </w:r>
          </w:p>
        </w:tc>
        <w:tc>
          <w:tcPr>
            <w:tcW w:w="1118" w:type="dxa"/>
            <w:tcBorders>
              <w:top w:val="nil"/>
              <w:left w:val="nil"/>
              <w:bottom w:val="single" w:sz="4" w:space="0" w:color="auto"/>
              <w:right w:val="single" w:sz="4" w:space="0" w:color="auto"/>
            </w:tcBorders>
            <w:noWrap/>
            <w:hideMark/>
          </w:tcPr>
          <w:p w14:paraId="045F84D9"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2024</w:t>
            </w:r>
          </w:p>
        </w:tc>
        <w:tc>
          <w:tcPr>
            <w:tcW w:w="1118" w:type="dxa"/>
            <w:tcBorders>
              <w:top w:val="nil"/>
              <w:left w:val="nil"/>
              <w:bottom w:val="single" w:sz="4" w:space="0" w:color="auto"/>
              <w:right w:val="single" w:sz="4" w:space="0" w:color="auto"/>
            </w:tcBorders>
            <w:noWrap/>
            <w:hideMark/>
          </w:tcPr>
          <w:p w14:paraId="5F782D51"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2023</w:t>
            </w:r>
          </w:p>
        </w:tc>
        <w:tc>
          <w:tcPr>
            <w:tcW w:w="1118" w:type="dxa"/>
            <w:tcBorders>
              <w:top w:val="nil"/>
              <w:left w:val="nil"/>
              <w:bottom w:val="single" w:sz="4" w:space="0" w:color="auto"/>
              <w:right w:val="single" w:sz="4" w:space="0" w:color="auto"/>
            </w:tcBorders>
            <w:noWrap/>
            <w:hideMark/>
          </w:tcPr>
          <w:p w14:paraId="206F72A1"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2022</w:t>
            </w:r>
          </w:p>
        </w:tc>
        <w:tc>
          <w:tcPr>
            <w:tcW w:w="1118" w:type="dxa"/>
            <w:tcBorders>
              <w:top w:val="nil"/>
              <w:left w:val="nil"/>
              <w:bottom w:val="single" w:sz="4" w:space="0" w:color="auto"/>
              <w:right w:val="single" w:sz="4" w:space="0" w:color="auto"/>
            </w:tcBorders>
            <w:noWrap/>
            <w:hideMark/>
          </w:tcPr>
          <w:p w14:paraId="6E8D3F76"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2021</w:t>
            </w:r>
          </w:p>
        </w:tc>
        <w:tc>
          <w:tcPr>
            <w:tcW w:w="1119" w:type="dxa"/>
            <w:tcBorders>
              <w:top w:val="nil"/>
              <w:left w:val="nil"/>
              <w:bottom w:val="single" w:sz="4" w:space="0" w:color="auto"/>
              <w:right w:val="single" w:sz="4" w:space="0" w:color="auto"/>
            </w:tcBorders>
            <w:noWrap/>
            <w:hideMark/>
          </w:tcPr>
          <w:p w14:paraId="3BC87BD1"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2020</w:t>
            </w:r>
          </w:p>
        </w:tc>
      </w:tr>
      <w:tr w:rsidR="00D100F7" w:rsidRPr="00933AE0" w14:paraId="632FA1AE"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3FE3AD7B" w14:textId="77777777" w:rsidR="00D100F7" w:rsidRPr="00933AE0" w:rsidRDefault="00D100F7" w:rsidP="00933AE0">
            <w:pPr>
              <w:spacing w:line="240" w:lineRule="auto"/>
              <w:jc w:val="left"/>
              <w:rPr>
                <w:color w:val="000000"/>
                <w:lang w:val="en-US" w:bidi="bn-BD"/>
              </w:rPr>
            </w:pPr>
            <w:r w:rsidRPr="00933AE0">
              <w:rPr>
                <w:color w:val="000000"/>
                <w:lang w:val="en-US" w:bidi="bn-BD"/>
              </w:rPr>
              <w:t>Debt-to-Equity (Total Debt/Equity)</w:t>
            </w:r>
          </w:p>
        </w:tc>
        <w:tc>
          <w:tcPr>
            <w:tcW w:w="1118" w:type="dxa"/>
            <w:tcBorders>
              <w:top w:val="nil"/>
              <w:left w:val="nil"/>
              <w:bottom w:val="single" w:sz="4" w:space="0" w:color="auto"/>
              <w:right w:val="single" w:sz="4" w:space="0" w:color="auto"/>
            </w:tcBorders>
            <w:noWrap/>
            <w:hideMark/>
          </w:tcPr>
          <w:p w14:paraId="1C8319BC" w14:textId="77777777" w:rsidR="00D100F7" w:rsidRPr="00933AE0" w:rsidRDefault="00D100F7" w:rsidP="00933AE0">
            <w:pPr>
              <w:spacing w:line="240" w:lineRule="auto"/>
              <w:jc w:val="left"/>
              <w:rPr>
                <w:color w:val="000000"/>
                <w:lang w:val="en-US" w:bidi="bn-BD"/>
              </w:rPr>
            </w:pPr>
            <w:r w:rsidRPr="00933AE0">
              <w:rPr>
                <w:color w:val="000000"/>
                <w:lang w:val="en-US" w:bidi="bn-BD"/>
              </w:rPr>
              <w:t>1.11</w:t>
            </w:r>
          </w:p>
        </w:tc>
        <w:tc>
          <w:tcPr>
            <w:tcW w:w="1118" w:type="dxa"/>
            <w:tcBorders>
              <w:top w:val="nil"/>
              <w:left w:val="nil"/>
              <w:bottom w:val="single" w:sz="4" w:space="0" w:color="auto"/>
              <w:right w:val="single" w:sz="4" w:space="0" w:color="auto"/>
            </w:tcBorders>
            <w:noWrap/>
            <w:hideMark/>
          </w:tcPr>
          <w:p w14:paraId="6C7EF0CD" w14:textId="77777777" w:rsidR="00D100F7" w:rsidRPr="00933AE0" w:rsidRDefault="00D100F7" w:rsidP="00933AE0">
            <w:pPr>
              <w:spacing w:line="240" w:lineRule="auto"/>
              <w:jc w:val="left"/>
              <w:rPr>
                <w:color w:val="000000"/>
                <w:lang w:val="en-US" w:bidi="bn-BD"/>
              </w:rPr>
            </w:pPr>
            <w:r w:rsidRPr="00933AE0">
              <w:rPr>
                <w:color w:val="000000"/>
                <w:lang w:val="en-US" w:bidi="bn-BD"/>
              </w:rPr>
              <w:t>0.99</w:t>
            </w:r>
          </w:p>
        </w:tc>
        <w:tc>
          <w:tcPr>
            <w:tcW w:w="1118" w:type="dxa"/>
            <w:tcBorders>
              <w:top w:val="nil"/>
              <w:left w:val="nil"/>
              <w:bottom w:val="single" w:sz="4" w:space="0" w:color="auto"/>
              <w:right w:val="single" w:sz="4" w:space="0" w:color="auto"/>
            </w:tcBorders>
            <w:noWrap/>
            <w:hideMark/>
          </w:tcPr>
          <w:p w14:paraId="5CE8C874" w14:textId="77777777" w:rsidR="00D100F7" w:rsidRPr="00933AE0" w:rsidRDefault="00D100F7" w:rsidP="00933AE0">
            <w:pPr>
              <w:spacing w:line="240" w:lineRule="auto"/>
              <w:jc w:val="left"/>
              <w:rPr>
                <w:color w:val="000000"/>
                <w:lang w:val="en-US" w:bidi="bn-BD"/>
              </w:rPr>
            </w:pPr>
            <w:r w:rsidRPr="00933AE0">
              <w:rPr>
                <w:color w:val="000000"/>
                <w:lang w:val="en-US" w:bidi="bn-BD"/>
              </w:rPr>
              <w:t>0.88</w:t>
            </w:r>
          </w:p>
        </w:tc>
        <w:tc>
          <w:tcPr>
            <w:tcW w:w="1118" w:type="dxa"/>
            <w:tcBorders>
              <w:top w:val="nil"/>
              <w:left w:val="nil"/>
              <w:bottom w:val="single" w:sz="4" w:space="0" w:color="auto"/>
              <w:right w:val="single" w:sz="4" w:space="0" w:color="auto"/>
            </w:tcBorders>
            <w:noWrap/>
            <w:hideMark/>
          </w:tcPr>
          <w:p w14:paraId="695EFE34" w14:textId="77777777" w:rsidR="00D100F7" w:rsidRPr="00933AE0" w:rsidRDefault="00D100F7" w:rsidP="00933AE0">
            <w:pPr>
              <w:spacing w:line="240" w:lineRule="auto"/>
              <w:jc w:val="left"/>
              <w:rPr>
                <w:color w:val="000000"/>
                <w:lang w:val="en-US" w:bidi="bn-BD"/>
              </w:rPr>
            </w:pPr>
            <w:r w:rsidRPr="00933AE0">
              <w:rPr>
                <w:color w:val="000000"/>
                <w:lang w:val="en-US" w:bidi="bn-BD"/>
              </w:rPr>
              <w:t>0.85</w:t>
            </w:r>
          </w:p>
        </w:tc>
        <w:tc>
          <w:tcPr>
            <w:tcW w:w="1119" w:type="dxa"/>
            <w:tcBorders>
              <w:top w:val="nil"/>
              <w:left w:val="nil"/>
              <w:bottom w:val="single" w:sz="4" w:space="0" w:color="auto"/>
              <w:right w:val="single" w:sz="4" w:space="0" w:color="auto"/>
            </w:tcBorders>
            <w:noWrap/>
            <w:hideMark/>
          </w:tcPr>
          <w:p w14:paraId="7C4AF897" w14:textId="77777777" w:rsidR="00D100F7" w:rsidRPr="00933AE0" w:rsidRDefault="00D100F7" w:rsidP="00933AE0">
            <w:pPr>
              <w:spacing w:line="240" w:lineRule="auto"/>
              <w:jc w:val="left"/>
              <w:rPr>
                <w:color w:val="000000"/>
                <w:lang w:val="en-US" w:bidi="bn-BD"/>
              </w:rPr>
            </w:pPr>
            <w:r w:rsidRPr="00933AE0">
              <w:rPr>
                <w:color w:val="000000"/>
                <w:lang w:val="en-US" w:bidi="bn-BD"/>
              </w:rPr>
              <w:t>0.63</w:t>
            </w:r>
          </w:p>
        </w:tc>
      </w:tr>
      <w:tr w:rsidR="00D100F7" w:rsidRPr="00933AE0" w14:paraId="256FFCC9"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355A6E8C" w14:textId="77777777" w:rsidR="00D100F7" w:rsidRPr="00933AE0" w:rsidRDefault="00D100F7" w:rsidP="00933AE0">
            <w:pPr>
              <w:spacing w:line="240" w:lineRule="auto"/>
              <w:jc w:val="left"/>
              <w:rPr>
                <w:color w:val="000000"/>
                <w:lang w:val="en-US" w:bidi="bn-BD"/>
              </w:rPr>
            </w:pPr>
            <w:r w:rsidRPr="00933AE0">
              <w:rPr>
                <w:color w:val="000000"/>
                <w:lang w:val="en-US" w:bidi="bn-BD"/>
              </w:rPr>
              <w:t>Interest Coverage [Operating Income (Expense)/ Interest Expense]</w:t>
            </w:r>
          </w:p>
        </w:tc>
        <w:tc>
          <w:tcPr>
            <w:tcW w:w="1118" w:type="dxa"/>
            <w:tcBorders>
              <w:top w:val="nil"/>
              <w:left w:val="nil"/>
              <w:bottom w:val="single" w:sz="4" w:space="0" w:color="auto"/>
              <w:right w:val="single" w:sz="4" w:space="0" w:color="auto"/>
            </w:tcBorders>
            <w:noWrap/>
            <w:hideMark/>
          </w:tcPr>
          <w:p w14:paraId="694FBEA2" w14:textId="77777777" w:rsidR="00D100F7" w:rsidRPr="00933AE0" w:rsidRDefault="00D100F7" w:rsidP="00933AE0">
            <w:pPr>
              <w:spacing w:line="240" w:lineRule="auto"/>
              <w:jc w:val="left"/>
              <w:rPr>
                <w:color w:val="000000"/>
                <w:lang w:val="en-US" w:bidi="bn-BD"/>
              </w:rPr>
            </w:pPr>
            <w:r w:rsidRPr="00933AE0">
              <w:rPr>
                <w:color w:val="000000"/>
                <w:lang w:val="en-US" w:bidi="bn-BD"/>
              </w:rPr>
              <w:t>4.55</w:t>
            </w:r>
          </w:p>
        </w:tc>
        <w:tc>
          <w:tcPr>
            <w:tcW w:w="1118" w:type="dxa"/>
            <w:tcBorders>
              <w:top w:val="nil"/>
              <w:left w:val="nil"/>
              <w:bottom w:val="single" w:sz="4" w:space="0" w:color="auto"/>
              <w:right w:val="single" w:sz="4" w:space="0" w:color="auto"/>
            </w:tcBorders>
            <w:noWrap/>
            <w:hideMark/>
          </w:tcPr>
          <w:p w14:paraId="33513B86" w14:textId="77777777" w:rsidR="00D100F7" w:rsidRPr="00933AE0" w:rsidRDefault="00D100F7" w:rsidP="00933AE0">
            <w:pPr>
              <w:spacing w:line="240" w:lineRule="auto"/>
              <w:jc w:val="left"/>
              <w:rPr>
                <w:color w:val="000000"/>
                <w:lang w:val="en-US" w:bidi="bn-BD"/>
              </w:rPr>
            </w:pPr>
            <w:r w:rsidRPr="00933AE0">
              <w:rPr>
                <w:color w:val="000000"/>
                <w:lang w:val="en-US" w:bidi="bn-BD"/>
              </w:rPr>
              <w:t>19.69</w:t>
            </w:r>
          </w:p>
        </w:tc>
        <w:tc>
          <w:tcPr>
            <w:tcW w:w="1118" w:type="dxa"/>
            <w:tcBorders>
              <w:top w:val="nil"/>
              <w:left w:val="nil"/>
              <w:bottom w:val="single" w:sz="4" w:space="0" w:color="auto"/>
              <w:right w:val="single" w:sz="4" w:space="0" w:color="auto"/>
            </w:tcBorders>
            <w:noWrap/>
            <w:hideMark/>
          </w:tcPr>
          <w:p w14:paraId="4E654205" w14:textId="77777777" w:rsidR="00D100F7" w:rsidRPr="00933AE0" w:rsidRDefault="00D100F7" w:rsidP="00933AE0">
            <w:pPr>
              <w:spacing w:line="240" w:lineRule="auto"/>
              <w:jc w:val="left"/>
              <w:rPr>
                <w:color w:val="000000"/>
                <w:lang w:val="en-US" w:bidi="bn-BD"/>
              </w:rPr>
            </w:pPr>
            <w:r w:rsidRPr="00933AE0">
              <w:rPr>
                <w:color w:val="000000"/>
                <w:lang w:val="en-US" w:bidi="bn-BD"/>
              </w:rPr>
              <w:t>6.61</w:t>
            </w:r>
          </w:p>
        </w:tc>
        <w:tc>
          <w:tcPr>
            <w:tcW w:w="1118" w:type="dxa"/>
            <w:tcBorders>
              <w:top w:val="nil"/>
              <w:left w:val="nil"/>
              <w:bottom w:val="single" w:sz="4" w:space="0" w:color="auto"/>
              <w:right w:val="single" w:sz="4" w:space="0" w:color="auto"/>
            </w:tcBorders>
            <w:noWrap/>
            <w:hideMark/>
          </w:tcPr>
          <w:p w14:paraId="1DA29874" w14:textId="77777777" w:rsidR="00D100F7" w:rsidRPr="00933AE0" w:rsidRDefault="00D100F7" w:rsidP="00933AE0">
            <w:pPr>
              <w:spacing w:line="240" w:lineRule="auto"/>
              <w:jc w:val="left"/>
              <w:rPr>
                <w:color w:val="000000"/>
                <w:lang w:val="en-US" w:bidi="bn-BD"/>
              </w:rPr>
            </w:pPr>
            <w:r w:rsidRPr="00933AE0">
              <w:rPr>
                <w:color w:val="000000"/>
                <w:lang w:val="en-US" w:bidi="bn-BD"/>
              </w:rPr>
              <w:t>41.08</w:t>
            </w:r>
          </w:p>
        </w:tc>
        <w:tc>
          <w:tcPr>
            <w:tcW w:w="1119" w:type="dxa"/>
            <w:tcBorders>
              <w:top w:val="nil"/>
              <w:left w:val="nil"/>
              <w:bottom w:val="single" w:sz="4" w:space="0" w:color="auto"/>
              <w:right w:val="single" w:sz="4" w:space="0" w:color="auto"/>
            </w:tcBorders>
            <w:noWrap/>
            <w:hideMark/>
          </w:tcPr>
          <w:p w14:paraId="01BF5D6E" w14:textId="77777777" w:rsidR="00D100F7" w:rsidRPr="00933AE0" w:rsidRDefault="00D100F7" w:rsidP="00933AE0">
            <w:pPr>
              <w:spacing w:line="240" w:lineRule="auto"/>
              <w:jc w:val="left"/>
              <w:rPr>
                <w:color w:val="000000"/>
                <w:lang w:val="en-US" w:bidi="bn-BD"/>
              </w:rPr>
            </w:pPr>
            <w:r w:rsidRPr="00933AE0">
              <w:rPr>
                <w:color w:val="000000"/>
                <w:lang w:val="en-US" w:bidi="bn-BD"/>
              </w:rPr>
              <w:t>26.21</w:t>
            </w:r>
          </w:p>
        </w:tc>
      </w:tr>
      <w:tr w:rsidR="00D100F7" w:rsidRPr="00933AE0" w14:paraId="7945D89C" w14:textId="77777777" w:rsidTr="00D100F7">
        <w:trPr>
          <w:trHeight w:val="242"/>
        </w:trPr>
        <w:tc>
          <w:tcPr>
            <w:tcW w:w="7983" w:type="dxa"/>
            <w:tcBorders>
              <w:top w:val="nil"/>
              <w:left w:val="single" w:sz="4" w:space="0" w:color="auto"/>
              <w:bottom w:val="single" w:sz="4" w:space="0" w:color="auto"/>
              <w:right w:val="single" w:sz="4" w:space="0" w:color="auto"/>
            </w:tcBorders>
            <w:noWrap/>
            <w:hideMark/>
          </w:tcPr>
          <w:p w14:paraId="54416ADC"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6CAD6178"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528139D8"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4294FA0C"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8" w:type="dxa"/>
            <w:tcBorders>
              <w:top w:val="nil"/>
              <w:left w:val="nil"/>
              <w:bottom w:val="single" w:sz="4" w:space="0" w:color="auto"/>
              <w:right w:val="single" w:sz="4" w:space="0" w:color="auto"/>
            </w:tcBorders>
            <w:noWrap/>
            <w:hideMark/>
          </w:tcPr>
          <w:p w14:paraId="68496B62"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c>
          <w:tcPr>
            <w:tcW w:w="1119" w:type="dxa"/>
            <w:tcBorders>
              <w:top w:val="nil"/>
              <w:left w:val="nil"/>
              <w:bottom w:val="single" w:sz="4" w:space="0" w:color="auto"/>
              <w:right w:val="single" w:sz="4" w:space="0" w:color="auto"/>
            </w:tcBorders>
            <w:noWrap/>
            <w:hideMark/>
          </w:tcPr>
          <w:p w14:paraId="63A98450" w14:textId="77777777" w:rsidR="00D100F7" w:rsidRPr="00933AE0" w:rsidRDefault="00D100F7" w:rsidP="00933AE0">
            <w:pPr>
              <w:spacing w:line="240" w:lineRule="auto"/>
              <w:jc w:val="left"/>
              <w:rPr>
                <w:color w:val="000000"/>
                <w:lang w:val="en-US" w:bidi="bn-BD"/>
              </w:rPr>
            </w:pPr>
            <w:r w:rsidRPr="00933AE0">
              <w:rPr>
                <w:color w:val="000000"/>
                <w:lang w:val="en-US" w:bidi="bn-BD"/>
              </w:rPr>
              <w:t> </w:t>
            </w:r>
          </w:p>
        </w:tc>
      </w:tr>
      <w:tr w:rsidR="00D100F7" w:rsidRPr="00933AE0" w14:paraId="3961FB31" w14:textId="77777777" w:rsidTr="00D100F7">
        <w:trPr>
          <w:trHeight w:val="525"/>
        </w:trPr>
        <w:tc>
          <w:tcPr>
            <w:tcW w:w="7983" w:type="dxa"/>
            <w:tcBorders>
              <w:top w:val="nil"/>
              <w:left w:val="single" w:sz="4" w:space="0" w:color="auto"/>
              <w:bottom w:val="single" w:sz="4" w:space="0" w:color="auto"/>
              <w:right w:val="single" w:sz="4" w:space="0" w:color="auto"/>
            </w:tcBorders>
            <w:shd w:val="clear" w:color="auto" w:fill="FABF8F" w:themeFill="accent6" w:themeFillTint="99"/>
            <w:noWrap/>
            <w:hideMark/>
          </w:tcPr>
          <w:p w14:paraId="0793D9ED" w14:textId="77777777" w:rsidR="00D100F7" w:rsidRPr="00933AE0" w:rsidRDefault="00D100F7" w:rsidP="00933AE0">
            <w:pPr>
              <w:spacing w:line="240" w:lineRule="auto"/>
              <w:jc w:val="left"/>
              <w:rPr>
                <w:b/>
                <w:bCs/>
                <w:color w:val="000000"/>
                <w:lang w:val="en-US" w:bidi="bn-BD"/>
              </w:rPr>
            </w:pPr>
            <w:r w:rsidRPr="00933AE0">
              <w:rPr>
                <w:b/>
                <w:bCs/>
                <w:color w:val="000000"/>
                <w:lang w:val="en-US" w:bidi="bn-BD"/>
              </w:rPr>
              <w:t xml:space="preserve">Investment Ratio </w:t>
            </w:r>
          </w:p>
        </w:tc>
        <w:tc>
          <w:tcPr>
            <w:tcW w:w="1118" w:type="dxa"/>
            <w:tcBorders>
              <w:top w:val="nil"/>
              <w:left w:val="nil"/>
              <w:bottom w:val="single" w:sz="4" w:space="0" w:color="auto"/>
              <w:right w:val="single" w:sz="4" w:space="0" w:color="auto"/>
            </w:tcBorders>
            <w:noWrap/>
            <w:hideMark/>
          </w:tcPr>
          <w:p w14:paraId="4E1C1950"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2024</w:t>
            </w:r>
          </w:p>
        </w:tc>
        <w:tc>
          <w:tcPr>
            <w:tcW w:w="1118" w:type="dxa"/>
            <w:tcBorders>
              <w:top w:val="nil"/>
              <w:left w:val="nil"/>
              <w:bottom w:val="single" w:sz="4" w:space="0" w:color="auto"/>
              <w:right w:val="single" w:sz="4" w:space="0" w:color="auto"/>
            </w:tcBorders>
            <w:noWrap/>
            <w:hideMark/>
          </w:tcPr>
          <w:p w14:paraId="2703DF17"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2023</w:t>
            </w:r>
          </w:p>
        </w:tc>
        <w:tc>
          <w:tcPr>
            <w:tcW w:w="1118" w:type="dxa"/>
            <w:tcBorders>
              <w:top w:val="nil"/>
              <w:left w:val="nil"/>
              <w:bottom w:val="single" w:sz="4" w:space="0" w:color="auto"/>
              <w:right w:val="single" w:sz="4" w:space="0" w:color="auto"/>
            </w:tcBorders>
            <w:noWrap/>
            <w:hideMark/>
          </w:tcPr>
          <w:p w14:paraId="5A9244B4"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2022</w:t>
            </w:r>
          </w:p>
        </w:tc>
        <w:tc>
          <w:tcPr>
            <w:tcW w:w="1118" w:type="dxa"/>
            <w:tcBorders>
              <w:top w:val="nil"/>
              <w:left w:val="nil"/>
              <w:bottom w:val="single" w:sz="4" w:space="0" w:color="auto"/>
              <w:right w:val="single" w:sz="4" w:space="0" w:color="auto"/>
            </w:tcBorders>
            <w:noWrap/>
            <w:hideMark/>
          </w:tcPr>
          <w:p w14:paraId="386294F1"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2021</w:t>
            </w:r>
          </w:p>
        </w:tc>
        <w:tc>
          <w:tcPr>
            <w:tcW w:w="1119" w:type="dxa"/>
            <w:tcBorders>
              <w:top w:val="nil"/>
              <w:left w:val="nil"/>
              <w:bottom w:val="single" w:sz="4" w:space="0" w:color="auto"/>
              <w:right w:val="single" w:sz="4" w:space="0" w:color="auto"/>
            </w:tcBorders>
            <w:noWrap/>
            <w:hideMark/>
          </w:tcPr>
          <w:p w14:paraId="38F8BC71" w14:textId="77777777" w:rsidR="00D100F7" w:rsidRPr="00933AE0" w:rsidRDefault="00D100F7" w:rsidP="001C20F8">
            <w:pPr>
              <w:spacing w:line="240" w:lineRule="auto"/>
              <w:jc w:val="right"/>
              <w:rPr>
                <w:b/>
                <w:bCs/>
                <w:color w:val="000000"/>
                <w:lang w:val="en-US" w:bidi="bn-BD"/>
              </w:rPr>
            </w:pPr>
            <w:r w:rsidRPr="00933AE0">
              <w:rPr>
                <w:b/>
                <w:bCs/>
                <w:color w:val="000000"/>
                <w:lang w:val="en-US" w:bidi="bn-BD"/>
              </w:rPr>
              <w:t>2020</w:t>
            </w:r>
          </w:p>
        </w:tc>
      </w:tr>
      <w:tr w:rsidR="00D100F7" w:rsidRPr="00933AE0" w14:paraId="37706F5B"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7EEE4CDB" w14:textId="77777777" w:rsidR="00D100F7" w:rsidRPr="00933AE0" w:rsidRDefault="00D100F7" w:rsidP="00933AE0">
            <w:pPr>
              <w:spacing w:line="240" w:lineRule="auto"/>
              <w:jc w:val="left"/>
              <w:rPr>
                <w:color w:val="000000"/>
                <w:lang w:val="en-US" w:bidi="bn-BD"/>
              </w:rPr>
            </w:pPr>
            <w:proofErr w:type="spellStart"/>
            <w:proofErr w:type="gramStart"/>
            <w:r w:rsidRPr="00933AE0">
              <w:rPr>
                <w:color w:val="000000"/>
                <w:lang w:val="en-US" w:bidi="bn-BD"/>
              </w:rPr>
              <w:t>Earning</w:t>
            </w:r>
            <w:proofErr w:type="spellEnd"/>
            <w:proofErr w:type="gramEnd"/>
            <w:r w:rsidRPr="00933AE0">
              <w:rPr>
                <w:color w:val="000000"/>
                <w:lang w:val="en-US" w:bidi="bn-BD"/>
              </w:rPr>
              <w:t xml:space="preserve"> per share (EPS, £) (Net Profit / Shares)</w:t>
            </w:r>
          </w:p>
        </w:tc>
        <w:tc>
          <w:tcPr>
            <w:tcW w:w="1118" w:type="dxa"/>
            <w:tcBorders>
              <w:top w:val="nil"/>
              <w:left w:val="nil"/>
              <w:bottom w:val="single" w:sz="4" w:space="0" w:color="auto"/>
              <w:right w:val="single" w:sz="4" w:space="0" w:color="auto"/>
            </w:tcBorders>
            <w:noWrap/>
            <w:hideMark/>
          </w:tcPr>
          <w:p w14:paraId="17076765" w14:textId="77777777" w:rsidR="00D100F7" w:rsidRPr="00933AE0" w:rsidRDefault="00D100F7" w:rsidP="00933AE0">
            <w:pPr>
              <w:spacing w:line="240" w:lineRule="auto"/>
              <w:jc w:val="left"/>
              <w:rPr>
                <w:color w:val="000000"/>
                <w:lang w:val="en-US" w:bidi="bn-BD"/>
              </w:rPr>
            </w:pPr>
            <w:r w:rsidRPr="00933AE0">
              <w:rPr>
                <w:color w:val="000000"/>
                <w:lang w:val="en-US" w:bidi="bn-BD"/>
              </w:rPr>
              <w:t>-1.85</w:t>
            </w:r>
          </w:p>
        </w:tc>
        <w:tc>
          <w:tcPr>
            <w:tcW w:w="1118" w:type="dxa"/>
            <w:tcBorders>
              <w:top w:val="nil"/>
              <w:left w:val="nil"/>
              <w:bottom w:val="single" w:sz="4" w:space="0" w:color="auto"/>
              <w:right w:val="single" w:sz="4" w:space="0" w:color="auto"/>
            </w:tcBorders>
            <w:noWrap/>
            <w:hideMark/>
          </w:tcPr>
          <w:p w14:paraId="12164E82" w14:textId="77777777" w:rsidR="00D100F7" w:rsidRPr="00933AE0" w:rsidRDefault="00D100F7" w:rsidP="00933AE0">
            <w:pPr>
              <w:spacing w:line="240" w:lineRule="auto"/>
              <w:jc w:val="left"/>
              <w:rPr>
                <w:color w:val="000000"/>
                <w:lang w:val="en-US" w:bidi="bn-BD"/>
              </w:rPr>
            </w:pPr>
            <w:r w:rsidRPr="00933AE0">
              <w:rPr>
                <w:color w:val="000000"/>
                <w:lang w:val="en-US" w:bidi="bn-BD"/>
              </w:rPr>
              <w:t>-7.64</w:t>
            </w:r>
          </w:p>
        </w:tc>
        <w:tc>
          <w:tcPr>
            <w:tcW w:w="1118" w:type="dxa"/>
            <w:tcBorders>
              <w:top w:val="nil"/>
              <w:left w:val="nil"/>
              <w:bottom w:val="single" w:sz="4" w:space="0" w:color="auto"/>
              <w:right w:val="single" w:sz="4" w:space="0" w:color="auto"/>
            </w:tcBorders>
            <w:noWrap/>
            <w:hideMark/>
          </w:tcPr>
          <w:p w14:paraId="7CCE8945" w14:textId="77777777" w:rsidR="00D100F7" w:rsidRPr="00933AE0" w:rsidRDefault="00D100F7" w:rsidP="00933AE0">
            <w:pPr>
              <w:spacing w:line="240" w:lineRule="auto"/>
              <w:jc w:val="left"/>
              <w:rPr>
                <w:color w:val="000000"/>
                <w:lang w:val="en-US" w:bidi="bn-BD"/>
              </w:rPr>
            </w:pPr>
            <w:r w:rsidRPr="00933AE0">
              <w:rPr>
                <w:color w:val="000000"/>
                <w:lang w:val="en-US" w:bidi="bn-BD"/>
              </w:rPr>
              <w:t>0.03</w:t>
            </w:r>
          </w:p>
        </w:tc>
        <w:tc>
          <w:tcPr>
            <w:tcW w:w="1118" w:type="dxa"/>
            <w:tcBorders>
              <w:top w:val="nil"/>
              <w:left w:val="nil"/>
              <w:bottom w:val="single" w:sz="4" w:space="0" w:color="auto"/>
              <w:right w:val="single" w:sz="4" w:space="0" w:color="auto"/>
            </w:tcBorders>
            <w:noWrap/>
            <w:hideMark/>
          </w:tcPr>
          <w:p w14:paraId="1A75172D" w14:textId="77777777" w:rsidR="00D100F7" w:rsidRPr="00933AE0" w:rsidRDefault="00D100F7" w:rsidP="00933AE0">
            <w:pPr>
              <w:spacing w:line="240" w:lineRule="auto"/>
              <w:jc w:val="left"/>
              <w:rPr>
                <w:color w:val="000000"/>
                <w:lang w:val="en-US" w:bidi="bn-BD"/>
              </w:rPr>
            </w:pPr>
            <w:r w:rsidRPr="00933AE0">
              <w:rPr>
                <w:color w:val="000000"/>
                <w:lang w:val="en-US" w:bidi="bn-BD"/>
              </w:rPr>
              <w:t>0.39</w:t>
            </w:r>
          </w:p>
        </w:tc>
        <w:tc>
          <w:tcPr>
            <w:tcW w:w="1119" w:type="dxa"/>
            <w:tcBorders>
              <w:top w:val="nil"/>
              <w:left w:val="nil"/>
              <w:bottom w:val="single" w:sz="4" w:space="0" w:color="auto"/>
              <w:right w:val="single" w:sz="4" w:space="0" w:color="auto"/>
            </w:tcBorders>
            <w:noWrap/>
            <w:hideMark/>
          </w:tcPr>
          <w:p w14:paraId="1906DD9C" w14:textId="77777777" w:rsidR="00D100F7" w:rsidRPr="00933AE0" w:rsidRDefault="00D100F7" w:rsidP="00933AE0">
            <w:pPr>
              <w:spacing w:line="240" w:lineRule="auto"/>
              <w:jc w:val="left"/>
              <w:rPr>
                <w:color w:val="000000"/>
                <w:lang w:val="en-US" w:bidi="bn-BD"/>
              </w:rPr>
            </w:pPr>
            <w:r w:rsidRPr="00933AE0">
              <w:rPr>
                <w:color w:val="000000"/>
                <w:lang w:val="en-US" w:bidi="bn-BD"/>
              </w:rPr>
              <w:t>2.78</w:t>
            </w:r>
          </w:p>
        </w:tc>
      </w:tr>
      <w:tr w:rsidR="00D100F7" w:rsidRPr="00933AE0" w14:paraId="7BC7AFD5" w14:textId="77777777" w:rsidTr="00D100F7">
        <w:trPr>
          <w:trHeight w:val="242"/>
        </w:trPr>
        <w:tc>
          <w:tcPr>
            <w:tcW w:w="7983" w:type="dxa"/>
            <w:tcBorders>
              <w:top w:val="nil"/>
              <w:left w:val="nil"/>
              <w:bottom w:val="nil"/>
              <w:right w:val="nil"/>
            </w:tcBorders>
            <w:noWrap/>
            <w:hideMark/>
          </w:tcPr>
          <w:p w14:paraId="6F6CCD0C" w14:textId="77777777" w:rsidR="00D100F7" w:rsidRPr="00933AE0" w:rsidRDefault="00D100F7" w:rsidP="00933AE0">
            <w:pPr>
              <w:spacing w:line="240" w:lineRule="auto"/>
              <w:jc w:val="left"/>
              <w:rPr>
                <w:color w:val="000000"/>
                <w:lang w:val="en-US" w:bidi="bn-BD"/>
              </w:rPr>
            </w:pPr>
          </w:p>
        </w:tc>
        <w:tc>
          <w:tcPr>
            <w:tcW w:w="1118" w:type="dxa"/>
            <w:tcBorders>
              <w:top w:val="nil"/>
              <w:left w:val="nil"/>
              <w:bottom w:val="nil"/>
              <w:right w:val="nil"/>
            </w:tcBorders>
            <w:noWrap/>
            <w:hideMark/>
          </w:tcPr>
          <w:p w14:paraId="3C034124" w14:textId="77777777" w:rsidR="00D100F7" w:rsidRPr="00933AE0" w:rsidRDefault="00D100F7" w:rsidP="00933AE0">
            <w:pPr>
              <w:spacing w:line="240" w:lineRule="auto"/>
              <w:jc w:val="left"/>
              <w:rPr>
                <w:color w:val="000000"/>
                <w:lang w:val="en-US" w:bidi="bn-BD"/>
              </w:rPr>
            </w:pPr>
            <w:r w:rsidRPr="00933AE0">
              <w:rPr>
                <w:color w:val="000000"/>
                <w:lang w:val="en-US" w:bidi="bn-BD"/>
              </w:rPr>
              <w:t xml:space="preserve">  </w:t>
            </w:r>
          </w:p>
        </w:tc>
        <w:tc>
          <w:tcPr>
            <w:tcW w:w="1118" w:type="dxa"/>
            <w:tcBorders>
              <w:top w:val="nil"/>
              <w:left w:val="nil"/>
              <w:bottom w:val="nil"/>
              <w:right w:val="nil"/>
            </w:tcBorders>
            <w:noWrap/>
            <w:hideMark/>
          </w:tcPr>
          <w:p w14:paraId="63E6DE9D" w14:textId="77777777" w:rsidR="00D100F7" w:rsidRPr="00933AE0" w:rsidRDefault="00D100F7" w:rsidP="00933AE0">
            <w:pPr>
              <w:spacing w:line="240" w:lineRule="auto"/>
              <w:jc w:val="left"/>
              <w:rPr>
                <w:color w:val="000000"/>
                <w:lang w:val="en-US" w:bidi="bn-BD"/>
              </w:rPr>
            </w:pPr>
          </w:p>
        </w:tc>
        <w:tc>
          <w:tcPr>
            <w:tcW w:w="1118" w:type="dxa"/>
            <w:tcBorders>
              <w:top w:val="nil"/>
              <w:left w:val="nil"/>
              <w:bottom w:val="nil"/>
              <w:right w:val="nil"/>
            </w:tcBorders>
            <w:noWrap/>
            <w:hideMark/>
          </w:tcPr>
          <w:p w14:paraId="2AF71364" w14:textId="77777777" w:rsidR="00D100F7" w:rsidRPr="00933AE0" w:rsidRDefault="00D100F7" w:rsidP="00933AE0">
            <w:pPr>
              <w:spacing w:line="240" w:lineRule="auto"/>
              <w:jc w:val="left"/>
              <w:rPr>
                <w:color w:val="000000"/>
                <w:lang w:val="en-US" w:bidi="bn-BD"/>
              </w:rPr>
            </w:pPr>
          </w:p>
        </w:tc>
        <w:tc>
          <w:tcPr>
            <w:tcW w:w="1118" w:type="dxa"/>
            <w:tcBorders>
              <w:top w:val="nil"/>
              <w:left w:val="nil"/>
              <w:bottom w:val="nil"/>
              <w:right w:val="nil"/>
            </w:tcBorders>
            <w:noWrap/>
            <w:hideMark/>
          </w:tcPr>
          <w:p w14:paraId="63AF9B73" w14:textId="77777777" w:rsidR="00D100F7" w:rsidRPr="00933AE0" w:rsidRDefault="00D100F7" w:rsidP="00933AE0">
            <w:pPr>
              <w:spacing w:line="240" w:lineRule="auto"/>
              <w:jc w:val="left"/>
              <w:rPr>
                <w:color w:val="000000"/>
                <w:lang w:val="en-US" w:bidi="bn-BD"/>
              </w:rPr>
            </w:pPr>
          </w:p>
        </w:tc>
        <w:tc>
          <w:tcPr>
            <w:tcW w:w="1119" w:type="dxa"/>
            <w:tcBorders>
              <w:top w:val="nil"/>
              <w:left w:val="nil"/>
              <w:bottom w:val="nil"/>
              <w:right w:val="nil"/>
            </w:tcBorders>
            <w:noWrap/>
            <w:hideMark/>
          </w:tcPr>
          <w:p w14:paraId="62EB667D" w14:textId="77777777" w:rsidR="00D100F7" w:rsidRPr="00933AE0" w:rsidRDefault="00D100F7" w:rsidP="00933AE0">
            <w:pPr>
              <w:spacing w:line="240" w:lineRule="auto"/>
              <w:jc w:val="left"/>
              <w:rPr>
                <w:color w:val="000000"/>
                <w:lang w:val="en-US" w:bidi="bn-BD"/>
              </w:rPr>
            </w:pPr>
          </w:p>
        </w:tc>
      </w:tr>
      <w:tr w:rsidR="00D100F7" w:rsidRPr="00933AE0" w14:paraId="2D4136A1" w14:textId="77777777" w:rsidTr="00933AE0">
        <w:trPr>
          <w:trHeight w:val="551"/>
        </w:trPr>
        <w:tc>
          <w:tcPr>
            <w:tcW w:w="7983" w:type="dxa"/>
            <w:tcBorders>
              <w:top w:val="single" w:sz="4" w:space="0" w:color="auto"/>
              <w:left w:val="single" w:sz="4" w:space="0" w:color="auto"/>
              <w:bottom w:val="single" w:sz="4" w:space="0" w:color="auto"/>
              <w:right w:val="single" w:sz="4" w:space="0" w:color="auto"/>
            </w:tcBorders>
            <w:shd w:val="clear" w:color="000000" w:fill="92D050"/>
            <w:noWrap/>
            <w:hideMark/>
          </w:tcPr>
          <w:p w14:paraId="36B18A32" w14:textId="77777777" w:rsidR="00D100F7" w:rsidRPr="00933AE0" w:rsidRDefault="00D100F7" w:rsidP="00933AE0">
            <w:pPr>
              <w:spacing w:line="240" w:lineRule="auto"/>
              <w:jc w:val="left"/>
              <w:rPr>
                <w:b/>
                <w:bCs/>
                <w:color w:val="000000"/>
                <w:lang w:val="en-US" w:bidi="bn-BD"/>
              </w:rPr>
            </w:pPr>
            <w:r w:rsidRPr="00933AE0">
              <w:rPr>
                <w:b/>
                <w:bCs/>
                <w:color w:val="000000"/>
                <w:lang w:val="en-US" w:bidi="bn-BD"/>
              </w:rPr>
              <w:lastRenderedPageBreak/>
              <w:t xml:space="preserve">Z-score </w:t>
            </w:r>
          </w:p>
        </w:tc>
        <w:tc>
          <w:tcPr>
            <w:tcW w:w="1118" w:type="dxa"/>
            <w:tcBorders>
              <w:top w:val="single" w:sz="4" w:space="0" w:color="auto"/>
              <w:left w:val="nil"/>
              <w:bottom w:val="single" w:sz="4" w:space="0" w:color="auto"/>
              <w:right w:val="single" w:sz="4" w:space="0" w:color="auto"/>
            </w:tcBorders>
            <w:noWrap/>
            <w:hideMark/>
          </w:tcPr>
          <w:p w14:paraId="540F77C1" w14:textId="77777777" w:rsidR="00D100F7" w:rsidRPr="00933AE0" w:rsidRDefault="00D100F7" w:rsidP="00933AE0">
            <w:pPr>
              <w:spacing w:line="240" w:lineRule="auto"/>
              <w:jc w:val="left"/>
              <w:rPr>
                <w:color w:val="000000"/>
                <w:lang w:val="en-US" w:bidi="bn-BD"/>
              </w:rPr>
            </w:pPr>
            <w:r w:rsidRPr="00933AE0">
              <w:rPr>
                <w:color w:val="000000"/>
                <w:lang w:val="en-US" w:bidi="bn-BD"/>
              </w:rPr>
              <w:t>2.70</w:t>
            </w:r>
          </w:p>
        </w:tc>
        <w:tc>
          <w:tcPr>
            <w:tcW w:w="1118" w:type="dxa"/>
            <w:tcBorders>
              <w:top w:val="single" w:sz="4" w:space="0" w:color="auto"/>
              <w:left w:val="nil"/>
              <w:bottom w:val="single" w:sz="4" w:space="0" w:color="auto"/>
              <w:right w:val="single" w:sz="4" w:space="0" w:color="auto"/>
            </w:tcBorders>
            <w:noWrap/>
            <w:hideMark/>
          </w:tcPr>
          <w:p w14:paraId="70720DEA" w14:textId="77777777" w:rsidR="00D100F7" w:rsidRPr="00933AE0" w:rsidRDefault="00D100F7" w:rsidP="00933AE0">
            <w:pPr>
              <w:spacing w:line="240" w:lineRule="auto"/>
              <w:jc w:val="left"/>
              <w:rPr>
                <w:color w:val="000000"/>
                <w:lang w:val="en-US" w:bidi="bn-BD"/>
              </w:rPr>
            </w:pPr>
            <w:r w:rsidRPr="00933AE0">
              <w:rPr>
                <w:color w:val="000000"/>
                <w:lang w:val="en-US" w:bidi="bn-BD"/>
              </w:rPr>
              <w:t>12.05</w:t>
            </w:r>
          </w:p>
        </w:tc>
        <w:tc>
          <w:tcPr>
            <w:tcW w:w="1118" w:type="dxa"/>
            <w:tcBorders>
              <w:top w:val="single" w:sz="4" w:space="0" w:color="auto"/>
              <w:left w:val="nil"/>
              <w:bottom w:val="single" w:sz="4" w:space="0" w:color="auto"/>
              <w:right w:val="single" w:sz="4" w:space="0" w:color="auto"/>
            </w:tcBorders>
            <w:noWrap/>
            <w:hideMark/>
          </w:tcPr>
          <w:p w14:paraId="628CABF0" w14:textId="77777777" w:rsidR="00D100F7" w:rsidRPr="00933AE0" w:rsidRDefault="00D100F7" w:rsidP="00933AE0">
            <w:pPr>
              <w:spacing w:line="240" w:lineRule="auto"/>
              <w:jc w:val="left"/>
              <w:rPr>
                <w:color w:val="000000"/>
                <w:lang w:val="en-US" w:bidi="bn-BD"/>
              </w:rPr>
            </w:pPr>
            <w:r w:rsidRPr="00933AE0">
              <w:rPr>
                <w:color w:val="000000"/>
                <w:lang w:val="en-US" w:bidi="bn-BD"/>
              </w:rPr>
              <w:t>6.64</w:t>
            </w:r>
          </w:p>
        </w:tc>
        <w:tc>
          <w:tcPr>
            <w:tcW w:w="1118" w:type="dxa"/>
            <w:tcBorders>
              <w:top w:val="single" w:sz="4" w:space="0" w:color="auto"/>
              <w:left w:val="nil"/>
              <w:bottom w:val="single" w:sz="4" w:space="0" w:color="auto"/>
              <w:right w:val="single" w:sz="4" w:space="0" w:color="auto"/>
            </w:tcBorders>
            <w:noWrap/>
            <w:hideMark/>
          </w:tcPr>
          <w:p w14:paraId="49ACFF9D" w14:textId="77777777" w:rsidR="00D100F7" w:rsidRPr="00933AE0" w:rsidRDefault="00D100F7" w:rsidP="00933AE0">
            <w:pPr>
              <w:spacing w:line="240" w:lineRule="auto"/>
              <w:jc w:val="left"/>
              <w:rPr>
                <w:color w:val="000000"/>
                <w:lang w:val="en-US" w:bidi="bn-BD"/>
              </w:rPr>
            </w:pPr>
            <w:r w:rsidRPr="00933AE0">
              <w:rPr>
                <w:color w:val="000000"/>
                <w:lang w:val="en-US" w:bidi="bn-BD"/>
              </w:rPr>
              <w:t>41.48</w:t>
            </w:r>
          </w:p>
        </w:tc>
        <w:tc>
          <w:tcPr>
            <w:tcW w:w="1119" w:type="dxa"/>
            <w:tcBorders>
              <w:top w:val="single" w:sz="4" w:space="0" w:color="auto"/>
              <w:left w:val="nil"/>
              <w:bottom w:val="single" w:sz="4" w:space="0" w:color="auto"/>
              <w:right w:val="single" w:sz="4" w:space="0" w:color="auto"/>
            </w:tcBorders>
            <w:noWrap/>
            <w:hideMark/>
          </w:tcPr>
          <w:p w14:paraId="0CD6F352" w14:textId="77777777" w:rsidR="00D100F7" w:rsidRPr="00933AE0" w:rsidRDefault="00D100F7" w:rsidP="00933AE0">
            <w:pPr>
              <w:spacing w:line="240" w:lineRule="auto"/>
              <w:jc w:val="left"/>
              <w:rPr>
                <w:color w:val="000000"/>
                <w:lang w:val="en-US" w:bidi="bn-BD"/>
              </w:rPr>
            </w:pPr>
            <w:r w:rsidRPr="00933AE0">
              <w:rPr>
                <w:color w:val="000000"/>
                <w:lang w:val="en-US" w:bidi="bn-BD"/>
              </w:rPr>
              <w:t>28.98</w:t>
            </w:r>
          </w:p>
        </w:tc>
      </w:tr>
      <w:tr w:rsidR="00D100F7" w:rsidRPr="00933AE0" w14:paraId="5D36D2FA" w14:textId="77777777" w:rsidTr="00933AE0">
        <w:trPr>
          <w:trHeight w:val="525"/>
        </w:trPr>
        <w:tc>
          <w:tcPr>
            <w:tcW w:w="7983" w:type="dxa"/>
            <w:tcBorders>
              <w:top w:val="nil"/>
              <w:left w:val="single" w:sz="4" w:space="0" w:color="auto"/>
              <w:bottom w:val="single" w:sz="4" w:space="0" w:color="auto"/>
              <w:right w:val="single" w:sz="4" w:space="0" w:color="auto"/>
            </w:tcBorders>
            <w:noWrap/>
            <w:hideMark/>
          </w:tcPr>
          <w:p w14:paraId="39D98DEA" w14:textId="77777777" w:rsidR="00D100F7" w:rsidRPr="00933AE0" w:rsidRDefault="00D100F7" w:rsidP="00933AE0">
            <w:pPr>
              <w:spacing w:line="240" w:lineRule="auto"/>
              <w:jc w:val="left"/>
              <w:rPr>
                <w:color w:val="000000"/>
                <w:lang w:val="en-US" w:bidi="bn-BD"/>
              </w:rPr>
            </w:pPr>
            <w:r w:rsidRPr="00933AE0">
              <w:rPr>
                <w:color w:val="000000"/>
                <w:lang w:val="en-US" w:bidi="bn-BD"/>
              </w:rPr>
              <w:t>Inventory Turnover (In days) (365/Inventory Turnover ratio)</w:t>
            </w:r>
          </w:p>
        </w:tc>
        <w:tc>
          <w:tcPr>
            <w:tcW w:w="1118" w:type="dxa"/>
            <w:tcBorders>
              <w:top w:val="nil"/>
              <w:left w:val="nil"/>
              <w:bottom w:val="single" w:sz="4" w:space="0" w:color="auto"/>
              <w:right w:val="single" w:sz="4" w:space="0" w:color="auto"/>
            </w:tcBorders>
            <w:noWrap/>
            <w:hideMark/>
          </w:tcPr>
          <w:p w14:paraId="6A261229" w14:textId="77777777" w:rsidR="00D100F7" w:rsidRPr="00933AE0" w:rsidRDefault="00D100F7" w:rsidP="00933AE0">
            <w:pPr>
              <w:spacing w:line="240" w:lineRule="auto"/>
              <w:jc w:val="left"/>
              <w:rPr>
                <w:color w:val="000000"/>
                <w:lang w:val="en-US" w:bidi="bn-BD"/>
              </w:rPr>
            </w:pPr>
            <w:r w:rsidRPr="00933AE0">
              <w:rPr>
                <w:color w:val="000000"/>
                <w:lang w:val="en-US" w:bidi="bn-BD"/>
              </w:rPr>
              <w:t>108.91</w:t>
            </w:r>
          </w:p>
        </w:tc>
        <w:tc>
          <w:tcPr>
            <w:tcW w:w="1118" w:type="dxa"/>
            <w:tcBorders>
              <w:top w:val="nil"/>
              <w:left w:val="nil"/>
              <w:bottom w:val="single" w:sz="4" w:space="0" w:color="auto"/>
              <w:right w:val="single" w:sz="4" w:space="0" w:color="auto"/>
            </w:tcBorders>
            <w:noWrap/>
            <w:hideMark/>
          </w:tcPr>
          <w:p w14:paraId="5193AC06" w14:textId="77777777" w:rsidR="00D100F7" w:rsidRPr="00933AE0" w:rsidRDefault="00D100F7" w:rsidP="00933AE0">
            <w:pPr>
              <w:spacing w:line="240" w:lineRule="auto"/>
              <w:jc w:val="left"/>
              <w:rPr>
                <w:color w:val="000000"/>
                <w:lang w:val="en-US" w:bidi="bn-BD"/>
              </w:rPr>
            </w:pPr>
            <w:r w:rsidRPr="00933AE0">
              <w:rPr>
                <w:color w:val="000000"/>
                <w:lang w:val="en-US" w:bidi="bn-BD"/>
              </w:rPr>
              <w:t>129.12</w:t>
            </w:r>
          </w:p>
        </w:tc>
        <w:tc>
          <w:tcPr>
            <w:tcW w:w="1118" w:type="dxa"/>
            <w:tcBorders>
              <w:top w:val="nil"/>
              <w:left w:val="nil"/>
              <w:bottom w:val="single" w:sz="4" w:space="0" w:color="auto"/>
              <w:right w:val="single" w:sz="4" w:space="0" w:color="auto"/>
            </w:tcBorders>
            <w:noWrap/>
            <w:hideMark/>
          </w:tcPr>
          <w:p w14:paraId="293B490F" w14:textId="77777777" w:rsidR="00D100F7" w:rsidRPr="00933AE0" w:rsidRDefault="00D100F7" w:rsidP="00933AE0">
            <w:pPr>
              <w:spacing w:line="240" w:lineRule="auto"/>
              <w:jc w:val="left"/>
              <w:rPr>
                <w:color w:val="000000"/>
                <w:lang w:val="en-US" w:bidi="bn-BD"/>
              </w:rPr>
            </w:pPr>
            <w:r w:rsidRPr="00933AE0">
              <w:rPr>
                <w:color w:val="000000"/>
                <w:lang w:val="en-US" w:bidi="bn-BD"/>
              </w:rPr>
              <w:t>128.37</w:t>
            </w:r>
          </w:p>
        </w:tc>
        <w:tc>
          <w:tcPr>
            <w:tcW w:w="1118" w:type="dxa"/>
            <w:tcBorders>
              <w:top w:val="nil"/>
              <w:left w:val="nil"/>
              <w:bottom w:val="single" w:sz="4" w:space="0" w:color="auto"/>
              <w:right w:val="single" w:sz="4" w:space="0" w:color="auto"/>
            </w:tcBorders>
            <w:noWrap/>
            <w:hideMark/>
          </w:tcPr>
          <w:p w14:paraId="626E86FC" w14:textId="77777777" w:rsidR="00D100F7" w:rsidRPr="00933AE0" w:rsidRDefault="00D100F7" w:rsidP="00933AE0">
            <w:pPr>
              <w:spacing w:line="240" w:lineRule="auto"/>
              <w:jc w:val="left"/>
              <w:rPr>
                <w:color w:val="000000"/>
                <w:lang w:val="en-US" w:bidi="bn-BD"/>
              </w:rPr>
            </w:pPr>
            <w:r w:rsidRPr="00933AE0">
              <w:rPr>
                <w:color w:val="000000"/>
                <w:lang w:val="en-US" w:bidi="bn-BD"/>
              </w:rPr>
              <w:t>108.54</w:t>
            </w:r>
          </w:p>
        </w:tc>
        <w:tc>
          <w:tcPr>
            <w:tcW w:w="1119" w:type="dxa"/>
            <w:tcBorders>
              <w:top w:val="nil"/>
              <w:left w:val="nil"/>
              <w:bottom w:val="single" w:sz="4" w:space="0" w:color="auto"/>
              <w:right w:val="single" w:sz="4" w:space="0" w:color="auto"/>
            </w:tcBorders>
            <w:noWrap/>
            <w:hideMark/>
          </w:tcPr>
          <w:p w14:paraId="453D56C6" w14:textId="77777777" w:rsidR="00D100F7" w:rsidRPr="00933AE0" w:rsidRDefault="00D100F7" w:rsidP="00933AE0">
            <w:pPr>
              <w:spacing w:line="240" w:lineRule="auto"/>
              <w:jc w:val="left"/>
              <w:rPr>
                <w:color w:val="000000"/>
                <w:lang w:val="en-US" w:bidi="bn-BD"/>
              </w:rPr>
            </w:pPr>
            <w:r w:rsidRPr="00933AE0">
              <w:rPr>
                <w:color w:val="000000"/>
                <w:lang w:val="en-US" w:bidi="bn-BD"/>
              </w:rPr>
              <w:t>100.26</w:t>
            </w:r>
          </w:p>
        </w:tc>
      </w:tr>
      <w:tr w:rsidR="00D100F7" w:rsidRPr="00933AE0" w14:paraId="5AC626F4" w14:textId="77777777" w:rsidTr="00933AE0">
        <w:trPr>
          <w:trHeight w:val="1051"/>
        </w:trPr>
        <w:tc>
          <w:tcPr>
            <w:tcW w:w="7983" w:type="dxa"/>
            <w:tcBorders>
              <w:top w:val="nil"/>
              <w:left w:val="single" w:sz="4" w:space="0" w:color="auto"/>
              <w:bottom w:val="single" w:sz="4" w:space="0" w:color="auto"/>
              <w:right w:val="single" w:sz="4" w:space="0" w:color="auto"/>
            </w:tcBorders>
            <w:shd w:val="clear" w:color="000000" w:fill="FCD5B4"/>
            <w:vAlign w:val="center"/>
            <w:hideMark/>
          </w:tcPr>
          <w:p w14:paraId="1B48B3FD" w14:textId="77777777" w:rsidR="00D100F7" w:rsidRPr="00933AE0" w:rsidRDefault="00D100F7" w:rsidP="00933AE0">
            <w:pPr>
              <w:spacing w:line="240" w:lineRule="auto"/>
              <w:jc w:val="left"/>
              <w:rPr>
                <w:color w:val="000000"/>
                <w:lang w:val="en-US" w:bidi="bn-BD"/>
              </w:rPr>
            </w:pPr>
            <w:r w:rsidRPr="00933AE0">
              <w:rPr>
                <w:b/>
                <w:bCs/>
                <w:color w:val="000000"/>
                <w:lang w:val="en-US" w:bidi="bn-BD"/>
              </w:rPr>
              <w:t>Cash Operating Cycle</w:t>
            </w:r>
            <w:r w:rsidRPr="00933AE0">
              <w:rPr>
                <w:color w:val="000000"/>
                <w:lang w:val="en-US" w:bidi="bn-BD"/>
              </w:rPr>
              <w:t xml:space="preserve"> (Receivables Collection </w:t>
            </w:r>
            <w:proofErr w:type="spellStart"/>
            <w:r w:rsidRPr="00933AE0">
              <w:rPr>
                <w:color w:val="000000"/>
                <w:lang w:val="en-US" w:bidi="bn-BD"/>
              </w:rPr>
              <w:t>Period+Inventory</w:t>
            </w:r>
            <w:proofErr w:type="spellEnd"/>
            <w:r w:rsidRPr="00933AE0">
              <w:rPr>
                <w:color w:val="000000"/>
                <w:lang w:val="en-US" w:bidi="bn-BD"/>
              </w:rPr>
              <w:t xml:space="preserve"> Turnover-Payables Payment Period)</w:t>
            </w:r>
          </w:p>
        </w:tc>
        <w:tc>
          <w:tcPr>
            <w:tcW w:w="1118" w:type="dxa"/>
            <w:tcBorders>
              <w:top w:val="nil"/>
              <w:left w:val="nil"/>
              <w:bottom w:val="single" w:sz="4" w:space="0" w:color="auto"/>
              <w:right w:val="single" w:sz="4" w:space="0" w:color="auto"/>
            </w:tcBorders>
            <w:noWrap/>
            <w:hideMark/>
          </w:tcPr>
          <w:p w14:paraId="4F2DAB5B" w14:textId="77777777" w:rsidR="00D100F7" w:rsidRPr="00933AE0" w:rsidRDefault="00D100F7" w:rsidP="00933AE0">
            <w:pPr>
              <w:spacing w:line="240" w:lineRule="auto"/>
              <w:jc w:val="left"/>
              <w:rPr>
                <w:color w:val="000000"/>
                <w:lang w:val="en-US" w:bidi="bn-BD"/>
              </w:rPr>
            </w:pPr>
            <w:r w:rsidRPr="00933AE0">
              <w:rPr>
                <w:color w:val="000000"/>
                <w:lang w:val="en-US" w:bidi="bn-BD"/>
              </w:rPr>
              <w:t>120.85</w:t>
            </w:r>
          </w:p>
        </w:tc>
        <w:tc>
          <w:tcPr>
            <w:tcW w:w="1118" w:type="dxa"/>
            <w:tcBorders>
              <w:top w:val="nil"/>
              <w:left w:val="nil"/>
              <w:bottom w:val="single" w:sz="4" w:space="0" w:color="auto"/>
              <w:right w:val="single" w:sz="4" w:space="0" w:color="auto"/>
            </w:tcBorders>
            <w:noWrap/>
            <w:hideMark/>
          </w:tcPr>
          <w:p w14:paraId="26138F9C" w14:textId="77777777" w:rsidR="00D100F7" w:rsidRPr="00933AE0" w:rsidRDefault="00D100F7" w:rsidP="00933AE0">
            <w:pPr>
              <w:spacing w:line="240" w:lineRule="auto"/>
              <w:jc w:val="left"/>
              <w:rPr>
                <w:color w:val="000000"/>
                <w:lang w:val="en-US" w:bidi="bn-BD"/>
              </w:rPr>
            </w:pPr>
            <w:r w:rsidRPr="00933AE0">
              <w:rPr>
                <w:color w:val="000000"/>
                <w:lang w:val="en-US" w:bidi="bn-BD"/>
              </w:rPr>
              <w:t>162.40</w:t>
            </w:r>
          </w:p>
        </w:tc>
        <w:tc>
          <w:tcPr>
            <w:tcW w:w="1118" w:type="dxa"/>
            <w:tcBorders>
              <w:top w:val="nil"/>
              <w:left w:val="nil"/>
              <w:bottom w:val="single" w:sz="4" w:space="0" w:color="auto"/>
              <w:right w:val="single" w:sz="4" w:space="0" w:color="auto"/>
            </w:tcBorders>
            <w:noWrap/>
            <w:hideMark/>
          </w:tcPr>
          <w:p w14:paraId="57792D6F" w14:textId="77777777" w:rsidR="00D100F7" w:rsidRPr="00933AE0" w:rsidRDefault="00D100F7" w:rsidP="00933AE0">
            <w:pPr>
              <w:spacing w:line="240" w:lineRule="auto"/>
              <w:jc w:val="left"/>
              <w:rPr>
                <w:color w:val="000000"/>
                <w:lang w:val="en-US" w:bidi="bn-BD"/>
              </w:rPr>
            </w:pPr>
            <w:r w:rsidRPr="00933AE0">
              <w:rPr>
                <w:color w:val="000000"/>
                <w:lang w:val="en-US" w:bidi="bn-BD"/>
              </w:rPr>
              <w:t>137.20</w:t>
            </w:r>
          </w:p>
        </w:tc>
        <w:tc>
          <w:tcPr>
            <w:tcW w:w="1118" w:type="dxa"/>
            <w:tcBorders>
              <w:top w:val="nil"/>
              <w:left w:val="nil"/>
              <w:bottom w:val="single" w:sz="4" w:space="0" w:color="auto"/>
              <w:right w:val="single" w:sz="4" w:space="0" w:color="auto"/>
            </w:tcBorders>
            <w:noWrap/>
            <w:hideMark/>
          </w:tcPr>
          <w:p w14:paraId="5ED0EC64" w14:textId="77777777" w:rsidR="00D100F7" w:rsidRPr="00933AE0" w:rsidRDefault="00D100F7" w:rsidP="00933AE0">
            <w:pPr>
              <w:spacing w:line="240" w:lineRule="auto"/>
              <w:jc w:val="left"/>
              <w:rPr>
                <w:color w:val="000000"/>
                <w:lang w:val="en-US" w:bidi="bn-BD"/>
              </w:rPr>
            </w:pPr>
            <w:r w:rsidRPr="00933AE0">
              <w:rPr>
                <w:color w:val="000000"/>
                <w:lang w:val="en-US" w:bidi="bn-BD"/>
              </w:rPr>
              <w:t>107.98</w:t>
            </w:r>
          </w:p>
        </w:tc>
        <w:tc>
          <w:tcPr>
            <w:tcW w:w="1119" w:type="dxa"/>
            <w:tcBorders>
              <w:top w:val="nil"/>
              <w:left w:val="nil"/>
              <w:bottom w:val="single" w:sz="4" w:space="0" w:color="auto"/>
              <w:right w:val="single" w:sz="4" w:space="0" w:color="auto"/>
            </w:tcBorders>
            <w:noWrap/>
            <w:hideMark/>
          </w:tcPr>
          <w:p w14:paraId="100995D8" w14:textId="77777777" w:rsidR="00D100F7" w:rsidRPr="00933AE0" w:rsidRDefault="00D100F7" w:rsidP="00933AE0">
            <w:pPr>
              <w:spacing w:line="240" w:lineRule="auto"/>
              <w:jc w:val="left"/>
              <w:rPr>
                <w:color w:val="000000"/>
                <w:lang w:val="en-US" w:bidi="bn-BD"/>
              </w:rPr>
            </w:pPr>
            <w:r w:rsidRPr="00933AE0">
              <w:rPr>
                <w:color w:val="000000"/>
                <w:lang w:val="en-US" w:bidi="bn-BD"/>
              </w:rPr>
              <w:t>107.83</w:t>
            </w:r>
          </w:p>
        </w:tc>
      </w:tr>
    </w:tbl>
    <w:p w14:paraId="7ED15446" w14:textId="77777777" w:rsidR="00933AE0" w:rsidRDefault="00933AE0" w:rsidP="00933AE0">
      <w:pPr>
        <w:sectPr w:rsidR="00933AE0" w:rsidSect="00755F4E">
          <w:pgSz w:w="15840" w:h="12240" w:orient="landscape"/>
          <w:pgMar w:top="1440" w:right="1440" w:bottom="1440" w:left="1440" w:header="720" w:footer="720" w:gutter="0"/>
          <w:pgNumType w:start="25"/>
          <w:cols w:space="720"/>
          <w:docGrid w:linePitch="326"/>
        </w:sectPr>
      </w:pPr>
    </w:p>
    <w:p w14:paraId="3F9B0860" w14:textId="77777777" w:rsidR="00933AE0" w:rsidRDefault="00933AE0" w:rsidP="00933AE0"/>
    <w:p w14:paraId="399D29F6" w14:textId="77777777" w:rsidR="00933AE0" w:rsidRDefault="00D100F7" w:rsidP="00D100F7">
      <w:pPr>
        <w:pStyle w:val="Heading2"/>
      </w:pPr>
      <w:bookmarkStart w:id="35" w:name="_Toc213449471"/>
      <w:r>
        <w:t>2.0 Altman’s Z-score</w:t>
      </w:r>
      <w:bookmarkEnd w:id="35"/>
    </w:p>
    <w:tbl>
      <w:tblPr>
        <w:tblW w:w="9280" w:type="dxa"/>
        <w:jc w:val="center"/>
        <w:tblLook w:val="04A0" w:firstRow="1" w:lastRow="0" w:firstColumn="1" w:lastColumn="0" w:noHBand="0" w:noVBand="1"/>
      </w:tblPr>
      <w:tblGrid>
        <w:gridCol w:w="4220"/>
        <w:gridCol w:w="1036"/>
        <w:gridCol w:w="1036"/>
        <w:gridCol w:w="996"/>
        <w:gridCol w:w="996"/>
        <w:gridCol w:w="996"/>
      </w:tblGrid>
      <w:tr w:rsidR="00933AE0" w:rsidRPr="00933AE0" w14:paraId="351B6FE8" w14:textId="77777777" w:rsidTr="00933AE0">
        <w:trPr>
          <w:trHeight w:val="517"/>
          <w:jc w:val="center"/>
        </w:trPr>
        <w:tc>
          <w:tcPr>
            <w:tcW w:w="9280" w:type="dxa"/>
            <w:gridSpan w:val="6"/>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D5F8919" w14:textId="77777777" w:rsidR="00933AE0" w:rsidRPr="00933AE0" w:rsidRDefault="00933AE0" w:rsidP="00933AE0">
            <w:pPr>
              <w:spacing w:line="240" w:lineRule="auto"/>
              <w:jc w:val="center"/>
              <w:rPr>
                <w:b/>
                <w:bCs/>
                <w:color w:val="000000"/>
                <w:lang w:val="en-US" w:bidi="bn-BD"/>
              </w:rPr>
            </w:pPr>
            <w:r w:rsidRPr="00933AE0">
              <w:rPr>
                <w:b/>
                <w:bCs/>
                <w:color w:val="000000"/>
                <w:sz w:val="32"/>
                <w:szCs w:val="32"/>
                <w:lang w:val="en-US" w:bidi="bn-BD"/>
              </w:rPr>
              <w:t>Altman's Z Score</w:t>
            </w:r>
          </w:p>
        </w:tc>
      </w:tr>
      <w:tr w:rsidR="00933AE0" w:rsidRPr="00933AE0" w14:paraId="4DBFCCEE" w14:textId="77777777" w:rsidTr="00933AE0">
        <w:trPr>
          <w:trHeight w:val="517"/>
          <w:jc w:val="center"/>
        </w:trPr>
        <w:tc>
          <w:tcPr>
            <w:tcW w:w="9280" w:type="dxa"/>
            <w:gridSpan w:val="6"/>
            <w:vMerge/>
            <w:tcBorders>
              <w:top w:val="single" w:sz="4" w:space="0" w:color="auto"/>
              <w:left w:val="single" w:sz="4" w:space="0" w:color="auto"/>
              <w:bottom w:val="single" w:sz="4" w:space="0" w:color="auto"/>
              <w:right w:val="single" w:sz="4" w:space="0" w:color="auto"/>
            </w:tcBorders>
            <w:vAlign w:val="center"/>
            <w:hideMark/>
          </w:tcPr>
          <w:p w14:paraId="78A0D95D" w14:textId="77777777" w:rsidR="00933AE0" w:rsidRPr="00933AE0" w:rsidRDefault="00933AE0" w:rsidP="00933AE0">
            <w:pPr>
              <w:spacing w:line="240" w:lineRule="auto"/>
              <w:jc w:val="left"/>
              <w:rPr>
                <w:b/>
                <w:bCs/>
                <w:color w:val="000000"/>
                <w:lang w:val="en-US" w:bidi="bn-BD"/>
              </w:rPr>
            </w:pPr>
          </w:p>
        </w:tc>
      </w:tr>
      <w:tr w:rsidR="00933AE0" w:rsidRPr="00933AE0" w14:paraId="7B87C329"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5225A1F3" w14:textId="77777777" w:rsidR="00933AE0" w:rsidRPr="00933AE0" w:rsidRDefault="00933AE0" w:rsidP="00933AE0">
            <w:pPr>
              <w:spacing w:line="240" w:lineRule="auto"/>
              <w:jc w:val="left"/>
              <w:rPr>
                <w:color w:val="000000"/>
                <w:lang w:val="en-US" w:bidi="bn-BD"/>
              </w:rPr>
            </w:pPr>
            <w:r w:rsidRPr="00933AE0">
              <w:rPr>
                <w:color w:val="000000"/>
                <w:lang w:val="en-US" w:bidi="bn-BD"/>
              </w:rPr>
              <w:t> </w:t>
            </w:r>
          </w:p>
        </w:tc>
        <w:tc>
          <w:tcPr>
            <w:tcW w:w="1036" w:type="dxa"/>
            <w:tcBorders>
              <w:top w:val="nil"/>
              <w:left w:val="nil"/>
              <w:bottom w:val="single" w:sz="4" w:space="0" w:color="auto"/>
              <w:right w:val="single" w:sz="4" w:space="0" w:color="auto"/>
            </w:tcBorders>
            <w:noWrap/>
            <w:vAlign w:val="center"/>
            <w:hideMark/>
          </w:tcPr>
          <w:p w14:paraId="08C2B8CE"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2024</w:t>
            </w:r>
          </w:p>
        </w:tc>
        <w:tc>
          <w:tcPr>
            <w:tcW w:w="1036" w:type="dxa"/>
            <w:tcBorders>
              <w:top w:val="nil"/>
              <w:left w:val="nil"/>
              <w:bottom w:val="single" w:sz="4" w:space="0" w:color="auto"/>
              <w:right w:val="single" w:sz="4" w:space="0" w:color="auto"/>
            </w:tcBorders>
            <w:noWrap/>
            <w:vAlign w:val="center"/>
            <w:hideMark/>
          </w:tcPr>
          <w:p w14:paraId="31385BED"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2023</w:t>
            </w:r>
          </w:p>
        </w:tc>
        <w:tc>
          <w:tcPr>
            <w:tcW w:w="996" w:type="dxa"/>
            <w:tcBorders>
              <w:top w:val="nil"/>
              <w:left w:val="nil"/>
              <w:bottom w:val="single" w:sz="4" w:space="0" w:color="auto"/>
              <w:right w:val="single" w:sz="4" w:space="0" w:color="auto"/>
            </w:tcBorders>
            <w:noWrap/>
            <w:vAlign w:val="center"/>
            <w:hideMark/>
          </w:tcPr>
          <w:p w14:paraId="5A2B6990"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2022</w:t>
            </w:r>
          </w:p>
        </w:tc>
        <w:tc>
          <w:tcPr>
            <w:tcW w:w="996" w:type="dxa"/>
            <w:tcBorders>
              <w:top w:val="nil"/>
              <w:left w:val="nil"/>
              <w:bottom w:val="single" w:sz="4" w:space="0" w:color="auto"/>
              <w:right w:val="single" w:sz="4" w:space="0" w:color="auto"/>
            </w:tcBorders>
            <w:noWrap/>
            <w:vAlign w:val="center"/>
            <w:hideMark/>
          </w:tcPr>
          <w:p w14:paraId="4E7DAAAE"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2021</w:t>
            </w:r>
          </w:p>
        </w:tc>
        <w:tc>
          <w:tcPr>
            <w:tcW w:w="996" w:type="dxa"/>
            <w:tcBorders>
              <w:top w:val="nil"/>
              <w:left w:val="nil"/>
              <w:bottom w:val="single" w:sz="4" w:space="0" w:color="auto"/>
              <w:right w:val="single" w:sz="4" w:space="0" w:color="auto"/>
            </w:tcBorders>
            <w:noWrap/>
            <w:vAlign w:val="center"/>
            <w:hideMark/>
          </w:tcPr>
          <w:p w14:paraId="4609A83B"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2020</w:t>
            </w:r>
          </w:p>
        </w:tc>
      </w:tr>
      <w:tr w:rsidR="00933AE0" w:rsidRPr="00933AE0" w14:paraId="599A8DE3"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2256F308" w14:textId="77777777" w:rsidR="00933AE0" w:rsidRPr="00933AE0" w:rsidRDefault="00933AE0" w:rsidP="00933AE0">
            <w:pPr>
              <w:spacing w:line="240" w:lineRule="auto"/>
              <w:jc w:val="left"/>
              <w:rPr>
                <w:color w:val="000000"/>
                <w:lang w:val="en-US" w:bidi="bn-BD"/>
              </w:rPr>
            </w:pPr>
            <w:r w:rsidRPr="00933AE0">
              <w:rPr>
                <w:color w:val="000000"/>
                <w:lang w:val="en-US" w:bidi="bn-BD"/>
              </w:rPr>
              <w:t xml:space="preserve">Working Capital </w:t>
            </w:r>
          </w:p>
        </w:tc>
        <w:tc>
          <w:tcPr>
            <w:tcW w:w="1036" w:type="dxa"/>
            <w:tcBorders>
              <w:top w:val="nil"/>
              <w:left w:val="nil"/>
              <w:bottom w:val="single" w:sz="4" w:space="0" w:color="auto"/>
              <w:right w:val="single" w:sz="4" w:space="0" w:color="auto"/>
            </w:tcBorders>
            <w:noWrap/>
            <w:hideMark/>
          </w:tcPr>
          <w:p w14:paraId="7CB64C66" w14:textId="77777777" w:rsidR="00933AE0" w:rsidRPr="00933AE0" w:rsidRDefault="00933AE0" w:rsidP="00933AE0">
            <w:pPr>
              <w:spacing w:line="240" w:lineRule="auto"/>
              <w:jc w:val="left"/>
              <w:rPr>
                <w:color w:val="000000"/>
                <w:lang w:val="en-US" w:bidi="bn-BD"/>
              </w:rPr>
            </w:pPr>
            <w:r w:rsidRPr="00933AE0">
              <w:rPr>
                <w:color w:val="000000"/>
                <w:lang w:val="en-US" w:bidi="bn-BD"/>
              </w:rPr>
              <w:t>84,203</w:t>
            </w:r>
          </w:p>
        </w:tc>
        <w:tc>
          <w:tcPr>
            <w:tcW w:w="1036" w:type="dxa"/>
            <w:tcBorders>
              <w:top w:val="nil"/>
              <w:left w:val="nil"/>
              <w:bottom w:val="single" w:sz="4" w:space="0" w:color="auto"/>
              <w:right w:val="single" w:sz="4" w:space="0" w:color="auto"/>
            </w:tcBorders>
            <w:noWrap/>
            <w:hideMark/>
          </w:tcPr>
          <w:p w14:paraId="789DE4BB" w14:textId="77777777" w:rsidR="00933AE0" w:rsidRPr="00933AE0" w:rsidRDefault="00933AE0" w:rsidP="00933AE0">
            <w:pPr>
              <w:spacing w:line="240" w:lineRule="auto"/>
              <w:jc w:val="left"/>
              <w:rPr>
                <w:color w:val="000000"/>
                <w:lang w:val="en-US" w:bidi="bn-BD"/>
              </w:rPr>
            </w:pPr>
            <w:r w:rsidRPr="00933AE0">
              <w:rPr>
                <w:color w:val="000000"/>
                <w:lang w:val="en-US" w:bidi="bn-BD"/>
              </w:rPr>
              <w:t>97,703</w:t>
            </w:r>
          </w:p>
        </w:tc>
        <w:tc>
          <w:tcPr>
            <w:tcW w:w="996" w:type="dxa"/>
            <w:tcBorders>
              <w:top w:val="nil"/>
              <w:left w:val="nil"/>
              <w:bottom w:val="single" w:sz="4" w:space="0" w:color="auto"/>
              <w:right w:val="single" w:sz="4" w:space="0" w:color="auto"/>
            </w:tcBorders>
            <w:noWrap/>
            <w:hideMark/>
          </w:tcPr>
          <w:p w14:paraId="5C5CC78D" w14:textId="77777777" w:rsidR="00933AE0" w:rsidRPr="00933AE0" w:rsidRDefault="00933AE0" w:rsidP="00933AE0">
            <w:pPr>
              <w:spacing w:line="240" w:lineRule="auto"/>
              <w:jc w:val="left"/>
              <w:rPr>
                <w:color w:val="000000"/>
                <w:lang w:val="en-US" w:bidi="bn-BD"/>
              </w:rPr>
            </w:pPr>
            <w:r w:rsidRPr="00933AE0">
              <w:rPr>
                <w:color w:val="000000"/>
                <w:lang w:val="en-US" w:bidi="bn-BD"/>
              </w:rPr>
              <w:t>121,567</w:t>
            </w:r>
          </w:p>
        </w:tc>
        <w:tc>
          <w:tcPr>
            <w:tcW w:w="996" w:type="dxa"/>
            <w:tcBorders>
              <w:top w:val="nil"/>
              <w:left w:val="nil"/>
              <w:bottom w:val="single" w:sz="4" w:space="0" w:color="auto"/>
              <w:right w:val="single" w:sz="4" w:space="0" w:color="auto"/>
            </w:tcBorders>
            <w:noWrap/>
            <w:hideMark/>
          </w:tcPr>
          <w:p w14:paraId="6E606288" w14:textId="77777777" w:rsidR="00933AE0" w:rsidRPr="00933AE0" w:rsidRDefault="00933AE0" w:rsidP="00933AE0">
            <w:pPr>
              <w:spacing w:line="240" w:lineRule="auto"/>
              <w:jc w:val="left"/>
              <w:rPr>
                <w:color w:val="000000"/>
                <w:lang w:val="en-US" w:bidi="bn-BD"/>
              </w:rPr>
            </w:pPr>
            <w:r w:rsidRPr="00933AE0">
              <w:rPr>
                <w:color w:val="000000"/>
                <w:lang w:val="en-US" w:bidi="bn-BD"/>
              </w:rPr>
              <w:t>120,359</w:t>
            </w:r>
          </w:p>
        </w:tc>
        <w:tc>
          <w:tcPr>
            <w:tcW w:w="996" w:type="dxa"/>
            <w:tcBorders>
              <w:top w:val="nil"/>
              <w:left w:val="nil"/>
              <w:bottom w:val="single" w:sz="4" w:space="0" w:color="auto"/>
              <w:right w:val="single" w:sz="4" w:space="0" w:color="auto"/>
            </w:tcBorders>
            <w:noWrap/>
            <w:hideMark/>
          </w:tcPr>
          <w:p w14:paraId="02B0F458" w14:textId="77777777" w:rsidR="00933AE0" w:rsidRPr="00933AE0" w:rsidRDefault="00933AE0" w:rsidP="00933AE0">
            <w:pPr>
              <w:spacing w:line="240" w:lineRule="auto"/>
              <w:jc w:val="left"/>
              <w:rPr>
                <w:color w:val="000000"/>
                <w:lang w:val="en-US" w:bidi="bn-BD"/>
              </w:rPr>
            </w:pPr>
            <w:r w:rsidRPr="00933AE0">
              <w:rPr>
                <w:color w:val="000000"/>
                <w:lang w:val="en-US" w:bidi="bn-BD"/>
              </w:rPr>
              <w:t>147,333</w:t>
            </w:r>
          </w:p>
        </w:tc>
      </w:tr>
      <w:tr w:rsidR="00933AE0" w:rsidRPr="00933AE0" w14:paraId="684FCB6B"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194226F8" w14:textId="77777777" w:rsidR="00933AE0" w:rsidRPr="00933AE0" w:rsidRDefault="00933AE0" w:rsidP="00933AE0">
            <w:pPr>
              <w:spacing w:line="240" w:lineRule="auto"/>
              <w:jc w:val="left"/>
              <w:rPr>
                <w:color w:val="000000"/>
                <w:lang w:val="en-US" w:bidi="bn-BD"/>
              </w:rPr>
            </w:pPr>
            <w:r w:rsidRPr="00933AE0">
              <w:rPr>
                <w:color w:val="000000"/>
                <w:lang w:val="en-US" w:bidi="bn-BD"/>
              </w:rPr>
              <w:t>Total Assets</w:t>
            </w:r>
          </w:p>
        </w:tc>
        <w:tc>
          <w:tcPr>
            <w:tcW w:w="1036" w:type="dxa"/>
            <w:tcBorders>
              <w:top w:val="nil"/>
              <w:left w:val="nil"/>
              <w:bottom w:val="single" w:sz="4" w:space="0" w:color="auto"/>
              <w:right w:val="single" w:sz="4" w:space="0" w:color="auto"/>
            </w:tcBorders>
            <w:noWrap/>
            <w:hideMark/>
          </w:tcPr>
          <w:p w14:paraId="19DDB8FC" w14:textId="77777777" w:rsidR="00933AE0" w:rsidRPr="00933AE0" w:rsidRDefault="00933AE0" w:rsidP="00933AE0">
            <w:pPr>
              <w:spacing w:line="240" w:lineRule="auto"/>
              <w:jc w:val="left"/>
              <w:rPr>
                <w:color w:val="000000"/>
                <w:lang w:val="en-US" w:bidi="bn-BD"/>
              </w:rPr>
            </w:pPr>
            <w:r w:rsidRPr="00933AE0">
              <w:rPr>
                <w:color w:val="000000"/>
                <w:lang w:val="en-US" w:bidi="bn-BD"/>
              </w:rPr>
              <w:t>323,354</w:t>
            </w:r>
          </w:p>
        </w:tc>
        <w:tc>
          <w:tcPr>
            <w:tcW w:w="1036" w:type="dxa"/>
            <w:tcBorders>
              <w:top w:val="nil"/>
              <w:left w:val="nil"/>
              <w:bottom w:val="single" w:sz="4" w:space="0" w:color="auto"/>
              <w:right w:val="single" w:sz="4" w:space="0" w:color="auto"/>
            </w:tcBorders>
            <w:noWrap/>
            <w:hideMark/>
          </w:tcPr>
          <w:p w14:paraId="6A0E5A8F" w14:textId="77777777" w:rsidR="00933AE0" w:rsidRPr="00933AE0" w:rsidRDefault="00933AE0" w:rsidP="00933AE0">
            <w:pPr>
              <w:spacing w:line="240" w:lineRule="auto"/>
              <w:jc w:val="left"/>
              <w:rPr>
                <w:color w:val="000000"/>
                <w:lang w:val="en-US" w:bidi="bn-BD"/>
              </w:rPr>
            </w:pPr>
            <w:r w:rsidRPr="00933AE0">
              <w:rPr>
                <w:color w:val="000000"/>
                <w:lang w:val="en-US" w:bidi="bn-BD"/>
              </w:rPr>
              <w:t>355,872</w:t>
            </w:r>
          </w:p>
        </w:tc>
        <w:tc>
          <w:tcPr>
            <w:tcW w:w="996" w:type="dxa"/>
            <w:tcBorders>
              <w:top w:val="nil"/>
              <w:left w:val="nil"/>
              <w:bottom w:val="single" w:sz="4" w:space="0" w:color="auto"/>
              <w:right w:val="single" w:sz="4" w:space="0" w:color="auto"/>
            </w:tcBorders>
            <w:noWrap/>
            <w:hideMark/>
          </w:tcPr>
          <w:p w14:paraId="43B516EF" w14:textId="77777777" w:rsidR="00933AE0" w:rsidRPr="00933AE0" w:rsidRDefault="00933AE0" w:rsidP="00933AE0">
            <w:pPr>
              <w:spacing w:line="240" w:lineRule="auto"/>
              <w:jc w:val="left"/>
              <w:rPr>
                <w:color w:val="000000"/>
                <w:lang w:val="en-US" w:bidi="bn-BD"/>
              </w:rPr>
            </w:pPr>
            <w:r w:rsidRPr="00933AE0">
              <w:rPr>
                <w:color w:val="000000"/>
                <w:lang w:val="en-US" w:bidi="bn-BD"/>
              </w:rPr>
              <w:t>504,163</w:t>
            </w:r>
          </w:p>
        </w:tc>
        <w:tc>
          <w:tcPr>
            <w:tcW w:w="996" w:type="dxa"/>
            <w:tcBorders>
              <w:top w:val="nil"/>
              <w:left w:val="nil"/>
              <w:bottom w:val="single" w:sz="4" w:space="0" w:color="auto"/>
              <w:right w:val="single" w:sz="4" w:space="0" w:color="auto"/>
            </w:tcBorders>
            <w:noWrap/>
            <w:hideMark/>
          </w:tcPr>
          <w:p w14:paraId="153DB9C0" w14:textId="77777777" w:rsidR="00933AE0" w:rsidRPr="00933AE0" w:rsidRDefault="00933AE0" w:rsidP="00933AE0">
            <w:pPr>
              <w:spacing w:line="240" w:lineRule="auto"/>
              <w:jc w:val="left"/>
              <w:rPr>
                <w:color w:val="000000"/>
                <w:lang w:val="en-US" w:bidi="bn-BD"/>
              </w:rPr>
            </w:pPr>
            <w:r w:rsidRPr="00933AE0">
              <w:rPr>
                <w:color w:val="000000"/>
                <w:lang w:val="en-US" w:bidi="bn-BD"/>
              </w:rPr>
              <w:t>510,348</w:t>
            </w:r>
          </w:p>
        </w:tc>
        <w:tc>
          <w:tcPr>
            <w:tcW w:w="996" w:type="dxa"/>
            <w:tcBorders>
              <w:top w:val="nil"/>
              <w:left w:val="nil"/>
              <w:bottom w:val="single" w:sz="4" w:space="0" w:color="auto"/>
              <w:right w:val="single" w:sz="4" w:space="0" w:color="auto"/>
            </w:tcBorders>
            <w:noWrap/>
            <w:hideMark/>
          </w:tcPr>
          <w:p w14:paraId="7C0BB5F1" w14:textId="77777777" w:rsidR="00933AE0" w:rsidRPr="00933AE0" w:rsidRDefault="00933AE0" w:rsidP="00933AE0">
            <w:pPr>
              <w:spacing w:line="240" w:lineRule="auto"/>
              <w:jc w:val="left"/>
              <w:rPr>
                <w:color w:val="000000"/>
                <w:lang w:val="en-US" w:bidi="bn-BD"/>
              </w:rPr>
            </w:pPr>
            <w:r w:rsidRPr="00933AE0">
              <w:rPr>
                <w:color w:val="000000"/>
                <w:lang w:val="en-US" w:bidi="bn-BD"/>
              </w:rPr>
              <w:t>510,290</w:t>
            </w:r>
          </w:p>
        </w:tc>
      </w:tr>
      <w:tr w:rsidR="00933AE0" w:rsidRPr="00933AE0" w14:paraId="2D037C3C"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583BC53A" w14:textId="77777777" w:rsidR="00933AE0" w:rsidRPr="00933AE0" w:rsidRDefault="00933AE0" w:rsidP="00933AE0">
            <w:pPr>
              <w:spacing w:line="240" w:lineRule="auto"/>
              <w:jc w:val="left"/>
              <w:rPr>
                <w:color w:val="000000"/>
                <w:lang w:val="en-US" w:bidi="bn-BD"/>
              </w:rPr>
            </w:pPr>
            <w:r w:rsidRPr="00933AE0">
              <w:rPr>
                <w:color w:val="000000"/>
                <w:lang w:val="en-US" w:bidi="bn-BD"/>
              </w:rPr>
              <w:t>Retained Earnings</w:t>
            </w:r>
          </w:p>
        </w:tc>
        <w:tc>
          <w:tcPr>
            <w:tcW w:w="1036" w:type="dxa"/>
            <w:tcBorders>
              <w:top w:val="nil"/>
              <w:left w:val="nil"/>
              <w:bottom w:val="single" w:sz="4" w:space="0" w:color="auto"/>
              <w:right w:val="single" w:sz="4" w:space="0" w:color="auto"/>
            </w:tcBorders>
            <w:noWrap/>
            <w:hideMark/>
          </w:tcPr>
          <w:p w14:paraId="080A177E" w14:textId="77777777" w:rsidR="00933AE0" w:rsidRPr="00933AE0" w:rsidRDefault="00933AE0" w:rsidP="00933AE0">
            <w:pPr>
              <w:spacing w:line="240" w:lineRule="auto"/>
              <w:jc w:val="left"/>
              <w:rPr>
                <w:color w:val="000000"/>
                <w:lang w:val="en-US" w:bidi="bn-BD"/>
              </w:rPr>
            </w:pPr>
            <w:r w:rsidRPr="00933AE0">
              <w:rPr>
                <w:color w:val="000000"/>
                <w:lang w:val="en-US" w:bidi="bn-BD"/>
              </w:rPr>
              <w:t>208,431</w:t>
            </w:r>
          </w:p>
        </w:tc>
        <w:tc>
          <w:tcPr>
            <w:tcW w:w="1036" w:type="dxa"/>
            <w:tcBorders>
              <w:top w:val="nil"/>
              <w:left w:val="nil"/>
              <w:bottom w:val="single" w:sz="4" w:space="0" w:color="auto"/>
              <w:right w:val="single" w:sz="4" w:space="0" w:color="auto"/>
            </w:tcBorders>
            <w:noWrap/>
            <w:hideMark/>
          </w:tcPr>
          <w:p w14:paraId="0633F2F3" w14:textId="77777777" w:rsidR="00933AE0" w:rsidRPr="00933AE0" w:rsidRDefault="00933AE0" w:rsidP="00933AE0">
            <w:pPr>
              <w:spacing w:line="240" w:lineRule="auto"/>
              <w:jc w:val="left"/>
              <w:rPr>
                <w:color w:val="000000"/>
                <w:lang w:val="en-US" w:bidi="bn-BD"/>
              </w:rPr>
            </w:pPr>
            <w:r w:rsidRPr="00933AE0">
              <w:rPr>
                <w:color w:val="000000"/>
                <w:lang w:val="en-US" w:bidi="bn-BD"/>
              </w:rPr>
              <w:t>232,460</w:t>
            </w:r>
          </w:p>
        </w:tc>
        <w:tc>
          <w:tcPr>
            <w:tcW w:w="996" w:type="dxa"/>
            <w:tcBorders>
              <w:top w:val="nil"/>
              <w:left w:val="nil"/>
              <w:bottom w:val="single" w:sz="4" w:space="0" w:color="auto"/>
              <w:right w:val="single" w:sz="4" w:space="0" w:color="auto"/>
            </w:tcBorders>
            <w:noWrap/>
            <w:hideMark/>
          </w:tcPr>
          <w:p w14:paraId="11FC1445" w14:textId="77777777" w:rsidR="00933AE0" w:rsidRPr="00933AE0" w:rsidRDefault="00933AE0" w:rsidP="00933AE0">
            <w:pPr>
              <w:spacing w:line="240" w:lineRule="auto"/>
              <w:jc w:val="left"/>
              <w:rPr>
                <w:color w:val="000000"/>
                <w:lang w:val="en-US" w:bidi="bn-BD"/>
              </w:rPr>
            </w:pPr>
            <w:r w:rsidRPr="00933AE0">
              <w:rPr>
                <w:color w:val="000000"/>
                <w:lang w:val="en-US" w:bidi="bn-BD"/>
              </w:rPr>
              <w:t>330,698</w:t>
            </w:r>
          </w:p>
        </w:tc>
        <w:tc>
          <w:tcPr>
            <w:tcW w:w="996" w:type="dxa"/>
            <w:tcBorders>
              <w:top w:val="nil"/>
              <w:left w:val="nil"/>
              <w:bottom w:val="single" w:sz="4" w:space="0" w:color="auto"/>
              <w:right w:val="single" w:sz="4" w:space="0" w:color="auto"/>
            </w:tcBorders>
            <w:noWrap/>
            <w:hideMark/>
          </w:tcPr>
          <w:p w14:paraId="0EA25331" w14:textId="77777777" w:rsidR="00933AE0" w:rsidRPr="00933AE0" w:rsidRDefault="00933AE0" w:rsidP="00933AE0">
            <w:pPr>
              <w:spacing w:line="240" w:lineRule="auto"/>
              <w:jc w:val="left"/>
              <w:rPr>
                <w:color w:val="000000"/>
                <w:lang w:val="en-US" w:bidi="bn-BD"/>
              </w:rPr>
            </w:pPr>
            <w:r w:rsidRPr="00933AE0">
              <w:rPr>
                <w:color w:val="000000"/>
                <w:lang w:val="en-US" w:bidi="bn-BD"/>
              </w:rPr>
              <w:t>330,291</w:t>
            </w:r>
          </w:p>
        </w:tc>
        <w:tc>
          <w:tcPr>
            <w:tcW w:w="996" w:type="dxa"/>
            <w:tcBorders>
              <w:top w:val="nil"/>
              <w:left w:val="nil"/>
              <w:bottom w:val="single" w:sz="4" w:space="0" w:color="auto"/>
              <w:right w:val="single" w:sz="4" w:space="0" w:color="auto"/>
            </w:tcBorders>
            <w:noWrap/>
            <w:hideMark/>
          </w:tcPr>
          <w:p w14:paraId="045E3427" w14:textId="77777777" w:rsidR="00933AE0" w:rsidRPr="00933AE0" w:rsidRDefault="00933AE0" w:rsidP="00933AE0">
            <w:pPr>
              <w:spacing w:line="240" w:lineRule="auto"/>
              <w:jc w:val="left"/>
              <w:rPr>
                <w:color w:val="000000"/>
                <w:lang w:val="en-US" w:bidi="bn-BD"/>
              </w:rPr>
            </w:pPr>
            <w:r w:rsidRPr="00933AE0">
              <w:rPr>
                <w:color w:val="000000"/>
                <w:lang w:val="en-US" w:bidi="bn-BD"/>
              </w:rPr>
              <w:t>324,990</w:t>
            </w:r>
          </w:p>
        </w:tc>
      </w:tr>
      <w:tr w:rsidR="00933AE0" w:rsidRPr="00933AE0" w14:paraId="23169365"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79C1C8E2" w14:textId="77777777" w:rsidR="00933AE0" w:rsidRPr="00933AE0" w:rsidRDefault="00933AE0" w:rsidP="00933AE0">
            <w:pPr>
              <w:spacing w:line="240" w:lineRule="auto"/>
              <w:jc w:val="left"/>
              <w:rPr>
                <w:color w:val="000000"/>
                <w:lang w:val="en-US" w:bidi="bn-BD"/>
              </w:rPr>
            </w:pPr>
            <w:r w:rsidRPr="00933AE0">
              <w:rPr>
                <w:color w:val="000000"/>
                <w:lang w:val="en-US" w:bidi="bn-BD"/>
              </w:rPr>
              <w:t>EBIT (Operating Income)</w:t>
            </w:r>
          </w:p>
        </w:tc>
        <w:tc>
          <w:tcPr>
            <w:tcW w:w="1036" w:type="dxa"/>
            <w:tcBorders>
              <w:top w:val="nil"/>
              <w:left w:val="nil"/>
              <w:bottom w:val="single" w:sz="4" w:space="0" w:color="auto"/>
              <w:right w:val="single" w:sz="4" w:space="0" w:color="auto"/>
            </w:tcBorders>
            <w:noWrap/>
            <w:hideMark/>
          </w:tcPr>
          <w:p w14:paraId="1A44840F" w14:textId="77777777" w:rsidR="00933AE0" w:rsidRPr="00933AE0" w:rsidRDefault="00933AE0" w:rsidP="00933AE0">
            <w:pPr>
              <w:spacing w:line="240" w:lineRule="auto"/>
              <w:jc w:val="left"/>
              <w:rPr>
                <w:color w:val="000000"/>
                <w:lang w:val="en-US" w:bidi="bn-BD"/>
              </w:rPr>
            </w:pPr>
            <w:r w:rsidRPr="00933AE0">
              <w:rPr>
                <w:color w:val="000000"/>
                <w:lang w:val="en-US" w:bidi="bn-BD"/>
              </w:rPr>
              <w:t>(15,297)</w:t>
            </w:r>
          </w:p>
        </w:tc>
        <w:tc>
          <w:tcPr>
            <w:tcW w:w="1036" w:type="dxa"/>
            <w:tcBorders>
              <w:top w:val="nil"/>
              <w:left w:val="nil"/>
              <w:bottom w:val="single" w:sz="4" w:space="0" w:color="auto"/>
              <w:right w:val="single" w:sz="4" w:space="0" w:color="auto"/>
            </w:tcBorders>
            <w:noWrap/>
            <w:hideMark/>
          </w:tcPr>
          <w:p w14:paraId="518AF3F6" w14:textId="77777777" w:rsidR="00933AE0" w:rsidRPr="00933AE0" w:rsidRDefault="00933AE0" w:rsidP="00933AE0">
            <w:pPr>
              <w:spacing w:line="240" w:lineRule="auto"/>
              <w:jc w:val="left"/>
              <w:rPr>
                <w:color w:val="000000"/>
                <w:lang w:val="en-US" w:bidi="bn-BD"/>
              </w:rPr>
            </w:pPr>
            <w:r w:rsidRPr="00933AE0">
              <w:rPr>
                <w:color w:val="000000"/>
                <w:lang w:val="en-US" w:bidi="bn-BD"/>
              </w:rPr>
              <w:t>(85,301)</w:t>
            </w:r>
          </w:p>
        </w:tc>
        <w:tc>
          <w:tcPr>
            <w:tcW w:w="996" w:type="dxa"/>
            <w:tcBorders>
              <w:top w:val="nil"/>
              <w:left w:val="nil"/>
              <w:bottom w:val="single" w:sz="4" w:space="0" w:color="auto"/>
              <w:right w:val="single" w:sz="4" w:space="0" w:color="auto"/>
            </w:tcBorders>
            <w:noWrap/>
            <w:hideMark/>
          </w:tcPr>
          <w:p w14:paraId="5ABE0D44" w14:textId="77777777" w:rsidR="00933AE0" w:rsidRPr="00933AE0" w:rsidRDefault="00933AE0" w:rsidP="00933AE0">
            <w:pPr>
              <w:spacing w:line="240" w:lineRule="auto"/>
              <w:jc w:val="left"/>
              <w:rPr>
                <w:color w:val="000000"/>
                <w:lang w:val="en-US" w:bidi="bn-BD"/>
              </w:rPr>
            </w:pPr>
            <w:r w:rsidRPr="00933AE0">
              <w:rPr>
                <w:color w:val="000000"/>
                <w:lang w:val="en-US" w:bidi="bn-BD"/>
              </w:rPr>
              <w:t xml:space="preserve">14,548 </w:t>
            </w:r>
          </w:p>
        </w:tc>
        <w:tc>
          <w:tcPr>
            <w:tcW w:w="996" w:type="dxa"/>
            <w:tcBorders>
              <w:top w:val="nil"/>
              <w:left w:val="nil"/>
              <w:bottom w:val="single" w:sz="4" w:space="0" w:color="auto"/>
              <w:right w:val="single" w:sz="4" w:space="0" w:color="auto"/>
            </w:tcBorders>
            <w:noWrap/>
            <w:hideMark/>
          </w:tcPr>
          <w:p w14:paraId="480FCEEE" w14:textId="77777777" w:rsidR="00933AE0" w:rsidRPr="00933AE0" w:rsidRDefault="00933AE0" w:rsidP="00933AE0">
            <w:pPr>
              <w:spacing w:line="240" w:lineRule="auto"/>
              <w:jc w:val="left"/>
              <w:rPr>
                <w:color w:val="000000"/>
                <w:lang w:val="en-US" w:bidi="bn-BD"/>
              </w:rPr>
            </w:pPr>
            <w:r w:rsidRPr="00933AE0">
              <w:rPr>
                <w:color w:val="000000"/>
                <w:lang w:val="en-US" w:bidi="bn-BD"/>
              </w:rPr>
              <w:t xml:space="preserve">23,253 </w:t>
            </w:r>
          </w:p>
        </w:tc>
        <w:tc>
          <w:tcPr>
            <w:tcW w:w="996" w:type="dxa"/>
            <w:tcBorders>
              <w:top w:val="nil"/>
              <w:left w:val="nil"/>
              <w:bottom w:val="single" w:sz="4" w:space="0" w:color="auto"/>
              <w:right w:val="single" w:sz="4" w:space="0" w:color="auto"/>
            </w:tcBorders>
            <w:noWrap/>
            <w:hideMark/>
          </w:tcPr>
          <w:p w14:paraId="21826983" w14:textId="77777777" w:rsidR="00933AE0" w:rsidRPr="00933AE0" w:rsidRDefault="00933AE0" w:rsidP="00933AE0">
            <w:pPr>
              <w:spacing w:line="240" w:lineRule="auto"/>
              <w:jc w:val="left"/>
              <w:rPr>
                <w:color w:val="000000"/>
                <w:lang w:val="en-US" w:bidi="bn-BD"/>
              </w:rPr>
            </w:pPr>
            <w:r w:rsidRPr="00933AE0">
              <w:rPr>
                <w:color w:val="000000"/>
                <w:lang w:val="en-US" w:bidi="bn-BD"/>
              </w:rPr>
              <w:t xml:space="preserve">37,267 </w:t>
            </w:r>
          </w:p>
        </w:tc>
      </w:tr>
      <w:tr w:rsidR="00933AE0" w:rsidRPr="00933AE0" w14:paraId="06A5BFD0"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34214423" w14:textId="77777777" w:rsidR="00933AE0" w:rsidRPr="00933AE0" w:rsidRDefault="00933AE0" w:rsidP="00933AE0">
            <w:pPr>
              <w:spacing w:line="240" w:lineRule="auto"/>
              <w:jc w:val="left"/>
              <w:rPr>
                <w:color w:val="000000"/>
                <w:lang w:val="en-US" w:bidi="bn-BD"/>
              </w:rPr>
            </w:pPr>
            <w:r w:rsidRPr="00933AE0">
              <w:rPr>
                <w:color w:val="000000"/>
                <w:lang w:val="en-US" w:bidi="bn-BD"/>
              </w:rPr>
              <w:t xml:space="preserve">Market Value of Equity </w:t>
            </w:r>
          </w:p>
        </w:tc>
        <w:tc>
          <w:tcPr>
            <w:tcW w:w="1036" w:type="dxa"/>
            <w:tcBorders>
              <w:top w:val="nil"/>
              <w:left w:val="nil"/>
              <w:bottom w:val="single" w:sz="4" w:space="0" w:color="auto"/>
              <w:right w:val="single" w:sz="4" w:space="0" w:color="auto"/>
            </w:tcBorders>
            <w:noWrap/>
            <w:hideMark/>
          </w:tcPr>
          <w:p w14:paraId="7B3FC043" w14:textId="77777777" w:rsidR="00933AE0" w:rsidRPr="00933AE0" w:rsidRDefault="00933AE0" w:rsidP="00933AE0">
            <w:pPr>
              <w:spacing w:line="240" w:lineRule="auto"/>
              <w:jc w:val="left"/>
              <w:rPr>
                <w:color w:val="000000"/>
                <w:lang w:val="en-US" w:bidi="bn-BD"/>
              </w:rPr>
            </w:pPr>
            <w:r w:rsidRPr="00933AE0">
              <w:rPr>
                <w:color w:val="000000"/>
                <w:lang w:val="en-US" w:bidi="bn-BD"/>
              </w:rPr>
              <w:t>153,105</w:t>
            </w:r>
          </w:p>
        </w:tc>
        <w:tc>
          <w:tcPr>
            <w:tcW w:w="1036" w:type="dxa"/>
            <w:tcBorders>
              <w:top w:val="nil"/>
              <w:left w:val="nil"/>
              <w:bottom w:val="single" w:sz="4" w:space="0" w:color="auto"/>
              <w:right w:val="single" w:sz="4" w:space="0" w:color="auto"/>
            </w:tcBorders>
            <w:noWrap/>
            <w:hideMark/>
          </w:tcPr>
          <w:p w14:paraId="57BFCA77" w14:textId="77777777" w:rsidR="00933AE0" w:rsidRPr="00933AE0" w:rsidRDefault="00933AE0" w:rsidP="00933AE0">
            <w:pPr>
              <w:spacing w:line="240" w:lineRule="auto"/>
              <w:jc w:val="left"/>
              <w:rPr>
                <w:color w:val="000000"/>
                <w:lang w:val="en-US" w:bidi="bn-BD"/>
              </w:rPr>
            </w:pPr>
            <w:r w:rsidRPr="00933AE0">
              <w:rPr>
                <w:color w:val="000000"/>
                <w:lang w:val="en-US" w:bidi="bn-BD"/>
              </w:rPr>
              <w:t>178,920</w:t>
            </w:r>
          </w:p>
        </w:tc>
        <w:tc>
          <w:tcPr>
            <w:tcW w:w="996" w:type="dxa"/>
            <w:tcBorders>
              <w:top w:val="nil"/>
              <w:left w:val="nil"/>
              <w:bottom w:val="single" w:sz="4" w:space="0" w:color="auto"/>
              <w:right w:val="single" w:sz="4" w:space="0" w:color="auto"/>
            </w:tcBorders>
            <w:noWrap/>
            <w:hideMark/>
          </w:tcPr>
          <w:p w14:paraId="73C7284B" w14:textId="77777777" w:rsidR="00933AE0" w:rsidRPr="00933AE0" w:rsidRDefault="00933AE0" w:rsidP="00933AE0">
            <w:pPr>
              <w:spacing w:line="240" w:lineRule="auto"/>
              <w:jc w:val="left"/>
              <w:rPr>
                <w:color w:val="000000"/>
                <w:lang w:val="en-US" w:bidi="bn-BD"/>
              </w:rPr>
            </w:pPr>
            <w:r w:rsidRPr="00933AE0">
              <w:rPr>
                <w:color w:val="000000"/>
                <w:lang w:val="en-US" w:bidi="bn-BD"/>
              </w:rPr>
              <w:t>268,406</w:t>
            </w:r>
          </w:p>
        </w:tc>
        <w:tc>
          <w:tcPr>
            <w:tcW w:w="996" w:type="dxa"/>
            <w:tcBorders>
              <w:top w:val="nil"/>
              <w:left w:val="nil"/>
              <w:bottom w:val="single" w:sz="4" w:space="0" w:color="auto"/>
              <w:right w:val="single" w:sz="4" w:space="0" w:color="auto"/>
            </w:tcBorders>
            <w:noWrap/>
            <w:hideMark/>
          </w:tcPr>
          <w:p w14:paraId="3A61C91F" w14:textId="77777777" w:rsidR="00933AE0" w:rsidRPr="00933AE0" w:rsidRDefault="00933AE0" w:rsidP="00933AE0">
            <w:pPr>
              <w:spacing w:line="240" w:lineRule="auto"/>
              <w:jc w:val="left"/>
              <w:rPr>
                <w:color w:val="000000"/>
                <w:lang w:val="en-US" w:bidi="bn-BD"/>
              </w:rPr>
            </w:pPr>
            <w:r w:rsidRPr="00933AE0">
              <w:rPr>
                <w:color w:val="000000"/>
                <w:lang w:val="en-US" w:bidi="bn-BD"/>
              </w:rPr>
              <w:t>275,949</w:t>
            </w:r>
          </w:p>
        </w:tc>
        <w:tc>
          <w:tcPr>
            <w:tcW w:w="996" w:type="dxa"/>
            <w:tcBorders>
              <w:top w:val="nil"/>
              <w:left w:val="nil"/>
              <w:bottom w:val="single" w:sz="4" w:space="0" w:color="auto"/>
              <w:right w:val="single" w:sz="4" w:space="0" w:color="auto"/>
            </w:tcBorders>
            <w:noWrap/>
            <w:hideMark/>
          </w:tcPr>
          <w:p w14:paraId="546D781C" w14:textId="77777777" w:rsidR="00933AE0" w:rsidRPr="00933AE0" w:rsidRDefault="00933AE0" w:rsidP="00933AE0">
            <w:pPr>
              <w:spacing w:line="240" w:lineRule="auto"/>
              <w:jc w:val="left"/>
              <w:rPr>
                <w:color w:val="000000"/>
                <w:lang w:val="en-US" w:bidi="bn-BD"/>
              </w:rPr>
            </w:pPr>
            <w:r w:rsidRPr="00933AE0">
              <w:rPr>
                <w:color w:val="000000"/>
                <w:lang w:val="en-US" w:bidi="bn-BD"/>
              </w:rPr>
              <w:t>313,301</w:t>
            </w:r>
          </w:p>
        </w:tc>
      </w:tr>
      <w:tr w:rsidR="00933AE0" w:rsidRPr="00933AE0" w14:paraId="475B2920"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1FBC48C9" w14:textId="77777777" w:rsidR="00933AE0" w:rsidRPr="00933AE0" w:rsidRDefault="00933AE0" w:rsidP="00933AE0">
            <w:pPr>
              <w:spacing w:line="240" w:lineRule="auto"/>
              <w:jc w:val="left"/>
              <w:rPr>
                <w:color w:val="000000"/>
                <w:lang w:val="en-US" w:bidi="bn-BD"/>
              </w:rPr>
            </w:pPr>
            <w:r w:rsidRPr="00933AE0">
              <w:rPr>
                <w:color w:val="000000"/>
                <w:lang w:val="en-US" w:bidi="bn-BD"/>
              </w:rPr>
              <w:t>Sales</w:t>
            </w:r>
          </w:p>
        </w:tc>
        <w:tc>
          <w:tcPr>
            <w:tcW w:w="1036" w:type="dxa"/>
            <w:tcBorders>
              <w:top w:val="nil"/>
              <w:left w:val="nil"/>
              <w:bottom w:val="single" w:sz="4" w:space="0" w:color="auto"/>
              <w:right w:val="single" w:sz="4" w:space="0" w:color="auto"/>
            </w:tcBorders>
            <w:noWrap/>
            <w:hideMark/>
          </w:tcPr>
          <w:p w14:paraId="1540FFAB" w14:textId="77777777" w:rsidR="00933AE0" w:rsidRPr="00933AE0" w:rsidRDefault="00933AE0" w:rsidP="00933AE0">
            <w:pPr>
              <w:spacing w:line="240" w:lineRule="auto"/>
              <w:jc w:val="left"/>
              <w:rPr>
                <w:color w:val="000000"/>
                <w:lang w:val="en-US" w:bidi="bn-BD"/>
              </w:rPr>
            </w:pPr>
            <w:r w:rsidRPr="00933AE0">
              <w:rPr>
                <w:color w:val="000000"/>
                <w:lang w:val="en-US" w:bidi="bn-BD"/>
              </w:rPr>
              <w:t>394,879</w:t>
            </w:r>
          </w:p>
        </w:tc>
        <w:tc>
          <w:tcPr>
            <w:tcW w:w="1036" w:type="dxa"/>
            <w:tcBorders>
              <w:top w:val="nil"/>
              <w:left w:val="nil"/>
              <w:bottom w:val="single" w:sz="4" w:space="0" w:color="auto"/>
              <w:right w:val="single" w:sz="4" w:space="0" w:color="auto"/>
            </w:tcBorders>
            <w:noWrap/>
            <w:hideMark/>
          </w:tcPr>
          <w:p w14:paraId="799D02E2" w14:textId="77777777" w:rsidR="00933AE0" w:rsidRPr="00933AE0" w:rsidRDefault="00933AE0" w:rsidP="00933AE0">
            <w:pPr>
              <w:spacing w:line="240" w:lineRule="auto"/>
              <w:jc w:val="left"/>
              <w:rPr>
                <w:color w:val="000000"/>
                <w:lang w:val="en-US" w:bidi="bn-BD"/>
              </w:rPr>
            </w:pPr>
            <w:r w:rsidRPr="00933AE0">
              <w:rPr>
                <w:color w:val="000000"/>
                <w:lang w:val="en-US" w:bidi="bn-BD"/>
              </w:rPr>
              <w:t>420,457</w:t>
            </w:r>
          </w:p>
        </w:tc>
        <w:tc>
          <w:tcPr>
            <w:tcW w:w="996" w:type="dxa"/>
            <w:tcBorders>
              <w:top w:val="nil"/>
              <w:left w:val="nil"/>
              <w:bottom w:val="single" w:sz="4" w:space="0" w:color="auto"/>
              <w:right w:val="single" w:sz="4" w:space="0" w:color="auto"/>
            </w:tcBorders>
            <w:noWrap/>
            <w:hideMark/>
          </w:tcPr>
          <w:p w14:paraId="1784880C" w14:textId="77777777" w:rsidR="00933AE0" w:rsidRPr="00933AE0" w:rsidRDefault="00933AE0" w:rsidP="00933AE0">
            <w:pPr>
              <w:spacing w:line="240" w:lineRule="auto"/>
              <w:jc w:val="left"/>
              <w:rPr>
                <w:color w:val="000000"/>
                <w:lang w:val="en-US" w:bidi="bn-BD"/>
              </w:rPr>
            </w:pPr>
            <w:r w:rsidRPr="00933AE0">
              <w:rPr>
                <w:color w:val="000000"/>
                <w:lang w:val="en-US" w:bidi="bn-BD"/>
              </w:rPr>
              <w:t>542,751</w:t>
            </w:r>
          </w:p>
        </w:tc>
        <w:tc>
          <w:tcPr>
            <w:tcW w:w="996" w:type="dxa"/>
            <w:tcBorders>
              <w:top w:val="nil"/>
              <w:left w:val="nil"/>
              <w:bottom w:val="single" w:sz="4" w:space="0" w:color="auto"/>
              <w:right w:val="single" w:sz="4" w:space="0" w:color="auto"/>
            </w:tcBorders>
            <w:noWrap/>
            <w:hideMark/>
          </w:tcPr>
          <w:p w14:paraId="5263F612" w14:textId="77777777" w:rsidR="00933AE0" w:rsidRPr="00933AE0" w:rsidRDefault="00933AE0" w:rsidP="00933AE0">
            <w:pPr>
              <w:spacing w:line="240" w:lineRule="auto"/>
              <w:jc w:val="left"/>
              <w:rPr>
                <w:color w:val="000000"/>
                <w:lang w:val="en-US" w:bidi="bn-BD"/>
              </w:rPr>
            </w:pPr>
            <w:r w:rsidRPr="00933AE0">
              <w:rPr>
                <w:color w:val="000000"/>
                <w:lang w:val="en-US" w:bidi="bn-BD"/>
              </w:rPr>
              <w:t>601,602</w:t>
            </w:r>
          </w:p>
        </w:tc>
        <w:tc>
          <w:tcPr>
            <w:tcW w:w="996" w:type="dxa"/>
            <w:tcBorders>
              <w:top w:val="nil"/>
              <w:left w:val="nil"/>
              <w:bottom w:val="single" w:sz="4" w:space="0" w:color="auto"/>
              <w:right w:val="single" w:sz="4" w:space="0" w:color="auto"/>
            </w:tcBorders>
            <w:noWrap/>
            <w:hideMark/>
          </w:tcPr>
          <w:p w14:paraId="5FE3F5D7" w14:textId="77777777" w:rsidR="00933AE0" w:rsidRPr="00933AE0" w:rsidRDefault="00933AE0" w:rsidP="00933AE0">
            <w:pPr>
              <w:spacing w:line="240" w:lineRule="auto"/>
              <w:jc w:val="left"/>
              <w:rPr>
                <w:color w:val="000000"/>
                <w:lang w:val="en-US" w:bidi="bn-BD"/>
              </w:rPr>
            </w:pPr>
            <w:r w:rsidRPr="00933AE0">
              <w:rPr>
                <w:color w:val="000000"/>
                <w:lang w:val="en-US" w:bidi="bn-BD"/>
              </w:rPr>
              <w:t>614,680</w:t>
            </w:r>
          </w:p>
        </w:tc>
      </w:tr>
      <w:tr w:rsidR="00933AE0" w:rsidRPr="00933AE0" w14:paraId="54615A7F"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0F45794F" w14:textId="77777777" w:rsidR="00933AE0" w:rsidRPr="00933AE0" w:rsidRDefault="00933AE0" w:rsidP="00933AE0">
            <w:pPr>
              <w:spacing w:line="240" w:lineRule="auto"/>
              <w:jc w:val="left"/>
              <w:rPr>
                <w:color w:val="000000"/>
                <w:lang w:val="en-US" w:bidi="bn-BD"/>
              </w:rPr>
            </w:pPr>
            <w:r w:rsidRPr="00933AE0">
              <w:rPr>
                <w:color w:val="000000"/>
                <w:lang w:val="en-US" w:bidi="bn-BD"/>
              </w:rPr>
              <w:t xml:space="preserve">Total Liabilities </w:t>
            </w:r>
          </w:p>
        </w:tc>
        <w:tc>
          <w:tcPr>
            <w:tcW w:w="1036" w:type="dxa"/>
            <w:tcBorders>
              <w:top w:val="nil"/>
              <w:left w:val="nil"/>
              <w:bottom w:val="single" w:sz="4" w:space="0" w:color="auto"/>
              <w:right w:val="single" w:sz="4" w:space="0" w:color="auto"/>
            </w:tcBorders>
            <w:noWrap/>
            <w:hideMark/>
          </w:tcPr>
          <w:p w14:paraId="774B8684" w14:textId="77777777" w:rsidR="00933AE0" w:rsidRPr="00933AE0" w:rsidRDefault="00933AE0" w:rsidP="00933AE0">
            <w:pPr>
              <w:spacing w:line="240" w:lineRule="auto"/>
              <w:jc w:val="left"/>
              <w:rPr>
                <w:color w:val="000000"/>
                <w:lang w:val="en-US" w:bidi="bn-BD"/>
              </w:rPr>
            </w:pPr>
            <w:r w:rsidRPr="00933AE0">
              <w:rPr>
                <w:color w:val="000000"/>
                <w:lang w:val="en-US" w:bidi="bn-BD"/>
              </w:rPr>
              <w:t>170,249</w:t>
            </w:r>
          </w:p>
        </w:tc>
        <w:tc>
          <w:tcPr>
            <w:tcW w:w="1036" w:type="dxa"/>
            <w:tcBorders>
              <w:top w:val="nil"/>
              <w:left w:val="nil"/>
              <w:bottom w:val="single" w:sz="4" w:space="0" w:color="auto"/>
              <w:right w:val="single" w:sz="4" w:space="0" w:color="auto"/>
            </w:tcBorders>
            <w:noWrap/>
            <w:hideMark/>
          </w:tcPr>
          <w:p w14:paraId="27746659" w14:textId="77777777" w:rsidR="00933AE0" w:rsidRPr="00933AE0" w:rsidRDefault="00933AE0" w:rsidP="00933AE0">
            <w:pPr>
              <w:spacing w:line="240" w:lineRule="auto"/>
              <w:jc w:val="left"/>
              <w:rPr>
                <w:color w:val="000000"/>
                <w:lang w:val="en-US" w:bidi="bn-BD"/>
              </w:rPr>
            </w:pPr>
            <w:r w:rsidRPr="00933AE0">
              <w:rPr>
                <w:color w:val="000000"/>
                <w:lang w:val="en-US" w:bidi="bn-BD"/>
              </w:rPr>
              <w:t>176,952</w:t>
            </w:r>
          </w:p>
        </w:tc>
        <w:tc>
          <w:tcPr>
            <w:tcW w:w="996" w:type="dxa"/>
            <w:tcBorders>
              <w:top w:val="nil"/>
              <w:left w:val="nil"/>
              <w:bottom w:val="single" w:sz="4" w:space="0" w:color="auto"/>
              <w:right w:val="single" w:sz="4" w:space="0" w:color="auto"/>
            </w:tcBorders>
            <w:noWrap/>
            <w:hideMark/>
          </w:tcPr>
          <w:p w14:paraId="3787297E" w14:textId="77777777" w:rsidR="00933AE0" w:rsidRPr="00933AE0" w:rsidRDefault="00933AE0" w:rsidP="00933AE0">
            <w:pPr>
              <w:spacing w:line="240" w:lineRule="auto"/>
              <w:jc w:val="left"/>
              <w:rPr>
                <w:color w:val="000000"/>
                <w:lang w:val="en-US" w:bidi="bn-BD"/>
              </w:rPr>
            </w:pPr>
            <w:r w:rsidRPr="00933AE0">
              <w:rPr>
                <w:color w:val="000000"/>
                <w:lang w:val="en-US" w:bidi="bn-BD"/>
              </w:rPr>
              <w:t>235,757</w:t>
            </w:r>
          </w:p>
        </w:tc>
        <w:tc>
          <w:tcPr>
            <w:tcW w:w="996" w:type="dxa"/>
            <w:tcBorders>
              <w:top w:val="nil"/>
              <w:left w:val="nil"/>
              <w:bottom w:val="single" w:sz="4" w:space="0" w:color="auto"/>
              <w:right w:val="single" w:sz="4" w:space="0" w:color="auto"/>
            </w:tcBorders>
            <w:noWrap/>
            <w:hideMark/>
          </w:tcPr>
          <w:p w14:paraId="574F9359" w14:textId="77777777" w:rsidR="00933AE0" w:rsidRPr="00933AE0" w:rsidRDefault="00933AE0" w:rsidP="00933AE0">
            <w:pPr>
              <w:spacing w:line="240" w:lineRule="auto"/>
              <w:jc w:val="left"/>
              <w:rPr>
                <w:color w:val="000000"/>
                <w:lang w:val="en-US" w:bidi="bn-BD"/>
              </w:rPr>
            </w:pPr>
            <w:r w:rsidRPr="00933AE0">
              <w:rPr>
                <w:color w:val="000000"/>
                <w:lang w:val="en-US" w:bidi="bn-BD"/>
              </w:rPr>
              <w:t>234,399</w:t>
            </w:r>
          </w:p>
        </w:tc>
        <w:tc>
          <w:tcPr>
            <w:tcW w:w="996" w:type="dxa"/>
            <w:tcBorders>
              <w:top w:val="nil"/>
              <w:left w:val="nil"/>
              <w:bottom w:val="single" w:sz="4" w:space="0" w:color="auto"/>
              <w:right w:val="single" w:sz="4" w:space="0" w:color="auto"/>
            </w:tcBorders>
            <w:noWrap/>
            <w:hideMark/>
          </w:tcPr>
          <w:p w14:paraId="22D4AF9A" w14:textId="77777777" w:rsidR="00933AE0" w:rsidRPr="00933AE0" w:rsidRDefault="00933AE0" w:rsidP="00933AE0">
            <w:pPr>
              <w:spacing w:line="240" w:lineRule="auto"/>
              <w:jc w:val="left"/>
              <w:rPr>
                <w:color w:val="000000"/>
                <w:lang w:val="en-US" w:bidi="bn-BD"/>
              </w:rPr>
            </w:pPr>
            <w:r w:rsidRPr="00933AE0">
              <w:rPr>
                <w:color w:val="000000"/>
                <w:lang w:val="en-US" w:bidi="bn-BD"/>
              </w:rPr>
              <w:t>196,989</w:t>
            </w:r>
          </w:p>
        </w:tc>
      </w:tr>
      <w:tr w:rsidR="00933AE0" w:rsidRPr="00933AE0" w14:paraId="212FE965"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35D992C7" w14:textId="77777777" w:rsidR="00933AE0" w:rsidRPr="00933AE0" w:rsidRDefault="00933AE0" w:rsidP="00933AE0">
            <w:pPr>
              <w:spacing w:line="240" w:lineRule="auto"/>
              <w:jc w:val="left"/>
              <w:rPr>
                <w:color w:val="000000"/>
                <w:lang w:val="en-US" w:bidi="bn-BD"/>
              </w:rPr>
            </w:pPr>
            <w:r w:rsidRPr="00933AE0">
              <w:rPr>
                <w:color w:val="000000"/>
                <w:lang w:val="en-US" w:bidi="bn-BD"/>
              </w:rPr>
              <w:t> </w:t>
            </w:r>
          </w:p>
        </w:tc>
        <w:tc>
          <w:tcPr>
            <w:tcW w:w="1036" w:type="dxa"/>
            <w:tcBorders>
              <w:top w:val="nil"/>
              <w:left w:val="nil"/>
              <w:bottom w:val="single" w:sz="4" w:space="0" w:color="auto"/>
              <w:right w:val="single" w:sz="4" w:space="0" w:color="auto"/>
            </w:tcBorders>
            <w:noWrap/>
            <w:hideMark/>
          </w:tcPr>
          <w:p w14:paraId="76E0B18F" w14:textId="77777777" w:rsidR="00933AE0" w:rsidRPr="00933AE0" w:rsidRDefault="00933AE0" w:rsidP="00933AE0">
            <w:pPr>
              <w:spacing w:line="240" w:lineRule="auto"/>
              <w:jc w:val="left"/>
              <w:rPr>
                <w:color w:val="000000"/>
                <w:lang w:val="en-US" w:bidi="bn-BD"/>
              </w:rPr>
            </w:pPr>
            <w:r w:rsidRPr="00933AE0">
              <w:rPr>
                <w:color w:val="000000"/>
                <w:lang w:val="en-US" w:bidi="bn-BD"/>
              </w:rPr>
              <w:t> </w:t>
            </w:r>
          </w:p>
        </w:tc>
        <w:tc>
          <w:tcPr>
            <w:tcW w:w="1036" w:type="dxa"/>
            <w:tcBorders>
              <w:top w:val="nil"/>
              <w:left w:val="nil"/>
              <w:bottom w:val="single" w:sz="4" w:space="0" w:color="auto"/>
              <w:right w:val="single" w:sz="4" w:space="0" w:color="auto"/>
            </w:tcBorders>
            <w:noWrap/>
            <w:hideMark/>
          </w:tcPr>
          <w:p w14:paraId="2508AFEA" w14:textId="77777777" w:rsidR="00933AE0" w:rsidRPr="00933AE0" w:rsidRDefault="00933AE0" w:rsidP="00933AE0">
            <w:pPr>
              <w:spacing w:line="240" w:lineRule="auto"/>
              <w:jc w:val="left"/>
              <w:rPr>
                <w:color w:val="000000"/>
                <w:lang w:val="en-US" w:bidi="bn-BD"/>
              </w:rPr>
            </w:pPr>
            <w:r w:rsidRPr="00933AE0">
              <w:rPr>
                <w:color w:val="000000"/>
                <w:lang w:val="en-US" w:bidi="bn-BD"/>
              </w:rPr>
              <w:t> </w:t>
            </w:r>
          </w:p>
        </w:tc>
        <w:tc>
          <w:tcPr>
            <w:tcW w:w="996" w:type="dxa"/>
            <w:tcBorders>
              <w:top w:val="nil"/>
              <w:left w:val="nil"/>
              <w:bottom w:val="single" w:sz="4" w:space="0" w:color="auto"/>
              <w:right w:val="single" w:sz="4" w:space="0" w:color="auto"/>
            </w:tcBorders>
            <w:noWrap/>
            <w:hideMark/>
          </w:tcPr>
          <w:p w14:paraId="59516C50" w14:textId="77777777" w:rsidR="00933AE0" w:rsidRPr="00933AE0" w:rsidRDefault="00933AE0" w:rsidP="00933AE0">
            <w:pPr>
              <w:spacing w:line="240" w:lineRule="auto"/>
              <w:jc w:val="left"/>
              <w:rPr>
                <w:color w:val="000000"/>
                <w:lang w:val="en-US" w:bidi="bn-BD"/>
              </w:rPr>
            </w:pPr>
            <w:r w:rsidRPr="00933AE0">
              <w:rPr>
                <w:color w:val="000000"/>
                <w:lang w:val="en-US" w:bidi="bn-BD"/>
              </w:rPr>
              <w:t> </w:t>
            </w:r>
          </w:p>
        </w:tc>
        <w:tc>
          <w:tcPr>
            <w:tcW w:w="996" w:type="dxa"/>
            <w:tcBorders>
              <w:top w:val="nil"/>
              <w:left w:val="nil"/>
              <w:bottom w:val="single" w:sz="4" w:space="0" w:color="auto"/>
              <w:right w:val="single" w:sz="4" w:space="0" w:color="auto"/>
            </w:tcBorders>
            <w:noWrap/>
            <w:hideMark/>
          </w:tcPr>
          <w:p w14:paraId="23B51DC5" w14:textId="77777777" w:rsidR="00933AE0" w:rsidRPr="00933AE0" w:rsidRDefault="00933AE0" w:rsidP="00933AE0">
            <w:pPr>
              <w:spacing w:line="240" w:lineRule="auto"/>
              <w:jc w:val="left"/>
              <w:rPr>
                <w:color w:val="000000"/>
                <w:lang w:val="en-US" w:bidi="bn-BD"/>
              </w:rPr>
            </w:pPr>
            <w:r w:rsidRPr="00933AE0">
              <w:rPr>
                <w:color w:val="000000"/>
                <w:lang w:val="en-US" w:bidi="bn-BD"/>
              </w:rPr>
              <w:t> </w:t>
            </w:r>
          </w:p>
        </w:tc>
        <w:tc>
          <w:tcPr>
            <w:tcW w:w="996" w:type="dxa"/>
            <w:tcBorders>
              <w:top w:val="nil"/>
              <w:left w:val="nil"/>
              <w:bottom w:val="single" w:sz="4" w:space="0" w:color="auto"/>
              <w:right w:val="single" w:sz="4" w:space="0" w:color="auto"/>
            </w:tcBorders>
            <w:noWrap/>
            <w:hideMark/>
          </w:tcPr>
          <w:p w14:paraId="7643C6D6" w14:textId="77777777" w:rsidR="00933AE0" w:rsidRPr="00933AE0" w:rsidRDefault="00933AE0" w:rsidP="00933AE0">
            <w:pPr>
              <w:spacing w:line="240" w:lineRule="auto"/>
              <w:jc w:val="left"/>
              <w:rPr>
                <w:color w:val="000000"/>
                <w:lang w:val="en-US" w:bidi="bn-BD"/>
              </w:rPr>
            </w:pPr>
            <w:r w:rsidRPr="00933AE0">
              <w:rPr>
                <w:color w:val="000000"/>
                <w:lang w:val="en-US" w:bidi="bn-BD"/>
              </w:rPr>
              <w:t> </w:t>
            </w:r>
          </w:p>
        </w:tc>
      </w:tr>
      <w:tr w:rsidR="00933AE0" w:rsidRPr="00933AE0" w14:paraId="5C6D8867" w14:textId="77777777" w:rsidTr="00933AE0">
        <w:trPr>
          <w:trHeight w:val="300"/>
          <w:jc w:val="center"/>
        </w:trPr>
        <w:tc>
          <w:tcPr>
            <w:tcW w:w="4220" w:type="dxa"/>
            <w:tcBorders>
              <w:top w:val="nil"/>
              <w:left w:val="single" w:sz="4" w:space="0" w:color="auto"/>
              <w:bottom w:val="single" w:sz="4" w:space="0" w:color="auto"/>
              <w:right w:val="single" w:sz="4" w:space="0" w:color="auto"/>
            </w:tcBorders>
            <w:shd w:val="clear" w:color="auto" w:fill="FBD4B4" w:themeFill="accent6" w:themeFillTint="66"/>
            <w:noWrap/>
            <w:vAlign w:val="center"/>
            <w:hideMark/>
          </w:tcPr>
          <w:p w14:paraId="46197F83"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Draft Calculation of Z-score Parameters</w:t>
            </w:r>
          </w:p>
        </w:tc>
        <w:tc>
          <w:tcPr>
            <w:tcW w:w="1036" w:type="dxa"/>
            <w:tcBorders>
              <w:top w:val="nil"/>
              <w:left w:val="nil"/>
              <w:bottom w:val="single" w:sz="4" w:space="0" w:color="auto"/>
              <w:right w:val="single" w:sz="4" w:space="0" w:color="auto"/>
            </w:tcBorders>
            <w:noWrap/>
            <w:vAlign w:val="center"/>
            <w:hideMark/>
          </w:tcPr>
          <w:p w14:paraId="5B3DAACA"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2024</w:t>
            </w:r>
          </w:p>
        </w:tc>
        <w:tc>
          <w:tcPr>
            <w:tcW w:w="1036" w:type="dxa"/>
            <w:tcBorders>
              <w:top w:val="nil"/>
              <w:left w:val="nil"/>
              <w:bottom w:val="single" w:sz="4" w:space="0" w:color="auto"/>
              <w:right w:val="single" w:sz="4" w:space="0" w:color="auto"/>
            </w:tcBorders>
            <w:noWrap/>
            <w:vAlign w:val="center"/>
            <w:hideMark/>
          </w:tcPr>
          <w:p w14:paraId="67CDFE4B"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2023</w:t>
            </w:r>
          </w:p>
        </w:tc>
        <w:tc>
          <w:tcPr>
            <w:tcW w:w="996" w:type="dxa"/>
            <w:tcBorders>
              <w:top w:val="nil"/>
              <w:left w:val="nil"/>
              <w:bottom w:val="single" w:sz="4" w:space="0" w:color="auto"/>
              <w:right w:val="single" w:sz="4" w:space="0" w:color="auto"/>
            </w:tcBorders>
            <w:noWrap/>
            <w:vAlign w:val="center"/>
            <w:hideMark/>
          </w:tcPr>
          <w:p w14:paraId="64A16733"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2022</w:t>
            </w:r>
          </w:p>
        </w:tc>
        <w:tc>
          <w:tcPr>
            <w:tcW w:w="996" w:type="dxa"/>
            <w:tcBorders>
              <w:top w:val="nil"/>
              <w:left w:val="nil"/>
              <w:bottom w:val="single" w:sz="4" w:space="0" w:color="auto"/>
              <w:right w:val="single" w:sz="4" w:space="0" w:color="auto"/>
            </w:tcBorders>
            <w:noWrap/>
            <w:vAlign w:val="center"/>
            <w:hideMark/>
          </w:tcPr>
          <w:p w14:paraId="1F00F535"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2021</w:t>
            </w:r>
          </w:p>
        </w:tc>
        <w:tc>
          <w:tcPr>
            <w:tcW w:w="996" w:type="dxa"/>
            <w:tcBorders>
              <w:top w:val="nil"/>
              <w:left w:val="nil"/>
              <w:bottom w:val="single" w:sz="4" w:space="0" w:color="auto"/>
              <w:right w:val="single" w:sz="4" w:space="0" w:color="auto"/>
            </w:tcBorders>
            <w:noWrap/>
            <w:vAlign w:val="center"/>
            <w:hideMark/>
          </w:tcPr>
          <w:p w14:paraId="02CBB864"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2020</w:t>
            </w:r>
          </w:p>
        </w:tc>
      </w:tr>
      <w:tr w:rsidR="00933AE0" w:rsidRPr="00933AE0" w14:paraId="4BF486F7"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7116BA79" w14:textId="77777777" w:rsidR="00933AE0" w:rsidRPr="00933AE0" w:rsidRDefault="00933AE0" w:rsidP="00933AE0">
            <w:pPr>
              <w:spacing w:line="240" w:lineRule="auto"/>
              <w:jc w:val="left"/>
              <w:rPr>
                <w:color w:val="000000"/>
                <w:lang w:val="en-US" w:bidi="bn-BD"/>
              </w:rPr>
            </w:pPr>
            <w:r w:rsidRPr="00933AE0">
              <w:rPr>
                <w:color w:val="000000"/>
                <w:lang w:val="en-US" w:bidi="bn-BD"/>
              </w:rPr>
              <w:t xml:space="preserve">X1 (Working Capital/ Total Assets) </w:t>
            </w:r>
          </w:p>
        </w:tc>
        <w:tc>
          <w:tcPr>
            <w:tcW w:w="1036" w:type="dxa"/>
            <w:tcBorders>
              <w:top w:val="nil"/>
              <w:left w:val="nil"/>
              <w:bottom w:val="single" w:sz="4" w:space="0" w:color="auto"/>
              <w:right w:val="single" w:sz="4" w:space="0" w:color="auto"/>
            </w:tcBorders>
            <w:noWrap/>
            <w:hideMark/>
          </w:tcPr>
          <w:p w14:paraId="0FFCA9BF" w14:textId="77777777" w:rsidR="00933AE0" w:rsidRPr="00933AE0" w:rsidRDefault="00933AE0" w:rsidP="00933AE0">
            <w:pPr>
              <w:spacing w:line="240" w:lineRule="auto"/>
              <w:jc w:val="left"/>
              <w:rPr>
                <w:color w:val="000000"/>
                <w:lang w:val="en-US" w:bidi="bn-BD"/>
              </w:rPr>
            </w:pPr>
            <w:r w:rsidRPr="00933AE0">
              <w:rPr>
                <w:color w:val="000000"/>
                <w:lang w:val="en-US" w:bidi="bn-BD"/>
              </w:rPr>
              <w:t>0.2604</w:t>
            </w:r>
          </w:p>
        </w:tc>
        <w:tc>
          <w:tcPr>
            <w:tcW w:w="1036" w:type="dxa"/>
            <w:tcBorders>
              <w:top w:val="nil"/>
              <w:left w:val="nil"/>
              <w:bottom w:val="single" w:sz="4" w:space="0" w:color="auto"/>
              <w:right w:val="single" w:sz="4" w:space="0" w:color="auto"/>
            </w:tcBorders>
            <w:noWrap/>
            <w:hideMark/>
          </w:tcPr>
          <w:p w14:paraId="6B08CC8A" w14:textId="77777777" w:rsidR="00933AE0" w:rsidRPr="00933AE0" w:rsidRDefault="00933AE0" w:rsidP="00933AE0">
            <w:pPr>
              <w:spacing w:line="240" w:lineRule="auto"/>
              <w:jc w:val="left"/>
              <w:rPr>
                <w:color w:val="000000"/>
                <w:lang w:val="en-US" w:bidi="bn-BD"/>
              </w:rPr>
            </w:pPr>
            <w:r w:rsidRPr="00933AE0">
              <w:rPr>
                <w:color w:val="000000"/>
                <w:lang w:val="en-US" w:bidi="bn-BD"/>
              </w:rPr>
              <w:t>0.2745</w:t>
            </w:r>
          </w:p>
        </w:tc>
        <w:tc>
          <w:tcPr>
            <w:tcW w:w="996" w:type="dxa"/>
            <w:tcBorders>
              <w:top w:val="nil"/>
              <w:left w:val="nil"/>
              <w:bottom w:val="single" w:sz="4" w:space="0" w:color="auto"/>
              <w:right w:val="single" w:sz="4" w:space="0" w:color="auto"/>
            </w:tcBorders>
            <w:noWrap/>
            <w:hideMark/>
          </w:tcPr>
          <w:p w14:paraId="4B9BC743" w14:textId="77777777" w:rsidR="00933AE0" w:rsidRPr="00933AE0" w:rsidRDefault="00933AE0" w:rsidP="00933AE0">
            <w:pPr>
              <w:spacing w:line="240" w:lineRule="auto"/>
              <w:jc w:val="left"/>
              <w:rPr>
                <w:color w:val="000000"/>
                <w:lang w:val="en-US" w:bidi="bn-BD"/>
              </w:rPr>
            </w:pPr>
            <w:r w:rsidRPr="00933AE0">
              <w:rPr>
                <w:color w:val="000000"/>
                <w:lang w:val="en-US" w:bidi="bn-BD"/>
              </w:rPr>
              <w:t>0.2411</w:t>
            </w:r>
          </w:p>
        </w:tc>
        <w:tc>
          <w:tcPr>
            <w:tcW w:w="996" w:type="dxa"/>
            <w:tcBorders>
              <w:top w:val="nil"/>
              <w:left w:val="nil"/>
              <w:bottom w:val="single" w:sz="4" w:space="0" w:color="auto"/>
              <w:right w:val="single" w:sz="4" w:space="0" w:color="auto"/>
            </w:tcBorders>
            <w:noWrap/>
            <w:hideMark/>
          </w:tcPr>
          <w:p w14:paraId="32383C38" w14:textId="77777777" w:rsidR="00933AE0" w:rsidRPr="00933AE0" w:rsidRDefault="00933AE0" w:rsidP="00933AE0">
            <w:pPr>
              <w:spacing w:line="240" w:lineRule="auto"/>
              <w:jc w:val="left"/>
              <w:rPr>
                <w:color w:val="000000"/>
                <w:lang w:val="en-US" w:bidi="bn-BD"/>
              </w:rPr>
            </w:pPr>
            <w:r w:rsidRPr="00933AE0">
              <w:rPr>
                <w:color w:val="000000"/>
                <w:lang w:val="en-US" w:bidi="bn-BD"/>
              </w:rPr>
              <w:t>0.2358</w:t>
            </w:r>
          </w:p>
        </w:tc>
        <w:tc>
          <w:tcPr>
            <w:tcW w:w="996" w:type="dxa"/>
            <w:tcBorders>
              <w:top w:val="nil"/>
              <w:left w:val="nil"/>
              <w:bottom w:val="single" w:sz="4" w:space="0" w:color="auto"/>
              <w:right w:val="single" w:sz="4" w:space="0" w:color="auto"/>
            </w:tcBorders>
            <w:noWrap/>
            <w:hideMark/>
          </w:tcPr>
          <w:p w14:paraId="326AF2E2" w14:textId="77777777" w:rsidR="00933AE0" w:rsidRPr="00933AE0" w:rsidRDefault="00933AE0" w:rsidP="00933AE0">
            <w:pPr>
              <w:spacing w:line="240" w:lineRule="auto"/>
              <w:jc w:val="left"/>
              <w:rPr>
                <w:color w:val="000000"/>
                <w:lang w:val="en-US" w:bidi="bn-BD"/>
              </w:rPr>
            </w:pPr>
            <w:r w:rsidRPr="00933AE0">
              <w:rPr>
                <w:color w:val="000000"/>
                <w:lang w:val="en-US" w:bidi="bn-BD"/>
              </w:rPr>
              <w:t>0.2887</w:t>
            </w:r>
          </w:p>
        </w:tc>
      </w:tr>
      <w:tr w:rsidR="00933AE0" w:rsidRPr="00933AE0" w14:paraId="1D10803B"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7EEA9AC7" w14:textId="77777777" w:rsidR="00933AE0" w:rsidRPr="00933AE0" w:rsidRDefault="00933AE0" w:rsidP="00933AE0">
            <w:pPr>
              <w:spacing w:line="240" w:lineRule="auto"/>
              <w:jc w:val="left"/>
              <w:rPr>
                <w:color w:val="000000"/>
                <w:lang w:val="en-US" w:bidi="bn-BD"/>
              </w:rPr>
            </w:pPr>
            <w:r w:rsidRPr="00933AE0">
              <w:rPr>
                <w:color w:val="000000"/>
                <w:lang w:val="en-US" w:bidi="bn-BD"/>
              </w:rPr>
              <w:t>X2 (Retained Earnings/ Total Assets)</w:t>
            </w:r>
          </w:p>
        </w:tc>
        <w:tc>
          <w:tcPr>
            <w:tcW w:w="1036" w:type="dxa"/>
            <w:tcBorders>
              <w:top w:val="nil"/>
              <w:left w:val="nil"/>
              <w:bottom w:val="single" w:sz="4" w:space="0" w:color="auto"/>
              <w:right w:val="single" w:sz="4" w:space="0" w:color="auto"/>
            </w:tcBorders>
            <w:noWrap/>
            <w:hideMark/>
          </w:tcPr>
          <w:p w14:paraId="0940B776" w14:textId="77777777" w:rsidR="00933AE0" w:rsidRPr="00933AE0" w:rsidRDefault="00933AE0" w:rsidP="00933AE0">
            <w:pPr>
              <w:spacing w:line="240" w:lineRule="auto"/>
              <w:jc w:val="left"/>
              <w:rPr>
                <w:color w:val="000000"/>
                <w:lang w:val="en-US" w:bidi="bn-BD"/>
              </w:rPr>
            </w:pPr>
            <w:r w:rsidRPr="00933AE0">
              <w:rPr>
                <w:color w:val="000000"/>
                <w:lang w:val="en-US" w:bidi="bn-BD"/>
              </w:rPr>
              <w:t>0.6446</w:t>
            </w:r>
          </w:p>
        </w:tc>
        <w:tc>
          <w:tcPr>
            <w:tcW w:w="1036" w:type="dxa"/>
            <w:tcBorders>
              <w:top w:val="nil"/>
              <w:left w:val="nil"/>
              <w:bottom w:val="single" w:sz="4" w:space="0" w:color="auto"/>
              <w:right w:val="single" w:sz="4" w:space="0" w:color="auto"/>
            </w:tcBorders>
            <w:noWrap/>
            <w:hideMark/>
          </w:tcPr>
          <w:p w14:paraId="12CAE464" w14:textId="77777777" w:rsidR="00933AE0" w:rsidRPr="00933AE0" w:rsidRDefault="00933AE0" w:rsidP="00933AE0">
            <w:pPr>
              <w:spacing w:line="240" w:lineRule="auto"/>
              <w:jc w:val="left"/>
              <w:rPr>
                <w:color w:val="000000"/>
                <w:lang w:val="en-US" w:bidi="bn-BD"/>
              </w:rPr>
            </w:pPr>
            <w:r w:rsidRPr="00933AE0">
              <w:rPr>
                <w:color w:val="000000"/>
                <w:lang w:val="en-US" w:bidi="bn-BD"/>
              </w:rPr>
              <w:t>0.6532</w:t>
            </w:r>
          </w:p>
        </w:tc>
        <w:tc>
          <w:tcPr>
            <w:tcW w:w="996" w:type="dxa"/>
            <w:tcBorders>
              <w:top w:val="nil"/>
              <w:left w:val="nil"/>
              <w:bottom w:val="single" w:sz="4" w:space="0" w:color="auto"/>
              <w:right w:val="single" w:sz="4" w:space="0" w:color="auto"/>
            </w:tcBorders>
            <w:noWrap/>
            <w:hideMark/>
          </w:tcPr>
          <w:p w14:paraId="0CA87E7D" w14:textId="77777777" w:rsidR="00933AE0" w:rsidRPr="00933AE0" w:rsidRDefault="00933AE0" w:rsidP="00933AE0">
            <w:pPr>
              <w:spacing w:line="240" w:lineRule="auto"/>
              <w:jc w:val="left"/>
              <w:rPr>
                <w:color w:val="000000"/>
                <w:lang w:val="en-US" w:bidi="bn-BD"/>
              </w:rPr>
            </w:pPr>
            <w:r w:rsidRPr="00933AE0">
              <w:rPr>
                <w:color w:val="000000"/>
                <w:lang w:val="en-US" w:bidi="bn-BD"/>
              </w:rPr>
              <w:t>0.6559</w:t>
            </w:r>
          </w:p>
        </w:tc>
        <w:tc>
          <w:tcPr>
            <w:tcW w:w="996" w:type="dxa"/>
            <w:tcBorders>
              <w:top w:val="nil"/>
              <w:left w:val="nil"/>
              <w:bottom w:val="single" w:sz="4" w:space="0" w:color="auto"/>
              <w:right w:val="single" w:sz="4" w:space="0" w:color="auto"/>
            </w:tcBorders>
            <w:noWrap/>
            <w:hideMark/>
          </w:tcPr>
          <w:p w14:paraId="370930B1" w14:textId="77777777" w:rsidR="00933AE0" w:rsidRPr="00933AE0" w:rsidRDefault="00933AE0" w:rsidP="00933AE0">
            <w:pPr>
              <w:spacing w:line="240" w:lineRule="auto"/>
              <w:jc w:val="left"/>
              <w:rPr>
                <w:color w:val="000000"/>
                <w:lang w:val="en-US" w:bidi="bn-BD"/>
              </w:rPr>
            </w:pPr>
            <w:r w:rsidRPr="00933AE0">
              <w:rPr>
                <w:color w:val="000000"/>
                <w:lang w:val="en-US" w:bidi="bn-BD"/>
              </w:rPr>
              <w:t>0.6472</w:t>
            </w:r>
          </w:p>
        </w:tc>
        <w:tc>
          <w:tcPr>
            <w:tcW w:w="996" w:type="dxa"/>
            <w:tcBorders>
              <w:top w:val="nil"/>
              <w:left w:val="nil"/>
              <w:bottom w:val="single" w:sz="4" w:space="0" w:color="auto"/>
              <w:right w:val="single" w:sz="4" w:space="0" w:color="auto"/>
            </w:tcBorders>
            <w:noWrap/>
            <w:hideMark/>
          </w:tcPr>
          <w:p w14:paraId="769DC160" w14:textId="77777777" w:rsidR="00933AE0" w:rsidRPr="00933AE0" w:rsidRDefault="00933AE0" w:rsidP="00933AE0">
            <w:pPr>
              <w:spacing w:line="240" w:lineRule="auto"/>
              <w:jc w:val="left"/>
              <w:rPr>
                <w:color w:val="000000"/>
                <w:lang w:val="en-US" w:bidi="bn-BD"/>
              </w:rPr>
            </w:pPr>
            <w:r w:rsidRPr="00933AE0">
              <w:rPr>
                <w:color w:val="000000"/>
                <w:lang w:val="en-US" w:bidi="bn-BD"/>
              </w:rPr>
              <w:t>0.6369</w:t>
            </w:r>
          </w:p>
        </w:tc>
      </w:tr>
      <w:tr w:rsidR="00933AE0" w:rsidRPr="00933AE0" w14:paraId="2307D4EB"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1D1410C2" w14:textId="77777777" w:rsidR="00933AE0" w:rsidRPr="00933AE0" w:rsidRDefault="00933AE0" w:rsidP="00933AE0">
            <w:pPr>
              <w:spacing w:line="240" w:lineRule="auto"/>
              <w:jc w:val="left"/>
              <w:rPr>
                <w:color w:val="000000"/>
                <w:lang w:val="en-US" w:bidi="bn-BD"/>
              </w:rPr>
            </w:pPr>
            <w:r w:rsidRPr="00933AE0">
              <w:rPr>
                <w:color w:val="000000"/>
                <w:lang w:val="en-US" w:bidi="bn-BD"/>
              </w:rPr>
              <w:t>X3 (EBIT/Total Assets)</w:t>
            </w:r>
          </w:p>
        </w:tc>
        <w:tc>
          <w:tcPr>
            <w:tcW w:w="1036" w:type="dxa"/>
            <w:tcBorders>
              <w:top w:val="nil"/>
              <w:left w:val="nil"/>
              <w:bottom w:val="single" w:sz="4" w:space="0" w:color="auto"/>
              <w:right w:val="single" w:sz="4" w:space="0" w:color="auto"/>
            </w:tcBorders>
            <w:noWrap/>
            <w:hideMark/>
          </w:tcPr>
          <w:p w14:paraId="25D3943B" w14:textId="77777777" w:rsidR="00933AE0" w:rsidRPr="00933AE0" w:rsidRDefault="00933AE0" w:rsidP="00933AE0">
            <w:pPr>
              <w:spacing w:line="240" w:lineRule="auto"/>
              <w:jc w:val="left"/>
              <w:rPr>
                <w:color w:val="000000"/>
                <w:lang w:val="en-US" w:bidi="bn-BD"/>
              </w:rPr>
            </w:pPr>
            <w:r w:rsidRPr="00933AE0">
              <w:rPr>
                <w:color w:val="000000"/>
                <w:lang w:val="en-US" w:bidi="bn-BD"/>
              </w:rPr>
              <w:t>-0.0473</w:t>
            </w:r>
          </w:p>
        </w:tc>
        <w:tc>
          <w:tcPr>
            <w:tcW w:w="1036" w:type="dxa"/>
            <w:tcBorders>
              <w:top w:val="nil"/>
              <w:left w:val="nil"/>
              <w:bottom w:val="single" w:sz="4" w:space="0" w:color="auto"/>
              <w:right w:val="single" w:sz="4" w:space="0" w:color="auto"/>
            </w:tcBorders>
            <w:noWrap/>
            <w:hideMark/>
          </w:tcPr>
          <w:p w14:paraId="40EA664A" w14:textId="77777777" w:rsidR="00933AE0" w:rsidRPr="00933AE0" w:rsidRDefault="00933AE0" w:rsidP="00933AE0">
            <w:pPr>
              <w:spacing w:line="240" w:lineRule="auto"/>
              <w:jc w:val="left"/>
              <w:rPr>
                <w:color w:val="000000"/>
                <w:lang w:val="en-US" w:bidi="bn-BD"/>
              </w:rPr>
            </w:pPr>
            <w:r w:rsidRPr="00933AE0">
              <w:rPr>
                <w:color w:val="000000"/>
                <w:lang w:val="en-US" w:bidi="bn-BD"/>
              </w:rPr>
              <w:t>-0.2397</w:t>
            </w:r>
          </w:p>
        </w:tc>
        <w:tc>
          <w:tcPr>
            <w:tcW w:w="996" w:type="dxa"/>
            <w:tcBorders>
              <w:top w:val="nil"/>
              <w:left w:val="nil"/>
              <w:bottom w:val="single" w:sz="4" w:space="0" w:color="auto"/>
              <w:right w:val="single" w:sz="4" w:space="0" w:color="auto"/>
            </w:tcBorders>
            <w:noWrap/>
            <w:hideMark/>
          </w:tcPr>
          <w:p w14:paraId="7B62E9F7" w14:textId="77777777" w:rsidR="00933AE0" w:rsidRPr="00933AE0" w:rsidRDefault="00933AE0" w:rsidP="00933AE0">
            <w:pPr>
              <w:spacing w:line="240" w:lineRule="auto"/>
              <w:jc w:val="left"/>
              <w:rPr>
                <w:color w:val="000000"/>
                <w:lang w:val="en-US" w:bidi="bn-BD"/>
              </w:rPr>
            </w:pPr>
            <w:r w:rsidRPr="00933AE0">
              <w:rPr>
                <w:color w:val="000000"/>
                <w:lang w:val="en-US" w:bidi="bn-BD"/>
              </w:rPr>
              <w:t>0.0289</w:t>
            </w:r>
          </w:p>
        </w:tc>
        <w:tc>
          <w:tcPr>
            <w:tcW w:w="996" w:type="dxa"/>
            <w:tcBorders>
              <w:top w:val="nil"/>
              <w:left w:val="nil"/>
              <w:bottom w:val="single" w:sz="4" w:space="0" w:color="auto"/>
              <w:right w:val="single" w:sz="4" w:space="0" w:color="auto"/>
            </w:tcBorders>
            <w:noWrap/>
            <w:hideMark/>
          </w:tcPr>
          <w:p w14:paraId="1CB694B4" w14:textId="77777777" w:rsidR="00933AE0" w:rsidRPr="00933AE0" w:rsidRDefault="00933AE0" w:rsidP="00933AE0">
            <w:pPr>
              <w:spacing w:line="240" w:lineRule="auto"/>
              <w:jc w:val="left"/>
              <w:rPr>
                <w:color w:val="000000"/>
                <w:lang w:val="en-US" w:bidi="bn-BD"/>
              </w:rPr>
            </w:pPr>
            <w:r w:rsidRPr="00933AE0">
              <w:rPr>
                <w:color w:val="000000"/>
                <w:lang w:val="en-US" w:bidi="bn-BD"/>
              </w:rPr>
              <w:t>0.0456</w:t>
            </w:r>
          </w:p>
        </w:tc>
        <w:tc>
          <w:tcPr>
            <w:tcW w:w="996" w:type="dxa"/>
            <w:tcBorders>
              <w:top w:val="nil"/>
              <w:left w:val="nil"/>
              <w:bottom w:val="single" w:sz="4" w:space="0" w:color="auto"/>
              <w:right w:val="single" w:sz="4" w:space="0" w:color="auto"/>
            </w:tcBorders>
            <w:noWrap/>
            <w:hideMark/>
          </w:tcPr>
          <w:p w14:paraId="23738D7E" w14:textId="77777777" w:rsidR="00933AE0" w:rsidRPr="00933AE0" w:rsidRDefault="00933AE0" w:rsidP="00933AE0">
            <w:pPr>
              <w:spacing w:line="240" w:lineRule="auto"/>
              <w:jc w:val="left"/>
              <w:rPr>
                <w:color w:val="000000"/>
                <w:lang w:val="en-US" w:bidi="bn-BD"/>
              </w:rPr>
            </w:pPr>
            <w:r w:rsidRPr="00933AE0">
              <w:rPr>
                <w:color w:val="000000"/>
                <w:lang w:val="en-US" w:bidi="bn-BD"/>
              </w:rPr>
              <w:t>0.0730</w:t>
            </w:r>
          </w:p>
        </w:tc>
      </w:tr>
      <w:tr w:rsidR="00933AE0" w:rsidRPr="00933AE0" w14:paraId="1AACF6D1"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7E801369" w14:textId="77777777" w:rsidR="00933AE0" w:rsidRPr="00933AE0" w:rsidRDefault="00933AE0" w:rsidP="00933AE0">
            <w:pPr>
              <w:spacing w:line="240" w:lineRule="auto"/>
              <w:jc w:val="left"/>
              <w:rPr>
                <w:color w:val="000000"/>
                <w:lang w:val="en-US" w:bidi="bn-BD"/>
              </w:rPr>
            </w:pPr>
            <w:r w:rsidRPr="00933AE0">
              <w:rPr>
                <w:color w:val="000000"/>
                <w:lang w:val="en-US" w:bidi="bn-BD"/>
              </w:rPr>
              <w:t>X4 (Market Value of Equity/Total Liabilities)</w:t>
            </w:r>
          </w:p>
        </w:tc>
        <w:tc>
          <w:tcPr>
            <w:tcW w:w="1036" w:type="dxa"/>
            <w:tcBorders>
              <w:top w:val="nil"/>
              <w:left w:val="nil"/>
              <w:bottom w:val="single" w:sz="4" w:space="0" w:color="auto"/>
              <w:right w:val="single" w:sz="4" w:space="0" w:color="auto"/>
            </w:tcBorders>
            <w:noWrap/>
            <w:hideMark/>
          </w:tcPr>
          <w:p w14:paraId="12758D65" w14:textId="77777777" w:rsidR="00933AE0" w:rsidRPr="00933AE0" w:rsidRDefault="00933AE0" w:rsidP="00933AE0">
            <w:pPr>
              <w:spacing w:line="240" w:lineRule="auto"/>
              <w:jc w:val="left"/>
              <w:rPr>
                <w:color w:val="000000"/>
                <w:lang w:val="en-US" w:bidi="bn-BD"/>
              </w:rPr>
            </w:pPr>
            <w:r w:rsidRPr="00933AE0">
              <w:rPr>
                <w:color w:val="000000"/>
                <w:lang w:val="en-US" w:bidi="bn-BD"/>
              </w:rPr>
              <w:t>0.8993</w:t>
            </w:r>
          </w:p>
        </w:tc>
        <w:tc>
          <w:tcPr>
            <w:tcW w:w="1036" w:type="dxa"/>
            <w:tcBorders>
              <w:top w:val="nil"/>
              <w:left w:val="nil"/>
              <w:bottom w:val="single" w:sz="4" w:space="0" w:color="auto"/>
              <w:right w:val="single" w:sz="4" w:space="0" w:color="auto"/>
            </w:tcBorders>
            <w:noWrap/>
            <w:hideMark/>
          </w:tcPr>
          <w:p w14:paraId="42BE24E6" w14:textId="77777777" w:rsidR="00933AE0" w:rsidRPr="00933AE0" w:rsidRDefault="00933AE0" w:rsidP="00933AE0">
            <w:pPr>
              <w:spacing w:line="240" w:lineRule="auto"/>
              <w:jc w:val="left"/>
              <w:rPr>
                <w:color w:val="000000"/>
                <w:lang w:val="en-US" w:bidi="bn-BD"/>
              </w:rPr>
            </w:pPr>
            <w:r w:rsidRPr="00933AE0">
              <w:rPr>
                <w:color w:val="000000"/>
                <w:lang w:val="en-US" w:bidi="bn-BD"/>
              </w:rPr>
              <w:t>1.0111</w:t>
            </w:r>
          </w:p>
        </w:tc>
        <w:tc>
          <w:tcPr>
            <w:tcW w:w="996" w:type="dxa"/>
            <w:tcBorders>
              <w:top w:val="nil"/>
              <w:left w:val="nil"/>
              <w:bottom w:val="single" w:sz="4" w:space="0" w:color="auto"/>
              <w:right w:val="single" w:sz="4" w:space="0" w:color="auto"/>
            </w:tcBorders>
            <w:noWrap/>
            <w:hideMark/>
          </w:tcPr>
          <w:p w14:paraId="139A50CB" w14:textId="77777777" w:rsidR="00933AE0" w:rsidRPr="00933AE0" w:rsidRDefault="00933AE0" w:rsidP="00933AE0">
            <w:pPr>
              <w:spacing w:line="240" w:lineRule="auto"/>
              <w:jc w:val="left"/>
              <w:rPr>
                <w:color w:val="000000"/>
                <w:lang w:val="en-US" w:bidi="bn-BD"/>
              </w:rPr>
            </w:pPr>
            <w:r w:rsidRPr="00933AE0">
              <w:rPr>
                <w:color w:val="000000"/>
                <w:lang w:val="en-US" w:bidi="bn-BD"/>
              </w:rPr>
              <w:t>1.1385</w:t>
            </w:r>
          </w:p>
        </w:tc>
        <w:tc>
          <w:tcPr>
            <w:tcW w:w="996" w:type="dxa"/>
            <w:tcBorders>
              <w:top w:val="nil"/>
              <w:left w:val="nil"/>
              <w:bottom w:val="single" w:sz="4" w:space="0" w:color="auto"/>
              <w:right w:val="single" w:sz="4" w:space="0" w:color="auto"/>
            </w:tcBorders>
            <w:noWrap/>
            <w:hideMark/>
          </w:tcPr>
          <w:p w14:paraId="221A28EE" w14:textId="77777777" w:rsidR="00933AE0" w:rsidRPr="00933AE0" w:rsidRDefault="00933AE0" w:rsidP="00933AE0">
            <w:pPr>
              <w:spacing w:line="240" w:lineRule="auto"/>
              <w:jc w:val="left"/>
              <w:rPr>
                <w:color w:val="000000"/>
                <w:lang w:val="en-US" w:bidi="bn-BD"/>
              </w:rPr>
            </w:pPr>
            <w:r w:rsidRPr="00933AE0">
              <w:rPr>
                <w:color w:val="000000"/>
                <w:lang w:val="en-US" w:bidi="bn-BD"/>
              </w:rPr>
              <w:t>1.1773</w:t>
            </w:r>
          </w:p>
        </w:tc>
        <w:tc>
          <w:tcPr>
            <w:tcW w:w="996" w:type="dxa"/>
            <w:tcBorders>
              <w:top w:val="nil"/>
              <w:left w:val="nil"/>
              <w:bottom w:val="single" w:sz="4" w:space="0" w:color="auto"/>
              <w:right w:val="single" w:sz="4" w:space="0" w:color="auto"/>
            </w:tcBorders>
            <w:noWrap/>
            <w:hideMark/>
          </w:tcPr>
          <w:p w14:paraId="60A0FA3E" w14:textId="77777777" w:rsidR="00933AE0" w:rsidRPr="00933AE0" w:rsidRDefault="00933AE0" w:rsidP="00933AE0">
            <w:pPr>
              <w:spacing w:line="240" w:lineRule="auto"/>
              <w:jc w:val="left"/>
              <w:rPr>
                <w:color w:val="000000"/>
                <w:lang w:val="en-US" w:bidi="bn-BD"/>
              </w:rPr>
            </w:pPr>
            <w:r w:rsidRPr="00933AE0">
              <w:rPr>
                <w:color w:val="000000"/>
                <w:lang w:val="en-US" w:bidi="bn-BD"/>
              </w:rPr>
              <w:t>1.5904</w:t>
            </w:r>
          </w:p>
        </w:tc>
      </w:tr>
      <w:tr w:rsidR="00933AE0" w:rsidRPr="00933AE0" w14:paraId="46A5FAF1" w14:textId="77777777" w:rsidTr="00933AE0">
        <w:trPr>
          <w:trHeight w:val="300"/>
          <w:jc w:val="center"/>
        </w:trPr>
        <w:tc>
          <w:tcPr>
            <w:tcW w:w="4220" w:type="dxa"/>
            <w:tcBorders>
              <w:top w:val="nil"/>
              <w:left w:val="single" w:sz="4" w:space="0" w:color="auto"/>
              <w:bottom w:val="single" w:sz="4" w:space="0" w:color="auto"/>
              <w:right w:val="single" w:sz="4" w:space="0" w:color="auto"/>
            </w:tcBorders>
            <w:noWrap/>
            <w:hideMark/>
          </w:tcPr>
          <w:p w14:paraId="78855EAE" w14:textId="77777777" w:rsidR="00933AE0" w:rsidRPr="00933AE0" w:rsidRDefault="00933AE0" w:rsidP="00933AE0">
            <w:pPr>
              <w:spacing w:line="240" w:lineRule="auto"/>
              <w:jc w:val="left"/>
              <w:rPr>
                <w:color w:val="000000"/>
                <w:lang w:val="en-US" w:bidi="bn-BD"/>
              </w:rPr>
            </w:pPr>
            <w:r w:rsidRPr="00933AE0">
              <w:rPr>
                <w:color w:val="000000"/>
                <w:lang w:val="en-US" w:bidi="bn-BD"/>
              </w:rPr>
              <w:t>X5 (Sales/Total Assets)</w:t>
            </w:r>
          </w:p>
        </w:tc>
        <w:tc>
          <w:tcPr>
            <w:tcW w:w="1036" w:type="dxa"/>
            <w:tcBorders>
              <w:top w:val="nil"/>
              <w:left w:val="nil"/>
              <w:bottom w:val="single" w:sz="4" w:space="0" w:color="auto"/>
              <w:right w:val="single" w:sz="4" w:space="0" w:color="auto"/>
            </w:tcBorders>
            <w:noWrap/>
            <w:hideMark/>
          </w:tcPr>
          <w:p w14:paraId="2F8E203D" w14:textId="77777777" w:rsidR="00933AE0" w:rsidRPr="00933AE0" w:rsidRDefault="00933AE0" w:rsidP="00933AE0">
            <w:pPr>
              <w:spacing w:line="240" w:lineRule="auto"/>
              <w:jc w:val="left"/>
              <w:rPr>
                <w:color w:val="000000"/>
                <w:lang w:val="en-US" w:bidi="bn-BD"/>
              </w:rPr>
            </w:pPr>
            <w:r w:rsidRPr="00933AE0">
              <w:rPr>
                <w:color w:val="000000"/>
                <w:lang w:val="en-US" w:bidi="bn-BD"/>
              </w:rPr>
              <w:t>1.2212</w:t>
            </w:r>
          </w:p>
        </w:tc>
        <w:tc>
          <w:tcPr>
            <w:tcW w:w="1036" w:type="dxa"/>
            <w:tcBorders>
              <w:top w:val="nil"/>
              <w:left w:val="nil"/>
              <w:bottom w:val="single" w:sz="4" w:space="0" w:color="auto"/>
              <w:right w:val="single" w:sz="4" w:space="0" w:color="auto"/>
            </w:tcBorders>
            <w:noWrap/>
            <w:hideMark/>
          </w:tcPr>
          <w:p w14:paraId="7A7794B4" w14:textId="77777777" w:rsidR="00933AE0" w:rsidRPr="00933AE0" w:rsidRDefault="00933AE0" w:rsidP="00933AE0">
            <w:pPr>
              <w:spacing w:line="240" w:lineRule="auto"/>
              <w:jc w:val="left"/>
              <w:rPr>
                <w:color w:val="000000"/>
                <w:lang w:val="en-US" w:bidi="bn-BD"/>
              </w:rPr>
            </w:pPr>
            <w:r w:rsidRPr="00933AE0">
              <w:rPr>
                <w:color w:val="000000"/>
                <w:lang w:val="en-US" w:bidi="bn-BD"/>
              </w:rPr>
              <w:t>1.1815</w:t>
            </w:r>
          </w:p>
        </w:tc>
        <w:tc>
          <w:tcPr>
            <w:tcW w:w="996" w:type="dxa"/>
            <w:tcBorders>
              <w:top w:val="nil"/>
              <w:left w:val="nil"/>
              <w:bottom w:val="single" w:sz="4" w:space="0" w:color="auto"/>
              <w:right w:val="single" w:sz="4" w:space="0" w:color="auto"/>
            </w:tcBorders>
            <w:noWrap/>
            <w:hideMark/>
          </w:tcPr>
          <w:p w14:paraId="5890C7B5" w14:textId="77777777" w:rsidR="00933AE0" w:rsidRPr="00933AE0" w:rsidRDefault="00933AE0" w:rsidP="00933AE0">
            <w:pPr>
              <w:spacing w:line="240" w:lineRule="auto"/>
              <w:jc w:val="left"/>
              <w:rPr>
                <w:color w:val="000000"/>
                <w:lang w:val="en-US" w:bidi="bn-BD"/>
              </w:rPr>
            </w:pPr>
            <w:r w:rsidRPr="00933AE0">
              <w:rPr>
                <w:color w:val="000000"/>
                <w:lang w:val="en-US" w:bidi="bn-BD"/>
              </w:rPr>
              <w:t>1.0765</w:t>
            </w:r>
          </w:p>
        </w:tc>
        <w:tc>
          <w:tcPr>
            <w:tcW w:w="996" w:type="dxa"/>
            <w:tcBorders>
              <w:top w:val="nil"/>
              <w:left w:val="nil"/>
              <w:bottom w:val="single" w:sz="4" w:space="0" w:color="auto"/>
              <w:right w:val="single" w:sz="4" w:space="0" w:color="auto"/>
            </w:tcBorders>
            <w:noWrap/>
            <w:hideMark/>
          </w:tcPr>
          <w:p w14:paraId="454A506E" w14:textId="77777777" w:rsidR="00933AE0" w:rsidRPr="00933AE0" w:rsidRDefault="00933AE0" w:rsidP="00933AE0">
            <w:pPr>
              <w:spacing w:line="240" w:lineRule="auto"/>
              <w:jc w:val="left"/>
              <w:rPr>
                <w:color w:val="000000"/>
                <w:lang w:val="en-US" w:bidi="bn-BD"/>
              </w:rPr>
            </w:pPr>
            <w:r w:rsidRPr="00933AE0">
              <w:rPr>
                <w:color w:val="000000"/>
                <w:lang w:val="en-US" w:bidi="bn-BD"/>
              </w:rPr>
              <w:t>1.1788</w:t>
            </w:r>
          </w:p>
        </w:tc>
        <w:tc>
          <w:tcPr>
            <w:tcW w:w="996" w:type="dxa"/>
            <w:tcBorders>
              <w:top w:val="nil"/>
              <w:left w:val="nil"/>
              <w:bottom w:val="single" w:sz="4" w:space="0" w:color="auto"/>
              <w:right w:val="single" w:sz="4" w:space="0" w:color="auto"/>
            </w:tcBorders>
            <w:noWrap/>
            <w:hideMark/>
          </w:tcPr>
          <w:p w14:paraId="4EFC7875" w14:textId="77777777" w:rsidR="00933AE0" w:rsidRPr="00933AE0" w:rsidRDefault="00933AE0" w:rsidP="00933AE0">
            <w:pPr>
              <w:spacing w:line="240" w:lineRule="auto"/>
              <w:jc w:val="left"/>
              <w:rPr>
                <w:color w:val="000000"/>
                <w:lang w:val="en-US" w:bidi="bn-BD"/>
              </w:rPr>
            </w:pPr>
            <w:r w:rsidRPr="00933AE0">
              <w:rPr>
                <w:color w:val="000000"/>
                <w:lang w:val="en-US" w:bidi="bn-BD"/>
              </w:rPr>
              <w:t>1.2046</w:t>
            </w:r>
          </w:p>
        </w:tc>
      </w:tr>
      <w:tr w:rsidR="00933AE0" w:rsidRPr="00933AE0" w14:paraId="6892BB70" w14:textId="77777777" w:rsidTr="00933AE0">
        <w:trPr>
          <w:trHeight w:val="315"/>
          <w:jc w:val="center"/>
        </w:trPr>
        <w:tc>
          <w:tcPr>
            <w:tcW w:w="4220" w:type="dxa"/>
            <w:tcBorders>
              <w:top w:val="nil"/>
              <w:left w:val="single" w:sz="4" w:space="0" w:color="auto"/>
              <w:bottom w:val="single" w:sz="4" w:space="0" w:color="auto"/>
              <w:right w:val="single" w:sz="4" w:space="0" w:color="auto"/>
            </w:tcBorders>
            <w:shd w:val="clear" w:color="000000" w:fill="D9D9D9"/>
            <w:noWrap/>
            <w:hideMark/>
          </w:tcPr>
          <w:p w14:paraId="6898D29B" w14:textId="77777777" w:rsidR="00933AE0" w:rsidRPr="00933AE0" w:rsidRDefault="00933AE0" w:rsidP="00933AE0">
            <w:pPr>
              <w:spacing w:line="240" w:lineRule="auto"/>
              <w:jc w:val="left"/>
              <w:rPr>
                <w:b/>
                <w:bCs/>
                <w:color w:val="000000"/>
                <w:lang w:val="en-US" w:bidi="bn-BD"/>
              </w:rPr>
            </w:pPr>
            <w:r w:rsidRPr="00933AE0">
              <w:rPr>
                <w:b/>
                <w:bCs/>
                <w:color w:val="000000"/>
                <w:lang w:val="en-US" w:bidi="bn-BD"/>
              </w:rPr>
              <w:t xml:space="preserve">Z-score </w:t>
            </w:r>
          </w:p>
        </w:tc>
        <w:tc>
          <w:tcPr>
            <w:tcW w:w="1036" w:type="dxa"/>
            <w:tcBorders>
              <w:top w:val="nil"/>
              <w:left w:val="nil"/>
              <w:bottom w:val="single" w:sz="4" w:space="0" w:color="auto"/>
              <w:right w:val="single" w:sz="4" w:space="0" w:color="auto"/>
            </w:tcBorders>
            <w:shd w:val="clear" w:color="000000" w:fill="D9D9D9"/>
            <w:noWrap/>
            <w:hideMark/>
          </w:tcPr>
          <w:p w14:paraId="49D46318" w14:textId="77777777" w:rsidR="00933AE0" w:rsidRPr="00933AE0" w:rsidRDefault="00933AE0" w:rsidP="00933AE0">
            <w:pPr>
              <w:spacing w:line="240" w:lineRule="auto"/>
              <w:jc w:val="center"/>
              <w:rPr>
                <w:b/>
                <w:bCs/>
                <w:color w:val="000000"/>
                <w:u w:val="double"/>
                <w:lang w:val="en-US" w:bidi="bn-BD"/>
              </w:rPr>
            </w:pPr>
            <w:r w:rsidRPr="00933AE0">
              <w:rPr>
                <w:b/>
                <w:bCs/>
                <w:color w:val="000000"/>
                <w:u w:val="double"/>
                <w:lang w:val="en-US" w:bidi="bn-BD"/>
              </w:rPr>
              <w:t>2.98</w:t>
            </w:r>
          </w:p>
        </w:tc>
        <w:tc>
          <w:tcPr>
            <w:tcW w:w="1036" w:type="dxa"/>
            <w:tcBorders>
              <w:top w:val="nil"/>
              <w:left w:val="nil"/>
              <w:bottom w:val="single" w:sz="4" w:space="0" w:color="auto"/>
              <w:right w:val="single" w:sz="4" w:space="0" w:color="auto"/>
            </w:tcBorders>
            <w:shd w:val="clear" w:color="000000" w:fill="D9D9D9"/>
            <w:noWrap/>
            <w:hideMark/>
          </w:tcPr>
          <w:p w14:paraId="73EA60F0" w14:textId="77777777" w:rsidR="00933AE0" w:rsidRPr="00933AE0" w:rsidRDefault="00933AE0" w:rsidP="00933AE0">
            <w:pPr>
              <w:spacing w:line="240" w:lineRule="auto"/>
              <w:jc w:val="center"/>
              <w:rPr>
                <w:b/>
                <w:bCs/>
                <w:color w:val="000000"/>
                <w:u w:val="double"/>
                <w:lang w:val="en-US" w:bidi="bn-BD"/>
              </w:rPr>
            </w:pPr>
            <w:r w:rsidRPr="00933AE0">
              <w:rPr>
                <w:b/>
                <w:bCs/>
                <w:color w:val="000000"/>
                <w:u w:val="double"/>
                <w:lang w:val="en-US" w:bidi="bn-BD"/>
              </w:rPr>
              <w:t>2.88</w:t>
            </w:r>
          </w:p>
        </w:tc>
        <w:tc>
          <w:tcPr>
            <w:tcW w:w="996" w:type="dxa"/>
            <w:tcBorders>
              <w:top w:val="nil"/>
              <w:left w:val="nil"/>
              <w:bottom w:val="single" w:sz="4" w:space="0" w:color="auto"/>
              <w:right w:val="single" w:sz="4" w:space="0" w:color="auto"/>
            </w:tcBorders>
            <w:shd w:val="clear" w:color="000000" w:fill="D9D9D9"/>
            <w:noWrap/>
            <w:hideMark/>
          </w:tcPr>
          <w:p w14:paraId="0195D37F" w14:textId="77777777" w:rsidR="00933AE0" w:rsidRPr="00933AE0" w:rsidRDefault="00933AE0" w:rsidP="00933AE0">
            <w:pPr>
              <w:spacing w:line="240" w:lineRule="auto"/>
              <w:jc w:val="center"/>
              <w:rPr>
                <w:b/>
                <w:bCs/>
                <w:color w:val="000000"/>
                <w:u w:val="double"/>
                <w:lang w:val="en-US" w:bidi="bn-BD"/>
              </w:rPr>
            </w:pPr>
            <w:r w:rsidRPr="00933AE0">
              <w:rPr>
                <w:b/>
                <w:bCs/>
                <w:color w:val="000000"/>
                <w:u w:val="double"/>
                <w:lang w:val="en-US" w:bidi="bn-BD"/>
              </w:rPr>
              <w:t>3.14</w:t>
            </w:r>
          </w:p>
        </w:tc>
        <w:tc>
          <w:tcPr>
            <w:tcW w:w="996" w:type="dxa"/>
            <w:tcBorders>
              <w:top w:val="nil"/>
              <w:left w:val="nil"/>
              <w:bottom w:val="single" w:sz="4" w:space="0" w:color="auto"/>
              <w:right w:val="single" w:sz="4" w:space="0" w:color="auto"/>
            </w:tcBorders>
            <w:shd w:val="clear" w:color="000000" w:fill="D9D9D9"/>
            <w:noWrap/>
            <w:hideMark/>
          </w:tcPr>
          <w:p w14:paraId="6BDF6FCC" w14:textId="77777777" w:rsidR="00933AE0" w:rsidRPr="00933AE0" w:rsidRDefault="00933AE0" w:rsidP="00933AE0">
            <w:pPr>
              <w:spacing w:line="240" w:lineRule="auto"/>
              <w:jc w:val="center"/>
              <w:rPr>
                <w:b/>
                <w:bCs/>
                <w:color w:val="000000"/>
                <w:u w:val="double"/>
                <w:lang w:val="en-US" w:bidi="bn-BD"/>
              </w:rPr>
            </w:pPr>
            <w:r w:rsidRPr="00933AE0">
              <w:rPr>
                <w:b/>
                <w:bCs/>
                <w:color w:val="000000"/>
                <w:u w:val="double"/>
                <w:lang w:val="en-US" w:bidi="bn-BD"/>
              </w:rPr>
              <w:t>3.28</w:t>
            </w:r>
          </w:p>
        </w:tc>
        <w:tc>
          <w:tcPr>
            <w:tcW w:w="996" w:type="dxa"/>
            <w:tcBorders>
              <w:top w:val="nil"/>
              <w:left w:val="nil"/>
              <w:bottom w:val="single" w:sz="4" w:space="0" w:color="auto"/>
              <w:right w:val="single" w:sz="4" w:space="0" w:color="auto"/>
            </w:tcBorders>
            <w:shd w:val="clear" w:color="000000" w:fill="D9D9D9"/>
            <w:noWrap/>
            <w:hideMark/>
          </w:tcPr>
          <w:p w14:paraId="75D0DBF2" w14:textId="77777777" w:rsidR="00933AE0" w:rsidRPr="00933AE0" w:rsidRDefault="00933AE0" w:rsidP="00933AE0">
            <w:pPr>
              <w:spacing w:line="240" w:lineRule="auto"/>
              <w:jc w:val="center"/>
              <w:rPr>
                <w:b/>
                <w:bCs/>
                <w:color w:val="000000"/>
                <w:u w:val="double"/>
                <w:lang w:val="en-US" w:bidi="bn-BD"/>
              </w:rPr>
            </w:pPr>
            <w:r w:rsidRPr="00933AE0">
              <w:rPr>
                <w:b/>
                <w:bCs/>
                <w:color w:val="000000"/>
                <w:u w:val="double"/>
                <w:lang w:val="en-US" w:bidi="bn-BD"/>
              </w:rPr>
              <w:t>3.79</w:t>
            </w:r>
          </w:p>
        </w:tc>
      </w:tr>
    </w:tbl>
    <w:p w14:paraId="602DA083" w14:textId="77777777" w:rsidR="00933AE0" w:rsidRDefault="00933AE0" w:rsidP="00933AE0"/>
    <w:p w14:paraId="51739FD9" w14:textId="77777777" w:rsidR="00933AE0" w:rsidRDefault="00D100F7" w:rsidP="00D100F7">
      <w:pPr>
        <w:pStyle w:val="Heading2"/>
      </w:pPr>
      <w:bookmarkStart w:id="36" w:name="_Toc213449472"/>
      <w:r>
        <w:t xml:space="preserve">3.0 </w:t>
      </w:r>
      <w:r w:rsidR="00933AE0">
        <w:t>Investment Analysis Calculation</w:t>
      </w:r>
      <w:bookmarkEnd w:id="36"/>
    </w:p>
    <w:tbl>
      <w:tblPr>
        <w:tblW w:w="8076" w:type="dxa"/>
        <w:jc w:val="center"/>
        <w:tblLook w:val="04A0" w:firstRow="1" w:lastRow="0" w:firstColumn="1" w:lastColumn="0" w:noHBand="0" w:noVBand="1"/>
      </w:tblPr>
      <w:tblGrid>
        <w:gridCol w:w="2360"/>
        <w:gridCol w:w="1828"/>
        <w:gridCol w:w="1828"/>
        <w:gridCol w:w="2060"/>
      </w:tblGrid>
      <w:tr w:rsidR="00933AE0" w:rsidRPr="00933AE0" w14:paraId="6DDD0D51" w14:textId="77777777" w:rsidTr="00933AE0">
        <w:trPr>
          <w:trHeight w:val="349"/>
          <w:jc w:val="center"/>
        </w:trPr>
        <w:tc>
          <w:tcPr>
            <w:tcW w:w="2360" w:type="dxa"/>
            <w:tcBorders>
              <w:top w:val="single" w:sz="4" w:space="0" w:color="auto"/>
              <w:left w:val="single" w:sz="4" w:space="0" w:color="auto"/>
              <w:bottom w:val="single" w:sz="4" w:space="0" w:color="auto"/>
              <w:right w:val="single" w:sz="4" w:space="0" w:color="auto"/>
            </w:tcBorders>
            <w:noWrap/>
            <w:hideMark/>
          </w:tcPr>
          <w:p w14:paraId="5BC83500" w14:textId="77777777" w:rsidR="00933AE0" w:rsidRPr="00933AE0" w:rsidRDefault="00933AE0" w:rsidP="00933AE0">
            <w:pPr>
              <w:spacing w:line="240" w:lineRule="auto"/>
              <w:jc w:val="center"/>
              <w:rPr>
                <w:b/>
                <w:bCs/>
                <w:i/>
                <w:iCs/>
                <w:color w:val="000000"/>
                <w:lang w:val="en-US" w:bidi="bn-BD"/>
              </w:rPr>
            </w:pPr>
            <w:r w:rsidRPr="00933AE0">
              <w:rPr>
                <w:b/>
                <w:bCs/>
                <w:i/>
                <w:iCs/>
                <w:color w:val="000000"/>
                <w:lang w:val="en-US" w:bidi="bn-BD"/>
              </w:rPr>
              <w:t>Capital Budgeting Techniques</w:t>
            </w:r>
          </w:p>
        </w:tc>
        <w:tc>
          <w:tcPr>
            <w:tcW w:w="1828" w:type="dxa"/>
            <w:tcBorders>
              <w:top w:val="single" w:sz="4" w:space="0" w:color="auto"/>
              <w:left w:val="nil"/>
              <w:bottom w:val="single" w:sz="4" w:space="0" w:color="auto"/>
              <w:right w:val="single" w:sz="4" w:space="0" w:color="auto"/>
            </w:tcBorders>
            <w:shd w:val="clear" w:color="auto" w:fill="B8CCE4" w:themeFill="accent1" w:themeFillTint="66"/>
            <w:noWrap/>
            <w:vAlign w:val="center"/>
            <w:hideMark/>
          </w:tcPr>
          <w:p w14:paraId="2AA633CB"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Project-A</w:t>
            </w:r>
          </w:p>
        </w:tc>
        <w:tc>
          <w:tcPr>
            <w:tcW w:w="1828" w:type="dxa"/>
            <w:tcBorders>
              <w:top w:val="single" w:sz="4" w:space="0" w:color="auto"/>
              <w:left w:val="nil"/>
              <w:bottom w:val="single" w:sz="4" w:space="0" w:color="auto"/>
              <w:right w:val="single" w:sz="4" w:space="0" w:color="auto"/>
            </w:tcBorders>
            <w:shd w:val="clear" w:color="auto" w:fill="D99594" w:themeFill="accent2" w:themeFillTint="99"/>
            <w:noWrap/>
            <w:vAlign w:val="center"/>
            <w:hideMark/>
          </w:tcPr>
          <w:p w14:paraId="451DB0B6"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Project-B</w:t>
            </w:r>
          </w:p>
        </w:tc>
        <w:tc>
          <w:tcPr>
            <w:tcW w:w="2060" w:type="dxa"/>
            <w:tcBorders>
              <w:top w:val="single" w:sz="4" w:space="0" w:color="auto"/>
              <w:left w:val="nil"/>
              <w:bottom w:val="single" w:sz="4" w:space="0" w:color="auto"/>
              <w:right w:val="single" w:sz="4" w:space="0" w:color="auto"/>
            </w:tcBorders>
            <w:shd w:val="clear" w:color="auto" w:fill="FFFF00"/>
            <w:noWrap/>
            <w:vAlign w:val="center"/>
            <w:hideMark/>
          </w:tcPr>
          <w:p w14:paraId="1F111847" w14:textId="77777777" w:rsidR="00933AE0" w:rsidRPr="00933AE0" w:rsidRDefault="00933AE0" w:rsidP="00933AE0">
            <w:pPr>
              <w:spacing w:line="240" w:lineRule="auto"/>
              <w:jc w:val="center"/>
              <w:rPr>
                <w:b/>
                <w:bCs/>
                <w:color w:val="000000"/>
                <w:lang w:val="en-US" w:bidi="bn-BD"/>
              </w:rPr>
            </w:pPr>
            <w:r w:rsidRPr="00933AE0">
              <w:rPr>
                <w:b/>
                <w:bCs/>
                <w:color w:val="000000"/>
                <w:lang w:val="en-US" w:bidi="bn-BD"/>
              </w:rPr>
              <w:t>Project-C</w:t>
            </w:r>
          </w:p>
        </w:tc>
      </w:tr>
      <w:tr w:rsidR="00933AE0" w:rsidRPr="00933AE0" w14:paraId="75BCF850" w14:textId="77777777" w:rsidTr="00933AE0">
        <w:trPr>
          <w:trHeight w:val="349"/>
          <w:jc w:val="center"/>
        </w:trPr>
        <w:tc>
          <w:tcPr>
            <w:tcW w:w="2360" w:type="dxa"/>
            <w:tcBorders>
              <w:top w:val="nil"/>
              <w:left w:val="single" w:sz="4" w:space="0" w:color="auto"/>
              <w:bottom w:val="single" w:sz="4" w:space="0" w:color="auto"/>
              <w:right w:val="single" w:sz="4" w:space="0" w:color="auto"/>
            </w:tcBorders>
            <w:noWrap/>
            <w:hideMark/>
          </w:tcPr>
          <w:p w14:paraId="5454DF1A" w14:textId="77777777" w:rsidR="00933AE0" w:rsidRPr="00933AE0" w:rsidRDefault="00933AE0" w:rsidP="00933AE0">
            <w:pPr>
              <w:spacing w:line="240" w:lineRule="auto"/>
              <w:jc w:val="left"/>
              <w:rPr>
                <w:color w:val="000000"/>
                <w:lang w:val="en-US" w:bidi="bn-BD"/>
              </w:rPr>
            </w:pPr>
            <w:r w:rsidRPr="00933AE0">
              <w:rPr>
                <w:color w:val="000000"/>
                <w:lang w:val="en-US" w:bidi="bn-BD"/>
              </w:rPr>
              <w:t>PBP</w:t>
            </w:r>
          </w:p>
        </w:tc>
        <w:tc>
          <w:tcPr>
            <w:tcW w:w="1828" w:type="dxa"/>
            <w:tcBorders>
              <w:top w:val="nil"/>
              <w:left w:val="nil"/>
              <w:bottom w:val="single" w:sz="4" w:space="0" w:color="auto"/>
              <w:right w:val="single" w:sz="4" w:space="0" w:color="auto"/>
            </w:tcBorders>
            <w:noWrap/>
            <w:hideMark/>
          </w:tcPr>
          <w:p w14:paraId="56FFB9E4" w14:textId="77777777" w:rsidR="00933AE0" w:rsidRPr="00933AE0" w:rsidRDefault="00933AE0" w:rsidP="00933AE0">
            <w:pPr>
              <w:spacing w:line="240" w:lineRule="auto"/>
              <w:jc w:val="left"/>
              <w:rPr>
                <w:color w:val="000000"/>
                <w:lang w:val="en-US" w:bidi="bn-BD"/>
              </w:rPr>
            </w:pPr>
            <w:r w:rsidRPr="00933AE0">
              <w:rPr>
                <w:color w:val="000000"/>
                <w:lang w:val="en-US" w:bidi="bn-BD"/>
              </w:rPr>
              <w:t>3.40</w:t>
            </w:r>
          </w:p>
        </w:tc>
        <w:tc>
          <w:tcPr>
            <w:tcW w:w="1828" w:type="dxa"/>
            <w:tcBorders>
              <w:top w:val="nil"/>
              <w:left w:val="nil"/>
              <w:bottom w:val="single" w:sz="4" w:space="0" w:color="auto"/>
              <w:right w:val="single" w:sz="4" w:space="0" w:color="auto"/>
            </w:tcBorders>
            <w:noWrap/>
            <w:hideMark/>
          </w:tcPr>
          <w:p w14:paraId="2B8B4AAD" w14:textId="77777777" w:rsidR="00933AE0" w:rsidRPr="00933AE0" w:rsidRDefault="00933AE0" w:rsidP="00933AE0">
            <w:pPr>
              <w:spacing w:line="240" w:lineRule="auto"/>
              <w:jc w:val="left"/>
              <w:rPr>
                <w:color w:val="000000"/>
                <w:lang w:val="en-US" w:bidi="bn-BD"/>
              </w:rPr>
            </w:pPr>
            <w:r w:rsidRPr="00933AE0">
              <w:rPr>
                <w:color w:val="000000"/>
                <w:lang w:val="en-US" w:bidi="bn-BD"/>
              </w:rPr>
              <w:t>5</w:t>
            </w:r>
          </w:p>
        </w:tc>
        <w:tc>
          <w:tcPr>
            <w:tcW w:w="2060" w:type="dxa"/>
            <w:tcBorders>
              <w:top w:val="nil"/>
              <w:left w:val="nil"/>
              <w:bottom w:val="single" w:sz="4" w:space="0" w:color="auto"/>
              <w:right w:val="single" w:sz="4" w:space="0" w:color="auto"/>
            </w:tcBorders>
            <w:noWrap/>
            <w:hideMark/>
          </w:tcPr>
          <w:p w14:paraId="19BCA970" w14:textId="77777777" w:rsidR="00933AE0" w:rsidRPr="00933AE0" w:rsidRDefault="00933AE0" w:rsidP="00933AE0">
            <w:pPr>
              <w:spacing w:line="240" w:lineRule="auto"/>
              <w:jc w:val="left"/>
              <w:rPr>
                <w:color w:val="000000"/>
                <w:lang w:val="en-US" w:bidi="bn-BD"/>
              </w:rPr>
            </w:pPr>
            <w:r w:rsidRPr="00933AE0">
              <w:rPr>
                <w:color w:val="000000"/>
                <w:lang w:val="en-US" w:bidi="bn-BD"/>
              </w:rPr>
              <w:t>3.60</w:t>
            </w:r>
          </w:p>
        </w:tc>
      </w:tr>
      <w:tr w:rsidR="00933AE0" w:rsidRPr="00933AE0" w14:paraId="1C20BD13" w14:textId="77777777" w:rsidTr="00933AE0">
        <w:trPr>
          <w:trHeight w:val="349"/>
          <w:jc w:val="center"/>
        </w:trPr>
        <w:tc>
          <w:tcPr>
            <w:tcW w:w="2360" w:type="dxa"/>
            <w:tcBorders>
              <w:top w:val="nil"/>
              <w:left w:val="single" w:sz="4" w:space="0" w:color="auto"/>
              <w:bottom w:val="single" w:sz="4" w:space="0" w:color="auto"/>
              <w:right w:val="single" w:sz="4" w:space="0" w:color="auto"/>
            </w:tcBorders>
            <w:noWrap/>
            <w:hideMark/>
          </w:tcPr>
          <w:p w14:paraId="6D8F11F7" w14:textId="77777777" w:rsidR="00933AE0" w:rsidRPr="00933AE0" w:rsidRDefault="00933AE0" w:rsidP="00933AE0">
            <w:pPr>
              <w:spacing w:line="240" w:lineRule="auto"/>
              <w:jc w:val="left"/>
              <w:rPr>
                <w:color w:val="000000"/>
                <w:lang w:val="en-US" w:bidi="bn-BD"/>
              </w:rPr>
            </w:pPr>
            <w:r w:rsidRPr="00933AE0">
              <w:rPr>
                <w:color w:val="000000"/>
                <w:lang w:val="en-US" w:bidi="bn-BD"/>
              </w:rPr>
              <w:t>ARR</w:t>
            </w:r>
          </w:p>
        </w:tc>
        <w:tc>
          <w:tcPr>
            <w:tcW w:w="1828" w:type="dxa"/>
            <w:tcBorders>
              <w:top w:val="nil"/>
              <w:left w:val="nil"/>
              <w:bottom w:val="single" w:sz="4" w:space="0" w:color="auto"/>
              <w:right w:val="single" w:sz="4" w:space="0" w:color="auto"/>
            </w:tcBorders>
            <w:noWrap/>
            <w:hideMark/>
          </w:tcPr>
          <w:p w14:paraId="24B12924" w14:textId="77777777" w:rsidR="00933AE0" w:rsidRPr="00933AE0" w:rsidRDefault="00933AE0" w:rsidP="00933AE0">
            <w:pPr>
              <w:spacing w:line="240" w:lineRule="auto"/>
              <w:jc w:val="left"/>
              <w:rPr>
                <w:color w:val="000000"/>
                <w:lang w:val="en-US" w:bidi="bn-BD"/>
              </w:rPr>
            </w:pPr>
            <w:r w:rsidRPr="00933AE0">
              <w:rPr>
                <w:color w:val="000000"/>
                <w:lang w:val="en-US" w:bidi="bn-BD"/>
              </w:rPr>
              <w:t>7.00%</w:t>
            </w:r>
          </w:p>
        </w:tc>
        <w:tc>
          <w:tcPr>
            <w:tcW w:w="1828" w:type="dxa"/>
            <w:tcBorders>
              <w:top w:val="nil"/>
              <w:left w:val="nil"/>
              <w:bottom w:val="single" w:sz="4" w:space="0" w:color="auto"/>
              <w:right w:val="single" w:sz="4" w:space="0" w:color="auto"/>
            </w:tcBorders>
            <w:noWrap/>
            <w:hideMark/>
          </w:tcPr>
          <w:p w14:paraId="3B842005" w14:textId="77777777" w:rsidR="00933AE0" w:rsidRPr="00933AE0" w:rsidRDefault="00933AE0" w:rsidP="00933AE0">
            <w:pPr>
              <w:spacing w:line="240" w:lineRule="auto"/>
              <w:jc w:val="left"/>
              <w:rPr>
                <w:color w:val="000000"/>
                <w:lang w:val="en-US" w:bidi="bn-BD"/>
              </w:rPr>
            </w:pPr>
            <w:r w:rsidRPr="00933AE0">
              <w:rPr>
                <w:color w:val="000000"/>
                <w:lang w:val="en-US" w:bidi="bn-BD"/>
              </w:rPr>
              <w:t>0.00%</w:t>
            </w:r>
          </w:p>
        </w:tc>
        <w:tc>
          <w:tcPr>
            <w:tcW w:w="2060" w:type="dxa"/>
            <w:tcBorders>
              <w:top w:val="nil"/>
              <w:left w:val="nil"/>
              <w:bottom w:val="single" w:sz="4" w:space="0" w:color="auto"/>
              <w:right w:val="single" w:sz="4" w:space="0" w:color="auto"/>
            </w:tcBorders>
            <w:noWrap/>
            <w:hideMark/>
          </w:tcPr>
          <w:p w14:paraId="56CD46C4" w14:textId="77777777" w:rsidR="00933AE0" w:rsidRPr="00933AE0" w:rsidRDefault="00933AE0" w:rsidP="00933AE0">
            <w:pPr>
              <w:spacing w:line="240" w:lineRule="auto"/>
              <w:jc w:val="left"/>
              <w:rPr>
                <w:color w:val="000000"/>
                <w:lang w:val="en-US" w:bidi="bn-BD"/>
              </w:rPr>
            </w:pPr>
            <w:r w:rsidRPr="00933AE0">
              <w:rPr>
                <w:color w:val="000000"/>
                <w:lang w:val="en-US" w:bidi="bn-BD"/>
              </w:rPr>
              <w:t>10.00%</w:t>
            </w:r>
          </w:p>
        </w:tc>
      </w:tr>
      <w:tr w:rsidR="00933AE0" w:rsidRPr="00933AE0" w14:paraId="5C2D84AE" w14:textId="77777777" w:rsidTr="00933AE0">
        <w:trPr>
          <w:trHeight w:val="349"/>
          <w:jc w:val="center"/>
        </w:trPr>
        <w:tc>
          <w:tcPr>
            <w:tcW w:w="2360" w:type="dxa"/>
            <w:tcBorders>
              <w:top w:val="nil"/>
              <w:left w:val="single" w:sz="4" w:space="0" w:color="auto"/>
              <w:bottom w:val="single" w:sz="4" w:space="0" w:color="auto"/>
              <w:right w:val="single" w:sz="4" w:space="0" w:color="auto"/>
            </w:tcBorders>
            <w:noWrap/>
            <w:hideMark/>
          </w:tcPr>
          <w:p w14:paraId="2F023CA6" w14:textId="77777777" w:rsidR="00933AE0" w:rsidRPr="00933AE0" w:rsidRDefault="00933AE0" w:rsidP="00933AE0">
            <w:pPr>
              <w:spacing w:line="240" w:lineRule="auto"/>
              <w:jc w:val="left"/>
              <w:rPr>
                <w:color w:val="000000"/>
                <w:lang w:val="en-US" w:bidi="bn-BD"/>
              </w:rPr>
            </w:pPr>
            <w:r w:rsidRPr="00933AE0">
              <w:rPr>
                <w:color w:val="000000"/>
                <w:lang w:val="en-US" w:bidi="bn-BD"/>
              </w:rPr>
              <w:t>NPV (£m)</w:t>
            </w:r>
          </w:p>
        </w:tc>
        <w:tc>
          <w:tcPr>
            <w:tcW w:w="1828" w:type="dxa"/>
            <w:tcBorders>
              <w:top w:val="nil"/>
              <w:left w:val="nil"/>
              <w:bottom w:val="single" w:sz="4" w:space="0" w:color="auto"/>
              <w:right w:val="single" w:sz="4" w:space="0" w:color="auto"/>
            </w:tcBorders>
            <w:noWrap/>
            <w:hideMark/>
          </w:tcPr>
          <w:p w14:paraId="03DD6F5F" w14:textId="77777777" w:rsidR="00933AE0" w:rsidRPr="00933AE0" w:rsidRDefault="00933AE0" w:rsidP="00933AE0">
            <w:pPr>
              <w:spacing w:line="240" w:lineRule="auto"/>
              <w:jc w:val="left"/>
              <w:rPr>
                <w:color w:val="000000"/>
                <w:lang w:val="en-US" w:bidi="bn-BD"/>
              </w:rPr>
            </w:pPr>
            <w:r w:rsidRPr="00933AE0">
              <w:rPr>
                <w:color w:val="000000"/>
                <w:lang w:val="en-US" w:bidi="bn-BD"/>
              </w:rPr>
              <w:t>1.32</w:t>
            </w:r>
          </w:p>
        </w:tc>
        <w:tc>
          <w:tcPr>
            <w:tcW w:w="1828" w:type="dxa"/>
            <w:tcBorders>
              <w:top w:val="nil"/>
              <w:left w:val="nil"/>
              <w:bottom w:val="single" w:sz="4" w:space="0" w:color="auto"/>
              <w:right w:val="single" w:sz="4" w:space="0" w:color="auto"/>
            </w:tcBorders>
            <w:noWrap/>
            <w:hideMark/>
          </w:tcPr>
          <w:p w14:paraId="6106326D" w14:textId="77777777" w:rsidR="00933AE0" w:rsidRPr="00933AE0" w:rsidRDefault="00933AE0" w:rsidP="00933AE0">
            <w:pPr>
              <w:spacing w:line="240" w:lineRule="auto"/>
              <w:jc w:val="left"/>
              <w:rPr>
                <w:color w:val="000000"/>
                <w:lang w:val="en-US" w:bidi="bn-BD"/>
              </w:rPr>
            </w:pPr>
            <w:r w:rsidRPr="00933AE0">
              <w:rPr>
                <w:color w:val="000000"/>
                <w:lang w:val="en-US" w:bidi="bn-BD"/>
              </w:rPr>
              <w:t>-7.26</w:t>
            </w:r>
          </w:p>
        </w:tc>
        <w:tc>
          <w:tcPr>
            <w:tcW w:w="2060" w:type="dxa"/>
            <w:tcBorders>
              <w:top w:val="nil"/>
              <w:left w:val="nil"/>
              <w:bottom w:val="single" w:sz="4" w:space="0" w:color="auto"/>
              <w:right w:val="single" w:sz="4" w:space="0" w:color="auto"/>
            </w:tcBorders>
            <w:noWrap/>
            <w:hideMark/>
          </w:tcPr>
          <w:p w14:paraId="45C9722A" w14:textId="77777777" w:rsidR="00933AE0" w:rsidRPr="00933AE0" w:rsidRDefault="00933AE0" w:rsidP="00933AE0">
            <w:pPr>
              <w:spacing w:line="240" w:lineRule="auto"/>
              <w:jc w:val="left"/>
              <w:rPr>
                <w:color w:val="000000"/>
                <w:lang w:val="en-US" w:bidi="bn-BD"/>
              </w:rPr>
            </w:pPr>
            <w:r w:rsidRPr="00933AE0">
              <w:rPr>
                <w:color w:val="000000"/>
                <w:lang w:val="en-US" w:bidi="bn-BD"/>
              </w:rPr>
              <w:t>4.23</w:t>
            </w:r>
          </w:p>
        </w:tc>
      </w:tr>
      <w:tr w:rsidR="00933AE0" w:rsidRPr="00933AE0" w14:paraId="75177727" w14:textId="77777777" w:rsidTr="00933AE0">
        <w:trPr>
          <w:trHeight w:val="349"/>
          <w:jc w:val="center"/>
        </w:trPr>
        <w:tc>
          <w:tcPr>
            <w:tcW w:w="2360" w:type="dxa"/>
            <w:tcBorders>
              <w:top w:val="nil"/>
              <w:left w:val="single" w:sz="4" w:space="0" w:color="auto"/>
              <w:bottom w:val="single" w:sz="4" w:space="0" w:color="auto"/>
              <w:right w:val="single" w:sz="4" w:space="0" w:color="auto"/>
            </w:tcBorders>
            <w:noWrap/>
            <w:hideMark/>
          </w:tcPr>
          <w:p w14:paraId="5947F5BB" w14:textId="77777777" w:rsidR="00933AE0" w:rsidRPr="00933AE0" w:rsidRDefault="00933AE0" w:rsidP="00933AE0">
            <w:pPr>
              <w:spacing w:line="240" w:lineRule="auto"/>
              <w:jc w:val="left"/>
              <w:rPr>
                <w:color w:val="000000"/>
                <w:lang w:val="en-US" w:bidi="bn-BD"/>
              </w:rPr>
            </w:pPr>
            <w:r w:rsidRPr="00933AE0">
              <w:rPr>
                <w:color w:val="000000"/>
                <w:lang w:val="en-US" w:bidi="bn-BD"/>
              </w:rPr>
              <w:t>PI</w:t>
            </w:r>
          </w:p>
        </w:tc>
        <w:tc>
          <w:tcPr>
            <w:tcW w:w="1828" w:type="dxa"/>
            <w:tcBorders>
              <w:top w:val="nil"/>
              <w:left w:val="nil"/>
              <w:bottom w:val="single" w:sz="4" w:space="0" w:color="auto"/>
              <w:right w:val="single" w:sz="4" w:space="0" w:color="auto"/>
            </w:tcBorders>
            <w:noWrap/>
            <w:hideMark/>
          </w:tcPr>
          <w:p w14:paraId="38AADDB4" w14:textId="77777777" w:rsidR="00933AE0" w:rsidRPr="00933AE0" w:rsidRDefault="00933AE0" w:rsidP="00933AE0">
            <w:pPr>
              <w:spacing w:line="240" w:lineRule="auto"/>
              <w:jc w:val="left"/>
              <w:rPr>
                <w:color w:val="000000"/>
                <w:lang w:val="en-US" w:bidi="bn-BD"/>
              </w:rPr>
            </w:pPr>
            <w:r w:rsidRPr="00933AE0">
              <w:rPr>
                <w:color w:val="000000"/>
                <w:lang w:val="en-US" w:bidi="bn-BD"/>
              </w:rPr>
              <w:t>1.03</w:t>
            </w:r>
          </w:p>
        </w:tc>
        <w:tc>
          <w:tcPr>
            <w:tcW w:w="1828" w:type="dxa"/>
            <w:tcBorders>
              <w:top w:val="nil"/>
              <w:left w:val="nil"/>
              <w:bottom w:val="single" w:sz="4" w:space="0" w:color="auto"/>
              <w:right w:val="single" w:sz="4" w:space="0" w:color="auto"/>
            </w:tcBorders>
            <w:noWrap/>
            <w:hideMark/>
          </w:tcPr>
          <w:p w14:paraId="0E0802E8" w14:textId="77777777" w:rsidR="00933AE0" w:rsidRPr="00933AE0" w:rsidRDefault="00933AE0" w:rsidP="00933AE0">
            <w:pPr>
              <w:spacing w:line="240" w:lineRule="auto"/>
              <w:jc w:val="left"/>
              <w:rPr>
                <w:color w:val="000000"/>
                <w:lang w:val="en-US" w:bidi="bn-BD"/>
              </w:rPr>
            </w:pPr>
            <w:r w:rsidRPr="00933AE0">
              <w:rPr>
                <w:color w:val="000000"/>
                <w:lang w:val="en-US" w:bidi="bn-BD"/>
              </w:rPr>
              <w:t>0.76</w:t>
            </w:r>
          </w:p>
        </w:tc>
        <w:tc>
          <w:tcPr>
            <w:tcW w:w="2060" w:type="dxa"/>
            <w:tcBorders>
              <w:top w:val="nil"/>
              <w:left w:val="nil"/>
              <w:bottom w:val="single" w:sz="4" w:space="0" w:color="auto"/>
              <w:right w:val="single" w:sz="4" w:space="0" w:color="auto"/>
            </w:tcBorders>
            <w:noWrap/>
            <w:hideMark/>
          </w:tcPr>
          <w:p w14:paraId="646440D1" w14:textId="77777777" w:rsidR="00933AE0" w:rsidRPr="00933AE0" w:rsidRDefault="00933AE0" w:rsidP="00933AE0">
            <w:pPr>
              <w:spacing w:line="240" w:lineRule="auto"/>
              <w:jc w:val="left"/>
              <w:rPr>
                <w:color w:val="000000"/>
                <w:lang w:val="en-US" w:bidi="bn-BD"/>
              </w:rPr>
            </w:pPr>
            <w:r w:rsidRPr="00933AE0">
              <w:rPr>
                <w:color w:val="000000"/>
                <w:lang w:val="en-US" w:bidi="bn-BD"/>
              </w:rPr>
              <w:t>1.08</w:t>
            </w:r>
          </w:p>
        </w:tc>
      </w:tr>
      <w:tr w:rsidR="00933AE0" w:rsidRPr="00933AE0" w14:paraId="771E633C" w14:textId="77777777" w:rsidTr="00933AE0">
        <w:trPr>
          <w:trHeight w:val="349"/>
          <w:jc w:val="center"/>
        </w:trPr>
        <w:tc>
          <w:tcPr>
            <w:tcW w:w="2360" w:type="dxa"/>
            <w:tcBorders>
              <w:top w:val="nil"/>
              <w:left w:val="single" w:sz="4" w:space="0" w:color="auto"/>
              <w:bottom w:val="single" w:sz="4" w:space="0" w:color="auto"/>
              <w:right w:val="single" w:sz="4" w:space="0" w:color="auto"/>
            </w:tcBorders>
            <w:noWrap/>
            <w:hideMark/>
          </w:tcPr>
          <w:p w14:paraId="2042FC38" w14:textId="77777777" w:rsidR="00933AE0" w:rsidRPr="00933AE0" w:rsidRDefault="00933AE0" w:rsidP="00933AE0">
            <w:pPr>
              <w:spacing w:line="240" w:lineRule="auto"/>
              <w:jc w:val="left"/>
              <w:rPr>
                <w:color w:val="000000"/>
                <w:lang w:val="en-US" w:bidi="bn-BD"/>
              </w:rPr>
            </w:pPr>
            <w:r w:rsidRPr="00933AE0">
              <w:rPr>
                <w:color w:val="000000"/>
                <w:lang w:val="en-US" w:bidi="bn-BD"/>
              </w:rPr>
              <w:t>IRR</w:t>
            </w:r>
          </w:p>
        </w:tc>
        <w:tc>
          <w:tcPr>
            <w:tcW w:w="1828" w:type="dxa"/>
            <w:tcBorders>
              <w:top w:val="nil"/>
              <w:left w:val="nil"/>
              <w:bottom w:val="single" w:sz="4" w:space="0" w:color="auto"/>
              <w:right w:val="single" w:sz="4" w:space="0" w:color="auto"/>
            </w:tcBorders>
            <w:noWrap/>
            <w:hideMark/>
          </w:tcPr>
          <w:p w14:paraId="44D2BD25" w14:textId="77777777" w:rsidR="00933AE0" w:rsidRPr="00933AE0" w:rsidRDefault="00933AE0" w:rsidP="00933AE0">
            <w:pPr>
              <w:spacing w:line="240" w:lineRule="auto"/>
              <w:jc w:val="left"/>
              <w:rPr>
                <w:color w:val="000000"/>
                <w:lang w:val="en-US" w:bidi="bn-BD"/>
              </w:rPr>
            </w:pPr>
            <w:r w:rsidRPr="00933AE0">
              <w:rPr>
                <w:color w:val="000000"/>
                <w:lang w:val="en-US" w:bidi="bn-BD"/>
              </w:rPr>
              <w:t>11.33%</w:t>
            </w:r>
          </w:p>
        </w:tc>
        <w:tc>
          <w:tcPr>
            <w:tcW w:w="1828" w:type="dxa"/>
            <w:tcBorders>
              <w:top w:val="nil"/>
              <w:left w:val="nil"/>
              <w:bottom w:val="single" w:sz="4" w:space="0" w:color="auto"/>
              <w:right w:val="single" w:sz="4" w:space="0" w:color="auto"/>
            </w:tcBorders>
            <w:noWrap/>
            <w:hideMark/>
          </w:tcPr>
          <w:p w14:paraId="63AF153F" w14:textId="77777777" w:rsidR="00933AE0" w:rsidRPr="00933AE0" w:rsidRDefault="00933AE0" w:rsidP="00933AE0">
            <w:pPr>
              <w:spacing w:line="240" w:lineRule="auto"/>
              <w:jc w:val="left"/>
              <w:rPr>
                <w:color w:val="000000"/>
                <w:lang w:val="en-US" w:bidi="bn-BD"/>
              </w:rPr>
            </w:pPr>
            <w:r w:rsidRPr="00933AE0">
              <w:rPr>
                <w:color w:val="000000"/>
                <w:lang w:val="en-US" w:bidi="bn-BD"/>
              </w:rPr>
              <w:t>0.00%</w:t>
            </w:r>
          </w:p>
        </w:tc>
        <w:tc>
          <w:tcPr>
            <w:tcW w:w="2060" w:type="dxa"/>
            <w:tcBorders>
              <w:top w:val="nil"/>
              <w:left w:val="nil"/>
              <w:bottom w:val="single" w:sz="4" w:space="0" w:color="auto"/>
              <w:right w:val="single" w:sz="4" w:space="0" w:color="auto"/>
            </w:tcBorders>
            <w:noWrap/>
            <w:hideMark/>
          </w:tcPr>
          <w:p w14:paraId="4ECF05CD" w14:textId="77777777" w:rsidR="00933AE0" w:rsidRPr="00933AE0" w:rsidRDefault="00933AE0" w:rsidP="00933AE0">
            <w:pPr>
              <w:spacing w:line="240" w:lineRule="auto"/>
              <w:jc w:val="left"/>
              <w:rPr>
                <w:color w:val="000000"/>
                <w:lang w:val="en-US" w:bidi="bn-BD"/>
              </w:rPr>
            </w:pPr>
            <w:r w:rsidRPr="00933AE0">
              <w:rPr>
                <w:color w:val="000000"/>
                <w:lang w:val="en-US" w:bidi="bn-BD"/>
              </w:rPr>
              <w:t>12.72%</w:t>
            </w:r>
          </w:p>
        </w:tc>
      </w:tr>
    </w:tbl>
    <w:p w14:paraId="63D1E5DD" w14:textId="77777777" w:rsidR="00933AE0" w:rsidRDefault="00933AE0" w:rsidP="00933AE0"/>
    <w:p w14:paraId="066C2CE0" w14:textId="77777777" w:rsidR="003501D9" w:rsidRDefault="003501D9" w:rsidP="00933AE0"/>
    <w:p w14:paraId="7F023BD4" w14:textId="77777777" w:rsidR="003501D9" w:rsidRDefault="003501D9" w:rsidP="00933AE0"/>
    <w:p w14:paraId="13BE2589" w14:textId="77777777" w:rsidR="003501D9" w:rsidRDefault="003501D9" w:rsidP="00933AE0"/>
    <w:p w14:paraId="00B2B371" w14:textId="77777777" w:rsidR="003501D9" w:rsidRDefault="003501D9" w:rsidP="00933AE0"/>
    <w:p w14:paraId="629AB224" w14:textId="77777777" w:rsidR="00565AE9" w:rsidRDefault="00565AE9" w:rsidP="00755F4E">
      <w:pPr>
        <w:pStyle w:val="Heading2"/>
      </w:pPr>
      <w:bookmarkStart w:id="37" w:name="_Toc213449473"/>
      <w:r>
        <w:t>4.0 Altman’s Z-Score Trends from 2020-2024</w:t>
      </w:r>
      <w:bookmarkEnd w:id="37"/>
    </w:p>
    <w:p w14:paraId="63B102D7" w14:textId="77777777" w:rsidR="00565AE9" w:rsidRDefault="00755F4E" w:rsidP="00755F4E">
      <w:pPr>
        <w:jc w:val="center"/>
      </w:pPr>
      <w:r>
        <w:rPr>
          <w:noProof/>
          <w:lang w:val="en-US" w:bidi="bn-BD"/>
        </w:rPr>
        <w:drawing>
          <wp:inline distT="0" distB="0" distL="0" distR="0" wp14:anchorId="3A6A5CB6" wp14:editId="1D737781">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8C6EFC3" w14:textId="77777777" w:rsidR="003501D9" w:rsidRDefault="00565AE9" w:rsidP="00755F4E">
      <w:pPr>
        <w:pStyle w:val="Heading2"/>
      </w:pPr>
      <w:bookmarkStart w:id="38" w:name="_Toc213449474"/>
      <w:r>
        <w:t>5</w:t>
      </w:r>
      <w:r w:rsidR="003501D9">
        <w:t>.0 Cash Operating Cycle Graph</w:t>
      </w:r>
      <w:bookmarkEnd w:id="38"/>
    </w:p>
    <w:p w14:paraId="22E8D6C5" w14:textId="77777777" w:rsidR="003501D9" w:rsidRPr="009E2BCC" w:rsidRDefault="003501D9" w:rsidP="003501D9">
      <w:pPr>
        <w:jc w:val="center"/>
      </w:pPr>
      <w:r>
        <w:rPr>
          <w:noProof/>
          <w:lang w:val="en-US" w:bidi="bn-BD"/>
        </w:rPr>
        <w:drawing>
          <wp:inline distT="0" distB="0" distL="0" distR="0" wp14:anchorId="71BC4AFB" wp14:editId="5F956516">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sectPr w:rsidR="003501D9" w:rsidRPr="009E2BCC" w:rsidSect="00755F4E">
      <w:pgSz w:w="12240" w:h="15840"/>
      <w:pgMar w:top="1440" w:right="1440" w:bottom="1440" w:left="1440" w:header="720" w:footer="720" w:gutter="0"/>
      <w:pgNumType w:start="27"/>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1B853" w14:textId="77777777" w:rsidR="00124152" w:rsidRDefault="00124152" w:rsidP="00911D23">
      <w:pPr>
        <w:spacing w:line="240" w:lineRule="auto"/>
      </w:pPr>
      <w:r>
        <w:separator/>
      </w:r>
    </w:p>
  </w:endnote>
  <w:endnote w:type="continuationSeparator" w:id="0">
    <w:p w14:paraId="0B59F9E8" w14:textId="77777777" w:rsidR="00124152" w:rsidRDefault="00124152" w:rsidP="00911D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9906868"/>
      <w:docPartObj>
        <w:docPartGallery w:val="Page Numbers (Bottom of Page)"/>
        <w:docPartUnique/>
      </w:docPartObj>
    </w:sdtPr>
    <w:sdtEndPr>
      <w:rPr>
        <w:color w:val="808080" w:themeColor="background1" w:themeShade="80"/>
        <w:spacing w:val="60"/>
      </w:rPr>
    </w:sdtEndPr>
    <w:sdtContent>
      <w:p w14:paraId="5714A9DD" w14:textId="77777777" w:rsidR="00565AE9" w:rsidRDefault="00565AE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D4697" w:rsidRPr="00ED4697">
          <w:rPr>
            <w:b/>
            <w:bCs/>
            <w:noProof/>
          </w:rPr>
          <w:t>4</w:t>
        </w:r>
        <w:r>
          <w:rPr>
            <w:b/>
            <w:bCs/>
            <w:noProof/>
          </w:rPr>
          <w:fldChar w:fldCharType="end"/>
        </w:r>
        <w:r>
          <w:rPr>
            <w:b/>
            <w:bCs/>
          </w:rPr>
          <w:t xml:space="preserve"> | </w:t>
        </w:r>
        <w:r>
          <w:rPr>
            <w:color w:val="808080" w:themeColor="background1" w:themeShade="80"/>
            <w:spacing w:val="60"/>
          </w:rPr>
          <w:t>Page</w:t>
        </w:r>
      </w:p>
    </w:sdtContent>
  </w:sdt>
  <w:p w14:paraId="4EC55D93" w14:textId="77777777" w:rsidR="00565AE9" w:rsidRDefault="00565AE9">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E4B26" w14:textId="77777777" w:rsidR="00124152" w:rsidRDefault="00124152" w:rsidP="00911D23">
      <w:pPr>
        <w:spacing w:line="240" w:lineRule="auto"/>
      </w:pPr>
      <w:r>
        <w:separator/>
      </w:r>
    </w:p>
  </w:footnote>
  <w:footnote w:type="continuationSeparator" w:id="0">
    <w:p w14:paraId="3E06C0F5" w14:textId="77777777" w:rsidR="00124152" w:rsidRDefault="00124152" w:rsidP="00911D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54E6F1" w14:textId="77777777" w:rsidR="00755F4E" w:rsidRDefault="00755F4E" w:rsidP="00755F4E">
    <w:pPr>
      <w:pStyle w:val="Header"/>
      <w:jc w:val="right"/>
    </w:pPr>
    <w:r w:rsidRPr="00611EF1">
      <w:rPr>
        <w:noProof/>
        <w:lang w:val="en-US" w:bidi="bn-BD"/>
      </w:rPr>
      <w:drawing>
        <wp:inline distT="0" distB="0" distL="0" distR="0" wp14:anchorId="65F2EE71" wp14:editId="33B2420A">
          <wp:extent cx="1444978" cy="622240"/>
          <wp:effectExtent l="0" t="0" r="3175" b="6985"/>
          <wp:docPr id="514888564" name="Picture 514888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1448003" cy="6235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5689E"/>
    <w:multiLevelType w:val="multilevel"/>
    <w:tmpl w:val="6A54A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6F2F81"/>
    <w:multiLevelType w:val="multilevel"/>
    <w:tmpl w:val="293AE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C5ECC"/>
    <w:multiLevelType w:val="hybridMultilevel"/>
    <w:tmpl w:val="060C5B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025F59"/>
    <w:multiLevelType w:val="multilevel"/>
    <w:tmpl w:val="2E4A2A7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A455DB8"/>
    <w:multiLevelType w:val="hybridMultilevel"/>
    <w:tmpl w:val="539AB20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522A10"/>
    <w:multiLevelType w:val="hybridMultilevel"/>
    <w:tmpl w:val="D85A709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736325"/>
    <w:multiLevelType w:val="hybridMultilevel"/>
    <w:tmpl w:val="8B9ED20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E0223E"/>
    <w:multiLevelType w:val="multilevel"/>
    <w:tmpl w:val="D6D06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62587E"/>
    <w:multiLevelType w:val="multilevel"/>
    <w:tmpl w:val="5CC09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6C64B7"/>
    <w:multiLevelType w:val="multilevel"/>
    <w:tmpl w:val="2B388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566A41"/>
    <w:multiLevelType w:val="hybridMultilevel"/>
    <w:tmpl w:val="1720A74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6CC48D6"/>
    <w:multiLevelType w:val="multilevel"/>
    <w:tmpl w:val="F7343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33636B"/>
    <w:multiLevelType w:val="hybridMultilevel"/>
    <w:tmpl w:val="89667D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997843"/>
    <w:multiLevelType w:val="hybridMultilevel"/>
    <w:tmpl w:val="C6B6E5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0367ACC"/>
    <w:multiLevelType w:val="hybridMultilevel"/>
    <w:tmpl w:val="4F0E2FD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09357CB"/>
    <w:multiLevelType w:val="hybridMultilevel"/>
    <w:tmpl w:val="B9CC56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4CD763A"/>
    <w:multiLevelType w:val="hybridMultilevel"/>
    <w:tmpl w:val="A45CDF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59F0579"/>
    <w:multiLevelType w:val="multilevel"/>
    <w:tmpl w:val="4C8E5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87303E"/>
    <w:multiLevelType w:val="hybridMultilevel"/>
    <w:tmpl w:val="EF5417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0579F2"/>
    <w:multiLevelType w:val="hybridMultilevel"/>
    <w:tmpl w:val="0AFE2D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FE6541"/>
    <w:multiLevelType w:val="multilevel"/>
    <w:tmpl w:val="5568CDE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62E52D7C"/>
    <w:multiLevelType w:val="multilevel"/>
    <w:tmpl w:val="5A000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9D2007"/>
    <w:multiLevelType w:val="multilevel"/>
    <w:tmpl w:val="A80E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A662FD"/>
    <w:multiLevelType w:val="multilevel"/>
    <w:tmpl w:val="ADEA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0D7503"/>
    <w:multiLevelType w:val="hybridMultilevel"/>
    <w:tmpl w:val="A40AA20E"/>
    <w:lvl w:ilvl="0" w:tplc="04090005">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99E3088"/>
    <w:multiLevelType w:val="multilevel"/>
    <w:tmpl w:val="28500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5D3A18"/>
    <w:multiLevelType w:val="multilevel"/>
    <w:tmpl w:val="B958E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6134BC"/>
    <w:multiLevelType w:val="hybridMultilevel"/>
    <w:tmpl w:val="C1FEE3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BAD07D8"/>
    <w:multiLevelType w:val="hybridMultilevel"/>
    <w:tmpl w:val="659ED3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C362D85"/>
    <w:multiLevelType w:val="multilevel"/>
    <w:tmpl w:val="EC065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10394E"/>
    <w:multiLevelType w:val="hybridMultilevel"/>
    <w:tmpl w:val="49D4BAD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4DD2321"/>
    <w:multiLevelType w:val="multilevel"/>
    <w:tmpl w:val="AA5E634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403212205">
    <w:abstractNumId w:val="19"/>
  </w:num>
  <w:num w:numId="2" w16cid:durableId="1018971947">
    <w:abstractNumId w:val="10"/>
  </w:num>
  <w:num w:numId="3" w16cid:durableId="116414826">
    <w:abstractNumId w:val="24"/>
  </w:num>
  <w:num w:numId="4" w16cid:durableId="122433978">
    <w:abstractNumId w:val="14"/>
  </w:num>
  <w:num w:numId="5" w16cid:durableId="810026054">
    <w:abstractNumId w:val="21"/>
  </w:num>
  <w:num w:numId="6" w16cid:durableId="207686709">
    <w:abstractNumId w:val="17"/>
  </w:num>
  <w:num w:numId="7" w16cid:durableId="573051820">
    <w:abstractNumId w:val="11"/>
  </w:num>
  <w:num w:numId="8" w16cid:durableId="743844486">
    <w:abstractNumId w:val="8"/>
  </w:num>
  <w:num w:numId="9" w16cid:durableId="2093115035">
    <w:abstractNumId w:val="22"/>
  </w:num>
  <w:num w:numId="10" w16cid:durableId="1442920696">
    <w:abstractNumId w:val="25"/>
  </w:num>
  <w:num w:numId="11" w16cid:durableId="748117210">
    <w:abstractNumId w:val="29"/>
  </w:num>
  <w:num w:numId="12" w16cid:durableId="577712189">
    <w:abstractNumId w:val="23"/>
  </w:num>
  <w:num w:numId="13" w16cid:durableId="890196034">
    <w:abstractNumId w:val="9"/>
  </w:num>
  <w:num w:numId="14" w16cid:durableId="909734144">
    <w:abstractNumId w:val="0"/>
  </w:num>
  <w:num w:numId="15" w16cid:durableId="920412773">
    <w:abstractNumId w:val="30"/>
  </w:num>
  <w:num w:numId="16" w16cid:durableId="1315332418">
    <w:abstractNumId w:val="5"/>
  </w:num>
  <w:num w:numId="17" w16cid:durableId="1829781785">
    <w:abstractNumId w:val="16"/>
  </w:num>
  <w:num w:numId="18" w16cid:durableId="1929920636">
    <w:abstractNumId w:val="4"/>
  </w:num>
  <w:num w:numId="19" w16cid:durableId="37511428">
    <w:abstractNumId w:val="15"/>
  </w:num>
  <w:num w:numId="20" w16cid:durableId="96751389">
    <w:abstractNumId w:val="27"/>
  </w:num>
  <w:num w:numId="21" w16cid:durableId="286394029">
    <w:abstractNumId w:val="18"/>
  </w:num>
  <w:num w:numId="22" w16cid:durableId="1388798998">
    <w:abstractNumId w:val="1"/>
  </w:num>
  <w:num w:numId="23" w16cid:durableId="246816091">
    <w:abstractNumId w:val="7"/>
  </w:num>
  <w:num w:numId="24" w16cid:durableId="314340777">
    <w:abstractNumId w:val="26"/>
  </w:num>
  <w:num w:numId="25" w16cid:durableId="166942110">
    <w:abstractNumId w:val="6"/>
  </w:num>
  <w:num w:numId="26" w16cid:durableId="718012853">
    <w:abstractNumId w:val="2"/>
  </w:num>
  <w:num w:numId="27" w16cid:durableId="240530895">
    <w:abstractNumId w:val="28"/>
  </w:num>
  <w:num w:numId="28" w16cid:durableId="1475684669">
    <w:abstractNumId w:val="20"/>
  </w:num>
  <w:num w:numId="29" w16cid:durableId="1376538333">
    <w:abstractNumId w:val="31"/>
  </w:num>
  <w:num w:numId="30" w16cid:durableId="845822243">
    <w:abstractNumId w:val="13"/>
  </w:num>
  <w:num w:numId="31" w16cid:durableId="708577994">
    <w:abstractNumId w:val="12"/>
  </w:num>
  <w:num w:numId="32" w16cid:durableId="11664328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97F76"/>
    <w:rsid w:val="00034125"/>
    <w:rsid w:val="00044D48"/>
    <w:rsid w:val="000D0BDA"/>
    <w:rsid w:val="00124152"/>
    <w:rsid w:val="00191E86"/>
    <w:rsid w:val="001C20F8"/>
    <w:rsid w:val="00216D88"/>
    <w:rsid w:val="0023529F"/>
    <w:rsid w:val="00246644"/>
    <w:rsid w:val="003030AB"/>
    <w:rsid w:val="003501D9"/>
    <w:rsid w:val="00355B0C"/>
    <w:rsid w:val="00382697"/>
    <w:rsid w:val="003870B4"/>
    <w:rsid w:val="00414298"/>
    <w:rsid w:val="00485708"/>
    <w:rsid w:val="00565AE9"/>
    <w:rsid w:val="00593516"/>
    <w:rsid w:val="00611EF1"/>
    <w:rsid w:val="00623D8F"/>
    <w:rsid w:val="00623E68"/>
    <w:rsid w:val="0062492E"/>
    <w:rsid w:val="006D5AD2"/>
    <w:rsid w:val="00755F4E"/>
    <w:rsid w:val="00786023"/>
    <w:rsid w:val="007C4B82"/>
    <w:rsid w:val="007F10D2"/>
    <w:rsid w:val="007F6823"/>
    <w:rsid w:val="008073C0"/>
    <w:rsid w:val="0083694F"/>
    <w:rsid w:val="008374E0"/>
    <w:rsid w:val="008F5455"/>
    <w:rsid w:val="00911D23"/>
    <w:rsid w:val="009152D0"/>
    <w:rsid w:val="00921897"/>
    <w:rsid w:val="00933AE0"/>
    <w:rsid w:val="00994D92"/>
    <w:rsid w:val="009A74EA"/>
    <w:rsid w:val="009B277E"/>
    <w:rsid w:val="009E2BCC"/>
    <w:rsid w:val="009F055D"/>
    <w:rsid w:val="00A15E52"/>
    <w:rsid w:val="00A25C4B"/>
    <w:rsid w:val="00AA62E5"/>
    <w:rsid w:val="00AE238F"/>
    <w:rsid w:val="00BE22B1"/>
    <w:rsid w:val="00C93798"/>
    <w:rsid w:val="00CD6817"/>
    <w:rsid w:val="00D100F7"/>
    <w:rsid w:val="00D42ABC"/>
    <w:rsid w:val="00D6768E"/>
    <w:rsid w:val="00DC2F54"/>
    <w:rsid w:val="00DC745B"/>
    <w:rsid w:val="00DD3D7C"/>
    <w:rsid w:val="00E13DFA"/>
    <w:rsid w:val="00E933D0"/>
    <w:rsid w:val="00E97F76"/>
    <w:rsid w:val="00EC3EC8"/>
    <w:rsid w:val="00ED4697"/>
    <w:rsid w:val="00EE163C"/>
    <w:rsid w:val="00F1602C"/>
    <w:rsid w:val="00F31E86"/>
    <w:rsid w:val="00F44B1B"/>
    <w:rsid w:val="00F55612"/>
    <w:rsid w:val="00FA4B6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DC576C"/>
  <w15:docId w15:val="{BE20899C-1995-EA40-8B8E-F92BEF08E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00000" w:themeColor="text1"/>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501D9"/>
    <w:pPr>
      <w:spacing w:after="0" w:line="360" w:lineRule="auto"/>
      <w:jc w:val="both"/>
    </w:pPr>
    <w:rPr>
      <w:rFonts w:eastAsia="Times New Roman"/>
      <w:color w:val="auto"/>
      <w:lang w:val="en-GB"/>
    </w:rPr>
  </w:style>
  <w:style w:type="paragraph" w:styleId="Heading1">
    <w:name w:val="heading 1"/>
    <w:basedOn w:val="Normal"/>
    <w:next w:val="Normal"/>
    <w:link w:val="Heading1Char"/>
    <w:autoRedefine/>
    <w:qFormat/>
    <w:rsid w:val="009F055D"/>
    <w:pPr>
      <w:spacing w:line="276" w:lineRule="auto"/>
      <w:jc w:val="left"/>
      <w:outlineLvl w:val="0"/>
    </w:pPr>
    <w:rPr>
      <w:rFonts w:eastAsiaTheme="majorEastAsia"/>
      <w:b/>
      <w:bCs/>
      <w:sz w:val="32"/>
    </w:rPr>
  </w:style>
  <w:style w:type="paragraph" w:styleId="Heading2">
    <w:name w:val="heading 2"/>
    <w:basedOn w:val="Normal"/>
    <w:next w:val="Normal"/>
    <w:link w:val="Heading2Char"/>
    <w:unhideWhenUsed/>
    <w:qFormat/>
    <w:rsid w:val="009F055D"/>
    <w:pPr>
      <w:keepNext/>
      <w:keepLines/>
      <w:spacing w:before="200" w:line="276" w:lineRule="auto"/>
      <w:jc w:val="left"/>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A25C4B"/>
    <w:pPr>
      <w:keepNext/>
      <w:keepLines/>
      <w:spacing w:before="200"/>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911D23"/>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911D23"/>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911D23"/>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F055D"/>
    <w:rPr>
      <w:rFonts w:eastAsiaTheme="majorEastAsia" w:cstheme="majorBidi"/>
      <w:b/>
      <w:bCs/>
      <w:sz w:val="28"/>
      <w:szCs w:val="26"/>
      <w:lang w:val="en-GB"/>
    </w:rPr>
  </w:style>
  <w:style w:type="character" w:customStyle="1" w:styleId="Heading1Char">
    <w:name w:val="Heading 1 Char"/>
    <w:basedOn w:val="DefaultParagraphFont"/>
    <w:link w:val="Heading1"/>
    <w:rsid w:val="009F055D"/>
    <w:rPr>
      <w:rFonts w:eastAsiaTheme="majorEastAsia"/>
      <w:b/>
      <w:bCs/>
      <w:color w:val="auto"/>
      <w:sz w:val="32"/>
      <w:lang w:val="en-GB"/>
    </w:rPr>
  </w:style>
  <w:style w:type="paragraph" w:styleId="Title">
    <w:name w:val="Title"/>
    <w:basedOn w:val="Normal"/>
    <w:next w:val="Normal"/>
    <w:link w:val="TitleChar"/>
    <w:rsid w:val="009F055D"/>
    <w:pPr>
      <w:keepNext/>
      <w:keepLines/>
      <w:spacing w:after="60"/>
      <w:jc w:val="center"/>
    </w:pPr>
    <w:rPr>
      <w:sz w:val="36"/>
      <w:szCs w:val="36"/>
    </w:rPr>
  </w:style>
  <w:style w:type="character" w:customStyle="1" w:styleId="TitleChar">
    <w:name w:val="Title Char"/>
    <w:basedOn w:val="DefaultParagraphFont"/>
    <w:link w:val="Title"/>
    <w:rsid w:val="009F055D"/>
    <w:rPr>
      <w:rFonts w:eastAsia="Times New Roman"/>
      <w:color w:val="auto"/>
      <w:sz w:val="36"/>
      <w:szCs w:val="36"/>
      <w:lang w:val="en-GB"/>
    </w:rPr>
  </w:style>
  <w:style w:type="paragraph" w:styleId="Header">
    <w:name w:val="header"/>
    <w:basedOn w:val="Normal"/>
    <w:link w:val="HeaderChar"/>
    <w:uiPriority w:val="99"/>
    <w:unhideWhenUsed/>
    <w:rsid w:val="009F055D"/>
    <w:pPr>
      <w:tabs>
        <w:tab w:val="center" w:pos="4680"/>
        <w:tab w:val="right" w:pos="9360"/>
      </w:tabs>
      <w:spacing w:line="240" w:lineRule="auto"/>
    </w:pPr>
  </w:style>
  <w:style w:type="character" w:customStyle="1" w:styleId="HeaderChar">
    <w:name w:val="Header Char"/>
    <w:basedOn w:val="DefaultParagraphFont"/>
    <w:link w:val="Header"/>
    <w:uiPriority w:val="99"/>
    <w:rsid w:val="009F055D"/>
    <w:rPr>
      <w:rFonts w:eastAsia="Times New Roman"/>
      <w:color w:val="auto"/>
      <w:lang w:val="en-GB"/>
    </w:rPr>
  </w:style>
  <w:style w:type="table" w:styleId="TableGrid">
    <w:name w:val="Table Grid"/>
    <w:basedOn w:val="TableNormal"/>
    <w:uiPriority w:val="59"/>
    <w:rsid w:val="009F055D"/>
    <w:pPr>
      <w:spacing w:after="0" w:line="240" w:lineRule="auto"/>
    </w:pPr>
    <w:rPr>
      <w:rFonts w:asciiTheme="minorHAnsi" w:hAnsiTheme="minorHAnsi" w:cstheme="minorBidi"/>
      <w:color w:val="auto"/>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F055D"/>
    <w:rPr>
      <w:sz w:val="16"/>
      <w:szCs w:val="16"/>
    </w:rPr>
  </w:style>
  <w:style w:type="character" w:styleId="Hyperlink">
    <w:name w:val="Hyperlink"/>
    <w:basedOn w:val="DefaultParagraphFont"/>
    <w:uiPriority w:val="99"/>
    <w:unhideWhenUsed/>
    <w:rsid w:val="009F055D"/>
    <w:rPr>
      <w:color w:val="0000FF" w:themeColor="hyperlink"/>
      <w:u w:val="single"/>
    </w:rPr>
  </w:style>
  <w:style w:type="paragraph" w:styleId="BalloonText">
    <w:name w:val="Balloon Text"/>
    <w:basedOn w:val="Normal"/>
    <w:link w:val="BalloonTextChar"/>
    <w:uiPriority w:val="99"/>
    <w:semiHidden/>
    <w:unhideWhenUsed/>
    <w:rsid w:val="009F055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55D"/>
    <w:rPr>
      <w:rFonts w:ascii="Tahoma" w:eastAsia="Times New Roman" w:hAnsi="Tahoma" w:cs="Tahoma"/>
      <w:color w:val="auto"/>
      <w:sz w:val="16"/>
      <w:szCs w:val="16"/>
      <w:lang w:val="en-GB"/>
    </w:rPr>
  </w:style>
  <w:style w:type="paragraph" w:styleId="NormalWeb">
    <w:name w:val="Normal (Web)"/>
    <w:basedOn w:val="Normal"/>
    <w:uiPriority w:val="99"/>
    <w:unhideWhenUsed/>
    <w:rsid w:val="00911D23"/>
    <w:pPr>
      <w:spacing w:before="100" w:beforeAutospacing="1" w:after="100" w:afterAutospacing="1" w:line="240" w:lineRule="auto"/>
      <w:jc w:val="left"/>
    </w:pPr>
    <w:rPr>
      <w:lang w:val="en-US" w:bidi="bn-BD"/>
    </w:rPr>
  </w:style>
  <w:style w:type="paragraph" w:styleId="Footer">
    <w:name w:val="footer"/>
    <w:basedOn w:val="Normal"/>
    <w:link w:val="FooterChar"/>
    <w:uiPriority w:val="99"/>
    <w:unhideWhenUsed/>
    <w:rsid w:val="00911D23"/>
    <w:pPr>
      <w:tabs>
        <w:tab w:val="center" w:pos="4680"/>
        <w:tab w:val="right" w:pos="9360"/>
      </w:tabs>
      <w:spacing w:line="240" w:lineRule="auto"/>
    </w:pPr>
  </w:style>
  <w:style w:type="character" w:customStyle="1" w:styleId="FooterChar">
    <w:name w:val="Footer Char"/>
    <w:basedOn w:val="DefaultParagraphFont"/>
    <w:link w:val="Footer"/>
    <w:uiPriority w:val="99"/>
    <w:rsid w:val="00911D23"/>
    <w:rPr>
      <w:rFonts w:eastAsia="Times New Roman"/>
      <w:color w:val="auto"/>
      <w:lang w:val="en-GB"/>
    </w:rPr>
  </w:style>
  <w:style w:type="character" w:customStyle="1" w:styleId="Heading3Char">
    <w:name w:val="Heading 3 Char"/>
    <w:basedOn w:val="DefaultParagraphFont"/>
    <w:link w:val="Heading3"/>
    <w:uiPriority w:val="9"/>
    <w:rsid w:val="00A25C4B"/>
    <w:rPr>
      <w:rFonts w:eastAsiaTheme="majorEastAsia" w:cstheme="majorBidi"/>
      <w:b/>
      <w:bCs/>
      <w:lang w:val="en-GB"/>
    </w:rPr>
  </w:style>
  <w:style w:type="character" w:customStyle="1" w:styleId="Heading4Char">
    <w:name w:val="Heading 4 Char"/>
    <w:basedOn w:val="DefaultParagraphFont"/>
    <w:link w:val="Heading4"/>
    <w:uiPriority w:val="9"/>
    <w:semiHidden/>
    <w:rsid w:val="00911D23"/>
    <w:rPr>
      <w:rFonts w:asciiTheme="majorHAnsi" w:eastAsiaTheme="majorEastAsia" w:hAnsiTheme="majorHAnsi" w:cstheme="majorBidi"/>
      <w:b/>
      <w:bCs/>
      <w:i/>
      <w:iCs/>
      <w:color w:val="4F81BD" w:themeColor="accent1"/>
      <w:lang w:val="en-GB"/>
    </w:rPr>
  </w:style>
  <w:style w:type="character" w:customStyle="1" w:styleId="Heading5Char">
    <w:name w:val="Heading 5 Char"/>
    <w:basedOn w:val="DefaultParagraphFont"/>
    <w:link w:val="Heading5"/>
    <w:uiPriority w:val="9"/>
    <w:semiHidden/>
    <w:rsid w:val="00911D23"/>
    <w:rPr>
      <w:rFonts w:asciiTheme="majorHAnsi" w:eastAsiaTheme="majorEastAsia" w:hAnsiTheme="majorHAnsi" w:cstheme="majorBidi"/>
      <w:color w:val="243F60" w:themeColor="accent1" w:themeShade="7F"/>
      <w:lang w:val="en-GB"/>
    </w:rPr>
  </w:style>
  <w:style w:type="character" w:customStyle="1" w:styleId="Heading6Char">
    <w:name w:val="Heading 6 Char"/>
    <w:basedOn w:val="DefaultParagraphFont"/>
    <w:link w:val="Heading6"/>
    <w:uiPriority w:val="9"/>
    <w:semiHidden/>
    <w:rsid w:val="00911D23"/>
    <w:rPr>
      <w:rFonts w:asciiTheme="majorHAnsi" w:eastAsiaTheme="majorEastAsia" w:hAnsiTheme="majorHAnsi" w:cstheme="majorBidi"/>
      <w:i/>
      <w:iCs/>
      <w:color w:val="243F60" w:themeColor="accent1" w:themeShade="7F"/>
      <w:lang w:val="en-GB"/>
    </w:rPr>
  </w:style>
  <w:style w:type="paragraph" w:styleId="TOC1">
    <w:name w:val="toc 1"/>
    <w:basedOn w:val="Normal"/>
    <w:next w:val="Normal"/>
    <w:autoRedefine/>
    <w:uiPriority w:val="39"/>
    <w:unhideWhenUsed/>
    <w:rsid w:val="00911D23"/>
    <w:pPr>
      <w:spacing w:after="100"/>
    </w:pPr>
  </w:style>
  <w:style w:type="paragraph" w:styleId="TOC2">
    <w:name w:val="toc 2"/>
    <w:basedOn w:val="Normal"/>
    <w:next w:val="Normal"/>
    <w:autoRedefine/>
    <w:uiPriority w:val="39"/>
    <w:unhideWhenUsed/>
    <w:rsid w:val="00911D23"/>
    <w:pPr>
      <w:spacing w:after="100"/>
      <w:ind w:left="240"/>
    </w:pPr>
  </w:style>
  <w:style w:type="paragraph" w:styleId="TOCHeading">
    <w:name w:val="TOC Heading"/>
    <w:basedOn w:val="Heading1"/>
    <w:next w:val="Normal"/>
    <w:uiPriority w:val="39"/>
    <w:semiHidden/>
    <w:unhideWhenUsed/>
    <w:qFormat/>
    <w:rsid w:val="00911D23"/>
    <w:pPr>
      <w:keepNext/>
      <w:keepLines/>
      <w:spacing w:before="480"/>
      <w:outlineLvl w:val="9"/>
    </w:pPr>
    <w:rPr>
      <w:rFonts w:asciiTheme="majorHAnsi" w:hAnsiTheme="majorHAnsi" w:cstheme="majorBidi"/>
      <w:color w:val="365F91" w:themeColor="accent1" w:themeShade="BF"/>
      <w:sz w:val="28"/>
      <w:szCs w:val="28"/>
      <w:lang w:val="en-US" w:eastAsia="ja-JP"/>
    </w:rPr>
  </w:style>
  <w:style w:type="paragraph" w:styleId="NoSpacing">
    <w:name w:val="No Spacing"/>
    <w:uiPriority w:val="1"/>
    <w:qFormat/>
    <w:rsid w:val="00911D23"/>
    <w:pPr>
      <w:spacing w:after="0" w:line="240" w:lineRule="auto"/>
      <w:jc w:val="both"/>
    </w:pPr>
    <w:rPr>
      <w:rFonts w:eastAsia="Times New Roman"/>
      <w:color w:val="auto"/>
      <w:lang w:val="en-GB"/>
    </w:rPr>
  </w:style>
  <w:style w:type="paragraph" w:styleId="ListParagraph">
    <w:name w:val="List Paragraph"/>
    <w:basedOn w:val="Normal"/>
    <w:uiPriority w:val="34"/>
    <w:qFormat/>
    <w:rsid w:val="00623D8F"/>
    <w:pPr>
      <w:ind w:left="720"/>
      <w:contextualSpacing/>
    </w:pPr>
  </w:style>
  <w:style w:type="character" w:styleId="Strong">
    <w:name w:val="Strong"/>
    <w:basedOn w:val="DefaultParagraphFont"/>
    <w:uiPriority w:val="22"/>
    <w:qFormat/>
    <w:rsid w:val="00E13DFA"/>
    <w:rPr>
      <w:b/>
      <w:bCs/>
    </w:rPr>
  </w:style>
  <w:style w:type="character" w:styleId="Emphasis">
    <w:name w:val="Emphasis"/>
    <w:basedOn w:val="DefaultParagraphFont"/>
    <w:uiPriority w:val="20"/>
    <w:qFormat/>
    <w:rsid w:val="00E13DFA"/>
    <w:rPr>
      <w:i/>
      <w:iCs/>
    </w:rPr>
  </w:style>
  <w:style w:type="paragraph" w:styleId="TOC3">
    <w:name w:val="toc 3"/>
    <w:basedOn w:val="Normal"/>
    <w:next w:val="Normal"/>
    <w:autoRedefine/>
    <w:uiPriority w:val="39"/>
    <w:unhideWhenUsed/>
    <w:rsid w:val="00755F4E"/>
    <w:pPr>
      <w:spacing w:after="100"/>
      <w:ind w:left="480"/>
    </w:pPr>
  </w:style>
  <w:style w:type="table" w:styleId="GridTable3-Accent4">
    <w:name w:val="Grid Table 3 Accent 4"/>
    <w:basedOn w:val="TableNormal"/>
    <w:uiPriority w:val="48"/>
    <w:rsid w:val="00CD6817"/>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980753">
      <w:bodyDiv w:val="1"/>
      <w:marLeft w:val="0"/>
      <w:marRight w:val="0"/>
      <w:marTop w:val="0"/>
      <w:marBottom w:val="0"/>
      <w:divBdr>
        <w:top w:val="none" w:sz="0" w:space="0" w:color="auto"/>
        <w:left w:val="none" w:sz="0" w:space="0" w:color="auto"/>
        <w:bottom w:val="none" w:sz="0" w:space="0" w:color="auto"/>
        <w:right w:val="none" w:sz="0" w:space="0" w:color="auto"/>
      </w:divBdr>
      <w:divsChild>
        <w:div w:id="39867622">
          <w:marLeft w:val="0"/>
          <w:marRight w:val="0"/>
          <w:marTop w:val="0"/>
          <w:marBottom w:val="0"/>
          <w:divBdr>
            <w:top w:val="none" w:sz="0" w:space="0" w:color="auto"/>
            <w:left w:val="none" w:sz="0" w:space="0" w:color="auto"/>
            <w:bottom w:val="none" w:sz="0" w:space="0" w:color="auto"/>
            <w:right w:val="none" w:sz="0" w:space="0" w:color="auto"/>
          </w:divBdr>
        </w:div>
      </w:divsChild>
    </w:div>
    <w:div w:id="470942766">
      <w:bodyDiv w:val="1"/>
      <w:marLeft w:val="0"/>
      <w:marRight w:val="0"/>
      <w:marTop w:val="0"/>
      <w:marBottom w:val="0"/>
      <w:divBdr>
        <w:top w:val="none" w:sz="0" w:space="0" w:color="auto"/>
        <w:left w:val="none" w:sz="0" w:space="0" w:color="auto"/>
        <w:bottom w:val="none" w:sz="0" w:space="0" w:color="auto"/>
        <w:right w:val="none" w:sz="0" w:space="0" w:color="auto"/>
      </w:divBdr>
    </w:div>
    <w:div w:id="475726443">
      <w:bodyDiv w:val="1"/>
      <w:marLeft w:val="0"/>
      <w:marRight w:val="0"/>
      <w:marTop w:val="0"/>
      <w:marBottom w:val="0"/>
      <w:divBdr>
        <w:top w:val="none" w:sz="0" w:space="0" w:color="auto"/>
        <w:left w:val="none" w:sz="0" w:space="0" w:color="auto"/>
        <w:bottom w:val="none" w:sz="0" w:space="0" w:color="auto"/>
        <w:right w:val="none" w:sz="0" w:space="0" w:color="auto"/>
      </w:divBdr>
    </w:div>
    <w:div w:id="481652924">
      <w:bodyDiv w:val="1"/>
      <w:marLeft w:val="0"/>
      <w:marRight w:val="0"/>
      <w:marTop w:val="0"/>
      <w:marBottom w:val="0"/>
      <w:divBdr>
        <w:top w:val="none" w:sz="0" w:space="0" w:color="auto"/>
        <w:left w:val="none" w:sz="0" w:space="0" w:color="auto"/>
        <w:bottom w:val="none" w:sz="0" w:space="0" w:color="auto"/>
        <w:right w:val="none" w:sz="0" w:space="0" w:color="auto"/>
      </w:divBdr>
      <w:divsChild>
        <w:div w:id="375010014">
          <w:marLeft w:val="0"/>
          <w:marRight w:val="0"/>
          <w:marTop w:val="0"/>
          <w:marBottom w:val="0"/>
          <w:divBdr>
            <w:top w:val="none" w:sz="0" w:space="0" w:color="auto"/>
            <w:left w:val="none" w:sz="0" w:space="0" w:color="auto"/>
            <w:bottom w:val="none" w:sz="0" w:space="0" w:color="auto"/>
            <w:right w:val="none" w:sz="0" w:space="0" w:color="auto"/>
          </w:divBdr>
          <w:divsChild>
            <w:div w:id="1215968674">
              <w:marLeft w:val="0"/>
              <w:marRight w:val="0"/>
              <w:marTop w:val="0"/>
              <w:marBottom w:val="0"/>
              <w:divBdr>
                <w:top w:val="none" w:sz="0" w:space="0" w:color="auto"/>
                <w:left w:val="none" w:sz="0" w:space="0" w:color="auto"/>
                <w:bottom w:val="none" w:sz="0" w:space="0" w:color="auto"/>
                <w:right w:val="none" w:sz="0" w:space="0" w:color="auto"/>
              </w:divBdr>
            </w:div>
          </w:divsChild>
        </w:div>
        <w:div w:id="1851094855">
          <w:marLeft w:val="0"/>
          <w:marRight w:val="0"/>
          <w:marTop w:val="0"/>
          <w:marBottom w:val="0"/>
          <w:divBdr>
            <w:top w:val="none" w:sz="0" w:space="0" w:color="auto"/>
            <w:left w:val="none" w:sz="0" w:space="0" w:color="auto"/>
            <w:bottom w:val="none" w:sz="0" w:space="0" w:color="auto"/>
            <w:right w:val="none" w:sz="0" w:space="0" w:color="auto"/>
          </w:divBdr>
          <w:divsChild>
            <w:div w:id="104039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539738">
      <w:bodyDiv w:val="1"/>
      <w:marLeft w:val="0"/>
      <w:marRight w:val="0"/>
      <w:marTop w:val="0"/>
      <w:marBottom w:val="0"/>
      <w:divBdr>
        <w:top w:val="none" w:sz="0" w:space="0" w:color="auto"/>
        <w:left w:val="none" w:sz="0" w:space="0" w:color="auto"/>
        <w:bottom w:val="none" w:sz="0" w:space="0" w:color="auto"/>
        <w:right w:val="none" w:sz="0" w:space="0" w:color="auto"/>
      </w:divBdr>
    </w:div>
    <w:div w:id="1411003700">
      <w:bodyDiv w:val="1"/>
      <w:marLeft w:val="0"/>
      <w:marRight w:val="0"/>
      <w:marTop w:val="0"/>
      <w:marBottom w:val="0"/>
      <w:divBdr>
        <w:top w:val="none" w:sz="0" w:space="0" w:color="auto"/>
        <w:left w:val="none" w:sz="0" w:space="0" w:color="auto"/>
        <w:bottom w:val="none" w:sz="0" w:space="0" w:color="auto"/>
        <w:right w:val="none" w:sz="0" w:space="0" w:color="auto"/>
      </w:divBdr>
    </w:div>
    <w:div w:id="1755786117">
      <w:bodyDiv w:val="1"/>
      <w:marLeft w:val="0"/>
      <w:marRight w:val="0"/>
      <w:marTop w:val="0"/>
      <w:marBottom w:val="0"/>
      <w:divBdr>
        <w:top w:val="none" w:sz="0" w:space="0" w:color="auto"/>
        <w:left w:val="none" w:sz="0" w:space="0" w:color="auto"/>
        <w:bottom w:val="none" w:sz="0" w:space="0" w:color="auto"/>
        <w:right w:val="none" w:sz="0" w:space="0" w:color="auto"/>
      </w:divBdr>
    </w:div>
    <w:div w:id="1781491492">
      <w:bodyDiv w:val="1"/>
      <w:marLeft w:val="0"/>
      <w:marRight w:val="0"/>
      <w:marTop w:val="0"/>
      <w:marBottom w:val="0"/>
      <w:divBdr>
        <w:top w:val="none" w:sz="0" w:space="0" w:color="auto"/>
        <w:left w:val="none" w:sz="0" w:space="0" w:color="auto"/>
        <w:bottom w:val="none" w:sz="0" w:space="0" w:color="auto"/>
        <w:right w:val="none" w:sz="0" w:space="0" w:color="auto"/>
      </w:divBdr>
    </w:div>
    <w:div w:id="1982340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wc.com/vn/en/deals/assets/financial-restructuring-services.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jacey\Downloads\LCMB7002%20Financial%20Management%20Assesment%20Brief%20Sept%20Oct%20%202025.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jacey\Downloads\LCMB7002%20Financial%20Management%20Assesment%20Brief%20Sept%20Oct%20%202025.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jacey\Downloads\LCMB7002%20Financial%20Management%20Assesment%20Brief%20Sept%20Oct%20%202025.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solidFill>
          <a:schemeClr val="accent5">
            <a:lumMod val="40000"/>
            <a:lumOff val="60000"/>
          </a:schemeClr>
        </a:solidFill>
        <a:ln>
          <a:solidFill>
            <a:schemeClr val="tx1"/>
          </a:solidFill>
        </a:ln>
      </c:spPr>
    </c:title>
    <c:autoTitleDeleted val="0"/>
    <c:plotArea>
      <c:layout/>
      <c:lineChart>
        <c:grouping val="standard"/>
        <c:varyColors val="0"/>
        <c:ser>
          <c:idx val="1"/>
          <c:order val="0"/>
          <c:tx>
            <c:strRef>
              <c:f>'SFP + Ratios'!$I$50</c:f>
              <c:strCache>
                <c:ptCount val="1"/>
                <c:pt idx="0">
                  <c:v>Cash Operating Cycle</c:v>
                </c:pt>
              </c:strCache>
            </c:strRef>
          </c:tx>
          <c:marker>
            <c:symbol val="none"/>
          </c:marker>
          <c:cat>
            <c:numRef>
              <c:f>'SFP + Ratios'!$H$51:$H$55</c:f>
              <c:numCache>
                <c:formatCode>0</c:formatCode>
                <c:ptCount val="5"/>
                <c:pt idx="0">
                  <c:v>2020</c:v>
                </c:pt>
                <c:pt idx="1">
                  <c:v>2021</c:v>
                </c:pt>
                <c:pt idx="2">
                  <c:v>2022</c:v>
                </c:pt>
                <c:pt idx="3">
                  <c:v>2023</c:v>
                </c:pt>
                <c:pt idx="4">
                  <c:v>2024</c:v>
                </c:pt>
              </c:numCache>
            </c:numRef>
          </c:cat>
          <c:val>
            <c:numRef>
              <c:f>'SFP + Ratios'!$I$51:$I$55</c:f>
              <c:numCache>
                <c:formatCode>0.00</c:formatCode>
                <c:ptCount val="5"/>
                <c:pt idx="0">
                  <c:v>107.82880289513614</c:v>
                </c:pt>
                <c:pt idx="1">
                  <c:v>107.9844962574124</c:v>
                </c:pt>
                <c:pt idx="2">
                  <c:v>137.20442349477156</c:v>
                </c:pt>
                <c:pt idx="3">
                  <c:v>162.39653709033968</c:v>
                </c:pt>
                <c:pt idx="4">
                  <c:v>120.8538666325925</c:v>
                </c:pt>
              </c:numCache>
            </c:numRef>
          </c:val>
          <c:smooth val="0"/>
          <c:extLst>
            <c:ext xmlns:c16="http://schemas.microsoft.com/office/drawing/2014/chart" uri="{C3380CC4-5D6E-409C-BE32-E72D297353CC}">
              <c16:uniqueId val="{00000000-C38E-894B-8C3D-FB3576A0955D}"/>
            </c:ext>
          </c:extLst>
        </c:ser>
        <c:dLbls>
          <c:showLegendKey val="0"/>
          <c:showVal val="0"/>
          <c:showCatName val="0"/>
          <c:showSerName val="0"/>
          <c:showPercent val="0"/>
          <c:showBubbleSize val="0"/>
        </c:dLbls>
        <c:smooth val="0"/>
        <c:axId val="270897536"/>
        <c:axId val="270899456"/>
      </c:lineChart>
      <c:catAx>
        <c:axId val="270897536"/>
        <c:scaling>
          <c:orientation val="minMax"/>
        </c:scaling>
        <c:delete val="0"/>
        <c:axPos val="b"/>
        <c:title>
          <c:tx>
            <c:rich>
              <a:bodyPr/>
              <a:lstStyle/>
              <a:p>
                <a:pPr>
                  <a:defRPr/>
                </a:pPr>
                <a:r>
                  <a:rPr lang="en-US"/>
                  <a:t>Year</a:t>
                </a:r>
              </a:p>
            </c:rich>
          </c:tx>
          <c:overlay val="0"/>
          <c:spPr>
            <a:solidFill>
              <a:srgbClr val="FFFF00"/>
            </a:solidFill>
            <a:ln>
              <a:solidFill>
                <a:schemeClr val="tx1"/>
              </a:solidFill>
            </a:ln>
          </c:spPr>
        </c:title>
        <c:numFmt formatCode="0" sourceLinked="1"/>
        <c:majorTickMark val="out"/>
        <c:minorTickMark val="none"/>
        <c:tickLblPos val="nextTo"/>
        <c:txPr>
          <a:bodyPr/>
          <a:lstStyle/>
          <a:p>
            <a:pPr>
              <a:defRPr sz="1050"/>
            </a:pPr>
            <a:endParaRPr lang="en-US"/>
          </a:p>
        </c:txPr>
        <c:crossAx val="270899456"/>
        <c:crosses val="autoZero"/>
        <c:auto val="1"/>
        <c:lblAlgn val="ctr"/>
        <c:lblOffset val="100"/>
        <c:noMultiLvlLbl val="0"/>
      </c:catAx>
      <c:valAx>
        <c:axId val="270899456"/>
        <c:scaling>
          <c:orientation val="minMax"/>
        </c:scaling>
        <c:delete val="0"/>
        <c:axPos val="l"/>
        <c:majorGridlines/>
        <c:numFmt formatCode="0.00" sourceLinked="1"/>
        <c:majorTickMark val="out"/>
        <c:minorTickMark val="none"/>
        <c:tickLblPos val="nextTo"/>
        <c:txPr>
          <a:bodyPr/>
          <a:lstStyle/>
          <a:p>
            <a:pPr>
              <a:defRPr sz="1050"/>
            </a:pPr>
            <a:endParaRPr lang="en-US"/>
          </a:p>
        </c:txPr>
        <c:crossAx val="270897536"/>
        <c:crosses val="autoZero"/>
        <c:crossBetween val="between"/>
      </c:valAx>
    </c:plotArea>
    <c:legend>
      <c:legendPos val="r"/>
      <c:overlay val="0"/>
      <c:txPr>
        <a:bodyPr/>
        <a:lstStyle/>
        <a:p>
          <a:pPr>
            <a:defRPr sz="1000"/>
          </a:pPr>
          <a:endParaRPr lang="en-US"/>
        </a:p>
      </c:txPr>
    </c:legend>
    <c:plotVisOnly val="1"/>
    <c:dispBlanksAs val="gap"/>
    <c:showDLblsOverMax val="0"/>
  </c:chart>
  <c:spPr>
    <a:ln>
      <a:solidFill>
        <a:schemeClr val="tx1"/>
      </a:solidFill>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1"/>
          <c:order val="0"/>
          <c:tx>
            <c:strRef>
              <c:f>'Z-score '!$L$9</c:f>
              <c:strCache>
                <c:ptCount val="1"/>
                <c:pt idx="0">
                  <c:v>Z-Score</c:v>
                </c:pt>
              </c:strCache>
            </c:strRef>
          </c:tx>
          <c:marker>
            <c:symbol val="none"/>
          </c:marker>
          <c:cat>
            <c:numRef>
              <c:f>'Z-score '!$K$10:$K$14</c:f>
              <c:numCache>
                <c:formatCode>General</c:formatCode>
                <c:ptCount val="5"/>
                <c:pt idx="0">
                  <c:v>2020</c:v>
                </c:pt>
                <c:pt idx="1">
                  <c:v>2021</c:v>
                </c:pt>
                <c:pt idx="2">
                  <c:v>2022</c:v>
                </c:pt>
                <c:pt idx="3">
                  <c:v>2023</c:v>
                </c:pt>
                <c:pt idx="4">
                  <c:v>2024</c:v>
                </c:pt>
              </c:numCache>
            </c:numRef>
          </c:cat>
          <c:val>
            <c:numRef>
              <c:f>'Z-score '!$L$10:$L$14</c:f>
              <c:numCache>
                <c:formatCode>0.00</c:formatCode>
                <c:ptCount val="5"/>
                <c:pt idx="0">
                  <c:v>3.7936473943264608</c:v>
                </c:pt>
                <c:pt idx="1">
                  <c:v>3.2846571943075475</c:v>
                </c:pt>
                <c:pt idx="2">
                  <c:v>3.1409413688315011</c:v>
                </c:pt>
                <c:pt idx="3">
                  <c:v>2.8806674518565631</c:v>
                </c:pt>
                <c:pt idx="4">
                  <c:v>2.978186115891631</c:v>
                </c:pt>
              </c:numCache>
            </c:numRef>
          </c:val>
          <c:smooth val="0"/>
          <c:extLst>
            <c:ext xmlns:c16="http://schemas.microsoft.com/office/drawing/2014/chart" uri="{C3380CC4-5D6E-409C-BE32-E72D297353CC}">
              <c16:uniqueId val="{00000000-49D1-AC46-9D9D-AD777C1171F6}"/>
            </c:ext>
          </c:extLst>
        </c:ser>
        <c:dLbls>
          <c:showLegendKey val="0"/>
          <c:showVal val="0"/>
          <c:showCatName val="0"/>
          <c:showSerName val="0"/>
          <c:showPercent val="0"/>
          <c:showBubbleSize val="0"/>
        </c:dLbls>
        <c:smooth val="0"/>
        <c:axId val="304871680"/>
        <c:axId val="305406336"/>
      </c:lineChart>
      <c:catAx>
        <c:axId val="304871680"/>
        <c:scaling>
          <c:orientation val="minMax"/>
        </c:scaling>
        <c:delete val="0"/>
        <c:axPos val="b"/>
        <c:title>
          <c:tx>
            <c:rich>
              <a:bodyPr/>
              <a:lstStyle/>
              <a:p>
                <a:pPr>
                  <a:defRPr/>
                </a:pPr>
                <a:r>
                  <a:rPr lang="en-US"/>
                  <a:t>Year</a:t>
                </a:r>
              </a:p>
            </c:rich>
          </c:tx>
          <c:overlay val="0"/>
        </c:title>
        <c:numFmt formatCode="General" sourceLinked="1"/>
        <c:majorTickMark val="out"/>
        <c:minorTickMark val="none"/>
        <c:tickLblPos val="nextTo"/>
        <c:crossAx val="305406336"/>
        <c:crosses val="autoZero"/>
        <c:auto val="1"/>
        <c:lblAlgn val="ctr"/>
        <c:lblOffset val="100"/>
        <c:noMultiLvlLbl val="0"/>
      </c:catAx>
      <c:valAx>
        <c:axId val="305406336"/>
        <c:scaling>
          <c:orientation val="minMax"/>
        </c:scaling>
        <c:delete val="0"/>
        <c:axPos val="l"/>
        <c:majorGridlines/>
        <c:numFmt formatCode="0.00" sourceLinked="1"/>
        <c:majorTickMark val="out"/>
        <c:minorTickMark val="none"/>
        <c:tickLblPos val="nextTo"/>
        <c:crossAx val="304871680"/>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1"/>
          <c:order val="0"/>
          <c:tx>
            <c:strRef>
              <c:f>'SFP + Ratios'!$I$50</c:f>
              <c:strCache>
                <c:ptCount val="1"/>
                <c:pt idx="0">
                  <c:v>Cash Operating Cycle</c:v>
                </c:pt>
              </c:strCache>
            </c:strRef>
          </c:tx>
          <c:marker>
            <c:symbol val="none"/>
          </c:marker>
          <c:cat>
            <c:numRef>
              <c:f>'SFP + Ratios'!$H$51:$H$55</c:f>
              <c:numCache>
                <c:formatCode>0</c:formatCode>
                <c:ptCount val="5"/>
                <c:pt idx="0">
                  <c:v>2020</c:v>
                </c:pt>
                <c:pt idx="1">
                  <c:v>2021</c:v>
                </c:pt>
                <c:pt idx="2">
                  <c:v>2022</c:v>
                </c:pt>
                <c:pt idx="3">
                  <c:v>2023</c:v>
                </c:pt>
                <c:pt idx="4">
                  <c:v>2024</c:v>
                </c:pt>
              </c:numCache>
            </c:numRef>
          </c:cat>
          <c:val>
            <c:numRef>
              <c:f>'SFP + Ratios'!$I$51:$I$55</c:f>
              <c:numCache>
                <c:formatCode>0.00</c:formatCode>
                <c:ptCount val="5"/>
                <c:pt idx="0">
                  <c:v>107.82880289513614</c:v>
                </c:pt>
                <c:pt idx="1">
                  <c:v>107.9844962574124</c:v>
                </c:pt>
                <c:pt idx="2">
                  <c:v>137.20442349477156</c:v>
                </c:pt>
                <c:pt idx="3">
                  <c:v>162.39653709033968</c:v>
                </c:pt>
                <c:pt idx="4">
                  <c:v>120.8538666325925</c:v>
                </c:pt>
              </c:numCache>
            </c:numRef>
          </c:val>
          <c:smooth val="0"/>
          <c:extLst>
            <c:ext xmlns:c16="http://schemas.microsoft.com/office/drawing/2014/chart" uri="{C3380CC4-5D6E-409C-BE32-E72D297353CC}">
              <c16:uniqueId val="{00000000-18D4-6141-A6F3-9932F170182B}"/>
            </c:ext>
          </c:extLst>
        </c:ser>
        <c:dLbls>
          <c:showLegendKey val="0"/>
          <c:showVal val="0"/>
          <c:showCatName val="0"/>
          <c:showSerName val="0"/>
          <c:showPercent val="0"/>
          <c:showBubbleSize val="0"/>
        </c:dLbls>
        <c:smooth val="0"/>
        <c:axId val="305881472"/>
        <c:axId val="305883392"/>
      </c:lineChart>
      <c:catAx>
        <c:axId val="305881472"/>
        <c:scaling>
          <c:orientation val="minMax"/>
        </c:scaling>
        <c:delete val="0"/>
        <c:axPos val="b"/>
        <c:title>
          <c:tx>
            <c:rich>
              <a:bodyPr/>
              <a:lstStyle/>
              <a:p>
                <a:pPr>
                  <a:defRPr/>
                </a:pPr>
                <a:r>
                  <a:rPr lang="en-US"/>
                  <a:t>Year</a:t>
                </a:r>
              </a:p>
            </c:rich>
          </c:tx>
          <c:overlay val="0"/>
        </c:title>
        <c:numFmt formatCode="0" sourceLinked="1"/>
        <c:majorTickMark val="out"/>
        <c:minorTickMark val="none"/>
        <c:tickLblPos val="nextTo"/>
        <c:crossAx val="305883392"/>
        <c:crosses val="autoZero"/>
        <c:auto val="1"/>
        <c:lblAlgn val="ctr"/>
        <c:lblOffset val="100"/>
        <c:noMultiLvlLbl val="0"/>
      </c:catAx>
      <c:valAx>
        <c:axId val="305883392"/>
        <c:scaling>
          <c:orientation val="minMax"/>
        </c:scaling>
        <c:delete val="0"/>
        <c:axPos val="l"/>
        <c:majorGridlines/>
        <c:numFmt formatCode="0.00" sourceLinked="1"/>
        <c:majorTickMark val="out"/>
        <c:minorTickMark val="none"/>
        <c:tickLblPos val="nextTo"/>
        <c:crossAx val="30588147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FD204A-D4A0-4FF1-A8CD-5097B531A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33</Pages>
  <Words>7878</Words>
  <Characters>44908</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Manager/>
  <Company>home</Company>
  <LinksUpToDate>false</LinksUpToDate>
  <CharactersWithSpaces>52681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Farjan Ali</cp:lastModifiedBy>
  <cp:revision>12</cp:revision>
  <dcterms:created xsi:type="dcterms:W3CDTF">2025-11-07T17:17:00Z</dcterms:created>
  <dcterms:modified xsi:type="dcterms:W3CDTF">2025-12-22T02:40:00Z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c9b72881-8880-4792-aa78-2bde90d2d8f0</vt:lpwstr>
  </property>
</Properties>
</file>