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02"/>
        <w:gridCol w:w="1241"/>
        <w:gridCol w:w="5573"/>
      </w:tblGrid>
      <w:tr w:rsidR="00E40F4F" w:rsidRPr="00EE015D" w14:paraId="1F9C46CA" w14:textId="77777777" w:rsidTr="006713C5">
        <w:trPr>
          <w:tblHeader/>
          <w:tblCellSpacing w:w="15" w:type="dxa"/>
        </w:trPr>
        <w:tc>
          <w:tcPr>
            <w:tcW w:w="0" w:type="auto"/>
            <w:gridSpan w:val="3"/>
            <w:vAlign w:val="center"/>
          </w:tcPr>
          <w:p w14:paraId="57CE4790" w14:textId="77777777" w:rsidR="00E40F4F" w:rsidRPr="00EE015D" w:rsidRDefault="00E40F4F" w:rsidP="006713C5">
            <w:pPr>
              <w:spacing w:after="0" w:line="240" w:lineRule="auto"/>
              <w:jc w:val="center"/>
              <w:rPr>
                <w:rFonts w:asciiTheme="minorBidi" w:eastAsia="Times New Roman" w:hAnsiTheme="minorBidi"/>
                <w:b/>
                <w:bCs/>
                <w:kern w:val="0"/>
                <w14:ligatures w14:val="none"/>
              </w:rPr>
            </w:pPr>
            <w:r w:rsidRPr="00EE015D">
              <w:rPr>
                <w:rFonts w:asciiTheme="minorBidi" w:eastAsia="Times New Roman" w:hAnsiTheme="minorBidi"/>
                <w:b/>
                <w:bCs/>
                <w:kern w:val="0"/>
                <w14:ligatures w14:val="none"/>
              </w:rPr>
              <w:t>UNDERSTANDING HIGH STAFF TURNOVER IN THE MANUFACTURING SECTOR IN SOUTH WALES</w:t>
            </w:r>
          </w:p>
        </w:tc>
      </w:tr>
      <w:tr w:rsidR="00E40F4F" w:rsidRPr="00EE015D" w14:paraId="6096C5B1" w14:textId="77777777" w:rsidTr="006713C5">
        <w:trPr>
          <w:tblHeader/>
          <w:tblCellSpacing w:w="15" w:type="dxa"/>
        </w:trPr>
        <w:tc>
          <w:tcPr>
            <w:tcW w:w="0" w:type="auto"/>
            <w:vAlign w:val="center"/>
            <w:hideMark/>
          </w:tcPr>
          <w:p w14:paraId="4954874D" w14:textId="77777777" w:rsidR="00E40F4F" w:rsidRPr="00EE015D" w:rsidRDefault="00E40F4F" w:rsidP="006713C5">
            <w:pPr>
              <w:spacing w:after="0" w:line="240" w:lineRule="auto"/>
              <w:jc w:val="center"/>
              <w:rPr>
                <w:rFonts w:asciiTheme="minorBidi" w:eastAsia="Times New Roman" w:hAnsiTheme="minorBidi"/>
                <w:b/>
                <w:bCs/>
                <w:kern w:val="0"/>
                <w14:ligatures w14:val="none"/>
              </w:rPr>
            </w:pPr>
            <w:r w:rsidRPr="00EE015D">
              <w:rPr>
                <w:rFonts w:asciiTheme="minorBidi" w:eastAsia="Times New Roman" w:hAnsiTheme="minorBidi"/>
                <w:b/>
                <w:bCs/>
                <w:kern w:val="0"/>
                <w14:ligatures w14:val="none"/>
              </w:rPr>
              <w:t>Paradigm</w:t>
            </w:r>
          </w:p>
        </w:tc>
        <w:tc>
          <w:tcPr>
            <w:tcW w:w="0" w:type="auto"/>
            <w:vAlign w:val="center"/>
            <w:hideMark/>
          </w:tcPr>
          <w:p w14:paraId="4AD77F98" w14:textId="77777777" w:rsidR="00E40F4F" w:rsidRPr="00EE015D" w:rsidRDefault="00E40F4F" w:rsidP="006713C5">
            <w:pPr>
              <w:spacing w:after="0" w:line="240" w:lineRule="auto"/>
              <w:jc w:val="center"/>
              <w:rPr>
                <w:rFonts w:asciiTheme="minorBidi" w:eastAsia="Times New Roman" w:hAnsiTheme="minorBidi"/>
                <w:b/>
                <w:bCs/>
                <w:kern w:val="0"/>
                <w14:ligatures w14:val="none"/>
              </w:rPr>
            </w:pPr>
            <w:r w:rsidRPr="00EE015D">
              <w:rPr>
                <w:rFonts w:asciiTheme="minorBidi" w:eastAsia="Times New Roman" w:hAnsiTheme="minorBidi"/>
                <w:b/>
                <w:bCs/>
                <w:kern w:val="0"/>
                <w14:ligatures w14:val="none"/>
              </w:rPr>
              <w:t>Fit for Topic</w:t>
            </w:r>
          </w:p>
        </w:tc>
        <w:tc>
          <w:tcPr>
            <w:tcW w:w="0" w:type="auto"/>
            <w:vAlign w:val="center"/>
            <w:hideMark/>
          </w:tcPr>
          <w:p w14:paraId="4846D644" w14:textId="77777777" w:rsidR="00E40F4F" w:rsidRPr="00EE015D" w:rsidRDefault="00E40F4F" w:rsidP="006713C5">
            <w:pPr>
              <w:spacing w:after="0" w:line="240" w:lineRule="auto"/>
              <w:jc w:val="center"/>
              <w:rPr>
                <w:rFonts w:asciiTheme="minorBidi" w:eastAsia="Times New Roman" w:hAnsiTheme="minorBidi"/>
                <w:b/>
                <w:bCs/>
                <w:kern w:val="0"/>
                <w14:ligatures w14:val="none"/>
              </w:rPr>
            </w:pPr>
            <w:r w:rsidRPr="00EE015D">
              <w:rPr>
                <w:rFonts w:asciiTheme="minorBidi" w:eastAsia="Times New Roman" w:hAnsiTheme="minorBidi"/>
                <w:b/>
                <w:bCs/>
                <w:kern w:val="0"/>
                <w14:ligatures w14:val="none"/>
              </w:rPr>
              <w:t>Rationale</w:t>
            </w:r>
          </w:p>
        </w:tc>
      </w:tr>
      <w:tr w:rsidR="00E40F4F" w:rsidRPr="00EE015D" w14:paraId="091DFD4F" w14:textId="77777777" w:rsidTr="006713C5">
        <w:trPr>
          <w:tblCellSpacing w:w="15" w:type="dxa"/>
        </w:trPr>
        <w:tc>
          <w:tcPr>
            <w:tcW w:w="0" w:type="auto"/>
            <w:vAlign w:val="center"/>
            <w:hideMark/>
          </w:tcPr>
          <w:p w14:paraId="132B1316"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Interpretivist</w:t>
            </w:r>
          </w:p>
        </w:tc>
        <w:tc>
          <w:tcPr>
            <w:tcW w:w="0" w:type="auto"/>
            <w:vAlign w:val="center"/>
            <w:hideMark/>
          </w:tcPr>
          <w:p w14:paraId="7687E92A"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Strong fit</w:t>
            </w:r>
          </w:p>
        </w:tc>
        <w:tc>
          <w:tcPr>
            <w:tcW w:w="0" w:type="auto"/>
            <w:vAlign w:val="center"/>
            <w:hideMark/>
          </w:tcPr>
          <w:p w14:paraId="5708D69C"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Allows for understanding turnover through the meanings employees assign to their work experiences</w:t>
            </w:r>
          </w:p>
        </w:tc>
      </w:tr>
      <w:tr w:rsidR="00E40F4F" w:rsidRPr="00EE015D" w14:paraId="62DEBE43" w14:textId="77777777" w:rsidTr="006713C5">
        <w:trPr>
          <w:tblCellSpacing w:w="15" w:type="dxa"/>
        </w:trPr>
        <w:tc>
          <w:tcPr>
            <w:tcW w:w="0" w:type="auto"/>
            <w:vAlign w:val="center"/>
            <w:hideMark/>
          </w:tcPr>
          <w:p w14:paraId="5E8B82FC" w14:textId="77777777" w:rsidR="00E40F4F" w:rsidRPr="00EE015D" w:rsidRDefault="00E40F4F" w:rsidP="006713C5">
            <w:pPr>
              <w:spacing w:after="0" w:line="240" w:lineRule="auto"/>
              <w:rPr>
                <w:rFonts w:asciiTheme="minorBidi" w:eastAsia="Times New Roman" w:hAnsiTheme="minorBidi"/>
                <w:kern w:val="0"/>
                <w14:ligatures w14:val="none"/>
              </w:rPr>
            </w:pPr>
          </w:p>
        </w:tc>
        <w:tc>
          <w:tcPr>
            <w:tcW w:w="0" w:type="auto"/>
            <w:vAlign w:val="center"/>
            <w:hideMark/>
          </w:tcPr>
          <w:p w14:paraId="292CDBBC" w14:textId="77777777" w:rsidR="00E40F4F" w:rsidRPr="00EE015D" w:rsidRDefault="00E40F4F" w:rsidP="006713C5">
            <w:pPr>
              <w:spacing w:after="0" w:line="240" w:lineRule="auto"/>
              <w:rPr>
                <w:rFonts w:asciiTheme="minorBidi" w:eastAsia="Times New Roman" w:hAnsiTheme="minorBidi"/>
                <w:kern w:val="0"/>
                <w:sz w:val="20"/>
                <w:szCs w:val="20"/>
                <w14:ligatures w14:val="none"/>
              </w:rPr>
            </w:pPr>
          </w:p>
        </w:tc>
        <w:tc>
          <w:tcPr>
            <w:tcW w:w="0" w:type="auto"/>
            <w:vAlign w:val="center"/>
            <w:hideMark/>
          </w:tcPr>
          <w:p w14:paraId="38F67B23"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Captures the complexity of personal decision-making in leaving jobs</w:t>
            </w:r>
          </w:p>
        </w:tc>
      </w:tr>
      <w:tr w:rsidR="00E40F4F" w:rsidRPr="00EE015D" w14:paraId="4D5709DF" w14:textId="77777777" w:rsidTr="006713C5">
        <w:trPr>
          <w:tblCellSpacing w:w="15" w:type="dxa"/>
        </w:trPr>
        <w:tc>
          <w:tcPr>
            <w:tcW w:w="0" w:type="auto"/>
            <w:vAlign w:val="center"/>
            <w:hideMark/>
          </w:tcPr>
          <w:p w14:paraId="1635F44C" w14:textId="77777777" w:rsidR="00E40F4F" w:rsidRPr="00EE015D" w:rsidRDefault="00E40F4F" w:rsidP="006713C5">
            <w:pPr>
              <w:spacing w:after="0" w:line="240" w:lineRule="auto"/>
              <w:rPr>
                <w:rFonts w:asciiTheme="minorBidi" w:eastAsia="Times New Roman" w:hAnsiTheme="minorBidi"/>
                <w:kern w:val="0"/>
                <w14:ligatures w14:val="none"/>
              </w:rPr>
            </w:pPr>
          </w:p>
        </w:tc>
        <w:tc>
          <w:tcPr>
            <w:tcW w:w="0" w:type="auto"/>
            <w:vAlign w:val="center"/>
            <w:hideMark/>
          </w:tcPr>
          <w:p w14:paraId="2EE9C6ED" w14:textId="77777777" w:rsidR="00E40F4F" w:rsidRPr="00EE015D" w:rsidRDefault="00E40F4F" w:rsidP="006713C5">
            <w:pPr>
              <w:spacing w:after="0" w:line="240" w:lineRule="auto"/>
              <w:rPr>
                <w:rFonts w:asciiTheme="minorBidi" w:eastAsia="Times New Roman" w:hAnsiTheme="minorBidi"/>
                <w:kern w:val="0"/>
                <w:sz w:val="20"/>
                <w:szCs w:val="20"/>
                <w14:ligatures w14:val="none"/>
              </w:rPr>
            </w:pPr>
          </w:p>
        </w:tc>
        <w:tc>
          <w:tcPr>
            <w:tcW w:w="0" w:type="auto"/>
            <w:vAlign w:val="center"/>
            <w:hideMark/>
          </w:tcPr>
          <w:p w14:paraId="5981383B"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xml:space="preserve">• Acknowledges the cultural and historical context of South </w:t>
            </w:r>
            <w:proofErr w:type="spellStart"/>
            <w:r w:rsidRPr="00EE015D">
              <w:rPr>
                <w:rFonts w:asciiTheme="minorBidi" w:eastAsia="Times New Roman" w:hAnsiTheme="minorBidi"/>
                <w:kern w:val="0"/>
                <w14:ligatures w14:val="none"/>
              </w:rPr>
              <w:t>Wales'</w:t>
            </w:r>
            <w:proofErr w:type="spellEnd"/>
            <w:r w:rsidRPr="00EE015D">
              <w:rPr>
                <w:rFonts w:asciiTheme="minorBidi" w:eastAsia="Times New Roman" w:hAnsiTheme="minorBidi"/>
                <w:kern w:val="0"/>
                <w14:ligatures w14:val="none"/>
              </w:rPr>
              <w:t xml:space="preserve"> manufacturing legacy</w:t>
            </w:r>
          </w:p>
        </w:tc>
      </w:tr>
      <w:tr w:rsidR="00E40F4F" w:rsidRPr="00EE015D" w14:paraId="59E4C5CC" w14:textId="77777777" w:rsidTr="006713C5">
        <w:trPr>
          <w:tblCellSpacing w:w="15" w:type="dxa"/>
        </w:trPr>
        <w:tc>
          <w:tcPr>
            <w:tcW w:w="0" w:type="auto"/>
            <w:vAlign w:val="center"/>
            <w:hideMark/>
          </w:tcPr>
          <w:p w14:paraId="1F229312" w14:textId="77777777" w:rsidR="00E40F4F" w:rsidRPr="00EE015D" w:rsidRDefault="00E40F4F" w:rsidP="006713C5">
            <w:pPr>
              <w:spacing w:after="0" w:line="240" w:lineRule="auto"/>
              <w:rPr>
                <w:rFonts w:asciiTheme="minorBidi" w:eastAsia="Times New Roman" w:hAnsiTheme="minorBidi"/>
                <w:kern w:val="0"/>
                <w14:ligatures w14:val="none"/>
              </w:rPr>
            </w:pPr>
          </w:p>
        </w:tc>
        <w:tc>
          <w:tcPr>
            <w:tcW w:w="0" w:type="auto"/>
            <w:vAlign w:val="center"/>
            <w:hideMark/>
          </w:tcPr>
          <w:p w14:paraId="0C70D1F7" w14:textId="77777777" w:rsidR="00E40F4F" w:rsidRPr="00EE015D" w:rsidRDefault="00E40F4F" w:rsidP="006713C5">
            <w:pPr>
              <w:spacing w:after="0" w:line="240" w:lineRule="auto"/>
              <w:rPr>
                <w:rFonts w:asciiTheme="minorBidi" w:eastAsia="Times New Roman" w:hAnsiTheme="minorBidi"/>
                <w:kern w:val="0"/>
                <w:sz w:val="20"/>
                <w:szCs w:val="20"/>
                <w14:ligatures w14:val="none"/>
              </w:rPr>
            </w:pPr>
          </w:p>
        </w:tc>
        <w:tc>
          <w:tcPr>
            <w:tcW w:w="0" w:type="auto"/>
            <w:vAlign w:val="center"/>
            <w:hideMark/>
          </w:tcPr>
          <w:p w14:paraId="5F339B96"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Enables exploration of how organisational policies are interpreted differently by various stakeholders</w:t>
            </w:r>
          </w:p>
        </w:tc>
      </w:tr>
      <w:tr w:rsidR="00E40F4F" w:rsidRPr="00EE015D" w14:paraId="77D7D7D4" w14:textId="77777777" w:rsidTr="006713C5">
        <w:trPr>
          <w:tblCellSpacing w:w="15" w:type="dxa"/>
        </w:trPr>
        <w:tc>
          <w:tcPr>
            <w:tcW w:w="0" w:type="auto"/>
            <w:vAlign w:val="center"/>
            <w:hideMark/>
          </w:tcPr>
          <w:p w14:paraId="38850A10" w14:textId="77777777" w:rsidR="00E40F4F" w:rsidRPr="00EE015D" w:rsidRDefault="00E40F4F" w:rsidP="006713C5">
            <w:pPr>
              <w:spacing w:after="0" w:line="240" w:lineRule="auto"/>
              <w:rPr>
                <w:rFonts w:asciiTheme="minorBidi" w:eastAsia="Times New Roman" w:hAnsiTheme="minorBidi"/>
                <w:kern w:val="0"/>
                <w14:ligatures w14:val="none"/>
              </w:rPr>
            </w:pPr>
          </w:p>
        </w:tc>
        <w:tc>
          <w:tcPr>
            <w:tcW w:w="0" w:type="auto"/>
            <w:vAlign w:val="center"/>
            <w:hideMark/>
          </w:tcPr>
          <w:p w14:paraId="62DFD151" w14:textId="77777777" w:rsidR="00E40F4F" w:rsidRPr="00EE015D" w:rsidRDefault="00E40F4F" w:rsidP="006713C5">
            <w:pPr>
              <w:spacing w:after="0" w:line="240" w:lineRule="auto"/>
              <w:rPr>
                <w:rFonts w:asciiTheme="minorBidi" w:eastAsia="Times New Roman" w:hAnsiTheme="minorBidi"/>
                <w:kern w:val="0"/>
                <w:sz w:val="20"/>
                <w:szCs w:val="20"/>
                <w14:ligatures w14:val="none"/>
              </w:rPr>
            </w:pPr>
          </w:p>
        </w:tc>
        <w:tc>
          <w:tcPr>
            <w:tcW w:w="0" w:type="auto"/>
            <w:vAlign w:val="center"/>
            <w:hideMark/>
          </w:tcPr>
          <w:p w14:paraId="3F6DF189"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Well-suited for interviews and focus groups with current and former employees</w:t>
            </w:r>
          </w:p>
        </w:tc>
      </w:tr>
      <w:tr w:rsidR="00E40F4F" w:rsidRPr="00EE015D" w14:paraId="17ABF3D1" w14:textId="77777777" w:rsidTr="006713C5">
        <w:trPr>
          <w:tblCellSpacing w:w="15" w:type="dxa"/>
        </w:trPr>
        <w:tc>
          <w:tcPr>
            <w:tcW w:w="0" w:type="auto"/>
            <w:vAlign w:val="center"/>
            <w:hideMark/>
          </w:tcPr>
          <w:p w14:paraId="2E7FCFA9"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Phenomenological</w:t>
            </w:r>
          </w:p>
        </w:tc>
        <w:tc>
          <w:tcPr>
            <w:tcW w:w="0" w:type="auto"/>
            <w:vAlign w:val="center"/>
            <w:hideMark/>
          </w:tcPr>
          <w:p w14:paraId="784E52BE"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Moderate fit</w:t>
            </w:r>
          </w:p>
        </w:tc>
        <w:tc>
          <w:tcPr>
            <w:tcW w:w="0" w:type="auto"/>
            <w:vAlign w:val="center"/>
            <w:hideMark/>
          </w:tcPr>
          <w:p w14:paraId="6FC946BF"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Excellent for deeply understanding the lived experience of working in manufacturing settings</w:t>
            </w:r>
          </w:p>
        </w:tc>
      </w:tr>
      <w:tr w:rsidR="00E40F4F" w:rsidRPr="00EE015D" w14:paraId="6ECE113E" w14:textId="77777777" w:rsidTr="006713C5">
        <w:trPr>
          <w:tblCellSpacing w:w="15" w:type="dxa"/>
        </w:trPr>
        <w:tc>
          <w:tcPr>
            <w:tcW w:w="0" w:type="auto"/>
            <w:vAlign w:val="center"/>
            <w:hideMark/>
          </w:tcPr>
          <w:p w14:paraId="3AB55817" w14:textId="77777777" w:rsidR="00E40F4F" w:rsidRPr="00EE015D" w:rsidRDefault="00E40F4F" w:rsidP="006713C5">
            <w:pPr>
              <w:spacing w:after="0" w:line="240" w:lineRule="auto"/>
              <w:rPr>
                <w:rFonts w:asciiTheme="minorBidi" w:eastAsia="Times New Roman" w:hAnsiTheme="minorBidi"/>
                <w:kern w:val="0"/>
                <w14:ligatures w14:val="none"/>
              </w:rPr>
            </w:pPr>
          </w:p>
        </w:tc>
        <w:tc>
          <w:tcPr>
            <w:tcW w:w="0" w:type="auto"/>
            <w:vAlign w:val="center"/>
            <w:hideMark/>
          </w:tcPr>
          <w:p w14:paraId="5A0148EA" w14:textId="77777777" w:rsidR="00E40F4F" w:rsidRPr="00EE015D" w:rsidRDefault="00E40F4F" w:rsidP="006713C5">
            <w:pPr>
              <w:spacing w:after="0" w:line="240" w:lineRule="auto"/>
              <w:rPr>
                <w:rFonts w:asciiTheme="minorBidi" w:eastAsia="Times New Roman" w:hAnsiTheme="minorBidi"/>
                <w:kern w:val="0"/>
                <w:sz w:val="20"/>
                <w:szCs w:val="20"/>
                <w14:ligatures w14:val="none"/>
              </w:rPr>
            </w:pPr>
          </w:p>
        </w:tc>
        <w:tc>
          <w:tcPr>
            <w:tcW w:w="0" w:type="auto"/>
            <w:vAlign w:val="center"/>
            <w:hideMark/>
          </w:tcPr>
          <w:p w14:paraId="7E571BAF"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Reveals the essence of what it means to leave a manufacturing job</w:t>
            </w:r>
          </w:p>
        </w:tc>
      </w:tr>
      <w:tr w:rsidR="00E40F4F" w:rsidRPr="00EE015D" w14:paraId="7BB9E49E" w14:textId="77777777" w:rsidTr="006713C5">
        <w:trPr>
          <w:tblCellSpacing w:w="15" w:type="dxa"/>
        </w:trPr>
        <w:tc>
          <w:tcPr>
            <w:tcW w:w="0" w:type="auto"/>
            <w:vAlign w:val="center"/>
            <w:hideMark/>
          </w:tcPr>
          <w:p w14:paraId="72785D59" w14:textId="77777777" w:rsidR="00E40F4F" w:rsidRPr="00EE015D" w:rsidRDefault="00E40F4F" w:rsidP="006713C5">
            <w:pPr>
              <w:spacing w:after="0" w:line="240" w:lineRule="auto"/>
              <w:rPr>
                <w:rFonts w:asciiTheme="minorBidi" w:eastAsia="Times New Roman" w:hAnsiTheme="minorBidi"/>
                <w:kern w:val="0"/>
                <w14:ligatures w14:val="none"/>
              </w:rPr>
            </w:pPr>
          </w:p>
        </w:tc>
        <w:tc>
          <w:tcPr>
            <w:tcW w:w="0" w:type="auto"/>
            <w:vAlign w:val="center"/>
            <w:hideMark/>
          </w:tcPr>
          <w:p w14:paraId="0EA219D8" w14:textId="77777777" w:rsidR="00E40F4F" w:rsidRPr="00EE015D" w:rsidRDefault="00E40F4F" w:rsidP="006713C5">
            <w:pPr>
              <w:spacing w:after="0" w:line="240" w:lineRule="auto"/>
              <w:rPr>
                <w:rFonts w:asciiTheme="minorBidi" w:eastAsia="Times New Roman" w:hAnsiTheme="minorBidi"/>
                <w:kern w:val="0"/>
                <w:sz w:val="20"/>
                <w:szCs w:val="20"/>
                <w14:ligatures w14:val="none"/>
              </w:rPr>
            </w:pPr>
          </w:p>
        </w:tc>
        <w:tc>
          <w:tcPr>
            <w:tcW w:w="0" w:type="auto"/>
            <w:vAlign w:val="center"/>
            <w:hideMark/>
          </w:tcPr>
          <w:p w14:paraId="7BC62657"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May be too focused on individual experience rather than systemic factors in turnover</w:t>
            </w:r>
          </w:p>
        </w:tc>
      </w:tr>
      <w:tr w:rsidR="00E40F4F" w:rsidRPr="00EE015D" w14:paraId="1490AE17" w14:textId="77777777" w:rsidTr="006713C5">
        <w:trPr>
          <w:tblCellSpacing w:w="15" w:type="dxa"/>
        </w:trPr>
        <w:tc>
          <w:tcPr>
            <w:tcW w:w="0" w:type="auto"/>
            <w:vAlign w:val="center"/>
            <w:hideMark/>
          </w:tcPr>
          <w:p w14:paraId="25847BE8" w14:textId="77777777" w:rsidR="00E40F4F" w:rsidRPr="00EE015D" w:rsidRDefault="00E40F4F" w:rsidP="006713C5">
            <w:pPr>
              <w:spacing w:after="0" w:line="240" w:lineRule="auto"/>
              <w:rPr>
                <w:rFonts w:asciiTheme="minorBidi" w:eastAsia="Times New Roman" w:hAnsiTheme="minorBidi"/>
                <w:kern w:val="0"/>
                <w14:ligatures w14:val="none"/>
              </w:rPr>
            </w:pPr>
          </w:p>
        </w:tc>
        <w:tc>
          <w:tcPr>
            <w:tcW w:w="0" w:type="auto"/>
            <w:vAlign w:val="center"/>
            <w:hideMark/>
          </w:tcPr>
          <w:p w14:paraId="66924C85" w14:textId="77777777" w:rsidR="00E40F4F" w:rsidRPr="00EE015D" w:rsidRDefault="00E40F4F" w:rsidP="006713C5">
            <w:pPr>
              <w:spacing w:after="0" w:line="240" w:lineRule="auto"/>
              <w:rPr>
                <w:rFonts w:asciiTheme="minorBidi" w:eastAsia="Times New Roman" w:hAnsiTheme="minorBidi"/>
                <w:kern w:val="0"/>
                <w:sz w:val="20"/>
                <w:szCs w:val="20"/>
                <w14:ligatures w14:val="none"/>
              </w:rPr>
            </w:pPr>
          </w:p>
        </w:tc>
        <w:tc>
          <w:tcPr>
            <w:tcW w:w="0" w:type="auto"/>
            <w:vAlign w:val="center"/>
            <w:hideMark/>
          </w:tcPr>
          <w:p w14:paraId="158E70F9"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Limited in addressing broader socioeconomic factors in South Wales</w:t>
            </w:r>
          </w:p>
        </w:tc>
      </w:tr>
      <w:tr w:rsidR="00E40F4F" w:rsidRPr="00EE015D" w14:paraId="7B3ABF09" w14:textId="77777777" w:rsidTr="006713C5">
        <w:trPr>
          <w:tblCellSpacing w:w="15" w:type="dxa"/>
        </w:trPr>
        <w:tc>
          <w:tcPr>
            <w:tcW w:w="0" w:type="auto"/>
            <w:vAlign w:val="center"/>
            <w:hideMark/>
          </w:tcPr>
          <w:p w14:paraId="0D737396" w14:textId="77777777" w:rsidR="00E40F4F" w:rsidRPr="00EE015D" w:rsidRDefault="00E40F4F" w:rsidP="006713C5">
            <w:pPr>
              <w:spacing w:after="0" w:line="240" w:lineRule="auto"/>
              <w:rPr>
                <w:rFonts w:asciiTheme="minorBidi" w:eastAsia="Times New Roman" w:hAnsiTheme="minorBidi"/>
                <w:kern w:val="0"/>
                <w14:ligatures w14:val="none"/>
              </w:rPr>
            </w:pPr>
          </w:p>
        </w:tc>
        <w:tc>
          <w:tcPr>
            <w:tcW w:w="0" w:type="auto"/>
            <w:vAlign w:val="center"/>
            <w:hideMark/>
          </w:tcPr>
          <w:p w14:paraId="2126030F" w14:textId="77777777" w:rsidR="00E40F4F" w:rsidRPr="00EE015D" w:rsidRDefault="00E40F4F" w:rsidP="006713C5">
            <w:pPr>
              <w:spacing w:after="0" w:line="240" w:lineRule="auto"/>
              <w:rPr>
                <w:rFonts w:asciiTheme="minorBidi" w:eastAsia="Times New Roman" w:hAnsiTheme="minorBidi"/>
                <w:kern w:val="0"/>
                <w:sz w:val="20"/>
                <w:szCs w:val="20"/>
                <w14:ligatures w14:val="none"/>
              </w:rPr>
            </w:pPr>
          </w:p>
        </w:tc>
        <w:tc>
          <w:tcPr>
            <w:tcW w:w="0" w:type="auto"/>
            <w:vAlign w:val="center"/>
            <w:hideMark/>
          </w:tcPr>
          <w:p w14:paraId="4A500774"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Time-intensive depth of analysis may limit sample size and breadth of perspectives</w:t>
            </w:r>
          </w:p>
        </w:tc>
      </w:tr>
      <w:tr w:rsidR="00E40F4F" w:rsidRPr="00EE015D" w14:paraId="07A69182" w14:textId="77777777" w:rsidTr="006713C5">
        <w:trPr>
          <w:tblCellSpacing w:w="15" w:type="dxa"/>
        </w:trPr>
        <w:tc>
          <w:tcPr>
            <w:tcW w:w="0" w:type="auto"/>
            <w:vAlign w:val="center"/>
            <w:hideMark/>
          </w:tcPr>
          <w:p w14:paraId="17BFAA91"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Social Constructionist</w:t>
            </w:r>
          </w:p>
        </w:tc>
        <w:tc>
          <w:tcPr>
            <w:tcW w:w="0" w:type="auto"/>
            <w:vAlign w:val="center"/>
            <w:hideMark/>
          </w:tcPr>
          <w:p w14:paraId="2EFF3E8A"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Strong fit</w:t>
            </w:r>
          </w:p>
        </w:tc>
        <w:tc>
          <w:tcPr>
            <w:tcW w:w="0" w:type="auto"/>
            <w:vAlign w:val="center"/>
            <w:hideMark/>
          </w:tcPr>
          <w:p w14:paraId="110F0103"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Effectively examines how turnover becomes normalised through shared meanings and discourse</w:t>
            </w:r>
          </w:p>
        </w:tc>
      </w:tr>
      <w:tr w:rsidR="00E40F4F" w:rsidRPr="00EE015D" w14:paraId="01B189B7" w14:textId="77777777" w:rsidTr="006713C5">
        <w:trPr>
          <w:tblCellSpacing w:w="15" w:type="dxa"/>
        </w:trPr>
        <w:tc>
          <w:tcPr>
            <w:tcW w:w="0" w:type="auto"/>
            <w:vAlign w:val="center"/>
            <w:hideMark/>
          </w:tcPr>
          <w:p w14:paraId="1C28CB4C" w14:textId="77777777" w:rsidR="00E40F4F" w:rsidRPr="00EE015D" w:rsidRDefault="00E40F4F" w:rsidP="006713C5">
            <w:pPr>
              <w:spacing w:after="0" w:line="240" w:lineRule="auto"/>
              <w:rPr>
                <w:rFonts w:asciiTheme="minorBidi" w:eastAsia="Times New Roman" w:hAnsiTheme="minorBidi"/>
                <w:kern w:val="0"/>
                <w14:ligatures w14:val="none"/>
              </w:rPr>
            </w:pPr>
          </w:p>
        </w:tc>
        <w:tc>
          <w:tcPr>
            <w:tcW w:w="0" w:type="auto"/>
            <w:vAlign w:val="center"/>
            <w:hideMark/>
          </w:tcPr>
          <w:p w14:paraId="640BD662" w14:textId="77777777" w:rsidR="00E40F4F" w:rsidRPr="00EE015D" w:rsidRDefault="00E40F4F" w:rsidP="006713C5">
            <w:pPr>
              <w:spacing w:after="0" w:line="240" w:lineRule="auto"/>
              <w:rPr>
                <w:rFonts w:asciiTheme="minorBidi" w:eastAsia="Times New Roman" w:hAnsiTheme="minorBidi"/>
                <w:kern w:val="0"/>
                <w:sz w:val="20"/>
                <w:szCs w:val="20"/>
                <w14:ligatures w14:val="none"/>
              </w:rPr>
            </w:pPr>
          </w:p>
        </w:tc>
        <w:tc>
          <w:tcPr>
            <w:tcW w:w="0" w:type="auto"/>
            <w:vAlign w:val="center"/>
            <w:hideMark/>
          </w:tcPr>
          <w:p w14:paraId="352C5B26"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Reveals how the concept of "good work" is socially constructed in manufacturing contexts</w:t>
            </w:r>
          </w:p>
        </w:tc>
      </w:tr>
      <w:tr w:rsidR="00E40F4F" w:rsidRPr="00EE015D" w14:paraId="4020494F" w14:textId="77777777" w:rsidTr="006713C5">
        <w:trPr>
          <w:tblCellSpacing w:w="15" w:type="dxa"/>
        </w:trPr>
        <w:tc>
          <w:tcPr>
            <w:tcW w:w="0" w:type="auto"/>
            <w:vAlign w:val="center"/>
            <w:hideMark/>
          </w:tcPr>
          <w:p w14:paraId="12FCDAD8" w14:textId="77777777" w:rsidR="00E40F4F" w:rsidRPr="00EE015D" w:rsidRDefault="00E40F4F" w:rsidP="006713C5">
            <w:pPr>
              <w:spacing w:after="0" w:line="240" w:lineRule="auto"/>
              <w:rPr>
                <w:rFonts w:asciiTheme="minorBidi" w:eastAsia="Times New Roman" w:hAnsiTheme="minorBidi"/>
                <w:kern w:val="0"/>
                <w14:ligatures w14:val="none"/>
              </w:rPr>
            </w:pPr>
          </w:p>
        </w:tc>
        <w:tc>
          <w:tcPr>
            <w:tcW w:w="0" w:type="auto"/>
            <w:vAlign w:val="center"/>
            <w:hideMark/>
          </w:tcPr>
          <w:p w14:paraId="09644E24" w14:textId="77777777" w:rsidR="00E40F4F" w:rsidRPr="00EE015D" w:rsidRDefault="00E40F4F" w:rsidP="006713C5">
            <w:pPr>
              <w:spacing w:after="0" w:line="240" w:lineRule="auto"/>
              <w:rPr>
                <w:rFonts w:asciiTheme="minorBidi" w:eastAsia="Times New Roman" w:hAnsiTheme="minorBidi"/>
                <w:kern w:val="0"/>
                <w:sz w:val="20"/>
                <w:szCs w:val="20"/>
                <w14:ligatures w14:val="none"/>
              </w:rPr>
            </w:pPr>
          </w:p>
        </w:tc>
        <w:tc>
          <w:tcPr>
            <w:tcW w:w="0" w:type="auto"/>
            <w:vAlign w:val="center"/>
            <w:hideMark/>
          </w:tcPr>
          <w:p w14:paraId="68167200"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Uncovers power dynamics between management and workers that contribute to turnover</w:t>
            </w:r>
          </w:p>
        </w:tc>
      </w:tr>
      <w:tr w:rsidR="00E40F4F" w:rsidRPr="00EE015D" w14:paraId="68349C29" w14:textId="77777777" w:rsidTr="006713C5">
        <w:trPr>
          <w:tblCellSpacing w:w="15" w:type="dxa"/>
        </w:trPr>
        <w:tc>
          <w:tcPr>
            <w:tcW w:w="0" w:type="auto"/>
            <w:vAlign w:val="center"/>
            <w:hideMark/>
          </w:tcPr>
          <w:p w14:paraId="31A93756" w14:textId="77777777" w:rsidR="00E40F4F" w:rsidRPr="00EE015D" w:rsidRDefault="00E40F4F" w:rsidP="006713C5">
            <w:pPr>
              <w:spacing w:after="0" w:line="240" w:lineRule="auto"/>
              <w:rPr>
                <w:rFonts w:asciiTheme="minorBidi" w:eastAsia="Times New Roman" w:hAnsiTheme="minorBidi"/>
                <w:kern w:val="0"/>
                <w14:ligatures w14:val="none"/>
              </w:rPr>
            </w:pPr>
          </w:p>
        </w:tc>
        <w:tc>
          <w:tcPr>
            <w:tcW w:w="0" w:type="auto"/>
            <w:vAlign w:val="center"/>
            <w:hideMark/>
          </w:tcPr>
          <w:p w14:paraId="43BCBDB3" w14:textId="77777777" w:rsidR="00E40F4F" w:rsidRPr="00EE015D" w:rsidRDefault="00E40F4F" w:rsidP="006713C5">
            <w:pPr>
              <w:spacing w:after="0" w:line="240" w:lineRule="auto"/>
              <w:rPr>
                <w:rFonts w:asciiTheme="minorBidi" w:eastAsia="Times New Roman" w:hAnsiTheme="minorBidi"/>
                <w:kern w:val="0"/>
                <w:sz w:val="20"/>
                <w:szCs w:val="20"/>
                <w14:ligatures w14:val="none"/>
              </w:rPr>
            </w:pPr>
          </w:p>
        </w:tc>
        <w:tc>
          <w:tcPr>
            <w:tcW w:w="0" w:type="auto"/>
            <w:vAlign w:val="center"/>
            <w:hideMark/>
          </w:tcPr>
          <w:p w14:paraId="3AC6659A"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Examines how regional identity in South Wales intersects with manufacturing work</w:t>
            </w:r>
          </w:p>
        </w:tc>
      </w:tr>
      <w:tr w:rsidR="00E40F4F" w:rsidRPr="00EE015D" w14:paraId="0CCF5DE2" w14:textId="77777777" w:rsidTr="006713C5">
        <w:trPr>
          <w:tblCellSpacing w:w="15" w:type="dxa"/>
        </w:trPr>
        <w:tc>
          <w:tcPr>
            <w:tcW w:w="0" w:type="auto"/>
            <w:vAlign w:val="center"/>
            <w:hideMark/>
          </w:tcPr>
          <w:p w14:paraId="4557BB38" w14:textId="77777777" w:rsidR="00E40F4F" w:rsidRPr="00EE015D" w:rsidRDefault="00E40F4F" w:rsidP="006713C5">
            <w:pPr>
              <w:spacing w:after="0" w:line="240" w:lineRule="auto"/>
              <w:rPr>
                <w:rFonts w:asciiTheme="minorBidi" w:eastAsia="Times New Roman" w:hAnsiTheme="minorBidi"/>
                <w:kern w:val="0"/>
                <w14:ligatures w14:val="none"/>
              </w:rPr>
            </w:pPr>
          </w:p>
        </w:tc>
        <w:tc>
          <w:tcPr>
            <w:tcW w:w="0" w:type="auto"/>
            <w:vAlign w:val="center"/>
            <w:hideMark/>
          </w:tcPr>
          <w:p w14:paraId="51B62384" w14:textId="77777777" w:rsidR="00E40F4F" w:rsidRPr="00EE015D" w:rsidRDefault="00E40F4F" w:rsidP="006713C5">
            <w:pPr>
              <w:spacing w:after="0" w:line="240" w:lineRule="auto"/>
              <w:rPr>
                <w:rFonts w:asciiTheme="minorBidi" w:eastAsia="Times New Roman" w:hAnsiTheme="minorBidi"/>
                <w:kern w:val="0"/>
                <w:sz w:val="20"/>
                <w:szCs w:val="20"/>
                <w14:ligatures w14:val="none"/>
              </w:rPr>
            </w:pPr>
          </w:p>
        </w:tc>
        <w:tc>
          <w:tcPr>
            <w:tcW w:w="0" w:type="auto"/>
            <w:vAlign w:val="center"/>
            <w:hideMark/>
          </w:tcPr>
          <w:p w14:paraId="537D666E" w14:textId="77777777" w:rsidR="00E40F4F" w:rsidRPr="00EE015D" w:rsidRDefault="00E40F4F" w:rsidP="006713C5">
            <w:pPr>
              <w:spacing w:after="0" w:line="240" w:lineRule="auto"/>
              <w:rPr>
                <w:rFonts w:asciiTheme="minorBidi" w:eastAsia="Times New Roman" w:hAnsiTheme="minorBidi"/>
                <w:kern w:val="0"/>
                <w14:ligatures w14:val="none"/>
              </w:rPr>
            </w:pPr>
            <w:r w:rsidRPr="00EE015D">
              <w:rPr>
                <w:rFonts w:asciiTheme="minorBidi" w:eastAsia="Times New Roman" w:hAnsiTheme="minorBidi"/>
                <w:kern w:val="0"/>
                <w14:ligatures w14:val="none"/>
              </w:rPr>
              <w:t>• Well-suited for analysing organisational communication and policy documents alongside worker narratives</w:t>
            </w:r>
          </w:p>
        </w:tc>
      </w:tr>
    </w:tbl>
    <w:p w14:paraId="06806504" w14:textId="77777777" w:rsidR="00BA7D10" w:rsidRPr="00EB47BA" w:rsidRDefault="00BA7D10" w:rsidP="00BA7D10">
      <w:pPr>
        <w:spacing w:before="100" w:beforeAutospacing="1" w:after="100" w:afterAutospacing="1" w:line="240" w:lineRule="auto"/>
        <w:outlineLvl w:val="2"/>
        <w:rPr>
          <w:rFonts w:asciiTheme="minorBidi" w:eastAsia="Times New Roman" w:hAnsiTheme="minorBidi"/>
          <w:b/>
          <w:bCs/>
          <w:kern w:val="0"/>
          <w:sz w:val="22"/>
          <w:szCs w:val="22"/>
          <w14:ligatures w14:val="none"/>
        </w:rPr>
      </w:pPr>
      <w:r w:rsidRPr="00EB47BA">
        <w:rPr>
          <w:rFonts w:asciiTheme="minorBidi" w:eastAsia="Times New Roman" w:hAnsiTheme="minorBidi"/>
          <w:b/>
          <w:bCs/>
          <w:kern w:val="0"/>
          <w:sz w:val="22"/>
          <w:szCs w:val="22"/>
          <w14:ligatures w14:val="none"/>
        </w:rPr>
        <w:t>Key Takeaways:</w:t>
      </w:r>
    </w:p>
    <w:p w14:paraId="06AFFBC3" w14:textId="77777777" w:rsidR="00BA7D10" w:rsidRPr="00EB47BA" w:rsidRDefault="00BA7D10" w:rsidP="00BA7D10">
      <w:pPr>
        <w:numPr>
          <w:ilvl w:val="0"/>
          <w:numId w:val="1"/>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Interpretivism: Focuses on individual decisions to quit, based on personal experiences and unique perspectives.</w:t>
      </w:r>
    </w:p>
    <w:p w14:paraId="166DBFB4" w14:textId="0EE96599" w:rsidR="00EB47BA" w:rsidRPr="00EB47BA" w:rsidRDefault="00BA7D10" w:rsidP="00BA7D10">
      <w:pPr>
        <w:numPr>
          <w:ilvl w:val="0"/>
          <w:numId w:val="1"/>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Social Constructionism: Explains how workplace culture, industry norms, and group discourse shape collective attitudes toward turnover.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5"/>
        <w:gridCol w:w="3445"/>
        <w:gridCol w:w="3776"/>
      </w:tblGrid>
      <w:tr w:rsidR="00BA7D10" w:rsidRPr="00EB47BA" w14:paraId="12064C65" w14:textId="77777777" w:rsidTr="005A6384">
        <w:trPr>
          <w:tblHeader/>
          <w:tblCellSpacing w:w="15" w:type="dxa"/>
        </w:trPr>
        <w:tc>
          <w:tcPr>
            <w:tcW w:w="0" w:type="auto"/>
            <w:gridSpan w:val="3"/>
            <w:vAlign w:val="center"/>
          </w:tcPr>
          <w:p w14:paraId="09D02ACA" w14:textId="33D961AE" w:rsidR="00BA7D10" w:rsidRPr="00EB47BA" w:rsidRDefault="00BA7D10" w:rsidP="00EB47BA">
            <w:pPr>
              <w:spacing w:after="0" w:line="240" w:lineRule="auto"/>
              <w:jc w:val="center"/>
              <w:rPr>
                <w:rFonts w:asciiTheme="minorBidi" w:eastAsia="Times New Roman" w:hAnsiTheme="minorBidi"/>
                <w:kern w:val="0"/>
                <w:sz w:val="22"/>
                <w:szCs w:val="22"/>
                <w14:ligatures w14:val="none"/>
              </w:rPr>
            </w:pPr>
            <w:r>
              <w:rPr>
                <w:rFonts w:asciiTheme="minorBidi" w:eastAsia="Times New Roman" w:hAnsiTheme="minorBidi"/>
                <w:kern w:val="0"/>
                <w:sz w:val="22"/>
                <w:szCs w:val="22"/>
                <w14:ligatures w14:val="none"/>
              </w:rPr>
              <w:lastRenderedPageBreak/>
              <w:t xml:space="preserve">Table 1 Interpretivism v </w:t>
            </w:r>
            <w:proofErr w:type="gramStart"/>
            <w:r>
              <w:rPr>
                <w:rFonts w:asciiTheme="minorBidi" w:eastAsia="Times New Roman" w:hAnsiTheme="minorBidi"/>
                <w:kern w:val="0"/>
                <w:sz w:val="22"/>
                <w:szCs w:val="22"/>
                <w14:ligatures w14:val="none"/>
              </w:rPr>
              <w:t>Social</w:t>
            </w:r>
            <w:proofErr w:type="gramEnd"/>
            <w:r>
              <w:rPr>
                <w:rFonts w:asciiTheme="minorBidi" w:eastAsia="Times New Roman" w:hAnsiTheme="minorBidi"/>
                <w:kern w:val="0"/>
                <w:sz w:val="22"/>
                <w:szCs w:val="22"/>
                <w14:ligatures w14:val="none"/>
              </w:rPr>
              <w:t xml:space="preserve"> constructionism</w:t>
            </w:r>
          </w:p>
        </w:tc>
      </w:tr>
      <w:tr w:rsidR="00EB47BA" w:rsidRPr="00EB47BA" w14:paraId="2C774BF9" w14:textId="77777777" w:rsidTr="00EB47BA">
        <w:trPr>
          <w:tblHeader/>
          <w:tblCellSpacing w:w="15" w:type="dxa"/>
        </w:trPr>
        <w:tc>
          <w:tcPr>
            <w:tcW w:w="0" w:type="auto"/>
            <w:vAlign w:val="center"/>
            <w:hideMark/>
          </w:tcPr>
          <w:p w14:paraId="0B60162A" w14:textId="77777777" w:rsidR="00EB47BA" w:rsidRPr="00EB47BA" w:rsidRDefault="00EB47BA" w:rsidP="00EB47BA">
            <w:pPr>
              <w:spacing w:after="0" w:line="240" w:lineRule="auto"/>
              <w:jc w:val="center"/>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Aspect</w:t>
            </w:r>
          </w:p>
        </w:tc>
        <w:tc>
          <w:tcPr>
            <w:tcW w:w="0" w:type="auto"/>
            <w:vAlign w:val="center"/>
            <w:hideMark/>
          </w:tcPr>
          <w:p w14:paraId="003EFE76" w14:textId="77777777" w:rsidR="00EB47BA" w:rsidRPr="00EB47BA" w:rsidRDefault="00EB47BA" w:rsidP="00EB47BA">
            <w:pPr>
              <w:spacing w:after="0" w:line="240" w:lineRule="auto"/>
              <w:jc w:val="center"/>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Interpretivism (Individual Focus)</w:t>
            </w:r>
          </w:p>
        </w:tc>
        <w:tc>
          <w:tcPr>
            <w:tcW w:w="0" w:type="auto"/>
            <w:vAlign w:val="center"/>
            <w:hideMark/>
          </w:tcPr>
          <w:p w14:paraId="0BB4A6FF" w14:textId="77777777" w:rsidR="00EB47BA" w:rsidRPr="00EB47BA" w:rsidRDefault="00EB47BA" w:rsidP="00EB47BA">
            <w:pPr>
              <w:spacing w:after="0" w:line="240" w:lineRule="auto"/>
              <w:jc w:val="center"/>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Social Constructionism (Group Focus)</w:t>
            </w:r>
          </w:p>
        </w:tc>
      </w:tr>
      <w:tr w:rsidR="00EB47BA" w:rsidRPr="00EB47BA" w14:paraId="427B741B" w14:textId="77777777" w:rsidTr="00EB47BA">
        <w:trPr>
          <w:tblCellSpacing w:w="15" w:type="dxa"/>
        </w:trPr>
        <w:tc>
          <w:tcPr>
            <w:tcW w:w="0" w:type="auto"/>
            <w:vAlign w:val="center"/>
            <w:hideMark/>
          </w:tcPr>
          <w:p w14:paraId="77AA4E4F"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Focus</w:t>
            </w:r>
          </w:p>
        </w:tc>
        <w:tc>
          <w:tcPr>
            <w:tcW w:w="0" w:type="auto"/>
            <w:vAlign w:val="center"/>
            <w:hideMark/>
          </w:tcPr>
          <w:p w14:paraId="5B8B2CDD"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Individual perspectives and personal meaning.</w:t>
            </w:r>
          </w:p>
        </w:tc>
        <w:tc>
          <w:tcPr>
            <w:tcW w:w="0" w:type="auto"/>
            <w:vAlign w:val="center"/>
            <w:hideMark/>
          </w:tcPr>
          <w:p w14:paraId="0544FBC5"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Group dynamics and shared meanings.</w:t>
            </w:r>
          </w:p>
        </w:tc>
      </w:tr>
      <w:tr w:rsidR="00EB47BA" w:rsidRPr="00EB47BA" w14:paraId="47F81F16" w14:textId="77777777" w:rsidTr="00EB47BA">
        <w:trPr>
          <w:tblCellSpacing w:w="15" w:type="dxa"/>
        </w:trPr>
        <w:tc>
          <w:tcPr>
            <w:tcW w:w="0" w:type="auto"/>
            <w:vAlign w:val="center"/>
            <w:hideMark/>
          </w:tcPr>
          <w:p w14:paraId="15220AD9"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Truth</w:t>
            </w:r>
          </w:p>
        </w:tc>
        <w:tc>
          <w:tcPr>
            <w:tcW w:w="0" w:type="auto"/>
            <w:vAlign w:val="center"/>
            <w:hideMark/>
          </w:tcPr>
          <w:p w14:paraId="5606F4E8"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Created by each person’s unique interpretation.</w:t>
            </w:r>
          </w:p>
        </w:tc>
        <w:tc>
          <w:tcPr>
            <w:tcW w:w="0" w:type="auto"/>
            <w:vAlign w:val="center"/>
            <w:hideMark/>
          </w:tcPr>
          <w:p w14:paraId="63EE4C75"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Created through social interaction and agreement.</w:t>
            </w:r>
          </w:p>
        </w:tc>
      </w:tr>
      <w:tr w:rsidR="00EB47BA" w:rsidRPr="00EB47BA" w14:paraId="30B000CB" w14:textId="77777777" w:rsidTr="00EB47BA">
        <w:trPr>
          <w:tblCellSpacing w:w="15" w:type="dxa"/>
        </w:trPr>
        <w:tc>
          <w:tcPr>
            <w:tcW w:w="0" w:type="auto"/>
            <w:vAlign w:val="center"/>
            <w:hideMark/>
          </w:tcPr>
          <w:p w14:paraId="14CD6F21"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Reality</w:t>
            </w:r>
          </w:p>
        </w:tc>
        <w:tc>
          <w:tcPr>
            <w:tcW w:w="0" w:type="auto"/>
            <w:vAlign w:val="center"/>
            <w:hideMark/>
          </w:tcPr>
          <w:p w14:paraId="282CFA30"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Multiple personal realities exist simultaneously.</w:t>
            </w:r>
          </w:p>
        </w:tc>
        <w:tc>
          <w:tcPr>
            <w:tcW w:w="0" w:type="auto"/>
            <w:vAlign w:val="center"/>
            <w:hideMark/>
          </w:tcPr>
          <w:p w14:paraId="6086DBED"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Collectively constructed through shared language and practices.</w:t>
            </w:r>
          </w:p>
        </w:tc>
      </w:tr>
      <w:tr w:rsidR="00EB47BA" w:rsidRPr="00EB47BA" w14:paraId="1ACDFF2A" w14:textId="77777777" w:rsidTr="00EB47BA">
        <w:trPr>
          <w:tblCellSpacing w:w="15" w:type="dxa"/>
        </w:trPr>
        <w:tc>
          <w:tcPr>
            <w:tcW w:w="0" w:type="auto"/>
            <w:vAlign w:val="center"/>
            <w:hideMark/>
          </w:tcPr>
          <w:p w14:paraId="6B1B4296"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Knowledge Creation</w:t>
            </w:r>
          </w:p>
        </w:tc>
        <w:tc>
          <w:tcPr>
            <w:tcW w:w="0" w:type="auto"/>
            <w:vAlign w:val="center"/>
            <w:hideMark/>
          </w:tcPr>
          <w:p w14:paraId="0FD66257"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Through individual experiences and personal meaning-making.</w:t>
            </w:r>
          </w:p>
        </w:tc>
        <w:tc>
          <w:tcPr>
            <w:tcW w:w="0" w:type="auto"/>
            <w:vAlign w:val="center"/>
            <w:hideMark/>
          </w:tcPr>
          <w:p w14:paraId="2E87622C"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Through social processes and negotiated understanding.</w:t>
            </w:r>
          </w:p>
        </w:tc>
      </w:tr>
      <w:tr w:rsidR="00EB47BA" w:rsidRPr="00EB47BA" w14:paraId="34FFAD9A" w14:textId="77777777" w:rsidTr="00EB47BA">
        <w:trPr>
          <w:tblCellSpacing w:w="15" w:type="dxa"/>
        </w:trPr>
        <w:tc>
          <w:tcPr>
            <w:tcW w:w="0" w:type="auto"/>
            <w:vAlign w:val="center"/>
            <w:hideMark/>
          </w:tcPr>
          <w:p w14:paraId="6BC2A52E"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Simpler Explanation</w:t>
            </w:r>
          </w:p>
        </w:tc>
        <w:tc>
          <w:tcPr>
            <w:tcW w:w="0" w:type="auto"/>
            <w:vAlign w:val="center"/>
            <w:hideMark/>
          </w:tcPr>
          <w:p w14:paraId="2547B506"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Alien B believes everyone sees the world differently based on their experiences. Truth is personal, and reality is subjective.</w:t>
            </w:r>
          </w:p>
        </w:tc>
        <w:tc>
          <w:tcPr>
            <w:tcW w:w="0" w:type="auto"/>
            <w:vAlign w:val="center"/>
            <w:hideMark/>
          </w:tcPr>
          <w:p w14:paraId="4AF85C74"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A group of Alien Bs creates shared truths through interaction. Truth is what the group agrees on, and reality is collective.</w:t>
            </w:r>
          </w:p>
        </w:tc>
      </w:tr>
      <w:tr w:rsidR="00EB47BA" w:rsidRPr="00EB47BA" w14:paraId="37A1884B" w14:textId="77777777" w:rsidTr="00EB47BA">
        <w:trPr>
          <w:tblCellSpacing w:w="15" w:type="dxa"/>
        </w:trPr>
        <w:tc>
          <w:tcPr>
            <w:tcW w:w="0" w:type="auto"/>
            <w:vAlign w:val="center"/>
            <w:hideMark/>
          </w:tcPr>
          <w:p w14:paraId="4FB3B028"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Key Idea</w:t>
            </w:r>
          </w:p>
        </w:tc>
        <w:tc>
          <w:tcPr>
            <w:tcW w:w="0" w:type="auto"/>
            <w:vAlign w:val="center"/>
            <w:hideMark/>
          </w:tcPr>
          <w:p w14:paraId="3B79C5C0"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Understanding the world through individual lenses. “Your truth is your truth, and my truth is mine.”</w:t>
            </w:r>
          </w:p>
        </w:tc>
        <w:tc>
          <w:tcPr>
            <w:tcW w:w="0" w:type="auto"/>
            <w:vAlign w:val="center"/>
            <w:hideMark/>
          </w:tcPr>
          <w:p w14:paraId="49A41AB6"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Groups create shared realities through interaction and agreement. “We all agree this is true, so it becomes true for us.”</w:t>
            </w:r>
          </w:p>
        </w:tc>
      </w:tr>
      <w:tr w:rsidR="00EB47BA" w:rsidRPr="00EB47BA" w14:paraId="6709841D" w14:textId="77777777" w:rsidTr="00EB47BA">
        <w:trPr>
          <w:tblCellSpacing w:w="15" w:type="dxa"/>
        </w:trPr>
        <w:tc>
          <w:tcPr>
            <w:tcW w:w="0" w:type="auto"/>
            <w:vAlign w:val="center"/>
            <w:hideMark/>
          </w:tcPr>
          <w:p w14:paraId="4AF6665C"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Application in Business</w:t>
            </w:r>
          </w:p>
        </w:tc>
        <w:tc>
          <w:tcPr>
            <w:tcW w:w="0" w:type="auto"/>
            <w:vAlign w:val="center"/>
            <w:hideMark/>
          </w:tcPr>
          <w:p w14:paraId="69C1AB57"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Explains individual employee perspectives (e.g., personal meanings of a uniform).</w:t>
            </w:r>
          </w:p>
        </w:tc>
        <w:tc>
          <w:tcPr>
            <w:tcW w:w="0" w:type="auto"/>
            <w:vAlign w:val="center"/>
            <w:hideMark/>
          </w:tcPr>
          <w:p w14:paraId="45D7133A"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Explains how groups create shared cultures (e.g., company-wide meaning of a uniform).</w:t>
            </w:r>
          </w:p>
        </w:tc>
      </w:tr>
      <w:tr w:rsidR="00EB47BA" w:rsidRPr="00EB47BA" w14:paraId="602B7BA9" w14:textId="77777777" w:rsidTr="00EB47BA">
        <w:trPr>
          <w:tblCellSpacing w:w="15" w:type="dxa"/>
        </w:trPr>
        <w:tc>
          <w:tcPr>
            <w:tcW w:w="0" w:type="auto"/>
            <w:vAlign w:val="center"/>
            <w:hideMark/>
          </w:tcPr>
          <w:p w14:paraId="731E49E3"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Research Methods</w:t>
            </w:r>
          </w:p>
        </w:tc>
        <w:tc>
          <w:tcPr>
            <w:tcW w:w="0" w:type="auto"/>
            <w:vAlign w:val="center"/>
            <w:hideMark/>
          </w:tcPr>
          <w:p w14:paraId="6C05853E"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In-depth interviews, personal diaries, phenomenology.</w:t>
            </w:r>
          </w:p>
        </w:tc>
        <w:tc>
          <w:tcPr>
            <w:tcW w:w="0" w:type="auto"/>
            <w:vAlign w:val="center"/>
            <w:hideMark/>
          </w:tcPr>
          <w:p w14:paraId="2AD59E6D"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Ethnography, focus groups, discourse analysis, document analysis.</w:t>
            </w:r>
          </w:p>
        </w:tc>
      </w:tr>
      <w:tr w:rsidR="00EB47BA" w:rsidRPr="00EB47BA" w14:paraId="2AEAD813" w14:textId="77777777" w:rsidTr="00EB47BA">
        <w:trPr>
          <w:tblCellSpacing w:w="15" w:type="dxa"/>
        </w:trPr>
        <w:tc>
          <w:tcPr>
            <w:tcW w:w="0" w:type="auto"/>
            <w:vAlign w:val="center"/>
            <w:hideMark/>
          </w:tcPr>
          <w:p w14:paraId="7F33E7D8"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Researcher’s Role</w:t>
            </w:r>
          </w:p>
        </w:tc>
        <w:tc>
          <w:tcPr>
            <w:tcW w:w="0" w:type="auto"/>
            <w:vAlign w:val="center"/>
            <w:hideMark/>
          </w:tcPr>
          <w:p w14:paraId="0552476D"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Listener and interpreter of individual stories.</w:t>
            </w:r>
          </w:p>
        </w:tc>
        <w:tc>
          <w:tcPr>
            <w:tcW w:w="0" w:type="auto"/>
            <w:vAlign w:val="center"/>
            <w:hideMark/>
          </w:tcPr>
          <w:p w14:paraId="408AE11C"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Observer and facilitator of group dynamics.</w:t>
            </w:r>
          </w:p>
        </w:tc>
      </w:tr>
      <w:tr w:rsidR="00EB47BA" w:rsidRPr="00EB47BA" w14:paraId="3F0BB864" w14:textId="77777777" w:rsidTr="00EB47BA">
        <w:trPr>
          <w:tblCellSpacing w:w="15" w:type="dxa"/>
        </w:trPr>
        <w:tc>
          <w:tcPr>
            <w:tcW w:w="0" w:type="auto"/>
            <w:vAlign w:val="center"/>
            <w:hideMark/>
          </w:tcPr>
          <w:p w14:paraId="0E700FC5"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Example in Research</w:t>
            </w:r>
          </w:p>
        </w:tc>
        <w:tc>
          <w:tcPr>
            <w:tcW w:w="0" w:type="auto"/>
            <w:vAlign w:val="center"/>
            <w:hideMark/>
          </w:tcPr>
          <w:p w14:paraId="7C19BB40"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Interviewing individuals to understand personal experiences (e.g., “How do you feel about the company’s leadership?”).</w:t>
            </w:r>
          </w:p>
        </w:tc>
        <w:tc>
          <w:tcPr>
            <w:tcW w:w="0" w:type="auto"/>
            <w:vAlign w:val="center"/>
            <w:hideMark/>
          </w:tcPr>
          <w:p w14:paraId="0231796B"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Observing group interactions to see how shared meanings are created (e.g., “How does the team define ‘good leadership’?”).</w:t>
            </w:r>
          </w:p>
        </w:tc>
      </w:tr>
      <w:tr w:rsidR="00EB47BA" w:rsidRPr="00EB47BA" w14:paraId="2A5AF87B" w14:textId="77777777" w:rsidTr="00EB47BA">
        <w:trPr>
          <w:tblCellSpacing w:w="15" w:type="dxa"/>
        </w:trPr>
        <w:tc>
          <w:tcPr>
            <w:tcW w:w="0" w:type="auto"/>
            <w:vAlign w:val="center"/>
            <w:hideMark/>
          </w:tcPr>
          <w:p w14:paraId="3FADA8DA"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Key Writers</w:t>
            </w:r>
          </w:p>
        </w:tc>
        <w:tc>
          <w:tcPr>
            <w:tcW w:w="0" w:type="auto"/>
            <w:vAlign w:val="center"/>
            <w:hideMark/>
          </w:tcPr>
          <w:p w14:paraId="0433797B"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Max Weber (verstehen), Alfred Schutz (phenomenology), Thomas Schwandt (interpretivist approaches).</w:t>
            </w:r>
          </w:p>
        </w:tc>
        <w:tc>
          <w:tcPr>
            <w:tcW w:w="0" w:type="auto"/>
            <w:vAlign w:val="center"/>
            <w:hideMark/>
          </w:tcPr>
          <w:p w14:paraId="45C825B2"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 xml:space="preserve">Peter Berger and Thomas </w:t>
            </w:r>
            <w:proofErr w:type="spellStart"/>
            <w:r w:rsidRPr="00EB47BA">
              <w:rPr>
                <w:rFonts w:asciiTheme="minorBidi" w:eastAsia="Times New Roman" w:hAnsiTheme="minorBidi"/>
                <w:kern w:val="0"/>
                <w:sz w:val="22"/>
                <w:szCs w:val="22"/>
                <w14:ligatures w14:val="none"/>
              </w:rPr>
              <w:t>Luckmann</w:t>
            </w:r>
            <w:proofErr w:type="spellEnd"/>
            <w:r w:rsidRPr="00EB47BA">
              <w:rPr>
                <w:rFonts w:asciiTheme="minorBidi" w:eastAsia="Times New Roman" w:hAnsiTheme="minorBidi"/>
                <w:kern w:val="0"/>
                <w:sz w:val="22"/>
                <w:szCs w:val="22"/>
                <w14:ligatures w14:val="none"/>
              </w:rPr>
              <w:t xml:space="preserve"> (social construction of reality), Kenneth Gergen (social processes), Vivien Burr (meanings).</w:t>
            </w:r>
          </w:p>
        </w:tc>
      </w:tr>
      <w:tr w:rsidR="00EB47BA" w:rsidRPr="00EB47BA" w14:paraId="6CFDF58D" w14:textId="77777777" w:rsidTr="00EB47BA">
        <w:trPr>
          <w:tblCellSpacing w:w="15" w:type="dxa"/>
        </w:trPr>
        <w:tc>
          <w:tcPr>
            <w:tcW w:w="0" w:type="auto"/>
            <w:vAlign w:val="center"/>
            <w:hideMark/>
          </w:tcPr>
          <w:p w14:paraId="7EFB3FDA"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Practical Example</w:t>
            </w:r>
          </w:p>
        </w:tc>
        <w:tc>
          <w:tcPr>
            <w:tcW w:w="0" w:type="auto"/>
            <w:vAlign w:val="center"/>
            <w:hideMark/>
          </w:tcPr>
          <w:p w14:paraId="07CD7EBE"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Employees define “success” differently based on personal experiences.</w:t>
            </w:r>
          </w:p>
        </w:tc>
        <w:tc>
          <w:tcPr>
            <w:tcW w:w="0" w:type="auto"/>
            <w:vAlign w:val="center"/>
            <w:hideMark/>
          </w:tcPr>
          <w:p w14:paraId="7183EBE7"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A team negotiates a shared definition of “success” through discussions and policies.</w:t>
            </w:r>
          </w:p>
        </w:tc>
      </w:tr>
      <w:tr w:rsidR="00EB47BA" w:rsidRPr="00EB47BA" w14:paraId="3F518009" w14:textId="77777777" w:rsidTr="00EB47BA">
        <w:trPr>
          <w:tblCellSpacing w:w="15" w:type="dxa"/>
        </w:trPr>
        <w:tc>
          <w:tcPr>
            <w:tcW w:w="0" w:type="auto"/>
            <w:vAlign w:val="center"/>
            <w:hideMark/>
          </w:tcPr>
          <w:p w14:paraId="65C20D25"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Case: Employee Turnover in South Wales</w:t>
            </w:r>
          </w:p>
        </w:tc>
        <w:tc>
          <w:tcPr>
            <w:tcW w:w="0" w:type="auto"/>
            <w:vAlign w:val="center"/>
            <w:hideMark/>
          </w:tcPr>
          <w:p w14:paraId="607F2612"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Employees leave jobs based on personal reasons (e.g., dissatisfaction, career goals, pay). Each decision is unique to the individual.</w:t>
            </w:r>
          </w:p>
        </w:tc>
        <w:tc>
          <w:tcPr>
            <w:tcW w:w="0" w:type="auto"/>
            <w:vAlign w:val="center"/>
            <w:hideMark/>
          </w:tcPr>
          <w:p w14:paraId="08E47462"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Turnover is shaped by workplace culture, shared narratives, and social norms. If leaving is seen as ‘normal’ or ‘inevitable’ within the group, it reinforces further quitting.</w:t>
            </w:r>
          </w:p>
        </w:tc>
      </w:tr>
    </w:tbl>
    <w:p w14:paraId="34A9A818" w14:textId="77777777" w:rsidR="00EB47BA" w:rsidRPr="00EB47BA" w:rsidRDefault="00451EEA" w:rsidP="00EB47BA">
      <w:pPr>
        <w:spacing w:after="0" w:line="240" w:lineRule="auto"/>
        <w:rPr>
          <w:rFonts w:asciiTheme="minorBidi" w:eastAsia="Times New Roman" w:hAnsiTheme="minorBidi"/>
          <w:kern w:val="0"/>
          <w:sz w:val="22"/>
          <w:szCs w:val="22"/>
          <w14:ligatures w14:val="none"/>
        </w:rPr>
      </w:pPr>
      <w:r>
        <w:rPr>
          <w:rFonts w:asciiTheme="minorBidi" w:eastAsia="Times New Roman" w:hAnsiTheme="minorBidi"/>
          <w:kern w:val="0"/>
          <w:sz w:val="22"/>
          <w:szCs w:val="22"/>
          <w14:ligatures w14:val="none"/>
        </w:rPr>
        <w:pict w14:anchorId="73FB9AC7">
          <v:rect id="_x0000_i1025" style="width:0;height:1.5pt" o:hralign="center" o:hrstd="t" o:hr="t" fillcolor="#a0a0a0" stroked="f"/>
        </w:pict>
      </w:r>
    </w:p>
    <w:p w14:paraId="79FA19DD" w14:textId="0EAC6504" w:rsidR="00BA7D10" w:rsidRPr="001805ED" w:rsidRDefault="00BA7D10" w:rsidP="00BA7D10">
      <w:p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When I write</w:t>
      </w:r>
      <w:r>
        <w:rPr>
          <w:rFonts w:asciiTheme="minorBidi" w:eastAsia="Times New Roman" w:hAnsiTheme="minorBidi"/>
          <w:kern w:val="0"/>
          <w:sz w:val="22"/>
          <w:szCs w:val="22"/>
          <w14:ligatures w14:val="none"/>
        </w:rPr>
        <w:t>/talk about</w:t>
      </w:r>
      <w:r w:rsidRPr="00EB47BA">
        <w:rPr>
          <w:rFonts w:asciiTheme="minorBidi" w:eastAsia="Times New Roman" w:hAnsiTheme="minorBidi"/>
          <w:kern w:val="0"/>
          <w:sz w:val="22"/>
          <w:szCs w:val="22"/>
          <w14:ligatures w14:val="none"/>
        </w:rPr>
        <w:t xml:space="preserve"> "observing group dynamics" in the context of high staff turnover, it means looking at how social interactions, workplace culture, and shared narratives influence employees' decisions to leave. In a social constructionist approach, researchers don’t just focus on individual reasons for quitting but examine how turnover becomes a pattern within the group</w:t>
      </w:r>
      <w:r>
        <w:rPr>
          <w:rFonts w:asciiTheme="minorBidi" w:eastAsia="Times New Roman" w:hAnsiTheme="minorBidi"/>
          <w:kern w:val="0"/>
          <w:sz w:val="22"/>
          <w:szCs w:val="22"/>
          <w14:ligatures w14:val="none"/>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21"/>
        <w:gridCol w:w="6495"/>
      </w:tblGrid>
      <w:tr w:rsidR="00BA7D10" w:rsidRPr="00EB47BA" w14:paraId="3A0DD52D" w14:textId="77777777" w:rsidTr="00FC0A69">
        <w:trPr>
          <w:tblHeader/>
          <w:tblCellSpacing w:w="15" w:type="dxa"/>
        </w:trPr>
        <w:tc>
          <w:tcPr>
            <w:tcW w:w="0" w:type="auto"/>
            <w:gridSpan w:val="2"/>
            <w:vAlign w:val="center"/>
          </w:tcPr>
          <w:p w14:paraId="1DC56DB1" w14:textId="177B4CCE" w:rsidR="00BA7D10" w:rsidRPr="00EB47BA" w:rsidRDefault="00BA7D10" w:rsidP="00BA7D10">
            <w:pPr>
              <w:spacing w:before="100" w:beforeAutospacing="1" w:after="100" w:afterAutospacing="1" w:line="240" w:lineRule="auto"/>
              <w:rPr>
                <w:rFonts w:asciiTheme="minorBidi" w:eastAsia="Times New Roman" w:hAnsiTheme="minorBidi"/>
                <w:kern w:val="0"/>
                <w:sz w:val="22"/>
                <w:szCs w:val="22"/>
                <w14:ligatures w14:val="none"/>
              </w:rPr>
            </w:pPr>
            <w:r>
              <w:rPr>
                <w:rFonts w:asciiTheme="minorBidi" w:eastAsia="Times New Roman" w:hAnsiTheme="minorBidi"/>
                <w:kern w:val="0"/>
                <w:sz w:val="22"/>
                <w:szCs w:val="22"/>
                <w14:ligatures w14:val="none"/>
              </w:rPr>
              <w:lastRenderedPageBreak/>
              <w:t>T</w:t>
            </w:r>
            <w:r w:rsidRPr="001805ED">
              <w:rPr>
                <w:rFonts w:asciiTheme="minorBidi" w:eastAsia="Times New Roman" w:hAnsiTheme="minorBidi"/>
                <w:kern w:val="0"/>
                <w:sz w:val="22"/>
                <w:szCs w:val="22"/>
                <w14:ligatures w14:val="none"/>
              </w:rPr>
              <w:t xml:space="preserve">able </w:t>
            </w:r>
            <w:r>
              <w:rPr>
                <w:rFonts w:asciiTheme="minorBidi" w:eastAsia="Times New Roman" w:hAnsiTheme="minorBidi"/>
                <w:kern w:val="0"/>
                <w:sz w:val="22"/>
                <w:szCs w:val="22"/>
                <w14:ligatures w14:val="none"/>
              </w:rPr>
              <w:t>2 S</w:t>
            </w:r>
            <w:r w:rsidRPr="001805ED">
              <w:rPr>
                <w:rFonts w:asciiTheme="minorBidi" w:eastAsia="Times New Roman" w:hAnsiTheme="minorBidi"/>
                <w:kern w:val="0"/>
                <w:sz w:val="22"/>
                <w:szCs w:val="22"/>
                <w14:ligatures w14:val="none"/>
              </w:rPr>
              <w:t>ummarising how observing group dynamics applies to high staff turnover in the manufacturing sector in South Wales from a social constructionist perspective</w:t>
            </w:r>
          </w:p>
        </w:tc>
      </w:tr>
      <w:tr w:rsidR="00EB47BA" w:rsidRPr="00EB47BA" w14:paraId="349A02DC" w14:textId="77777777" w:rsidTr="00EB47BA">
        <w:trPr>
          <w:tblHeader/>
          <w:tblCellSpacing w:w="15" w:type="dxa"/>
        </w:trPr>
        <w:tc>
          <w:tcPr>
            <w:tcW w:w="0" w:type="auto"/>
            <w:vAlign w:val="center"/>
            <w:hideMark/>
          </w:tcPr>
          <w:p w14:paraId="1C77C18B" w14:textId="77777777" w:rsidR="00EB47BA" w:rsidRPr="00EB47BA" w:rsidRDefault="00EB47BA" w:rsidP="00EB47BA">
            <w:pPr>
              <w:spacing w:after="0" w:line="240" w:lineRule="auto"/>
              <w:jc w:val="center"/>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Aspect</w:t>
            </w:r>
          </w:p>
        </w:tc>
        <w:tc>
          <w:tcPr>
            <w:tcW w:w="0" w:type="auto"/>
            <w:vAlign w:val="center"/>
            <w:hideMark/>
          </w:tcPr>
          <w:p w14:paraId="3948B023" w14:textId="77777777" w:rsidR="00EB47BA" w:rsidRPr="00EB47BA" w:rsidRDefault="00EB47BA" w:rsidP="00EB47BA">
            <w:pPr>
              <w:spacing w:after="0" w:line="240" w:lineRule="auto"/>
              <w:jc w:val="center"/>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Explanation (Social Constructionist Perspective on High Turnover)</w:t>
            </w:r>
          </w:p>
        </w:tc>
      </w:tr>
      <w:tr w:rsidR="00EB47BA" w:rsidRPr="00EB47BA" w14:paraId="6E4086F6" w14:textId="77777777" w:rsidTr="00EB47BA">
        <w:trPr>
          <w:tblCellSpacing w:w="15" w:type="dxa"/>
        </w:trPr>
        <w:tc>
          <w:tcPr>
            <w:tcW w:w="0" w:type="auto"/>
            <w:vAlign w:val="center"/>
            <w:hideMark/>
          </w:tcPr>
          <w:p w14:paraId="136C8B17"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What is Observed?</w:t>
            </w:r>
          </w:p>
        </w:tc>
        <w:tc>
          <w:tcPr>
            <w:tcW w:w="0" w:type="auto"/>
            <w:vAlign w:val="center"/>
            <w:hideMark/>
          </w:tcPr>
          <w:p w14:paraId="4620AAAD"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Group interactions, workplace culture, shared narratives, and peer influences on turnover.</w:t>
            </w:r>
          </w:p>
        </w:tc>
      </w:tr>
      <w:tr w:rsidR="00EB47BA" w:rsidRPr="00EB47BA" w14:paraId="05711240" w14:textId="77777777" w:rsidTr="00EB47BA">
        <w:trPr>
          <w:tblCellSpacing w:w="15" w:type="dxa"/>
        </w:trPr>
        <w:tc>
          <w:tcPr>
            <w:tcW w:w="0" w:type="auto"/>
            <w:vAlign w:val="center"/>
            <w:hideMark/>
          </w:tcPr>
          <w:p w14:paraId="3C867C96"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Workplace Conversations &amp; Narratives</w:t>
            </w:r>
          </w:p>
        </w:tc>
        <w:tc>
          <w:tcPr>
            <w:tcW w:w="0" w:type="auto"/>
            <w:vAlign w:val="center"/>
            <w:hideMark/>
          </w:tcPr>
          <w:p w14:paraId="0E664BA8"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Do employees talk about leaving as "normal" or "inevitable"? Is there a shared belief that "better jobs are elsewhere"?</w:t>
            </w:r>
          </w:p>
        </w:tc>
      </w:tr>
      <w:tr w:rsidR="00EB47BA" w:rsidRPr="00EB47BA" w14:paraId="1A62F541" w14:textId="77777777" w:rsidTr="00EB47BA">
        <w:trPr>
          <w:tblCellSpacing w:w="15" w:type="dxa"/>
        </w:trPr>
        <w:tc>
          <w:tcPr>
            <w:tcW w:w="0" w:type="auto"/>
            <w:vAlign w:val="center"/>
            <w:hideMark/>
          </w:tcPr>
          <w:p w14:paraId="5DD5C6CA"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Employer &amp; Management Discourse</w:t>
            </w:r>
          </w:p>
        </w:tc>
        <w:tc>
          <w:tcPr>
            <w:tcW w:w="0" w:type="auto"/>
            <w:vAlign w:val="center"/>
            <w:hideMark/>
          </w:tcPr>
          <w:p w14:paraId="6D380D4B"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How do managers explain turnover? Do they see it as a worker problem or a leadership issue? Does HR normalise quitting?</w:t>
            </w:r>
          </w:p>
        </w:tc>
      </w:tr>
      <w:tr w:rsidR="00EB47BA" w:rsidRPr="00EB47BA" w14:paraId="68F04A7E" w14:textId="77777777" w:rsidTr="00EB47BA">
        <w:trPr>
          <w:tblCellSpacing w:w="15" w:type="dxa"/>
        </w:trPr>
        <w:tc>
          <w:tcPr>
            <w:tcW w:w="0" w:type="auto"/>
            <w:vAlign w:val="center"/>
            <w:hideMark/>
          </w:tcPr>
          <w:p w14:paraId="61676D97"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Peer Influence &amp; Group Behaviour</w:t>
            </w:r>
          </w:p>
        </w:tc>
        <w:tc>
          <w:tcPr>
            <w:tcW w:w="0" w:type="auto"/>
            <w:vAlign w:val="center"/>
            <w:hideMark/>
          </w:tcPr>
          <w:p w14:paraId="57E435C9"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Do employees influence each other’s decisions? Is there an "exit culture" where quitting is seen as a smart or expected move?</w:t>
            </w:r>
          </w:p>
        </w:tc>
      </w:tr>
      <w:tr w:rsidR="00EB47BA" w:rsidRPr="00EB47BA" w14:paraId="6C93C9E9" w14:textId="77777777" w:rsidTr="00EB47BA">
        <w:trPr>
          <w:tblCellSpacing w:w="15" w:type="dxa"/>
        </w:trPr>
        <w:tc>
          <w:tcPr>
            <w:tcW w:w="0" w:type="auto"/>
            <w:vAlign w:val="center"/>
            <w:hideMark/>
          </w:tcPr>
          <w:p w14:paraId="6566A1E2"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Industry &amp; Regional Norms</w:t>
            </w:r>
          </w:p>
        </w:tc>
        <w:tc>
          <w:tcPr>
            <w:tcW w:w="0" w:type="auto"/>
            <w:vAlign w:val="center"/>
            <w:hideMark/>
          </w:tcPr>
          <w:p w14:paraId="2D5D3A56"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Is high turnover common in South Wales manufacturing? Do external social factors (e.g., media, unemployment rates) reinforce quitting?</w:t>
            </w:r>
          </w:p>
        </w:tc>
      </w:tr>
      <w:tr w:rsidR="00EB47BA" w:rsidRPr="00EB47BA" w14:paraId="3598F0F7" w14:textId="77777777" w:rsidTr="00EB47BA">
        <w:trPr>
          <w:tblCellSpacing w:w="15" w:type="dxa"/>
        </w:trPr>
        <w:tc>
          <w:tcPr>
            <w:tcW w:w="0" w:type="auto"/>
            <w:vAlign w:val="center"/>
            <w:hideMark/>
          </w:tcPr>
          <w:p w14:paraId="7CB5D339"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Example of Observing Group Dynamics</w:t>
            </w:r>
          </w:p>
        </w:tc>
        <w:tc>
          <w:tcPr>
            <w:tcW w:w="0" w:type="auto"/>
            <w:vAlign w:val="center"/>
            <w:hideMark/>
          </w:tcPr>
          <w:p w14:paraId="66751AFB"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A researcher listens to break room conversations, attends management meetings, and analyses whether employees quit in clusters.</w:t>
            </w:r>
          </w:p>
        </w:tc>
      </w:tr>
      <w:tr w:rsidR="00EB47BA" w:rsidRPr="00EB47BA" w14:paraId="0DC1AE37" w14:textId="77777777" w:rsidTr="00EB47BA">
        <w:trPr>
          <w:tblCellSpacing w:w="15" w:type="dxa"/>
        </w:trPr>
        <w:tc>
          <w:tcPr>
            <w:tcW w:w="0" w:type="auto"/>
            <w:vAlign w:val="center"/>
            <w:hideMark/>
          </w:tcPr>
          <w:p w14:paraId="47610F25"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Key Takeaway</w:t>
            </w:r>
          </w:p>
        </w:tc>
        <w:tc>
          <w:tcPr>
            <w:tcW w:w="0" w:type="auto"/>
            <w:vAlign w:val="center"/>
            <w:hideMark/>
          </w:tcPr>
          <w:p w14:paraId="718EC8FE" w14:textId="77777777" w:rsidR="00EB47BA" w:rsidRPr="00EB47BA" w:rsidRDefault="00EB47BA" w:rsidP="00EB47BA">
            <w:pPr>
              <w:spacing w:after="0"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Quitting is an individual action, but it is socially shaped by workplace culture, norms, and shared beliefs.</w:t>
            </w:r>
          </w:p>
        </w:tc>
      </w:tr>
    </w:tbl>
    <w:p w14:paraId="4DDB62BD" w14:textId="77777777" w:rsidR="00EB47BA" w:rsidRPr="00EB47BA" w:rsidRDefault="00EB47BA" w:rsidP="00EB47BA">
      <w:pPr>
        <w:spacing w:before="100" w:beforeAutospacing="1" w:after="100" w:afterAutospacing="1" w:line="240" w:lineRule="auto"/>
        <w:outlineLvl w:val="2"/>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What Does "Observing Group Dynamics" Mean for High Turnover?</w:t>
      </w:r>
    </w:p>
    <w:p w14:paraId="7467D3D5" w14:textId="77777777" w:rsidR="00EB47BA" w:rsidRPr="00EB47BA" w:rsidRDefault="00EB47BA" w:rsidP="00EB47BA">
      <w:p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Instead of only asking individuals why they quit, a social constructionist researcher would:</w:t>
      </w:r>
    </w:p>
    <w:p w14:paraId="4E369727" w14:textId="77777777" w:rsidR="00EB47BA" w:rsidRPr="00EB47BA" w:rsidRDefault="00EB47BA" w:rsidP="00EB47BA">
      <w:pPr>
        <w:numPr>
          <w:ilvl w:val="0"/>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Look at Workplace Conversations &amp; Narratives</w:t>
      </w:r>
    </w:p>
    <w:p w14:paraId="1F5187EA" w14:textId="77777777" w:rsidR="00EB47BA" w:rsidRPr="00EB47BA" w:rsidRDefault="00EB47BA" w:rsidP="00EB47BA">
      <w:pPr>
        <w:numPr>
          <w:ilvl w:val="1"/>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Do employees frequently talk about leaving as "the norm"?</w:t>
      </w:r>
    </w:p>
    <w:p w14:paraId="15D7E032" w14:textId="77777777" w:rsidR="00EB47BA" w:rsidRPr="00EB47BA" w:rsidRDefault="00EB47BA" w:rsidP="00EB47BA">
      <w:pPr>
        <w:numPr>
          <w:ilvl w:val="1"/>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Is there a shared belief that "better jobs are always elsewhere"?</w:t>
      </w:r>
    </w:p>
    <w:p w14:paraId="15C09CE2" w14:textId="77777777" w:rsidR="00EB47BA" w:rsidRPr="00EB47BA" w:rsidRDefault="00EB47BA" w:rsidP="00EB47BA">
      <w:pPr>
        <w:numPr>
          <w:ilvl w:val="1"/>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Are new employees socialised into expecting short-term employment?</w:t>
      </w:r>
    </w:p>
    <w:p w14:paraId="194F3EDB" w14:textId="77777777" w:rsidR="00EB47BA" w:rsidRPr="00EB47BA" w:rsidRDefault="00EB47BA" w:rsidP="00EB47BA">
      <w:pPr>
        <w:numPr>
          <w:ilvl w:val="0"/>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Analyse How Managers &amp; Employers Construct Turnover</w:t>
      </w:r>
    </w:p>
    <w:p w14:paraId="102B063E" w14:textId="77777777" w:rsidR="00EB47BA" w:rsidRPr="00EB47BA" w:rsidRDefault="00EB47BA" w:rsidP="00EB47BA">
      <w:pPr>
        <w:numPr>
          <w:ilvl w:val="1"/>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Do managers see turnover as a “worker problem” rather than a workplace issue?</w:t>
      </w:r>
    </w:p>
    <w:p w14:paraId="5D9B3237" w14:textId="77777777" w:rsidR="00EB47BA" w:rsidRPr="00EB47BA" w:rsidRDefault="00EB47BA" w:rsidP="00EB47BA">
      <w:pPr>
        <w:numPr>
          <w:ilvl w:val="1"/>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Is turnover framed as inevitable or a failure in leadership?</w:t>
      </w:r>
    </w:p>
    <w:p w14:paraId="25E262F1" w14:textId="77777777" w:rsidR="00EB47BA" w:rsidRPr="00EB47BA" w:rsidRDefault="00EB47BA" w:rsidP="00EB47BA">
      <w:pPr>
        <w:numPr>
          <w:ilvl w:val="0"/>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Observe Peer Influence &amp; Group Behaviours</w:t>
      </w:r>
    </w:p>
    <w:p w14:paraId="78FA6DCC" w14:textId="77777777" w:rsidR="00EB47BA" w:rsidRPr="00EB47BA" w:rsidRDefault="00EB47BA" w:rsidP="00EB47BA">
      <w:pPr>
        <w:numPr>
          <w:ilvl w:val="1"/>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Do employees influence each other’s decisions to quit (e.g., if one leaves, do others follow)?</w:t>
      </w:r>
    </w:p>
    <w:p w14:paraId="3A53186E" w14:textId="77777777" w:rsidR="00EB47BA" w:rsidRPr="00EB47BA" w:rsidRDefault="00EB47BA" w:rsidP="00EB47BA">
      <w:pPr>
        <w:numPr>
          <w:ilvl w:val="1"/>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Is there an “exit culture”, where quitting is encouraged or seen as a smart move?</w:t>
      </w:r>
    </w:p>
    <w:p w14:paraId="20DD0E67" w14:textId="77777777" w:rsidR="00EB47BA" w:rsidRPr="00EB47BA" w:rsidRDefault="00EB47BA" w:rsidP="00EB47BA">
      <w:pPr>
        <w:numPr>
          <w:ilvl w:val="0"/>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Examine Industry &amp; Regional Norms</w:t>
      </w:r>
    </w:p>
    <w:p w14:paraId="5B7E421C" w14:textId="77777777" w:rsidR="00EB47BA" w:rsidRPr="00EB47BA" w:rsidRDefault="00EB47BA" w:rsidP="00EB47BA">
      <w:pPr>
        <w:numPr>
          <w:ilvl w:val="1"/>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Is high turnover common in South Wales manufacturing due to shared beliefs about job stability?</w:t>
      </w:r>
    </w:p>
    <w:p w14:paraId="15BB0AF6" w14:textId="77777777" w:rsidR="00EB47BA" w:rsidRPr="00EB47BA" w:rsidRDefault="00EB47BA" w:rsidP="00EB47BA">
      <w:pPr>
        <w:numPr>
          <w:ilvl w:val="1"/>
          <w:numId w:val="2"/>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Do external social factors (e.g., local unemployment rates, media narratives) reinforce quitting as a logical step?</w:t>
      </w:r>
    </w:p>
    <w:p w14:paraId="43A02A3A" w14:textId="77777777" w:rsidR="00EB47BA" w:rsidRPr="00EB47BA" w:rsidRDefault="00EB47BA" w:rsidP="00EB47BA">
      <w:pPr>
        <w:spacing w:before="100" w:beforeAutospacing="1" w:after="100" w:afterAutospacing="1" w:line="240" w:lineRule="auto"/>
        <w:outlineLvl w:val="2"/>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Example of Observing Group Dynamics in a Manufacturing Plant</w:t>
      </w:r>
    </w:p>
    <w:p w14:paraId="7280C903" w14:textId="77777777" w:rsidR="00EB47BA" w:rsidRPr="00EB47BA" w:rsidRDefault="00EB47BA" w:rsidP="00EB47BA">
      <w:p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Imagine a researcher conducting ethnographic fieldwork in a South Wales factory with high turnover. Instead of just interviewing workers about their personal reasons for leaving, they might:</w:t>
      </w:r>
    </w:p>
    <w:p w14:paraId="51AC5F0A" w14:textId="77777777" w:rsidR="00EB47BA" w:rsidRPr="00EB47BA" w:rsidRDefault="00EB47BA" w:rsidP="00EB47BA">
      <w:pPr>
        <w:numPr>
          <w:ilvl w:val="0"/>
          <w:numId w:val="3"/>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lastRenderedPageBreak/>
        <w:t>Sit in break rooms and listen to how employees talk about their jobs.</w:t>
      </w:r>
    </w:p>
    <w:p w14:paraId="5CC6F2A6" w14:textId="77777777" w:rsidR="00EB47BA" w:rsidRPr="00EB47BA" w:rsidRDefault="00EB47BA" w:rsidP="00EB47BA">
      <w:pPr>
        <w:numPr>
          <w:ilvl w:val="0"/>
          <w:numId w:val="3"/>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Attend meetings to see how managers discuss retention.</w:t>
      </w:r>
    </w:p>
    <w:p w14:paraId="5757B959" w14:textId="77777777" w:rsidR="00EB47BA" w:rsidRPr="00EB47BA" w:rsidRDefault="00EB47BA" w:rsidP="00EB47BA">
      <w:pPr>
        <w:numPr>
          <w:ilvl w:val="0"/>
          <w:numId w:val="3"/>
        </w:num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Analyse exit patterns (e.g., do employees quit in clusters, following peers?).</w:t>
      </w:r>
    </w:p>
    <w:p w14:paraId="5B6E6C83" w14:textId="77777777" w:rsidR="00EB47BA" w:rsidRPr="00EB47BA" w:rsidRDefault="00EB47BA" w:rsidP="00EB47BA">
      <w:pPr>
        <w:spacing w:before="100" w:beforeAutospacing="1" w:after="100" w:afterAutospacing="1" w:line="240" w:lineRule="auto"/>
        <w:outlineLvl w:val="2"/>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Key Takeaway</w:t>
      </w:r>
    </w:p>
    <w:p w14:paraId="7A9F67A9" w14:textId="5B1B9627" w:rsidR="00EB47BA" w:rsidRPr="007F73E6" w:rsidRDefault="00EB47BA" w:rsidP="00534B42">
      <w:pPr>
        <w:spacing w:before="100" w:beforeAutospacing="1" w:after="100" w:afterAutospacing="1" w:line="240" w:lineRule="auto"/>
        <w:rPr>
          <w:rFonts w:asciiTheme="minorBidi" w:eastAsia="Times New Roman" w:hAnsiTheme="minorBidi"/>
          <w:kern w:val="0"/>
          <w:sz w:val="22"/>
          <w:szCs w:val="22"/>
          <w14:ligatures w14:val="none"/>
        </w:rPr>
      </w:pPr>
      <w:r w:rsidRPr="00EB47BA">
        <w:rPr>
          <w:rFonts w:asciiTheme="minorBidi" w:eastAsia="Times New Roman" w:hAnsiTheme="minorBidi"/>
          <w:kern w:val="0"/>
          <w:sz w:val="22"/>
          <w:szCs w:val="22"/>
          <w14:ligatures w14:val="none"/>
        </w:rPr>
        <w:t>Even though quitting is an individual decision, it is often shaped by group-level influences. Observing group dynamics helps researchers understand how turnover is constructed as "normal" or "inevitable" within a workplace culture.</w:t>
      </w:r>
    </w:p>
    <w:p w14:paraId="5E92EF78" w14:textId="10557A36" w:rsidR="007F73E6" w:rsidRPr="007F73E6" w:rsidRDefault="007F73E6" w:rsidP="007F73E6">
      <w:pPr>
        <w:spacing w:before="100" w:beforeAutospacing="1" w:after="100" w:afterAutospacing="1" w:line="240" w:lineRule="auto"/>
        <w:rPr>
          <w:rFonts w:asciiTheme="minorBidi" w:eastAsia="Times New Roman" w:hAnsiTheme="minorBidi"/>
          <w:kern w:val="0"/>
          <w:sz w:val="22"/>
          <w:szCs w:val="22"/>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77"/>
        <w:gridCol w:w="6939"/>
      </w:tblGrid>
      <w:tr w:rsidR="00BA7D10" w:rsidRPr="007F73E6" w14:paraId="388A0781" w14:textId="77777777" w:rsidTr="00355375">
        <w:trPr>
          <w:tblHeader/>
          <w:tblCellSpacing w:w="15" w:type="dxa"/>
        </w:trPr>
        <w:tc>
          <w:tcPr>
            <w:tcW w:w="0" w:type="auto"/>
            <w:gridSpan w:val="2"/>
            <w:vAlign w:val="center"/>
          </w:tcPr>
          <w:p w14:paraId="3A3E2017" w14:textId="4173CBD0" w:rsidR="00BA7D10" w:rsidRPr="007F73E6" w:rsidRDefault="00BA7D10" w:rsidP="00BA7D10">
            <w:pPr>
              <w:spacing w:before="100" w:beforeAutospacing="1" w:after="100" w:afterAutospacing="1" w:line="240" w:lineRule="auto"/>
              <w:rPr>
                <w:rFonts w:asciiTheme="minorBidi" w:eastAsia="Times New Roman" w:hAnsiTheme="minorBidi"/>
                <w:kern w:val="0"/>
                <w:sz w:val="22"/>
                <w:szCs w:val="22"/>
                <w14:ligatures w14:val="none"/>
              </w:rPr>
            </w:pPr>
            <w:r w:rsidRPr="007F73E6">
              <w:rPr>
                <w:rFonts w:asciiTheme="minorBidi" w:eastAsia="Times New Roman" w:hAnsiTheme="minorBidi"/>
                <w:kern w:val="0"/>
                <w:sz w:val="22"/>
                <w:szCs w:val="22"/>
                <w14:ligatures w14:val="none"/>
              </w:rPr>
              <w:t xml:space="preserve">Table </w:t>
            </w:r>
            <w:r>
              <w:rPr>
                <w:rFonts w:asciiTheme="minorBidi" w:eastAsia="Times New Roman" w:hAnsiTheme="minorBidi"/>
                <w:kern w:val="0"/>
                <w:sz w:val="22"/>
                <w:szCs w:val="22"/>
                <w14:ligatures w14:val="none"/>
              </w:rPr>
              <w:t>3 I</w:t>
            </w:r>
            <w:r w:rsidRPr="007F73E6">
              <w:rPr>
                <w:rFonts w:asciiTheme="minorBidi" w:eastAsia="Times New Roman" w:hAnsiTheme="minorBidi"/>
                <w:kern w:val="0"/>
                <w:sz w:val="22"/>
                <w:szCs w:val="22"/>
                <w14:ligatures w14:val="none"/>
              </w:rPr>
              <w:t xml:space="preserve">ncorporating the </w:t>
            </w:r>
            <w:r w:rsidRPr="007F73E6">
              <w:rPr>
                <w:rFonts w:asciiTheme="minorBidi" w:eastAsia="Times New Roman" w:hAnsiTheme="minorBidi"/>
                <w:b/>
                <w:bCs/>
                <w:kern w:val="0"/>
                <w:sz w:val="22"/>
                <w:szCs w:val="22"/>
                <w14:ligatures w14:val="none"/>
              </w:rPr>
              <w:t>role of a facilitator of group dynamics</w:t>
            </w:r>
            <w:r w:rsidRPr="007F73E6">
              <w:rPr>
                <w:rFonts w:asciiTheme="minorBidi" w:eastAsia="Times New Roman" w:hAnsiTheme="minorBidi"/>
                <w:kern w:val="0"/>
                <w:sz w:val="22"/>
                <w:szCs w:val="22"/>
                <w14:ligatures w14:val="none"/>
              </w:rPr>
              <w:t xml:space="preserve"> in the context of high staff turnover in South Wales manufacturing</w:t>
            </w:r>
          </w:p>
          <w:p w14:paraId="3C58DFAF" w14:textId="77777777" w:rsidR="00BA7D10" w:rsidRPr="007F73E6" w:rsidRDefault="00BA7D10" w:rsidP="007F73E6">
            <w:pPr>
              <w:spacing w:after="0" w:line="240" w:lineRule="auto"/>
              <w:jc w:val="center"/>
              <w:rPr>
                <w:rFonts w:asciiTheme="minorBidi" w:eastAsia="Times New Roman" w:hAnsiTheme="minorBidi"/>
                <w:b/>
                <w:bCs/>
                <w:kern w:val="0"/>
                <w:sz w:val="22"/>
                <w:szCs w:val="22"/>
                <w14:ligatures w14:val="none"/>
              </w:rPr>
            </w:pPr>
          </w:p>
        </w:tc>
      </w:tr>
      <w:tr w:rsidR="007F73E6" w:rsidRPr="007F73E6" w14:paraId="44415515" w14:textId="77777777" w:rsidTr="007F73E6">
        <w:trPr>
          <w:tblHeader/>
          <w:tblCellSpacing w:w="15" w:type="dxa"/>
        </w:trPr>
        <w:tc>
          <w:tcPr>
            <w:tcW w:w="0" w:type="auto"/>
            <w:vAlign w:val="center"/>
            <w:hideMark/>
          </w:tcPr>
          <w:p w14:paraId="45F9B8D8" w14:textId="77777777" w:rsidR="007F73E6" w:rsidRPr="007F73E6" w:rsidRDefault="007F73E6" w:rsidP="007F73E6">
            <w:pPr>
              <w:spacing w:after="0" w:line="240" w:lineRule="auto"/>
              <w:jc w:val="center"/>
              <w:rPr>
                <w:rFonts w:asciiTheme="minorBidi" w:eastAsia="Times New Roman" w:hAnsiTheme="minorBidi"/>
                <w:b/>
                <w:bCs/>
                <w:kern w:val="0"/>
                <w:sz w:val="22"/>
                <w:szCs w:val="22"/>
                <w14:ligatures w14:val="none"/>
              </w:rPr>
            </w:pPr>
            <w:r w:rsidRPr="007F73E6">
              <w:rPr>
                <w:rFonts w:asciiTheme="minorBidi" w:eastAsia="Times New Roman" w:hAnsiTheme="minorBidi"/>
                <w:b/>
                <w:bCs/>
                <w:kern w:val="0"/>
                <w:sz w:val="22"/>
                <w:szCs w:val="22"/>
                <w14:ligatures w14:val="none"/>
              </w:rPr>
              <w:t>Aspect</w:t>
            </w:r>
          </w:p>
        </w:tc>
        <w:tc>
          <w:tcPr>
            <w:tcW w:w="0" w:type="auto"/>
            <w:vAlign w:val="center"/>
            <w:hideMark/>
          </w:tcPr>
          <w:p w14:paraId="1834FFAD" w14:textId="77777777" w:rsidR="007F73E6" w:rsidRPr="007F73E6" w:rsidRDefault="007F73E6" w:rsidP="007F73E6">
            <w:pPr>
              <w:spacing w:after="0" w:line="240" w:lineRule="auto"/>
              <w:jc w:val="center"/>
              <w:rPr>
                <w:rFonts w:asciiTheme="minorBidi" w:eastAsia="Times New Roman" w:hAnsiTheme="minorBidi"/>
                <w:b/>
                <w:bCs/>
                <w:kern w:val="0"/>
                <w:sz w:val="22"/>
                <w:szCs w:val="22"/>
                <w14:ligatures w14:val="none"/>
              </w:rPr>
            </w:pPr>
            <w:r w:rsidRPr="007F73E6">
              <w:rPr>
                <w:rFonts w:asciiTheme="minorBidi" w:eastAsia="Times New Roman" w:hAnsiTheme="minorBidi"/>
                <w:b/>
                <w:bCs/>
                <w:kern w:val="0"/>
                <w:sz w:val="22"/>
                <w:szCs w:val="22"/>
                <w14:ligatures w14:val="none"/>
              </w:rPr>
              <w:t>Explanation (Social Constructionist Perspective on High Turnover)</w:t>
            </w:r>
          </w:p>
        </w:tc>
      </w:tr>
      <w:tr w:rsidR="007F73E6" w:rsidRPr="007F73E6" w14:paraId="171BA448" w14:textId="77777777" w:rsidTr="007F73E6">
        <w:trPr>
          <w:tblCellSpacing w:w="15" w:type="dxa"/>
        </w:trPr>
        <w:tc>
          <w:tcPr>
            <w:tcW w:w="0" w:type="auto"/>
            <w:vAlign w:val="center"/>
            <w:hideMark/>
          </w:tcPr>
          <w:p w14:paraId="1969DA2D"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b/>
                <w:bCs/>
                <w:kern w:val="0"/>
                <w:sz w:val="22"/>
                <w:szCs w:val="22"/>
                <w14:ligatures w14:val="none"/>
              </w:rPr>
              <w:t>What is Observed?</w:t>
            </w:r>
          </w:p>
        </w:tc>
        <w:tc>
          <w:tcPr>
            <w:tcW w:w="0" w:type="auto"/>
            <w:vAlign w:val="center"/>
            <w:hideMark/>
          </w:tcPr>
          <w:p w14:paraId="0CE3B822"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kern w:val="0"/>
                <w:sz w:val="22"/>
                <w:szCs w:val="22"/>
                <w14:ligatures w14:val="none"/>
              </w:rPr>
              <w:t>Group interactions, workplace culture, shared narratives, and peer influences on turnover.</w:t>
            </w:r>
          </w:p>
        </w:tc>
      </w:tr>
      <w:tr w:rsidR="007F73E6" w:rsidRPr="007F73E6" w14:paraId="6D3AEFF4" w14:textId="77777777" w:rsidTr="007F73E6">
        <w:trPr>
          <w:tblCellSpacing w:w="15" w:type="dxa"/>
        </w:trPr>
        <w:tc>
          <w:tcPr>
            <w:tcW w:w="0" w:type="auto"/>
            <w:vAlign w:val="center"/>
            <w:hideMark/>
          </w:tcPr>
          <w:p w14:paraId="1A7A0CEA"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b/>
                <w:bCs/>
                <w:kern w:val="0"/>
                <w:sz w:val="22"/>
                <w:szCs w:val="22"/>
                <w14:ligatures w14:val="none"/>
              </w:rPr>
              <w:t>Workplace Conversations &amp; Narratives</w:t>
            </w:r>
          </w:p>
        </w:tc>
        <w:tc>
          <w:tcPr>
            <w:tcW w:w="0" w:type="auto"/>
            <w:vAlign w:val="center"/>
            <w:hideMark/>
          </w:tcPr>
          <w:p w14:paraId="574E2DAB"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kern w:val="0"/>
                <w:sz w:val="22"/>
                <w:szCs w:val="22"/>
                <w14:ligatures w14:val="none"/>
              </w:rPr>
              <w:t xml:space="preserve">Do employees talk about leaving as </w:t>
            </w:r>
            <w:r w:rsidRPr="007F73E6">
              <w:rPr>
                <w:rFonts w:asciiTheme="minorBidi" w:eastAsia="Times New Roman" w:hAnsiTheme="minorBidi"/>
                <w:b/>
                <w:bCs/>
                <w:kern w:val="0"/>
                <w:sz w:val="22"/>
                <w:szCs w:val="22"/>
                <w14:ligatures w14:val="none"/>
              </w:rPr>
              <w:t>"normal" or "inevitable"</w:t>
            </w:r>
            <w:r w:rsidRPr="007F73E6">
              <w:rPr>
                <w:rFonts w:asciiTheme="minorBidi" w:eastAsia="Times New Roman" w:hAnsiTheme="minorBidi"/>
                <w:kern w:val="0"/>
                <w:sz w:val="22"/>
                <w:szCs w:val="22"/>
                <w14:ligatures w14:val="none"/>
              </w:rPr>
              <w:t xml:space="preserve">? Is there a shared belief that </w:t>
            </w:r>
            <w:r w:rsidRPr="007F73E6">
              <w:rPr>
                <w:rFonts w:asciiTheme="minorBidi" w:eastAsia="Times New Roman" w:hAnsiTheme="minorBidi"/>
                <w:b/>
                <w:bCs/>
                <w:kern w:val="0"/>
                <w:sz w:val="22"/>
                <w:szCs w:val="22"/>
                <w14:ligatures w14:val="none"/>
              </w:rPr>
              <w:t>"better jobs are elsewhere"</w:t>
            </w:r>
            <w:r w:rsidRPr="007F73E6">
              <w:rPr>
                <w:rFonts w:asciiTheme="minorBidi" w:eastAsia="Times New Roman" w:hAnsiTheme="minorBidi"/>
                <w:kern w:val="0"/>
                <w:sz w:val="22"/>
                <w:szCs w:val="22"/>
                <w14:ligatures w14:val="none"/>
              </w:rPr>
              <w:t>?</w:t>
            </w:r>
          </w:p>
        </w:tc>
      </w:tr>
      <w:tr w:rsidR="007F73E6" w:rsidRPr="007F73E6" w14:paraId="5245A8BF" w14:textId="77777777" w:rsidTr="007F73E6">
        <w:trPr>
          <w:tblCellSpacing w:w="15" w:type="dxa"/>
        </w:trPr>
        <w:tc>
          <w:tcPr>
            <w:tcW w:w="0" w:type="auto"/>
            <w:vAlign w:val="center"/>
            <w:hideMark/>
          </w:tcPr>
          <w:p w14:paraId="091466FE"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b/>
                <w:bCs/>
                <w:kern w:val="0"/>
                <w:sz w:val="22"/>
                <w:szCs w:val="22"/>
                <w14:ligatures w14:val="none"/>
              </w:rPr>
              <w:t>Employer &amp; Management Discourse</w:t>
            </w:r>
          </w:p>
        </w:tc>
        <w:tc>
          <w:tcPr>
            <w:tcW w:w="0" w:type="auto"/>
            <w:vAlign w:val="center"/>
            <w:hideMark/>
          </w:tcPr>
          <w:p w14:paraId="6EBFE1C8"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kern w:val="0"/>
                <w:sz w:val="22"/>
                <w:szCs w:val="22"/>
                <w14:ligatures w14:val="none"/>
              </w:rPr>
              <w:t xml:space="preserve">How do managers explain turnover? Do they see it as </w:t>
            </w:r>
            <w:r w:rsidRPr="007F73E6">
              <w:rPr>
                <w:rFonts w:asciiTheme="minorBidi" w:eastAsia="Times New Roman" w:hAnsiTheme="minorBidi"/>
                <w:b/>
                <w:bCs/>
                <w:kern w:val="0"/>
                <w:sz w:val="22"/>
                <w:szCs w:val="22"/>
                <w14:ligatures w14:val="none"/>
              </w:rPr>
              <w:t>a worker problem</w:t>
            </w:r>
            <w:r w:rsidRPr="007F73E6">
              <w:rPr>
                <w:rFonts w:asciiTheme="minorBidi" w:eastAsia="Times New Roman" w:hAnsiTheme="minorBidi"/>
                <w:kern w:val="0"/>
                <w:sz w:val="22"/>
                <w:szCs w:val="22"/>
                <w14:ligatures w14:val="none"/>
              </w:rPr>
              <w:t xml:space="preserve"> or </w:t>
            </w:r>
            <w:r w:rsidRPr="007F73E6">
              <w:rPr>
                <w:rFonts w:asciiTheme="minorBidi" w:eastAsia="Times New Roman" w:hAnsiTheme="minorBidi"/>
                <w:b/>
                <w:bCs/>
                <w:kern w:val="0"/>
                <w:sz w:val="22"/>
                <w:szCs w:val="22"/>
                <w14:ligatures w14:val="none"/>
              </w:rPr>
              <w:t>a leadership issue</w:t>
            </w:r>
            <w:r w:rsidRPr="007F73E6">
              <w:rPr>
                <w:rFonts w:asciiTheme="minorBidi" w:eastAsia="Times New Roman" w:hAnsiTheme="minorBidi"/>
                <w:kern w:val="0"/>
                <w:sz w:val="22"/>
                <w:szCs w:val="22"/>
                <w14:ligatures w14:val="none"/>
              </w:rPr>
              <w:t>? Does HR normalise quitting?</w:t>
            </w:r>
          </w:p>
        </w:tc>
      </w:tr>
      <w:tr w:rsidR="007F73E6" w:rsidRPr="007F73E6" w14:paraId="5AC6D569" w14:textId="77777777" w:rsidTr="007F73E6">
        <w:trPr>
          <w:tblCellSpacing w:w="15" w:type="dxa"/>
        </w:trPr>
        <w:tc>
          <w:tcPr>
            <w:tcW w:w="0" w:type="auto"/>
            <w:vAlign w:val="center"/>
            <w:hideMark/>
          </w:tcPr>
          <w:p w14:paraId="5567813A"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b/>
                <w:bCs/>
                <w:kern w:val="0"/>
                <w:sz w:val="22"/>
                <w:szCs w:val="22"/>
                <w14:ligatures w14:val="none"/>
              </w:rPr>
              <w:t>Peer Influence &amp; Group Behaviour</w:t>
            </w:r>
          </w:p>
        </w:tc>
        <w:tc>
          <w:tcPr>
            <w:tcW w:w="0" w:type="auto"/>
            <w:vAlign w:val="center"/>
            <w:hideMark/>
          </w:tcPr>
          <w:p w14:paraId="7ED55FBD"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kern w:val="0"/>
                <w:sz w:val="22"/>
                <w:szCs w:val="22"/>
                <w14:ligatures w14:val="none"/>
              </w:rPr>
              <w:t xml:space="preserve">Do employees influence each other’s decisions? Is there an </w:t>
            </w:r>
            <w:r w:rsidRPr="007F73E6">
              <w:rPr>
                <w:rFonts w:asciiTheme="minorBidi" w:eastAsia="Times New Roman" w:hAnsiTheme="minorBidi"/>
                <w:b/>
                <w:bCs/>
                <w:kern w:val="0"/>
                <w:sz w:val="22"/>
                <w:szCs w:val="22"/>
                <w14:ligatures w14:val="none"/>
              </w:rPr>
              <w:t>"exit culture"</w:t>
            </w:r>
            <w:r w:rsidRPr="007F73E6">
              <w:rPr>
                <w:rFonts w:asciiTheme="minorBidi" w:eastAsia="Times New Roman" w:hAnsiTheme="minorBidi"/>
                <w:kern w:val="0"/>
                <w:sz w:val="22"/>
                <w:szCs w:val="22"/>
                <w14:ligatures w14:val="none"/>
              </w:rPr>
              <w:t xml:space="preserve"> where quitting is seen as a smart or expected move?</w:t>
            </w:r>
          </w:p>
        </w:tc>
      </w:tr>
      <w:tr w:rsidR="007F73E6" w:rsidRPr="007F73E6" w14:paraId="6EC79997" w14:textId="77777777" w:rsidTr="007F73E6">
        <w:trPr>
          <w:tblCellSpacing w:w="15" w:type="dxa"/>
        </w:trPr>
        <w:tc>
          <w:tcPr>
            <w:tcW w:w="0" w:type="auto"/>
            <w:vAlign w:val="center"/>
            <w:hideMark/>
          </w:tcPr>
          <w:p w14:paraId="18F611D0"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b/>
                <w:bCs/>
                <w:kern w:val="0"/>
                <w:sz w:val="22"/>
                <w:szCs w:val="22"/>
                <w14:ligatures w14:val="none"/>
              </w:rPr>
              <w:t>Industry &amp; Regional Norms</w:t>
            </w:r>
          </w:p>
        </w:tc>
        <w:tc>
          <w:tcPr>
            <w:tcW w:w="0" w:type="auto"/>
            <w:vAlign w:val="center"/>
            <w:hideMark/>
          </w:tcPr>
          <w:p w14:paraId="331604EC"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kern w:val="0"/>
                <w:sz w:val="22"/>
                <w:szCs w:val="22"/>
                <w14:ligatures w14:val="none"/>
              </w:rPr>
              <w:t xml:space="preserve">Is </w:t>
            </w:r>
            <w:r w:rsidRPr="007F73E6">
              <w:rPr>
                <w:rFonts w:asciiTheme="minorBidi" w:eastAsia="Times New Roman" w:hAnsiTheme="minorBidi"/>
                <w:b/>
                <w:bCs/>
                <w:kern w:val="0"/>
                <w:sz w:val="22"/>
                <w:szCs w:val="22"/>
                <w14:ligatures w14:val="none"/>
              </w:rPr>
              <w:t>high turnover common in South Wales manufacturing</w:t>
            </w:r>
            <w:r w:rsidRPr="007F73E6">
              <w:rPr>
                <w:rFonts w:asciiTheme="minorBidi" w:eastAsia="Times New Roman" w:hAnsiTheme="minorBidi"/>
                <w:kern w:val="0"/>
                <w:sz w:val="22"/>
                <w:szCs w:val="22"/>
                <w14:ligatures w14:val="none"/>
              </w:rPr>
              <w:t>? Do external social factors (e.g., media, unemployment rates) reinforce quitting?</w:t>
            </w:r>
          </w:p>
        </w:tc>
      </w:tr>
      <w:tr w:rsidR="007F73E6" w:rsidRPr="007F73E6" w14:paraId="34C1FCA0" w14:textId="77777777" w:rsidTr="007F73E6">
        <w:trPr>
          <w:tblCellSpacing w:w="15" w:type="dxa"/>
        </w:trPr>
        <w:tc>
          <w:tcPr>
            <w:tcW w:w="0" w:type="auto"/>
            <w:vAlign w:val="center"/>
            <w:hideMark/>
          </w:tcPr>
          <w:p w14:paraId="7A5C171C"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b/>
                <w:bCs/>
                <w:kern w:val="0"/>
                <w:sz w:val="22"/>
                <w:szCs w:val="22"/>
                <w14:ligatures w14:val="none"/>
              </w:rPr>
              <w:t>Example of Observing Group Dynamics</w:t>
            </w:r>
          </w:p>
        </w:tc>
        <w:tc>
          <w:tcPr>
            <w:tcW w:w="0" w:type="auto"/>
            <w:vAlign w:val="center"/>
            <w:hideMark/>
          </w:tcPr>
          <w:p w14:paraId="39EF84AF"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kern w:val="0"/>
                <w:sz w:val="22"/>
                <w:szCs w:val="22"/>
                <w14:ligatures w14:val="none"/>
              </w:rPr>
              <w:t>A researcher listens to break room conversations, attends management meetings, and analyses whether employees quit in clusters.</w:t>
            </w:r>
          </w:p>
        </w:tc>
      </w:tr>
      <w:tr w:rsidR="007F73E6" w:rsidRPr="007F73E6" w14:paraId="2D331379" w14:textId="77777777" w:rsidTr="007F73E6">
        <w:trPr>
          <w:tblCellSpacing w:w="15" w:type="dxa"/>
        </w:trPr>
        <w:tc>
          <w:tcPr>
            <w:tcW w:w="0" w:type="auto"/>
            <w:vAlign w:val="center"/>
            <w:hideMark/>
          </w:tcPr>
          <w:p w14:paraId="110551CE"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b/>
                <w:bCs/>
                <w:kern w:val="0"/>
                <w:sz w:val="22"/>
                <w:szCs w:val="22"/>
                <w14:ligatures w14:val="none"/>
              </w:rPr>
              <w:t>Facilitating Group Dynamics</w:t>
            </w:r>
          </w:p>
        </w:tc>
        <w:tc>
          <w:tcPr>
            <w:tcW w:w="0" w:type="auto"/>
            <w:vAlign w:val="center"/>
            <w:hideMark/>
          </w:tcPr>
          <w:p w14:paraId="142010D9"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kern w:val="0"/>
                <w:sz w:val="22"/>
                <w:szCs w:val="22"/>
                <w14:ligatures w14:val="none"/>
              </w:rPr>
              <w:t xml:space="preserve">Instead of just observing, the researcher </w:t>
            </w:r>
            <w:r w:rsidRPr="007F73E6">
              <w:rPr>
                <w:rFonts w:asciiTheme="minorBidi" w:eastAsia="Times New Roman" w:hAnsiTheme="minorBidi"/>
                <w:b/>
                <w:bCs/>
                <w:kern w:val="0"/>
                <w:sz w:val="22"/>
                <w:szCs w:val="22"/>
                <w14:ligatures w14:val="none"/>
              </w:rPr>
              <w:t>guides discussions</w:t>
            </w:r>
            <w:r w:rsidRPr="007F73E6">
              <w:rPr>
                <w:rFonts w:asciiTheme="minorBidi" w:eastAsia="Times New Roman" w:hAnsiTheme="minorBidi"/>
                <w:kern w:val="0"/>
                <w:sz w:val="22"/>
                <w:szCs w:val="22"/>
                <w14:ligatures w14:val="none"/>
              </w:rPr>
              <w:t xml:space="preserve"> (e.g., in focus groups or management meetings) to see </w:t>
            </w:r>
            <w:r w:rsidRPr="007F73E6">
              <w:rPr>
                <w:rFonts w:asciiTheme="minorBidi" w:eastAsia="Times New Roman" w:hAnsiTheme="minorBidi"/>
                <w:b/>
                <w:bCs/>
                <w:kern w:val="0"/>
                <w:sz w:val="22"/>
                <w:szCs w:val="22"/>
                <w14:ligatures w14:val="none"/>
              </w:rPr>
              <w:t>how shared meanings about turnover are negotiated</w:t>
            </w:r>
            <w:r w:rsidRPr="007F73E6">
              <w:rPr>
                <w:rFonts w:asciiTheme="minorBidi" w:eastAsia="Times New Roman" w:hAnsiTheme="minorBidi"/>
                <w:kern w:val="0"/>
                <w:sz w:val="22"/>
                <w:szCs w:val="22"/>
                <w14:ligatures w14:val="none"/>
              </w:rPr>
              <w:t>.</w:t>
            </w:r>
          </w:p>
        </w:tc>
      </w:tr>
      <w:tr w:rsidR="007F73E6" w:rsidRPr="007F73E6" w14:paraId="0F31CB5C" w14:textId="77777777" w:rsidTr="007F73E6">
        <w:trPr>
          <w:tblCellSpacing w:w="15" w:type="dxa"/>
        </w:trPr>
        <w:tc>
          <w:tcPr>
            <w:tcW w:w="0" w:type="auto"/>
            <w:vAlign w:val="center"/>
            <w:hideMark/>
          </w:tcPr>
          <w:p w14:paraId="1B7EDD1B"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b/>
                <w:bCs/>
                <w:kern w:val="0"/>
                <w:sz w:val="22"/>
                <w:szCs w:val="22"/>
                <w14:ligatures w14:val="none"/>
              </w:rPr>
              <w:t>How Facilitation Works</w:t>
            </w:r>
          </w:p>
        </w:tc>
        <w:tc>
          <w:tcPr>
            <w:tcW w:w="0" w:type="auto"/>
            <w:vAlign w:val="center"/>
            <w:hideMark/>
          </w:tcPr>
          <w:p w14:paraId="6CF5079C"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kern w:val="0"/>
                <w:sz w:val="22"/>
                <w:szCs w:val="22"/>
                <w14:ligatures w14:val="none"/>
              </w:rPr>
              <w:t xml:space="preserve">- </w:t>
            </w:r>
            <w:r w:rsidRPr="007F73E6">
              <w:rPr>
                <w:rFonts w:asciiTheme="minorBidi" w:eastAsia="Times New Roman" w:hAnsiTheme="minorBidi"/>
                <w:b/>
                <w:bCs/>
                <w:kern w:val="0"/>
                <w:sz w:val="22"/>
                <w:szCs w:val="22"/>
                <w14:ligatures w14:val="none"/>
              </w:rPr>
              <w:t>Employees</w:t>
            </w:r>
            <w:r w:rsidRPr="007F73E6">
              <w:rPr>
                <w:rFonts w:asciiTheme="minorBidi" w:eastAsia="Times New Roman" w:hAnsiTheme="minorBidi"/>
                <w:kern w:val="0"/>
                <w:sz w:val="22"/>
                <w:szCs w:val="22"/>
                <w14:ligatures w14:val="none"/>
              </w:rPr>
              <w:t xml:space="preserve">: Encourages discussion about why they leave, whether quitting is seen as personal or cultural. - </w:t>
            </w:r>
            <w:r w:rsidRPr="007F73E6">
              <w:rPr>
                <w:rFonts w:asciiTheme="minorBidi" w:eastAsia="Times New Roman" w:hAnsiTheme="minorBidi"/>
                <w:b/>
                <w:bCs/>
                <w:kern w:val="0"/>
                <w:sz w:val="22"/>
                <w:szCs w:val="22"/>
                <w14:ligatures w14:val="none"/>
              </w:rPr>
              <w:t>Managers</w:t>
            </w:r>
            <w:r w:rsidRPr="007F73E6">
              <w:rPr>
                <w:rFonts w:asciiTheme="minorBidi" w:eastAsia="Times New Roman" w:hAnsiTheme="minorBidi"/>
                <w:kern w:val="0"/>
                <w:sz w:val="22"/>
                <w:szCs w:val="22"/>
                <w14:ligatures w14:val="none"/>
              </w:rPr>
              <w:t xml:space="preserve">: Challenges assumptions about turnover, helping them reflect on how their discourse shapes retention. - </w:t>
            </w:r>
            <w:r w:rsidRPr="007F73E6">
              <w:rPr>
                <w:rFonts w:asciiTheme="minorBidi" w:eastAsia="Times New Roman" w:hAnsiTheme="minorBidi"/>
                <w:b/>
                <w:bCs/>
                <w:kern w:val="0"/>
                <w:sz w:val="22"/>
                <w:szCs w:val="22"/>
                <w14:ligatures w14:val="none"/>
              </w:rPr>
              <w:t>Team Decisions</w:t>
            </w:r>
            <w:r w:rsidRPr="007F73E6">
              <w:rPr>
                <w:rFonts w:asciiTheme="minorBidi" w:eastAsia="Times New Roman" w:hAnsiTheme="minorBidi"/>
                <w:kern w:val="0"/>
                <w:sz w:val="22"/>
                <w:szCs w:val="22"/>
                <w14:ligatures w14:val="none"/>
              </w:rPr>
              <w:t>: Observes how employees collectively frame job dissatisfaction and quitting as a shared norm.</w:t>
            </w:r>
          </w:p>
        </w:tc>
      </w:tr>
      <w:tr w:rsidR="007F73E6" w:rsidRPr="007F73E6" w14:paraId="62F448DD" w14:textId="77777777" w:rsidTr="007F73E6">
        <w:trPr>
          <w:tblCellSpacing w:w="15" w:type="dxa"/>
        </w:trPr>
        <w:tc>
          <w:tcPr>
            <w:tcW w:w="0" w:type="auto"/>
            <w:vAlign w:val="center"/>
            <w:hideMark/>
          </w:tcPr>
          <w:p w14:paraId="04533A41"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b/>
                <w:bCs/>
                <w:kern w:val="0"/>
                <w:sz w:val="22"/>
                <w:szCs w:val="22"/>
                <w14:ligatures w14:val="none"/>
              </w:rPr>
              <w:t>Key Takeaway</w:t>
            </w:r>
          </w:p>
        </w:tc>
        <w:tc>
          <w:tcPr>
            <w:tcW w:w="0" w:type="auto"/>
            <w:vAlign w:val="center"/>
            <w:hideMark/>
          </w:tcPr>
          <w:p w14:paraId="07EE7B13" w14:textId="77777777" w:rsidR="007F73E6" w:rsidRPr="007F73E6" w:rsidRDefault="007F73E6" w:rsidP="007F73E6">
            <w:pPr>
              <w:spacing w:after="0" w:line="240" w:lineRule="auto"/>
              <w:rPr>
                <w:rFonts w:asciiTheme="minorBidi" w:eastAsia="Times New Roman" w:hAnsiTheme="minorBidi"/>
                <w:kern w:val="0"/>
                <w:sz w:val="22"/>
                <w:szCs w:val="22"/>
                <w14:ligatures w14:val="none"/>
              </w:rPr>
            </w:pPr>
            <w:r w:rsidRPr="007F73E6">
              <w:rPr>
                <w:rFonts w:asciiTheme="minorBidi" w:eastAsia="Times New Roman" w:hAnsiTheme="minorBidi"/>
                <w:kern w:val="0"/>
                <w:sz w:val="22"/>
                <w:szCs w:val="22"/>
                <w14:ligatures w14:val="none"/>
              </w:rPr>
              <w:t xml:space="preserve">Quitting is an </w:t>
            </w:r>
            <w:r w:rsidRPr="007F73E6">
              <w:rPr>
                <w:rFonts w:asciiTheme="minorBidi" w:eastAsia="Times New Roman" w:hAnsiTheme="minorBidi"/>
                <w:b/>
                <w:bCs/>
                <w:kern w:val="0"/>
                <w:sz w:val="22"/>
                <w:szCs w:val="22"/>
                <w14:ligatures w14:val="none"/>
              </w:rPr>
              <w:t>individual action</w:t>
            </w:r>
            <w:r w:rsidRPr="007F73E6">
              <w:rPr>
                <w:rFonts w:asciiTheme="minorBidi" w:eastAsia="Times New Roman" w:hAnsiTheme="minorBidi"/>
                <w:kern w:val="0"/>
                <w:sz w:val="22"/>
                <w:szCs w:val="22"/>
                <w14:ligatures w14:val="none"/>
              </w:rPr>
              <w:t xml:space="preserve">, but it is </w:t>
            </w:r>
            <w:r w:rsidRPr="007F73E6">
              <w:rPr>
                <w:rFonts w:asciiTheme="minorBidi" w:eastAsia="Times New Roman" w:hAnsiTheme="minorBidi"/>
                <w:b/>
                <w:bCs/>
                <w:kern w:val="0"/>
                <w:sz w:val="22"/>
                <w:szCs w:val="22"/>
                <w14:ligatures w14:val="none"/>
              </w:rPr>
              <w:t>socially shaped</w:t>
            </w:r>
            <w:r w:rsidRPr="007F73E6">
              <w:rPr>
                <w:rFonts w:asciiTheme="minorBidi" w:eastAsia="Times New Roman" w:hAnsiTheme="minorBidi"/>
                <w:kern w:val="0"/>
                <w:sz w:val="22"/>
                <w:szCs w:val="22"/>
                <w14:ligatures w14:val="none"/>
              </w:rPr>
              <w:t xml:space="preserve"> by workplace culture, norms, and shared beliefs. Facilitating discussions reveals how these meanings develop.</w:t>
            </w:r>
          </w:p>
        </w:tc>
      </w:tr>
    </w:tbl>
    <w:p w14:paraId="7A139968" w14:textId="77777777" w:rsidR="007F73E6" w:rsidRPr="007F73E6" w:rsidRDefault="007F73E6" w:rsidP="00534B42">
      <w:pPr>
        <w:spacing w:before="100" w:beforeAutospacing="1" w:after="100" w:afterAutospacing="1" w:line="240" w:lineRule="auto"/>
        <w:rPr>
          <w:rFonts w:asciiTheme="minorBidi" w:eastAsia="Times New Roman" w:hAnsiTheme="minorBidi"/>
          <w:kern w:val="0"/>
          <w:sz w:val="22"/>
          <w:szCs w:val="22"/>
          <w14:ligatures w14:val="none"/>
        </w:rPr>
      </w:pPr>
    </w:p>
    <w:p w14:paraId="63743E99" w14:textId="77777777" w:rsidR="00C86519" w:rsidRPr="00C86519" w:rsidRDefault="00C86519" w:rsidP="00C86519">
      <w:p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b/>
          <w:bCs/>
          <w:kern w:val="0"/>
          <w:sz w:val="22"/>
          <w:szCs w:val="22"/>
          <w14:ligatures w14:val="none"/>
        </w:rPr>
        <w:lastRenderedPageBreak/>
        <w:t>A facilitator of group dynamics</w:t>
      </w:r>
      <w:r w:rsidRPr="00C86519">
        <w:rPr>
          <w:rFonts w:asciiTheme="minorBidi" w:eastAsia="Times New Roman" w:hAnsiTheme="minorBidi"/>
          <w:kern w:val="0"/>
          <w:sz w:val="22"/>
          <w:szCs w:val="22"/>
          <w14:ligatures w14:val="none"/>
        </w:rPr>
        <w:t xml:space="preserve"> in research means that the researcher actively engages with and guides group interactions to understand how shared meanings and social realities are constructed. Instead of just observing, they may prompt discussions, ask reflective questions, or encourage debate to see how a group negotiates and co-creates understanding of a topic.</w:t>
      </w:r>
    </w:p>
    <w:p w14:paraId="7D926133" w14:textId="77777777" w:rsidR="00C86519" w:rsidRPr="00C86519" w:rsidRDefault="00C86519" w:rsidP="00C86519">
      <w:pPr>
        <w:spacing w:before="100" w:beforeAutospacing="1" w:after="100" w:afterAutospacing="1" w:line="240" w:lineRule="auto"/>
        <w:outlineLvl w:val="2"/>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What Does This Mean for High Staff Turnover?</w:t>
      </w:r>
    </w:p>
    <w:p w14:paraId="73A7D7C3" w14:textId="77777777" w:rsidR="00C86519" w:rsidRPr="00C86519" w:rsidRDefault="00C86519" w:rsidP="00C86519">
      <w:p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If a researcher is acting as a facilitator of group dynamics in a study on high turnover in South Wales manufacturing, they might:</w:t>
      </w:r>
    </w:p>
    <w:p w14:paraId="090D45F6" w14:textId="77777777" w:rsidR="00C86519" w:rsidRPr="00C86519" w:rsidRDefault="00C86519" w:rsidP="00C86519">
      <w:pPr>
        <w:numPr>
          <w:ilvl w:val="0"/>
          <w:numId w:val="4"/>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Conduct Focus Groups with Employees</w:t>
      </w:r>
    </w:p>
    <w:p w14:paraId="5D41940E" w14:textId="77777777" w:rsidR="00C86519" w:rsidRPr="00C86519" w:rsidRDefault="00C86519" w:rsidP="00C86519">
      <w:pPr>
        <w:numPr>
          <w:ilvl w:val="1"/>
          <w:numId w:val="4"/>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Ask how they talk about quitting: Do they see it as a personal decision or a shared norm?</w:t>
      </w:r>
    </w:p>
    <w:p w14:paraId="37D9C4F0" w14:textId="77777777" w:rsidR="00C86519" w:rsidRPr="00C86519" w:rsidRDefault="00C86519" w:rsidP="00C86519">
      <w:pPr>
        <w:numPr>
          <w:ilvl w:val="1"/>
          <w:numId w:val="4"/>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Encourage discussion: "Why do you think people leave? Do you agree with each other’s reasons?"</w:t>
      </w:r>
    </w:p>
    <w:p w14:paraId="3864FB96" w14:textId="77777777" w:rsidR="00C86519" w:rsidRPr="00C86519" w:rsidRDefault="00C86519" w:rsidP="00C86519">
      <w:pPr>
        <w:numPr>
          <w:ilvl w:val="1"/>
          <w:numId w:val="4"/>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Look for patterns in how they construct turnover as "normal" or "avoidable."</w:t>
      </w:r>
    </w:p>
    <w:p w14:paraId="15147F83" w14:textId="77777777" w:rsidR="00C86519" w:rsidRPr="00C86519" w:rsidRDefault="00C86519" w:rsidP="00C86519">
      <w:pPr>
        <w:numPr>
          <w:ilvl w:val="0"/>
          <w:numId w:val="4"/>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Engage Managers in Roundtable Discussions</w:t>
      </w:r>
    </w:p>
    <w:p w14:paraId="4E6C8C25" w14:textId="77777777" w:rsidR="00C86519" w:rsidRPr="00C86519" w:rsidRDefault="00C86519" w:rsidP="00C86519">
      <w:pPr>
        <w:numPr>
          <w:ilvl w:val="1"/>
          <w:numId w:val="4"/>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Facilitate conversations about why they think employees leave.</w:t>
      </w:r>
    </w:p>
    <w:p w14:paraId="35495330" w14:textId="77777777" w:rsidR="00C86519" w:rsidRPr="00C86519" w:rsidRDefault="00C86519" w:rsidP="00C86519">
      <w:pPr>
        <w:numPr>
          <w:ilvl w:val="1"/>
          <w:numId w:val="4"/>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Challenge assumptions: "Do you think turnover is due to individual attitudes, or is there a broader cultural issue?"</w:t>
      </w:r>
    </w:p>
    <w:p w14:paraId="590939EB" w14:textId="77777777" w:rsidR="00C86519" w:rsidRPr="00C86519" w:rsidRDefault="00C86519" w:rsidP="00C86519">
      <w:pPr>
        <w:numPr>
          <w:ilvl w:val="1"/>
          <w:numId w:val="4"/>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Help them reflect on how their own narratives shape workplace retention strategies.</w:t>
      </w:r>
    </w:p>
    <w:p w14:paraId="51FFD246" w14:textId="77777777" w:rsidR="00C86519" w:rsidRPr="00C86519" w:rsidRDefault="00C86519" w:rsidP="00C86519">
      <w:pPr>
        <w:numPr>
          <w:ilvl w:val="0"/>
          <w:numId w:val="4"/>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Analyse Group Decision-Making</w:t>
      </w:r>
    </w:p>
    <w:p w14:paraId="5E32A277" w14:textId="77777777" w:rsidR="00C86519" w:rsidRPr="00C86519" w:rsidRDefault="00C86519" w:rsidP="00C86519">
      <w:pPr>
        <w:numPr>
          <w:ilvl w:val="1"/>
          <w:numId w:val="4"/>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Observe how teams discuss job dissatisfaction in meetings, break rooms, or informal chats.</w:t>
      </w:r>
    </w:p>
    <w:p w14:paraId="578FA3AB" w14:textId="77777777" w:rsidR="00C86519" w:rsidRPr="00C86519" w:rsidRDefault="00C86519" w:rsidP="00C86519">
      <w:pPr>
        <w:numPr>
          <w:ilvl w:val="1"/>
          <w:numId w:val="4"/>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Facilitate discussions on what could improve retention and whether employees collectively shape each other’s decisions.</w:t>
      </w:r>
    </w:p>
    <w:p w14:paraId="3C86BB4D" w14:textId="77777777" w:rsidR="00C86519" w:rsidRPr="00C86519" w:rsidRDefault="00C86519" w:rsidP="00C86519">
      <w:pPr>
        <w:spacing w:before="100" w:beforeAutospacing="1" w:after="100" w:afterAutospacing="1" w:line="240" w:lineRule="auto"/>
        <w:outlineLvl w:val="2"/>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Key Difference from Just Observing</w:t>
      </w:r>
    </w:p>
    <w:p w14:paraId="17CC4D32" w14:textId="77777777" w:rsidR="00C86519" w:rsidRPr="00C86519" w:rsidRDefault="00C86519" w:rsidP="00C86519">
      <w:pPr>
        <w:numPr>
          <w:ilvl w:val="0"/>
          <w:numId w:val="5"/>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An observer watches how a group interacts without interfering.</w:t>
      </w:r>
    </w:p>
    <w:p w14:paraId="13BA30F0" w14:textId="77777777" w:rsidR="00C86519" w:rsidRPr="00C86519" w:rsidRDefault="00C86519" w:rsidP="00C86519">
      <w:pPr>
        <w:numPr>
          <w:ilvl w:val="0"/>
          <w:numId w:val="5"/>
        </w:numPr>
        <w:spacing w:before="100" w:beforeAutospacing="1" w:after="100" w:afterAutospacing="1" w:line="240" w:lineRule="auto"/>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A facilitator guides discussions to uncover how shared meanings develop and evolve.</w:t>
      </w:r>
    </w:p>
    <w:p w14:paraId="279ED000" w14:textId="7C5F6A3F" w:rsidR="00EB47BA" w:rsidRPr="00BA7D10" w:rsidRDefault="00C86519" w:rsidP="00BA7D10">
      <w:pPr>
        <w:spacing w:before="100" w:beforeAutospacing="1" w:after="100" w:afterAutospacing="1" w:line="240" w:lineRule="auto"/>
        <w:outlineLvl w:val="2"/>
        <w:rPr>
          <w:rFonts w:asciiTheme="minorBidi" w:eastAsia="Times New Roman" w:hAnsiTheme="minorBidi"/>
          <w:kern w:val="0"/>
          <w:sz w:val="22"/>
          <w:szCs w:val="22"/>
          <w14:ligatures w14:val="none"/>
        </w:rPr>
      </w:pPr>
      <w:r w:rsidRPr="00C86519">
        <w:rPr>
          <w:rFonts w:asciiTheme="minorBidi" w:eastAsia="Times New Roman" w:hAnsiTheme="minorBidi"/>
          <w:kern w:val="0"/>
          <w:sz w:val="22"/>
          <w:szCs w:val="22"/>
          <w14:ligatures w14:val="none"/>
        </w:rPr>
        <w:t>Key Takeaway</w:t>
      </w:r>
      <w:r w:rsidR="00BA7D10">
        <w:rPr>
          <w:rFonts w:asciiTheme="minorBidi" w:eastAsia="Times New Roman" w:hAnsiTheme="minorBidi"/>
          <w:kern w:val="0"/>
          <w:sz w:val="22"/>
          <w:szCs w:val="22"/>
          <w14:ligatures w14:val="none"/>
        </w:rPr>
        <w:t xml:space="preserve">. </w:t>
      </w:r>
      <w:r w:rsidRPr="00C86519">
        <w:rPr>
          <w:rFonts w:asciiTheme="minorBidi" w:eastAsia="Times New Roman" w:hAnsiTheme="minorBidi"/>
          <w:kern w:val="0"/>
          <w:sz w:val="22"/>
          <w:szCs w:val="22"/>
          <w14:ligatures w14:val="none"/>
        </w:rPr>
        <w:t>In a study on high staff turnover, facilitating group dynamics helps uncover the social processes behind why leaving becomes a “normal” or expected action within a workplace culture.</w:t>
      </w:r>
    </w:p>
    <w:sectPr w:rsidR="00EB47BA" w:rsidRPr="00BA7D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C0BFB"/>
    <w:multiLevelType w:val="multilevel"/>
    <w:tmpl w:val="AC166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387BDD"/>
    <w:multiLevelType w:val="multilevel"/>
    <w:tmpl w:val="1E480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C1211A"/>
    <w:multiLevelType w:val="multilevel"/>
    <w:tmpl w:val="558EAD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CF5009"/>
    <w:multiLevelType w:val="multilevel"/>
    <w:tmpl w:val="447479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58861C7"/>
    <w:multiLevelType w:val="multilevel"/>
    <w:tmpl w:val="C0946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5532206">
    <w:abstractNumId w:val="0"/>
  </w:num>
  <w:num w:numId="2" w16cid:durableId="1808666597">
    <w:abstractNumId w:val="2"/>
  </w:num>
  <w:num w:numId="3" w16cid:durableId="1370762546">
    <w:abstractNumId w:val="4"/>
  </w:num>
  <w:num w:numId="4" w16cid:durableId="1638684248">
    <w:abstractNumId w:val="3"/>
  </w:num>
  <w:num w:numId="5" w16cid:durableId="7884286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03A"/>
    <w:rsid w:val="001805ED"/>
    <w:rsid w:val="003A4FD5"/>
    <w:rsid w:val="0043203A"/>
    <w:rsid w:val="0049741C"/>
    <w:rsid w:val="00534B42"/>
    <w:rsid w:val="006F2B11"/>
    <w:rsid w:val="00745D0C"/>
    <w:rsid w:val="007F73E6"/>
    <w:rsid w:val="00870D93"/>
    <w:rsid w:val="00A6619B"/>
    <w:rsid w:val="00BA7D10"/>
    <w:rsid w:val="00C86519"/>
    <w:rsid w:val="00E40F4F"/>
    <w:rsid w:val="00E563F2"/>
    <w:rsid w:val="00EB47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9A36AAB"/>
  <w15:chartTrackingRefBased/>
  <w15:docId w15:val="{BD052B47-F4B4-4287-AD29-C1A22DC19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0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20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20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20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20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20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20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20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20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0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20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20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20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20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20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20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20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203A"/>
    <w:rPr>
      <w:rFonts w:eastAsiaTheme="majorEastAsia" w:cstheme="majorBidi"/>
      <w:color w:val="272727" w:themeColor="text1" w:themeTint="D8"/>
    </w:rPr>
  </w:style>
  <w:style w:type="paragraph" w:styleId="Title">
    <w:name w:val="Title"/>
    <w:basedOn w:val="Normal"/>
    <w:next w:val="Normal"/>
    <w:link w:val="TitleChar"/>
    <w:uiPriority w:val="10"/>
    <w:qFormat/>
    <w:rsid w:val="004320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20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20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20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203A"/>
    <w:pPr>
      <w:spacing w:before="160"/>
      <w:jc w:val="center"/>
    </w:pPr>
    <w:rPr>
      <w:i/>
      <w:iCs/>
      <w:color w:val="404040" w:themeColor="text1" w:themeTint="BF"/>
    </w:rPr>
  </w:style>
  <w:style w:type="character" w:customStyle="1" w:styleId="QuoteChar">
    <w:name w:val="Quote Char"/>
    <w:basedOn w:val="DefaultParagraphFont"/>
    <w:link w:val="Quote"/>
    <w:uiPriority w:val="29"/>
    <w:rsid w:val="0043203A"/>
    <w:rPr>
      <w:i/>
      <w:iCs/>
      <w:color w:val="404040" w:themeColor="text1" w:themeTint="BF"/>
    </w:rPr>
  </w:style>
  <w:style w:type="paragraph" w:styleId="ListParagraph">
    <w:name w:val="List Paragraph"/>
    <w:basedOn w:val="Normal"/>
    <w:uiPriority w:val="34"/>
    <w:qFormat/>
    <w:rsid w:val="0043203A"/>
    <w:pPr>
      <w:ind w:left="720"/>
      <w:contextualSpacing/>
    </w:pPr>
  </w:style>
  <w:style w:type="character" w:styleId="IntenseEmphasis">
    <w:name w:val="Intense Emphasis"/>
    <w:basedOn w:val="DefaultParagraphFont"/>
    <w:uiPriority w:val="21"/>
    <w:qFormat/>
    <w:rsid w:val="0043203A"/>
    <w:rPr>
      <w:i/>
      <w:iCs/>
      <w:color w:val="0F4761" w:themeColor="accent1" w:themeShade="BF"/>
    </w:rPr>
  </w:style>
  <w:style w:type="paragraph" w:styleId="IntenseQuote">
    <w:name w:val="Intense Quote"/>
    <w:basedOn w:val="Normal"/>
    <w:next w:val="Normal"/>
    <w:link w:val="IntenseQuoteChar"/>
    <w:uiPriority w:val="30"/>
    <w:qFormat/>
    <w:rsid w:val="004320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203A"/>
    <w:rPr>
      <w:i/>
      <w:iCs/>
      <w:color w:val="0F4761" w:themeColor="accent1" w:themeShade="BF"/>
    </w:rPr>
  </w:style>
  <w:style w:type="character" w:styleId="IntenseReference">
    <w:name w:val="Intense Reference"/>
    <w:basedOn w:val="DefaultParagraphFont"/>
    <w:uiPriority w:val="32"/>
    <w:qFormat/>
    <w:rsid w:val="0043203A"/>
    <w:rPr>
      <w:b/>
      <w:bCs/>
      <w:smallCaps/>
      <w:color w:val="0F4761" w:themeColor="accent1" w:themeShade="BF"/>
      <w:spacing w:val="5"/>
    </w:rPr>
  </w:style>
  <w:style w:type="character" w:styleId="Strong">
    <w:name w:val="Strong"/>
    <w:basedOn w:val="DefaultParagraphFont"/>
    <w:uiPriority w:val="22"/>
    <w:qFormat/>
    <w:rsid w:val="003A4FD5"/>
    <w:rPr>
      <w:b/>
      <w:bCs/>
    </w:rPr>
  </w:style>
  <w:style w:type="paragraph" w:styleId="NormalWeb">
    <w:name w:val="Normal (Web)"/>
    <w:basedOn w:val="Normal"/>
    <w:uiPriority w:val="99"/>
    <w:semiHidden/>
    <w:unhideWhenUsed/>
    <w:rsid w:val="00EB47BA"/>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203692">
      <w:bodyDiv w:val="1"/>
      <w:marLeft w:val="0"/>
      <w:marRight w:val="0"/>
      <w:marTop w:val="0"/>
      <w:marBottom w:val="0"/>
      <w:divBdr>
        <w:top w:val="none" w:sz="0" w:space="0" w:color="auto"/>
        <w:left w:val="none" w:sz="0" w:space="0" w:color="auto"/>
        <w:bottom w:val="none" w:sz="0" w:space="0" w:color="auto"/>
        <w:right w:val="none" w:sz="0" w:space="0" w:color="auto"/>
      </w:divBdr>
    </w:div>
    <w:div w:id="179050999">
      <w:bodyDiv w:val="1"/>
      <w:marLeft w:val="0"/>
      <w:marRight w:val="0"/>
      <w:marTop w:val="0"/>
      <w:marBottom w:val="0"/>
      <w:divBdr>
        <w:top w:val="none" w:sz="0" w:space="0" w:color="auto"/>
        <w:left w:val="none" w:sz="0" w:space="0" w:color="auto"/>
        <w:bottom w:val="none" w:sz="0" w:space="0" w:color="auto"/>
        <w:right w:val="none" w:sz="0" w:space="0" w:color="auto"/>
      </w:divBdr>
    </w:div>
    <w:div w:id="235626268">
      <w:bodyDiv w:val="1"/>
      <w:marLeft w:val="0"/>
      <w:marRight w:val="0"/>
      <w:marTop w:val="0"/>
      <w:marBottom w:val="0"/>
      <w:divBdr>
        <w:top w:val="none" w:sz="0" w:space="0" w:color="auto"/>
        <w:left w:val="none" w:sz="0" w:space="0" w:color="auto"/>
        <w:bottom w:val="none" w:sz="0" w:space="0" w:color="auto"/>
        <w:right w:val="none" w:sz="0" w:space="0" w:color="auto"/>
      </w:divBdr>
    </w:div>
    <w:div w:id="304967324">
      <w:bodyDiv w:val="1"/>
      <w:marLeft w:val="0"/>
      <w:marRight w:val="0"/>
      <w:marTop w:val="0"/>
      <w:marBottom w:val="0"/>
      <w:divBdr>
        <w:top w:val="none" w:sz="0" w:space="0" w:color="auto"/>
        <w:left w:val="none" w:sz="0" w:space="0" w:color="auto"/>
        <w:bottom w:val="none" w:sz="0" w:space="0" w:color="auto"/>
        <w:right w:val="none" w:sz="0" w:space="0" w:color="auto"/>
      </w:divBdr>
      <w:divsChild>
        <w:div w:id="1619943967">
          <w:marLeft w:val="0"/>
          <w:marRight w:val="0"/>
          <w:marTop w:val="0"/>
          <w:marBottom w:val="0"/>
          <w:divBdr>
            <w:top w:val="single" w:sz="2" w:space="0" w:color="auto"/>
            <w:left w:val="single" w:sz="2" w:space="0" w:color="auto"/>
            <w:bottom w:val="single" w:sz="2" w:space="0" w:color="auto"/>
            <w:right w:val="single" w:sz="2" w:space="0" w:color="auto"/>
          </w:divBdr>
          <w:divsChild>
            <w:div w:id="1994065435">
              <w:marLeft w:val="0"/>
              <w:marRight w:val="0"/>
              <w:marTop w:val="0"/>
              <w:marBottom w:val="0"/>
              <w:divBdr>
                <w:top w:val="single" w:sz="2" w:space="0" w:color="auto"/>
                <w:left w:val="single" w:sz="2" w:space="0" w:color="auto"/>
                <w:bottom w:val="single" w:sz="2" w:space="0" w:color="auto"/>
                <w:right w:val="single" w:sz="2" w:space="0" w:color="auto"/>
              </w:divBdr>
              <w:divsChild>
                <w:div w:id="532421497">
                  <w:marLeft w:val="0"/>
                  <w:marRight w:val="0"/>
                  <w:marTop w:val="0"/>
                  <w:marBottom w:val="0"/>
                  <w:divBdr>
                    <w:top w:val="single" w:sz="2" w:space="0" w:color="auto"/>
                    <w:left w:val="single" w:sz="2" w:space="0" w:color="auto"/>
                    <w:bottom w:val="single" w:sz="2" w:space="0" w:color="auto"/>
                    <w:right w:val="single" w:sz="2" w:space="0" w:color="auto"/>
                  </w:divBdr>
                  <w:divsChild>
                    <w:div w:id="1777554609">
                      <w:marLeft w:val="0"/>
                      <w:marRight w:val="0"/>
                      <w:marTop w:val="0"/>
                      <w:marBottom w:val="0"/>
                      <w:divBdr>
                        <w:top w:val="single" w:sz="2" w:space="0" w:color="auto"/>
                        <w:left w:val="single" w:sz="2" w:space="0" w:color="auto"/>
                        <w:bottom w:val="single" w:sz="2" w:space="0" w:color="auto"/>
                        <w:right w:val="single" w:sz="2" w:space="0" w:color="auto"/>
                      </w:divBdr>
                      <w:divsChild>
                        <w:div w:id="2002928945">
                          <w:marLeft w:val="0"/>
                          <w:marRight w:val="0"/>
                          <w:marTop w:val="0"/>
                          <w:marBottom w:val="0"/>
                          <w:divBdr>
                            <w:top w:val="single" w:sz="2" w:space="0" w:color="auto"/>
                            <w:left w:val="single" w:sz="2" w:space="0" w:color="auto"/>
                            <w:bottom w:val="single" w:sz="2" w:space="0" w:color="auto"/>
                            <w:right w:val="single" w:sz="2" w:space="0" w:color="auto"/>
                          </w:divBdr>
                          <w:divsChild>
                            <w:div w:id="147865611">
                              <w:marLeft w:val="0"/>
                              <w:marRight w:val="0"/>
                              <w:marTop w:val="0"/>
                              <w:marBottom w:val="0"/>
                              <w:divBdr>
                                <w:top w:val="single" w:sz="2" w:space="0" w:color="auto"/>
                                <w:left w:val="single" w:sz="2" w:space="0" w:color="auto"/>
                                <w:bottom w:val="single" w:sz="2" w:space="0" w:color="auto"/>
                                <w:right w:val="single" w:sz="2" w:space="0" w:color="auto"/>
                              </w:divBdr>
                              <w:divsChild>
                                <w:div w:id="46454882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39861788">
                          <w:marLeft w:val="0"/>
                          <w:marRight w:val="0"/>
                          <w:marTop w:val="0"/>
                          <w:marBottom w:val="0"/>
                          <w:divBdr>
                            <w:top w:val="single" w:sz="2" w:space="0" w:color="auto"/>
                            <w:left w:val="single" w:sz="2" w:space="0" w:color="auto"/>
                            <w:bottom w:val="single" w:sz="2" w:space="0" w:color="auto"/>
                            <w:right w:val="single" w:sz="2" w:space="0" w:color="auto"/>
                          </w:divBdr>
                          <w:divsChild>
                            <w:div w:id="1055200500">
                              <w:marLeft w:val="0"/>
                              <w:marRight w:val="0"/>
                              <w:marTop w:val="0"/>
                              <w:marBottom w:val="0"/>
                              <w:divBdr>
                                <w:top w:val="single" w:sz="2" w:space="0" w:color="auto"/>
                                <w:left w:val="single" w:sz="2" w:space="0" w:color="auto"/>
                                <w:bottom w:val="single" w:sz="2" w:space="0" w:color="auto"/>
                                <w:right w:val="single" w:sz="2" w:space="0" w:color="auto"/>
                              </w:divBdr>
                              <w:divsChild>
                                <w:div w:id="1504707039">
                                  <w:marLeft w:val="0"/>
                                  <w:marRight w:val="0"/>
                                  <w:marTop w:val="0"/>
                                  <w:marBottom w:val="0"/>
                                  <w:divBdr>
                                    <w:top w:val="single" w:sz="2" w:space="0" w:color="auto"/>
                                    <w:left w:val="single" w:sz="2" w:space="0" w:color="auto"/>
                                    <w:bottom w:val="single" w:sz="2" w:space="0" w:color="auto"/>
                                    <w:right w:val="single" w:sz="2" w:space="0" w:color="auto"/>
                                  </w:divBdr>
                                  <w:divsChild>
                                    <w:div w:id="3809799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653563615">
              <w:marLeft w:val="0"/>
              <w:marRight w:val="0"/>
              <w:marTop w:val="0"/>
              <w:marBottom w:val="0"/>
              <w:divBdr>
                <w:top w:val="single" w:sz="2" w:space="0" w:color="auto"/>
                <w:left w:val="single" w:sz="2" w:space="0" w:color="auto"/>
                <w:bottom w:val="single" w:sz="2" w:space="0" w:color="auto"/>
                <w:right w:val="single" w:sz="2" w:space="0" w:color="auto"/>
              </w:divBdr>
              <w:divsChild>
                <w:div w:id="2020309250">
                  <w:marLeft w:val="0"/>
                  <w:marRight w:val="0"/>
                  <w:marTop w:val="0"/>
                  <w:marBottom w:val="0"/>
                  <w:divBdr>
                    <w:top w:val="single" w:sz="2" w:space="0" w:color="auto"/>
                    <w:left w:val="single" w:sz="2" w:space="0" w:color="auto"/>
                    <w:bottom w:val="single" w:sz="2" w:space="0" w:color="auto"/>
                    <w:right w:val="single" w:sz="2" w:space="0" w:color="auto"/>
                  </w:divBdr>
                  <w:divsChild>
                    <w:div w:id="11506364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876042273">
          <w:marLeft w:val="0"/>
          <w:marRight w:val="0"/>
          <w:marTop w:val="0"/>
          <w:marBottom w:val="0"/>
          <w:divBdr>
            <w:top w:val="single" w:sz="2" w:space="0" w:color="auto"/>
            <w:left w:val="single" w:sz="2" w:space="0" w:color="auto"/>
            <w:bottom w:val="single" w:sz="2" w:space="0" w:color="auto"/>
            <w:right w:val="single" w:sz="2" w:space="0" w:color="auto"/>
          </w:divBdr>
          <w:divsChild>
            <w:div w:id="1559628478">
              <w:marLeft w:val="0"/>
              <w:marRight w:val="0"/>
              <w:marTop w:val="0"/>
              <w:marBottom w:val="0"/>
              <w:divBdr>
                <w:top w:val="single" w:sz="2" w:space="0" w:color="auto"/>
                <w:left w:val="single" w:sz="2" w:space="0" w:color="auto"/>
                <w:bottom w:val="single" w:sz="2" w:space="0" w:color="auto"/>
                <w:right w:val="single" w:sz="2" w:space="0" w:color="auto"/>
              </w:divBdr>
              <w:divsChild>
                <w:div w:id="1179928263">
                  <w:marLeft w:val="0"/>
                  <w:marRight w:val="0"/>
                  <w:marTop w:val="0"/>
                  <w:marBottom w:val="0"/>
                  <w:divBdr>
                    <w:top w:val="single" w:sz="2" w:space="0" w:color="auto"/>
                    <w:left w:val="single" w:sz="2" w:space="0" w:color="auto"/>
                    <w:bottom w:val="single" w:sz="2" w:space="0" w:color="auto"/>
                    <w:right w:val="single" w:sz="2" w:space="0" w:color="auto"/>
                  </w:divBdr>
                  <w:divsChild>
                    <w:div w:id="1815289939">
                      <w:marLeft w:val="0"/>
                      <w:marRight w:val="0"/>
                      <w:marTop w:val="0"/>
                      <w:marBottom w:val="0"/>
                      <w:divBdr>
                        <w:top w:val="single" w:sz="2" w:space="0" w:color="auto"/>
                        <w:left w:val="single" w:sz="2" w:space="0" w:color="auto"/>
                        <w:bottom w:val="single" w:sz="2" w:space="0" w:color="auto"/>
                        <w:right w:val="single" w:sz="2" w:space="0" w:color="auto"/>
                      </w:divBdr>
                      <w:divsChild>
                        <w:div w:id="1606494007">
                          <w:marLeft w:val="0"/>
                          <w:marRight w:val="0"/>
                          <w:marTop w:val="0"/>
                          <w:marBottom w:val="0"/>
                          <w:divBdr>
                            <w:top w:val="single" w:sz="2" w:space="0" w:color="auto"/>
                            <w:left w:val="single" w:sz="2" w:space="0" w:color="auto"/>
                            <w:bottom w:val="single" w:sz="2" w:space="0" w:color="auto"/>
                            <w:right w:val="single" w:sz="2" w:space="0" w:color="auto"/>
                          </w:divBdr>
                          <w:divsChild>
                            <w:div w:id="18206834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96030682">
                      <w:marLeft w:val="0"/>
                      <w:marRight w:val="0"/>
                      <w:marTop w:val="0"/>
                      <w:marBottom w:val="0"/>
                      <w:divBdr>
                        <w:top w:val="single" w:sz="2" w:space="0" w:color="auto"/>
                        <w:left w:val="single" w:sz="2" w:space="0" w:color="auto"/>
                        <w:bottom w:val="single" w:sz="2" w:space="0" w:color="auto"/>
                        <w:right w:val="single" w:sz="2" w:space="0" w:color="auto"/>
                      </w:divBdr>
                      <w:divsChild>
                        <w:div w:id="941299589">
                          <w:marLeft w:val="0"/>
                          <w:marRight w:val="0"/>
                          <w:marTop w:val="0"/>
                          <w:marBottom w:val="0"/>
                          <w:divBdr>
                            <w:top w:val="single" w:sz="2" w:space="0" w:color="auto"/>
                            <w:left w:val="single" w:sz="2" w:space="0" w:color="auto"/>
                            <w:bottom w:val="single" w:sz="2" w:space="0" w:color="auto"/>
                            <w:right w:val="single" w:sz="2" w:space="0" w:color="auto"/>
                          </w:divBdr>
                          <w:divsChild>
                            <w:div w:id="1737893508">
                              <w:marLeft w:val="0"/>
                              <w:marRight w:val="0"/>
                              <w:marTop w:val="0"/>
                              <w:marBottom w:val="0"/>
                              <w:divBdr>
                                <w:top w:val="single" w:sz="2" w:space="0" w:color="auto"/>
                                <w:left w:val="single" w:sz="2" w:space="0" w:color="auto"/>
                                <w:bottom w:val="single" w:sz="2" w:space="0" w:color="auto"/>
                                <w:right w:val="single" w:sz="2" w:space="0" w:color="auto"/>
                              </w:divBdr>
                              <w:divsChild>
                                <w:div w:id="1751468458">
                                  <w:marLeft w:val="0"/>
                                  <w:marRight w:val="0"/>
                                  <w:marTop w:val="0"/>
                                  <w:marBottom w:val="0"/>
                                  <w:divBdr>
                                    <w:top w:val="single" w:sz="2" w:space="0" w:color="auto"/>
                                    <w:left w:val="single" w:sz="2" w:space="0" w:color="auto"/>
                                    <w:bottom w:val="single" w:sz="2" w:space="0" w:color="auto"/>
                                    <w:right w:val="single" w:sz="2" w:space="0" w:color="auto"/>
                                  </w:divBdr>
                                  <w:divsChild>
                                    <w:div w:id="681013102">
                                      <w:marLeft w:val="0"/>
                                      <w:marRight w:val="0"/>
                                      <w:marTop w:val="0"/>
                                      <w:marBottom w:val="0"/>
                                      <w:divBdr>
                                        <w:top w:val="single" w:sz="2" w:space="0" w:color="auto"/>
                                        <w:left w:val="single" w:sz="2" w:space="0" w:color="auto"/>
                                        <w:bottom w:val="single" w:sz="2" w:space="0" w:color="auto"/>
                                        <w:right w:val="single" w:sz="2" w:space="0" w:color="auto"/>
                                      </w:divBdr>
                                      <w:divsChild>
                                        <w:div w:id="32717296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685257497">
                                  <w:marLeft w:val="0"/>
                                  <w:marRight w:val="0"/>
                                  <w:marTop w:val="0"/>
                                  <w:marBottom w:val="0"/>
                                  <w:divBdr>
                                    <w:top w:val="single" w:sz="2" w:space="0" w:color="auto"/>
                                    <w:left w:val="single" w:sz="2" w:space="0" w:color="auto"/>
                                    <w:bottom w:val="single" w:sz="2" w:space="0" w:color="auto"/>
                                    <w:right w:val="single" w:sz="2" w:space="0" w:color="auto"/>
                                  </w:divBdr>
                                  <w:divsChild>
                                    <w:div w:id="1257247910">
                                      <w:marLeft w:val="0"/>
                                      <w:marRight w:val="0"/>
                                      <w:marTop w:val="0"/>
                                      <w:marBottom w:val="0"/>
                                      <w:divBdr>
                                        <w:top w:val="single" w:sz="2" w:space="0" w:color="auto"/>
                                        <w:left w:val="single" w:sz="2" w:space="0" w:color="auto"/>
                                        <w:bottom w:val="single" w:sz="2" w:space="0" w:color="auto"/>
                                        <w:right w:val="single" w:sz="2" w:space="0" w:color="auto"/>
                                      </w:divBdr>
                                      <w:divsChild>
                                        <w:div w:id="67064663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918295834">
      <w:bodyDiv w:val="1"/>
      <w:marLeft w:val="0"/>
      <w:marRight w:val="0"/>
      <w:marTop w:val="0"/>
      <w:marBottom w:val="0"/>
      <w:divBdr>
        <w:top w:val="none" w:sz="0" w:space="0" w:color="auto"/>
        <w:left w:val="none" w:sz="0" w:space="0" w:color="auto"/>
        <w:bottom w:val="none" w:sz="0" w:space="0" w:color="auto"/>
        <w:right w:val="none" w:sz="0" w:space="0" w:color="auto"/>
      </w:divBdr>
    </w:div>
    <w:div w:id="1013650376">
      <w:bodyDiv w:val="1"/>
      <w:marLeft w:val="0"/>
      <w:marRight w:val="0"/>
      <w:marTop w:val="0"/>
      <w:marBottom w:val="0"/>
      <w:divBdr>
        <w:top w:val="none" w:sz="0" w:space="0" w:color="auto"/>
        <w:left w:val="none" w:sz="0" w:space="0" w:color="auto"/>
        <w:bottom w:val="none" w:sz="0" w:space="0" w:color="auto"/>
        <w:right w:val="none" w:sz="0" w:space="0" w:color="auto"/>
      </w:divBdr>
    </w:div>
    <w:div w:id="1193373350">
      <w:bodyDiv w:val="1"/>
      <w:marLeft w:val="0"/>
      <w:marRight w:val="0"/>
      <w:marTop w:val="0"/>
      <w:marBottom w:val="0"/>
      <w:divBdr>
        <w:top w:val="none" w:sz="0" w:space="0" w:color="auto"/>
        <w:left w:val="none" w:sz="0" w:space="0" w:color="auto"/>
        <w:bottom w:val="none" w:sz="0" w:space="0" w:color="auto"/>
        <w:right w:val="none" w:sz="0" w:space="0" w:color="auto"/>
      </w:divBdr>
    </w:div>
    <w:div w:id="1746878918">
      <w:bodyDiv w:val="1"/>
      <w:marLeft w:val="0"/>
      <w:marRight w:val="0"/>
      <w:marTop w:val="0"/>
      <w:marBottom w:val="0"/>
      <w:divBdr>
        <w:top w:val="none" w:sz="0" w:space="0" w:color="auto"/>
        <w:left w:val="none" w:sz="0" w:space="0" w:color="auto"/>
        <w:bottom w:val="none" w:sz="0" w:space="0" w:color="auto"/>
        <w:right w:val="none" w:sz="0" w:space="0" w:color="auto"/>
      </w:divBdr>
    </w:div>
    <w:div w:id="1771199093">
      <w:bodyDiv w:val="1"/>
      <w:marLeft w:val="0"/>
      <w:marRight w:val="0"/>
      <w:marTop w:val="0"/>
      <w:marBottom w:val="0"/>
      <w:divBdr>
        <w:top w:val="none" w:sz="0" w:space="0" w:color="auto"/>
        <w:left w:val="none" w:sz="0" w:space="0" w:color="auto"/>
        <w:bottom w:val="none" w:sz="0" w:space="0" w:color="auto"/>
        <w:right w:val="none" w:sz="0" w:space="0" w:color="auto"/>
      </w:divBdr>
    </w:div>
    <w:div w:id="1942177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1832</Words>
  <Characters>9549</Characters>
  <Application>Microsoft Office Word</Application>
  <DocSecurity>0</DocSecurity>
  <Lines>502</Lines>
  <Paragraphs>355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2025-02-26T13:02:00Z</dcterms:created>
  <dcterms:modified xsi:type="dcterms:W3CDTF">2025-02-26T13:02:00Z</dcterms:modified>
</cp:coreProperties>
</file>