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F4A4614" w:rsidP="6839EF20" w:rsidRDefault="3F4A4614" w14:paraId="5362E88D" w14:textId="6C064271">
      <w:pPr>
        <w:pStyle w:val="Title"/>
        <w:spacing w:after="80"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6839EF20" w:rsidR="3F4A4614">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Technical Report Assignment</w:t>
      </w:r>
      <w:r>
        <w:br/>
      </w:r>
    </w:p>
    <w:p w:rsidR="3F4A4614" w:rsidP="6839EF20" w:rsidRDefault="3F4A4614" w14:paraId="1DDD66EC" w14:textId="1268DDC7">
      <w:pPr>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Name: Raul Tarca                             Module Number: ACHA4022A</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Student Number: 2513542           Submission Date: 07/12/2025</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Module: Engineering Skills             </w:t>
      </w:r>
    </w:p>
    <w:p w:rsidR="162E2456" w:rsidP="6839EF20" w:rsidRDefault="162E2456" w14:paraId="79C2FB35" w14:textId="5728BD21">
      <w:pPr>
        <w:pStyle w:val="Heading1"/>
        <w:rPr>
          <w:noProof w:val="0"/>
          <w:lang w:val="en-US"/>
        </w:rPr>
      </w:pPr>
      <w:r w:rsidRPr="6839EF20" w:rsidR="162E2456">
        <w:rPr>
          <w:noProof w:val="0"/>
          <w:lang w:val="en-US"/>
        </w:rPr>
        <w:t>Contents</w:t>
      </w:r>
    </w:p>
    <w:p w:rsidR="162E2456" w:rsidP="6839EF20" w:rsidRDefault="162E2456" w14:paraId="21A2BE65" w14:textId="06D976F6">
      <w:pPr>
        <w:pStyle w:val="Normal"/>
        <w:rPr>
          <w:noProof w:val="0"/>
          <w:lang w:val="en-US"/>
        </w:rPr>
      </w:pPr>
      <w:r w:rsidRPr="6839EF20" w:rsidR="162E2456">
        <w:rPr>
          <w:noProof w:val="0"/>
          <w:lang w:val="en-US"/>
        </w:rPr>
        <w:t>Page 1: Introduction</w:t>
      </w:r>
    </w:p>
    <w:p w:rsidR="162E2456" w:rsidP="6839EF20" w:rsidRDefault="162E2456" w14:paraId="656C1DCD" w14:textId="25A74F22">
      <w:pPr>
        <w:pStyle w:val="Normal"/>
        <w:rPr>
          <w:noProof w:val="0"/>
          <w:lang w:val="en-US"/>
        </w:rPr>
      </w:pPr>
      <w:r w:rsidRPr="6839EF20" w:rsidR="162E2456">
        <w:rPr>
          <w:noProof w:val="0"/>
          <w:lang w:val="en-US"/>
        </w:rPr>
        <w:t>Page 2-3: Health and Safety</w:t>
      </w:r>
    </w:p>
    <w:p w:rsidR="162E2456" w:rsidP="6839EF20" w:rsidRDefault="162E2456" w14:paraId="2D7056D4" w14:textId="38E849CF">
      <w:pPr>
        <w:pStyle w:val="Normal"/>
        <w:rPr>
          <w:noProof w:val="0"/>
          <w:lang w:val="en-US"/>
        </w:rPr>
      </w:pPr>
      <w:r w:rsidRPr="6839EF20" w:rsidR="162E2456">
        <w:rPr>
          <w:noProof w:val="0"/>
          <w:lang w:val="en-US"/>
        </w:rPr>
        <w:t>Page 4-5: Risk Matrix</w:t>
      </w:r>
    </w:p>
    <w:p w:rsidR="162E2456" w:rsidP="6839EF20" w:rsidRDefault="162E2456" w14:paraId="626C0DED" w14:textId="53FD4FA0">
      <w:pPr>
        <w:pStyle w:val="Normal"/>
        <w:rPr>
          <w:noProof w:val="0"/>
          <w:lang w:val="en-US"/>
        </w:rPr>
      </w:pPr>
      <w:r w:rsidRPr="6839EF20" w:rsidR="162E2456">
        <w:rPr>
          <w:noProof w:val="0"/>
          <w:lang w:val="en-US"/>
        </w:rPr>
        <w:t>Page 6: Engineers’ Role in Society</w:t>
      </w:r>
    </w:p>
    <w:p w:rsidR="162E2456" w:rsidP="6839EF20" w:rsidRDefault="162E2456" w14:paraId="52E42868" w14:textId="2E785023">
      <w:pPr>
        <w:pStyle w:val="Normal"/>
        <w:rPr>
          <w:noProof w:val="0"/>
          <w:lang w:val="en-US"/>
        </w:rPr>
      </w:pPr>
      <w:r w:rsidRPr="6839EF20" w:rsidR="162E2456">
        <w:rPr>
          <w:noProof w:val="0"/>
          <w:lang w:val="en-US"/>
        </w:rPr>
        <w:t>Page 7: Problem Solving</w:t>
      </w:r>
    </w:p>
    <w:p w:rsidR="162E2456" w:rsidP="6839EF20" w:rsidRDefault="162E2456" w14:paraId="639F1F3E" w14:textId="462B89E2">
      <w:pPr>
        <w:pStyle w:val="Normal"/>
        <w:rPr>
          <w:noProof w:val="0"/>
          <w:lang w:val="en-US"/>
        </w:rPr>
      </w:pPr>
      <w:r w:rsidRPr="6839EF20" w:rsidR="162E2456">
        <w:rPr>
          <w:noProof w:val="0"/>
          <w:lang w:val="en-US"/>
        </w:rPr>
        <w:t>Pages 8-9: Team Structure</w:t>
      </w:r>
    </w:p>
    <w:p w:rsidR="162E2456" w:rsidP="6839EF20" w:rsidRDefault="162E2456" w14:paraId="752D8D5E" w14:textId="0463D689">
      <w:pPr>
        <w:pStyle w:val="Normal"/>
        <w:rPr>
          <w:noProof w:val="0"/>
          <w:lang w:val="en-US"/>
        </w:rPr>
      </w:pPr>
      <w:r w:rsidRPr="6839EF20" w:rsidR="162E2456">
        <w:rPr>
          <w:noProof w:val="0"/>
          <w:lang w:val="en-US"/>
        </w:rPr>
        <w:t>Page 10: Conclusion</w:t>
      </w:r>
    </w:p>
    <w:p w:rsidR="162E2456" w:rsidP="6839EF20" w:rsidRDefault="162E2456" w14:paraId="250A38DE" w14:textId="4A7DEB8C">
      <w:pPr>
        <w:pStyle w:val="Normal"/>
        <w:rPr>
          <w:noProof w:val="0"/>
          <w:lang w:val="en-US"/>
        </w:rPr>
      </w:pPr>
      <w:r w:rsidRPr="6839EF20" w:rsidR="162E2456">
        <w:rPr>
          <w:noProof w:val="0"/>
          <w:lang w:val="en-US"/>
        </w:rPr>
        <w:t>Page 11-12: References</w:t>
      </w:r>
    </w:p>
    <w:p w:rsidR="6839EF20" w:rsidP="6839EF20" w:rsidRDefault="6839EF20" w14:paraId="69713D02" w14:textId="7CF1458A">
      <w:pPr>
        <w:pStyle w:val="Normal"/>
        <w:rPr>
          <w:noProof w:val="0"/>
          <w:lang w:val="en-US"/>
        </w:rPr>
      </w:pPr>
    </w:p>
    <w:p w:rsidR="6839EF20" w:rsidP="6839EF20" w:rsidRDefault="6839EF20" w14:paraId="2D461D4D" w14:textId="17318A32">
      <w:pPr>
        <w:pStyle w:val="Heading1"/>
        <w:rPr>
          <w:noProof w:val="0"/>
          <w:lang w:val="en-US"/>
        </w:rPr>
      </w:pPr>
    </w:p>
    <w:p w:rsidR="335525B4" w:rsidP="6839EF20" w:rsidRDefault="335525B4" w14:paraId="7F572F5F" w14:textId="46487592">
      <w:pPr>
        <w:pStyle w:val="Heading1"/>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35525B4">
        <w:rPr>
          <w:noProof w:val="0"/>
          <w:lang w:val="en-US"/>
        </w:rPr>
        <w:t>Introduction</w:t>
      </w:r>
    </w:p>
    <w:p w:rsidR="335525B4" w:rsidP="6839EF20" w:rsidRDefault="335525B4" w14:paraId="33CACE46" w14:textId="567CCFEA">
      <w:pPr>
        <w:spacing w:before="240" w:beforeAutospacing="off" w:after="240" w:afterAutospacing="off"/>
      </w:pPr>
      <w:r w:rsidRPr="6839EF20" w:rsidR="335525B4">
        <w:rPr>
          <w:rFonts w:ascii="Aptos" w:hAnsi="Aptos" w:eastAsia="Aptos" w:cs="Aptos"/>
          <w:noProof w:val="0"/>
          <w:sz w:val="24"/>
          <w:szCs w:val="24"/>
          <w:lang w:val="en-US"/>
        </w:rPr>
        <w:t xml:space="preserve">This report brings together key areas of engineering practice—safety, security, sustainability, problem-solving, and teamwork. Each section shows how engineers think and work, using real standards and examples to link technical decisions with responsibility in practical situations. </w:t>
      </w:r>
    </w:p>
    <w:p w:rsidR="6839EF20" w:rsidP="6839EF20" w:rsidRDefault="6839EF20" w14:paraId="5C88EAB5" w14:textId="19B0C9C1">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6DEF46EE" w14:textId="7FD0E0B6">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7630395" w14:textId="7E314429">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6BC2058D" w14:textId="25824D57">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BC260A2" w14:textId="52E95618">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6C9258B5" w14:textId="351FF64F">
      <w:pPr>
        <w:pStyle w:val="Heading1"/>
        <w:ind w:left="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Health and Safety (operation of lathe):</w:t>
      </w:r>
    </w:p>
    <w:p w:rsidR="3F4A4614" w:rsidP="6839EF20" w:rsidRDefault="3F4A4614" w14:paraId="4769E3E4" w14:textId="4EAD4906">
      <w:pPr>
        <w:spacing w:before="0" w:beforeAutospacing="off"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During university workshop practice, lathe operation has been undertaken. The safe operation of lathes in the UK is governed by a hierarchical, goal-setting regulatory structure, founded upon the (Health and Safety at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Work</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etc. Act 1974, s.2(2)). This principal legislation sets out the basic responsibilities of care: employers hold a non-transferable obligation to guarantee, </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 xml:space="preserve">as far </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as</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6839EF20" w:rsidR="731AA6F6">
        <w:rPr>
          <w:rFonts w:ascii="Aptos" w:hAnsi="Aptos" w:eastAsia="Aptos" w:cs="Aptos"/>
          <w:b w:val="0"/>
          <w:bCs w:val="0"/>
          <w:i w:val="1"/>
          <w:iCs w:val="1"/>
          <w:caps w:val="0"/>
          <w:smallCaps w:val="0"/>
          <w:noProof w:val="0"/>
          <w:color w:val="000000" w:themeColor="text1" w:themeTint="FF" w:themeShade="FF"/>
          <w:sz w:val="24"/>
          <w:szCs w:val="24"/>
          <w:lang w:val="en-US"/>
        </w:rPr>
        <w:t xml:space="preserve">is reasonably practicable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(SFAIRP), the well-being, safety, and health of their employees. More machine-use specific obligations arise from the </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Provision and Use of Work Equipment Regulations 1998 (PUWER)</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which require that the lathe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is</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suitable for the task, guarded,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inspected</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and used only by competent persons (Section 2, (9)). The hierarchy of control - from fixed guards to information - is embedded within PUWER,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demonstrating</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a systematic approach to hazard management. A legal requirement for an employer to perform and review a risk assessment is also introduced in The </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Management of Health and Safety at Work Regulations 1999</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mandating a ‘suitable and sufficient’ risk assessment</w:t>
      </w:r>
      <w:r w:rsidRPr="6839EF20" w:rsidR="3F4A4614">
        <w:rPr>
          <w:rFonts w:ascii="Aptos" w:hAnsi="Aptos" w:eastAsia="Aptos" w:cs="Aptos"/>
          <w:b w:val="0"/>
          <w:bCs w:val="0"/>
          <w:i w:val="1"/>
          <w:iCs w:val="1"/>
          <w:caps w:val="0"/>
          <w:smallCaps w:val="0"/>
          <w:noProof w:val="0"/>
          <w:color w:val="000000" w:themeColor="text1" w:themeTint="FF" w:themeShade="FF"/>
          <w:sz w:val="24"/>
          <w:szCs w:val="24"/>
          <w:lang w:val="en-US"/>
        </w:rPr>
        <w:t xml:space="preserve"> (such as the inspection of the fixed guard) (reg.3(1)).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This mandates the anticipation, identification, assessment, and management of lathe-specific risks prior to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commencing</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work. The UK also has the BS EN ISO 23125 standard which is the international standard for the safe operation of turning machines, such as the lathe, which defines guarding,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interlock</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and operational safety requirements ((British Standards Institution, 2015)). These safety implementations are necessary based on the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clear evidence</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of historical incidents and the severity of injury, justifying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different levels</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of control.</w:t>
      </w:r>
    </w:p>
    <w:p w:rsidR="6839EF20" w:rsidP="6839EF20" w:rsidRDefault="6839EF20" w14:paraId="19DB1946" w14:textId="1E10ACE1">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56B77347" w14:textId="7892BF7B">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Risk Assessment Table:</w:t>
      </w:r>
    </w:p>
    <w:p w:rsidR="6839EF20" w:rsidP="6839EF20" w:rsidRDefault="6839EF20" w14:paraId="12E60248" w14:textId="4E7DFBD0">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8361586" w14:textId="37AD8120">
      <w:pPr>
        <w:ind w:left="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60"/>
        <w:gridCol w:w="1860"/>
        <w:gridCol w:w="1860"/>
        <w:gridCol w:w="1860"/>
        <w:gridCol w:w="1860"/>
      </w:tblGrid>
      <w:tr w:rsidR="6839EF20" w:rsidTr="6839EF20" w14:paraId="1370D9BE">
        <w:trPr>
          <w:trHeight w:val="450"/>
        </w:trPr>
        <w:tc>
          <w:tcPr>
            <w:tcW w:w="1860" w:type="dxa"/>
            <w:tcMar>
              <w:left w:w="105" w:type="dxa"/>
              <w:right w:w="105" w:type="dxa"/>
            </w:tcMar>
            <w:vAlign w:val="top"/>
          </w:tcPr>
          <w:p w:rsidR="6839EF20" w:rsidP="6839EF20" w:rsidRDefault="6839EF20" w14:paraId="5A3FA867" w14:textId="63FD1875">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Hazard Identification</w:t>
            </w:r>
          </w:p>
        </w:tc>
        <w:tc>
          <w:tcPr>
            <w:tcW w:w="1860" w:type="dxa"/>
            <w:tcMar>
              <w:left w:w="105" w:type="dxa"/>
              <w:right w:w="105" w:type="dxa"/>
            </w:tcMar>
            <w:vAlign w:val="top"/>
          </w:tcPr>
          <w:p w:rsidR="6839EF20" w:rsidP="6839EF20" w:rsidRDefault="6839EF20" w14:paraId="1896AEE3" w14:textId="47AA2C23">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People at risk and how and nature of harm</w:t>
            </w:r>
          </w:p>
        </w:tc>
        <w:tc>
          <w:tcPr>
            <w:tcW w:w="1860" w:type="dxa"/>
            <w:tcMar>
              <w:left w:w="105" w:type="dxa"/>
              <w:right w:w="105" w:type="dxa"/>
            </w:tcMar>
            <w:vAlign w:val="top"/>
          </w:tcPr>
          <w:p w:rsidR="6839EF20" w:rsidP="6839EF20" w:rsidRDefault="6839EF20" w14:paraId="3B148807" w14:textId="7BF9704C">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 xml:space="preserve">Risk evaluation </w:t>
            </w:r>
          </w:p>
        </w:tc>
        <w:tc>
          <w:tcPr>
            <w:tcW w:w="1860" w:type="dxa"/>
            <w:tcMar>
              <w:left w:w="105" w:type="dxa"/>
              <w:right w:w="105" w:type="dxa"/>
            </w:tcMar>
            <w:vAlign w:val="top"/>
          </w:tcPr>
          <w:p w:rsidR="6839EF20" w:rsidP="6839EF20" w:rsidRDefault="6839EF20" w14:paraId="766846AC" w14:textId="7E33B530">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 xml:space="preserve">Precautions </w:t>
            </w:r>
          </w:p>
        </w:tc>
        <w:tc>
          <w:tcPr>
            <w:tcW w:w="1860" w:type="dxa"/>
            <w:tcMar>
              <w:left w:w="105" w:type="dxa"/>
              <w:right w:w="105" w:type="dxa"/>
            </w:tcMar>
            <w:vAlign w:val="top"/>
          </w:tcPr>
          <w:p w:rsidR="6839EF20" w:rsidP="6839EF20" w:rsidRDefault="6839EF20" w14:paraId="77998289" w14:textId="75B05040">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Effect of implemented precaution</w:t>
            </w:r>
          </w:p>
          <w:p w:rsidR="6839EF20" w:rsidP="6839EF20" w:rsidRDefault="6839EF20" w14:paraId="2F02C578" w14:textId="6D364BC0">
            <w:pPr>
              <w:rPr>
                <w:rFonts w:ascii="Aptos" w:hAnsi="Aptos" w:eastAsia="Aptos" w:cs="Aptos"/>
                <w:b w:val="0"/>
                <w:bCs w:val="0"/>
                <w:i w:val="0"/>
                <w:iCs w:val="0"/>
                <w:sz w:val="24"/>
                <w:szCs w:val="24"/>
                <w:lang w:val="en-US"/>
              </w:rPr>
            </w:pPr>
          </w:p>
        </w:tc>
      </w:tr>
      <w:tr w:rsidR="6839EF20" w:rsidTr="6839EF20" w14:paraId="3AF8003C">
        <w:trPr>
          <w:trHeight w:val="300"/>
        </w:trPr>
        <w:tc>
          <w:tcPr>
            <w:tcW w:w="1860" w:type="dxa"/>
            <w:tcMar>
              <w:left w:w="105" w:type="dxa"/>
              <w:right w:w="105" w:type="dxa"/>
            </w:tcMar>
            <w:vAlign w:val="top"/>
          </w:tcPr>
          <w:p w:rsidR="6839EF20" w:rsidP="6839EF20" w:rsidRDefault="6839EF20" w14:paraId="0B37712C" w14:textId="07AF8D5B">
            <w:pPr>
              <w:spacing w:before="0" w:beforeAutospacing="off" w:after="0" w:afterAutospacing="off" w:line="240" w:lineRule="auto"/>
              <w:ind w:left="0" w:right="0"/>
              <w:jc w:val="left"/>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Entanglement with rotating parts</w:t>
            </w:r>
          </w:p>
        </w:tc>
        <w:tc>
          <w:tcPr>
            <w:tcW w:w="1860" w:type="dxa"/>
            <w:tcMar>
              <w:left w:w="105" w:type="dxa"/>
              <w:right w:w="105" w:type="dxa"/>
            </w:tcMar>
            <w:vAlign w:val="top"/>
          </w:tcPr>
          <w:p w:rsidR="6839EF20" w:rsidP="6839EF20" w:rsidRDefault="6839EF20" w14:paraId="61C96C21" w14:textId="3FF25525">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Mainly the operator. Accidents involve loose clothing getting pulled into the chuck. Can result in amputation or major trauma.</w:t>
            </w:r>
          </w:p>
        </w:tc>
        <w:tc>
          <w:tcPr>
            <w:tcW w:w="1860" w:type="dxa"/>
            <w:tcMar>
              <w:left w:w="105" w:type="dxa"/>
              <w:right w:w="105" w:type="dxa"/>
            </w:tcMar>
            <w:vAlign w:val="top"/>
          </w:tcPr>
          <w:p w:rsidR="6839EF20" w:rsidP="6839EF20" w:rsidRDefault="6839EF20" w14:paraId="6E347E5E" w14:textId="1ED0B556">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High</w:t>
            </w:r>
          </w:p>
        </w:tc>
        <w:tc>
          <w:tcPr>
            <w:tcW w:w="1860" w:type="dxa"/>
            <w:tcMar>
              <w:left w:w="105" w:type="dxa"/>
              <w:right w:w="105" w:type="dxa"/>
            </w:tcMar>
            <w:vAlign w:val="top"/>
          </w:tcPr>
          <w:p w:rsidR="6839EF20" w:rsidP="6839EF20" w:rsidRDefault="6839EF20" w14:paraId="37EA9379" w14:textId="67EBCAF3">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Administrative control: mandatory “no loose clothing or jewellery”.</w:t>
            </w:r>
          </w:p>
          <w:p w:rsidR="6839EF20" w:rsidP="6839EF20" w:rsidRDefault="6839EF20" w14:paraId="206E5475" w14:textId="1EC30EDA">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Engineering control: fixed guard according to the BS EN ISO 23125:2015</w:t>
            </w:r>
            <w:r>
              <w:br/>
            </w:r>
          </w:p>
        </w:tc>
        <w:tc>
          <w:tcPr>
            <w:tcW w:w="1860" w:type="dxa"/>
            <w:tcMar>
              <w:left w:w="105" w:type="dxa"/>
              <w:right w:w="105" w:type="dxa"/>
            </w:tcMar>
            <w:vAlign w:val="top"/>
          </w:tcPr>
          <w:p w:rsidR="6839EF20" w:rsidP="6839EF20" w:rsidRDefault="6839EF20" w14:paraId="0077D7A8" w14:textId="04863A4D">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Fixed guard eliminates exposure to rotating chuck under normal operation</w:t>
            </w:r>
          </w:p>
        </w:tc>
      </w:tr>
      <w:tr w:rsidR="6839EF20" w:rsidTr="6839EF20" w14:paraId="03E2A055">
        <w:trPr>
          <w:trHeight w:val="300"/>
        </w:trPr>
        <w:tc>
          <w:tcPr>
            <w:tcW w:w="1860" w:type="dxa"/>
            <w:tcMar>
              <w:left w:w="105" w:type="dxa"/>
              <w:right w:w="105" w:type="dxa"/>
            </w:tcMar>
            <w:vAlign w:val="top"/>
          </w:tcPr>
          <w:p w:rsidR="6839EF20" w:rsidP="6839EF20" w:rsidRDefault="6839EF20" w14:paraId="64CA122F" w14:textId="3915E522">
            <w:pPr>
              <w:spacing w:before="0" w:beforeAutospacing="off" w:after="0" w:afterAutospacing="off" w:line="240" w:lineRule="auto"/>
              <w:ind w:left="0" w:right="0"/>
              <w:jc w:val="left"/>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Flying shavings/chips</w:t>
            </w:r>
          </w:p>
        </w:tc>
        <w:tc>
          <w:tcPr>
            <w:tcW w:w="1860" w:type="dxa"/>
            <w:tcMar>
              <w:left w:w="105" w:type="dxa"/>
              <w:right w:w="105" w:type="dxa"/>
            </w:tcMar>
            <w:vAlign w:val="top"/>
          </w:tcPr>
          <w:p w:rsidR="6839EF20" w:rsidP="6839EF20" w:rsidRDefault="6839EF20" w14:paraId="3D065ABF" w14:textId="4E69D497">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The operator and nearby personnel. Shavings flying out. Eyes are particularly vulnerable.</w:t>
            </w:r>
          </w:p>
        </w:tc>
        <w:tc>
          <w:tcPr>
            <w:tcW w:w="1860" w:type="dxa"/>
            <w:tcMar>
              <w:left w:w="105" w:type="dxa"/>
              <w:right w:w="105" w:type="dxa"/>
            </w:tcMar>
            <w:vAlign w:val="top"/>
          </w:tcPr>
          <w:p w:rsidR="6839EF20" w:rsidP="6839EF20" w:rsidRDefault="6839EF20" w14:paraId="51BF1A9C" w14:textId="0BEDB6B1">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High</w:t>
            </w:r>
          </w:p>
        </w:tc>
        <w:tc>
          <w:tcPr>
            <w:tcW w:w="1860" w:type="dxa"/>
            <w:tcMar>
              <w:left w:w="105" w:type="dxa"/>
              <w:right w:w="105" w:type="dxa"/>
            </w:tcMar>
            <w:vAlign w:val="top"/>
          </w:tcPr>
          <w:p w:rsidR="6839EF20" w:rsidP="6839EF20" w:rsidRDefault="6839EF20" w14:paraId="466C0BCE" w14:textId="6397D268">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Use of protective eyewear.</w:t>
            </w:r>
            <w:r>
              <w:br/>
            </w:r>
            <w:r w:rsidRPr="6839EF20" w:rsidR="6839EF20">
              <w:rPr>
                <w:rFonts w:ascii="Aptos" w:hAnsi="Aptos" w:eastAsia="Aptos" w:cs="Aptos"/>
                <w:b w:val="0"/>
                <w:bCs w:val="0"/>
                <w:i w:val="0"/>
                <w:iCs w:val="0"/>
                <w:sz w:val="16"/>
                <w:szCs w:val="16"/>
                <w:lang w:val="en-US"/>
              </w:rPr>
              <w:t>Engineering control: controlled feed rates</w:t>
            </w:r>
          </w:p>
        </w:tc>
        <w:tc>
          <w:tcPr>
            <w:tcW w:w="1860" w:type="dxa"/>
            <w:tcMar>
              <w:left w:w="105" w:type="dxa"/>
              <w:right w:w="105" w:type="dxa"/>
            </w:tcMar>
            <w:vAlign w:val="top"/>
          </w:tcPr>
          <w:p w:rsidR="6839EF20" w:rsidP="6839EF20" w:rsidRDefault="6839EF20" w14:paraId="163924A2" w14:textId="7EDA16B8">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Controlled feed minimises erratic shooting out of chips. Eyewear prevents eye damage in the case of unpreventable shavings flying out.</w:t>
            </w:r>
          </w:p>
        </w:tc>
      </w:tr>
      <w:tr w:rsidR="6839EF20" w:rsidTr="6839EF20" w14:paraId="03D2F676">
        <w:trPr>
          <w:trHeight w:val="300"/>
        </w:trPr>
        <w:tc>
          <w:tcPr>
            <w:tcW w:w="1860" w:type="dxa"/>
            <w:tcMar>
              <w:left w:w="105" w:type="dxa"/>
              <w:right w:w="105" w:type="dxa"/>
            </w:tcMar>
            <w:vAlign w:val="top"/>
          </w:tcPr>
          <w:p w:rsidR="6839EF20" w:rsidP="6839EF20" w:rsidRDefault="6839EF20" w14:paraId="6E238781" w14:textId="444DE92E">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Exposure to lubricant</w:t>
            </w:r>
          </w:p>
        </w:tc>
        <w:tc>
          <w:tcPr>
            <w:tcW w:w="1860" w:type="dxa"/>
            <w:tcMar>
              <w:left w:w="105" w:type="dxa"/>
              <w:right w:w="105" w:type="dxa"/>
            </w:tcMar>
            <w:vAlign w:val="top"/>
          </w:tcPr>
          <w:p w:rsidR="6839EF20" w:rsidP="6839EF20" w:rsidRDefault="6839EF20" w14:paraId="694B9538" w14:textId="33B6E793">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Mainly the operator. Exposure can lead long-term to dermatitis or inhalation of mist can lead to asthma.</w:t>
            </w:r>
          </w:p>
        </w:tc>
        <w:tc>
          <w:tcPr>
            <w:tcW w:w="1860" w:type="dxa"/>
            <w:tcMar>
              <w:left w:w="105" w:type="dxa"/>
              <w:right w:w="105" w:type="dxa"/>
            </w:tcMar>
            <w:vAlign w:val="top"/>
          </w:tcPr>
          <w:p w:rsidR="6839EF20" w:rsidP="6839EF20" w:rsidRDefault="6839EF20" w14:paraId="214687D2" w14:textId="121D7CBD">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Moderate</w:t>
            </w:r>
          </w:p>
        </w:tc>
        <w:tc>
          <w:tcPr>
            <w:tcW w:w="1860" w:type="dxa"/>
            <w:tcMar>
              <w:left w:w="105" w:type="dxa"/>
              <w:right w:w="105" w:type="dxa"/>
            </w:tcMar>
            <w:vAlign w:val="top"/>
          </w:tcPr>
          <w:p w:rsidR="6839EF20" w:rsidP="6839EF20" w:rsidRDefault="6839EF20" w14:paraId="23978FA3" w14:textId="6CD19C54">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Engineering control: workspace ventilation.</w:t>
            </w:r>
            <w:r>
              <w:br/>
            </w:r>
            <w:r w:rsidRPr="6839EF20" w:rsidR="6839EF20">
              <w:rPr>
                <w:rFonts w:ascii="Aptos" w:hAnsi="Aptos" w:eastAsia="Aptos" w:cs="Aptos"/>
                <w:b w:val="0"/>
                <w:bCs w:val="0"/>
                <w:i w:val="0"/>
                <w:iCs w:val="0"/>
                <w:sz w:val="16"/>
                <w:szCs w:val="16"/>
                <w:lang w:val="en-US"/>
              </w:rPr>
              <w:t>Administrative: skincare policy and according facilities.</w:t>
            </w:r>
          </w:p>
        </w:tc>
        <w:tc>
          <w:tcPr>
            <w:tcW w:w="1860" w:type="dxa"/>
            <w:tcMar>
              <w:left w:w="105" w:type="dxa"/>
              <w:right w:w="105" w:type="dxa"/>
            </w:tcMar>
            <w:vAlign w:val="top"/>
          </w:tcPr>
          <w:p w:rsidR="6839EF20" w:rsidP="6839EF20" w:rsidRDefault="6839EF20" w14:paraId="65C26045" w14:textId="3ECEF96A">
            <w:pPr>
              <w:rPr>
                <w:rFonts w:ascii="Aptos" w:hAnsi="Aptos" w:eastAsia="Aptos" w:cs="Aptos"/>
                <w:b w:val="0"/>
                <w:bCs w:val="0"/>
                <w:i w:val="0"/>
                <w:iCs w:val="0"/>
                <w:sz w:val="16"/>
                <w:szCs w:val="16"/>
                <w:lang w:val="en-US"/>
              </w:rPr>
            </w:pPr>
            <w:r w:rsidRPr="6839EF20" w:rsidR="6839EF20">
              <w:rPr>
                <w:rFonts w:ascii="Aptos" w:hAnsi="Aptos" w:eastAsia="Aptos" w:cs="Aptos"/>
                <w:b w:val="0"/>
                <w:bCs w:val="0"/>
                <w:i w:val="0"/>
                <w:iCs w:val="0"/>
                <w:sz w:val="16"/>
                <w:szCs w:val="16"/>
                <w:lang w:val="en-US"/>
              </w:rPr>
              <w:t>Ventilation captures and eliminates mist. Washing hands prevents long-term skin contact</w:t>
            </w:r>
          </w:p>
        </w:tc>
      </w:tr>
    </w:tbl>
    <w:p w:rsidR="6839EF20" w:rsidP="6839EF20" w:rsidRDefault="6839EF20" w14:paraId="3A08BD6E" w14:textId="0C82902C">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35FC4EC4" w14:textId="5CB1305A">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The solutions in the table are formulated based on the hierarchal structure of: Elimination/Engineering first, then administrative methods (e.g. prevention), and lastly PPE.</w:t>
      </w:r>
    </w:p>
    <w:p w:rsidR="6839EF20" w:rsidP="6839EF20" w:rsidRDefault="6839EF20" w14:paraId="319D7E21" w14:textId="149269AA">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1F5D024" w14:textId="29F19584">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687FF06E" w14:textId="5680BD98">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3C69F49" w14:textId="27548C7C">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5D4014C" w14:textId="6189ADE0">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CA0E23B" w14:textId="4A4E25BD">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3DC3FE4" w14:textId="25437EF1">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9B75CD5" w14:textId="5ED439A4">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510FBC91" w14:textId="3F2AACFB">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73496AE" w14:textId="0D8E3A64">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E92A8A5" w14:textId="2D29F3A1">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4750587" w14:textId="3BBB2313">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57C32DF" w14:textId="5C44A901">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130B6C7" w14:textId="433400A1">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2950F20" w14:textId="5A2D67AD">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A334EC3" w14:textId="559B377B">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75318E1" w14:textId="70954414">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2E684D5" w14:textId="75D89D44">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7799DBBF" w14:textId="3B19F6EE">
      <w:pPr>
        <w:pStyle w:val="Heading1"/>
        <w:keepNext w:val="1"/>
        <w:keepLines w:val="1"/>
        <w:bidi w:val="0"/>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Security Risk Matrix</w:t>
      </w:r>
    </w:p>
    <w:p w:rsidR="6839EF20" w:rsidP="6839EF20" w:rsidRDefault="6839EF20" w14:paraId="561D0459" w14:textId="154DE496">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1E299AB" w14:textId="504CCEA4">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5AA8B8B2" w14:textId="303092AD">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Modern vehicles are cyber-physical systems that incorporate sensor arrays, interconnected ECUs, telematics components, and cloud networking. This has now increased the possible number of attacks by opening more angles for security threats. Nevertheless, there are still risks that lie within the automotive industry such as risks in physical security, supply chain integrity, and personnel. Drawing upon incident reports and security research, four realistic threats are identified and critically evaluated using a qualitative risk matrix:</w:t>
      </w:r>
      <w:r>
        <w:br/>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1. </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Over-the-air (OTA) update compromise:</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Modern vehicles depend on OTA systems to deliver software and firmware updates to ECUs. If any part of the OTA pipeline is compromised — such as the update server, the wireless link, or the code-signing process — attackers can push malicious firmware, gaining control of ECUs or disabling safety-critical functions (Mocnik &amp; Fowler, 2023; Mahmood et al., 2022). </w:t>
      </w:r>
      <w:r>
        <w:br/>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2.R</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ansomware attack on manufacturing supply chain:</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Hackers use malicious software to lock down critical computer systems within a vehicle assembly plant causing severe production delays, financial damage, and supply chain disruption. The 2021 Colonial Pipeline attack demonstrated the crippling impact of ransomware on critical infrastructure (CISA, 2021). Automotive supply chains are similarly vulnerable.</w:t>
      </w:r>
    </w:p>
    <w:p w:rsidR="6839EF20" w:rsidP="6839EF20" w:rsidRDefault="6839EF20" w14:paraId="6DE0A70A" w14:textId="03292146">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559AF994" w14:textId="0F9A4750">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3. </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 xml:space="preserve">Malicious employee inside software development: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As the title says, there is the improbable, yet possible risk of an employee secretly introducing malicious code in a vehicle’s software. The SolarWinds incident shows such a risk is possible, and can lead to devastating consequences (NCSC, 2020). The automotive software supply chain can face the same risk.</w:t>
      </w:r>
      <w:r>
        <w:br/>
      </w:r>
    </w:p>
    <w:p w:rsidR="3F4A4614" w:rsidP="6839EF20" w:rsidRDefault="3F4A4614" w14:paraId="32245875" w14:textId="443C5BE6">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4.</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 xml:space="preserve"> Remote exploitation of in-vehicle networks: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If an attacker accesses the vehicle, such as through a compromised infotainment or telematics unit, they can inject spoofed messages onto the CAN bus, enabling control of functions like braking or steering (Checkoway et al., 2011; Miller &amp; Valasek, 2015). This is possible because in-vehicle networks use broadcast messaging without strong authentication. Researchers demonstrated a remote Jeep Cherokee hack via its Uconnect system, leading to a 1.4-million-vehicle recall (Miller and Valasek, 2015).</w:t>
      </w:r>
    </w:p>
    <w:p w:rsidR="6839EF20" w:rsidP="6839EF20" w:rsidRDefault="6839EF20" w14:paraId="529FA469" w14:textId="33843F87">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71B623C3" w14:textId="283C5C3D">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Risk Matrix:</w:t>
      </w:r>
    </w:p>
    <w:tbl>
      <w:tblPr>
        <w:tblStyle w:val="TableGrid"/>
        <w:bidiVisual w:val="0"/>
        <w:tblW w:w="0" w:type="auto"/>
        <w:tblInd w:w="720" w:type="dxa"/>
        <w:tblBorders>
          <w:top w:val="single" w:sz="6"/>
          <w:left w:val="single" w:sz="6"/>
          <w:bottom w:val="single" w:sz="6"/>
          <w:right w:val="single" w:sz="6"/>
        </w:tblBorders>
        <w:tblLook w:val="06A0" w:firstRow="1" w:lastRow="0" w:firstColumn="1" w:lastColumn="0" w:noHBand="1" w:noVBand="1"/>
      </w:tblPr>
      <w:tblGrid>
        <w:gridCol w:w="2160"/>
        <w:gridCol w:w="2160"/>
        <w:gridCol w:w="2160"/>
        <w:gridCol w:w="2160"/>
      </w:tblGrid>
      <w:tr w:rsidR="6839EF20" w:rsidTr="6839EF20" w14:paraId="5DB2031E">
        <w:trPr>
          <w:trHeight w:val="300"/>
        </w:trPr>
        <w:tc>
          <w:tcPr>
            <w:tcW w:w="2160" w:type="dxa"/>
            <w:tcMar>
              <w:left w:w="105" w:type="dxa"/>
              <w:right w:w="105" w:type="dxa"/>
            </w:tcMar>
            <w:vAlign w:val="top"/>
          </w:tcPr>
          <w:p w:rsidR="6839EF20" w:rsidP="6839EF20" w:rsidRDefault="6839EF20" w14:paraId="0A1D5A27" w14:textId="26A74CFC">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Threat Type</w:t>
            </w:r>
          </w:p>
        </w:tc>
        <w:tc>
          <w:tcPr>
            <w:tcW w:w="2160" w:type="dxa"/>
            <w:tcMar>
              <w:left w:w="105" w:type="dxa"/>
              <w:right w:w="105" w:type="dxa"/>
            </w:tcMar>
            <w:vAlign w:val="top"/>
          </w:tcPr>
          <w:p w:rsidR="6839EF20" w:rsidP="6839EF20" w:rsidRDefault="6839EF20" w14:paraId="0AF26457" w14:textId="77C970E1">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Likelihood</w:t>
            </w:r>
          </w:p>
        </w:tc>
        <w:tc>
          <w:tcPr>
            <w:tcW w:w="2160" w:type="dxa"/>
            <w:tcMar>
              <w:left w:w="105" w:type="dxa"/>
              <w:right w:w="105" w:type="dxa"/>
            </w:tcMar>
            <w:vAlign w:val="top"/>
          </w:tcPr>
          <w:p w:rsidR="6839EF20" w:rsidP="6839EF20" w:rsidRDefault="6839EF20" w14:paraId="3B7B56FD" w14:textId="6A219171">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Impact</w:t>
            </w:r>
          </w:p>
        </w:tc>
        <w:tc>
          <w:tcPr>
            <w:tcW w:w="2160" w:type="dxa"/>
            <w:tcMar>
              <w:left w:w="105" w:type="dxa"/>
              <w:right w:w="105" w:type="dxa"/>
            </w:tcMar>
            <w:vAlign w:val="top"/>
          </w:tcPr>
          <w:p w:rsidR="6839EF20" w:rsidP="6839EF20" w:rsidRDefault="6839EF20" w14:paraId="45AEC1E9" w14:textId="347C6995">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Risk Rating</w:t>
            </w:r>
          </w:p>
        </w:tc>
      </w:tr>
      <w:tr w:rsidR="6839EF20" w:rsidTr="6839EF20" w14:paraId="37F34585">
        <w:trPr>
          <w:trHeight w:val="750"/>
        </w:trPr>
        <w:tc>
          <w:tcPr>
            <w:tcW w:w="2160" w:type="dxa"/>
            <w:tcMar>
              <w:left w:w="105" w:type="dxa"/>
              <w:right w:w="105" w:type="dxa"/>
            </w:tcMar>
            <w:vAlign w:val="top"/>
          </w:tcPr>
          <w:p w:rsidR="6839EF20" w:rsidP="6839EF20" w:rsidRDefault="6839EF20" w14:paraId="022C729E" w14:textId="4B087C7B">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Over-the-air (OTA) update compromise</w:t>
            </w:r>
          </w:p>
        </w:tc>
        <w:tc>
          <w:tcPr>
            <w:tcW w:w="2160" w:type="dxa"/>
            <w:tcMar>
              <w:left w:w="105" w:type="dxa"/>
              <w:right w:w="105" w:type="dxa"/>
            </w:tcMar>
            <w:vAlign w:val="top"/>
          </w:tcPr>
          <w:p w:rsidR="6839EF20" w:rsidP="6839EF20" w:rsidRDefault="6839EF20" w14:paraId="2D7919D8" w14:textId="17DBE235">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Medium</w:t>
            </w:r>
          </w:p>
        </w:tc>
        <w:tc>
          <w:tcPr>
            <w:tcW w:w="2160" w:type="dxa"/>
            <w:tcMar>
              <w:left w:w="105" w:type="dxa"/>
              <w:right w:w="105" w:type="dxa"/>
            </w:tcMar>
            <w:vAlign w:val="top"/>
          </w:tcPr>
          <w:p w:rsidR="6839EF20" w:rsidP="6839EF20" w:rsidRDefault="6839EF20" w14:paraId="362683FB" w14:textId="72554A76">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High (to an individual)</w:t>
            </w:r>
          </w:p>
        </w:tc>
        <w:tc>
          <w:tcPr>
            <w:tcW w:w="2160" w:type="dxa"/>
            <w:tcMar>
              <w:left w:w="105" w:type="dxa"/>
              <w:right w:w="105" w:type="dxa"/>
            </w:tcMar>
            <w:vAlign w:val="top"/>
          </w:tcPr>
          <w:p w:rsidR="6839EF20" w:rsidP="6839EF20" w:rsidRDefault="6839EF20" w14:paraId="7A9BB31B" w14:textId="52623E7F">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High</w:t>
            </w:r>
          </w:p>
        </w:tc>
      </w:tr>
      <w:tr w:rsidR="6839EF20" w:rsidTr="6839EF20" w14:paraId="71233A36">
        <w:trPr>
          <w:trHeight w:val="300"/>
        </w:trPr>
        <w:tc>
          <w:tcPr>
            <w:tcW w:w="2160" w:type="dxa"/>
            <w:tcMar>
              <w:left w:w="105" w:type="dxa"/>
              <w:right w:w="105" w:type="dxa"/>
            </w:tcMar>
            <w:vAlign w:val="top"/>
          </w:tcPr>
          <w:p w:rsidR="6839EF20" w:rsidP="6839EF20" w:rsidRDefault="6839EF20" w14:paraId="3377C716" w14:textId="2405BFC9">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Ransomware attack on manufacturing supply chain</w:t>
            </w:r>
          </w:p>
          <w:p w:rsidR="6839EF20" w:rsidP="6839EF20" w:rsidRDefault="6839EF20" w14:paraId="4E85EABB" w14:textId="1BF9187D">
            <w:pPr>
              <w:bidi w:val="0"/>
              <w:rPr>
                <w:rFonts w:ascii="Aptos" w:hAnsi="Aptos" w:eastAsia="Aptos" w:cs="Aptos"/>
                <w:b w:val="0"/>
                <w:bCs w:val="0"/>
                <w:i w:val="0"/>
                <w:iCs w:val="0"/>
                <w:sz w:val="24"/>
                <w:szCs w:val="24"/>
                <w:lang w:val="en-US"/>
              </w:rPr>
            </w:pPr>
          </w:p>
        </w:tc>
        <w:tc>
          <w:tcPr>
            <w:tcW w:w="2160" w:type="dxa"/>
            <w:tcMar>
              <w:left w:w="105" w:type="dxa"/>
              <w:right w:w="105" w:type="dxa"/>
            </w:tcMar>
            <w:vAlign w:val="top"/>
          </w:tcPr>
          <w:p w:rsidR="6839EF20" w:rsidP="6839EF20" w:rsidRDefault="6839EF20" w14:paraId="434E2BCE" w14:textId="0F873FF5">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High</w:t>
            </w:r>
          </w:p>
        </w:tc>
        <w:tc>
          <w:tcPr>
            <w:tcW w:w="2160" w:type="dxa"/>
            <w:tcMar>
              <w:left w:w="105" w:type="dxa"/>
              <w:right w:w="105" w:type="dxa"/>
            </w:tcMar>
            <w:vAlign w:val="top"/>
          </w:tcPr>
          <w:p w:rsidR="6839EF20" w:rsidP="6839EF20" w:rsidRDefault="6839EF20" w14:paraId="21EE2919" w14:textId="6C9CCA46">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Very High</w:t>
            </w:r>
          </w:p>
        </w:tc>
        <w:tc>
          <w:tcPr>
            <w:tcW w:w="2160" w:type="dxa"/>
            <w:tcMar>
              <w:left w:w="105" w:type="dxa"/>
              <w:right w:w="105" w:type="dxa"/>
            </w:tcMar>
            <w:vAlign w:val="top"/>
          </w:tcPr>
          <w:p w:rsidR="6839EF20" w:rsidP="6839EF20" w:rsidRDefault="6839EF20" w14:paraId="205E6458" w14:textId="43E881B5">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Very High</w:t>
            </w:r>
          </w:p>
        </w:tc>
      </w:tr>
      <w:tr w:rsidR="6839EF20" w:rsidTr="6839EF20" w14:paraId="363AA3E2">
        <w:trPr>
          <w:trHeight w:val="300"/>
        </w:trPr>
        <w:tc>
          <w:tcPr>
            <w:tcW w:w="2160" w:type="dxa"/>
            <w:tcMar>
              <w:left w:w="105" w:type="dxa"/>
              <w:right w:w="105" w:type="dxa"/>
            </w:tcMar>
            <w:vAlign w:val="top"/>
          </w:tcPr>
          <w:p w:rsidR="6839EF20" w:rsidP="6839EF20" w:rsidRDefault="6839EF20" w14:paraId="1F3F95A9" w14:textId="2696D7FE">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Malicious employee inside software development</w:t>
            </w:r>
          </w:p>
        </w:tc>
        <w:tc>
          <w:tcPr>
            <w:tcW w:w="2160" w:type="dxa"/>
            <w:tcMar>
              <w:left w:w="105" w:type="dxa"/>
              <w:right w:w="105" w:type="dxa"/>
            </w:tcMar>
            <w:vAlign w:val="top"/>
          </w:tcPr>
          <w:p w:rsidR="6839EF20" w:rsidP="6839EF20" w:rsidRDefault="6839EF20" w14:paraId="2A52324A" w14:textId="06B37CAF">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Low</w:t>
            </w:r>
          </w:p>
        </w:tc>
        <w:tc>
          <w:tcPr>
            <w:tcW w:w="2160" w:type="dxa"/>
            <w:tcMar>
              <w:left w:w="105" w:type="dxa"/>
              <w:right w:w="105" w:type="dxa"/>
            </w:tcMar>
            <w:vAlign w:val="top"/>
          </w:tcPr>
          <w:p w:rsidR="6839EF20" w:rsidP="6839EF20" w:rsidRDefault="6839EF20" w14:paraId="45C224B0" w14:textId="294BC738">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Very High</w:t>
            </w:r>
          </w:p>
        </w:tc>
        <w:tc>
          <w:tcPr>
            <w:tcW w:w="2160" w:type="dxa"/>
            <w:tcMar>
              <w:left w:w="105" w:type="dxa"/>
              <w:right w:w="105" w:type="dxa"/>
            </w:tcMar>
            <w:vAlign w:val="top"/>
          </w:tcPr>
          <w:p w:rsidR="6839EF20" w:rsidP="6839EF20" w:rsidRDefault="6839EF20" w14:paraId="24477E48" w14:textId="14A49926">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Medium</w:t>
            </w:r>
          </w:p>
        </w:tc>
      </w:tr>
      <w:tr w:rsidR="6839EF20" w:rsidTr="6839EF20" w14:paraId="4956CD1D">
        <w:trPr>
          <w:trHeight w:val="300"/>
        </w:trPr>
        <w:tc>
          <w:tcPr>
            <w:tcW w:w="2160" w:type="dxa"/>
            <w:tcMar>
              <w:left w:w="105" w:type="dxa"/>
              <w:right w:w="105" w:type="dxa"/>
            </w:tcMar>
            <w:vAlign w:val="top"/>
          </w:tcPr>
          <w:p w:rsidR="6839EF20" w:rsidP="6839EF20" w:rsidRDefault="6839EF20" w14:paraId="5E6D7E37" w14:textId="3A33ECC5">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Remote exploitation of in-vehicle networks</w:t>
            </w:r>
          </w:p>
        </w:tc>
        <w:tc>
          <w:tcPr>
            <w:tcW w:w="2160" w:type="dxa"/>
            <w:tcMar>
              <w:left w:w="105" w:type="dxa"/>
              <w:right w:w="105" w:type="dxa"/>
            </w:tcMar>
            <w:vAlign w:val="top"/>
          </w:tcPr>
          <w:p w:rsidR="6839EF20" w:rsidP="6839EF20" w:rsidRDefault="6839EF20" w14:paraId="32B785AB" w14:textId="05E3BFDA">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Medium</w:t>
            </w:r>
          </w:p>
        </w:tc>
        <w:tc>
          <w:tcPr>
            <w:tcW w:w="2160" w:type="dxa"/>
            <w:tcMar>
              <w:left w:w="105" w:type="dxa"/>
              <w:right w:w="105" w:type="dxa"/>
            </w:tcMar>
            <w:vAlign w:val="top"/>
          </w:tcPr>
          <w:p w:rsidR="6839EF20" w:rsidP="6839EF20" w:rsidRDefault="6839EF20" w14:paraId="317B9232" w14:textId="7B5871E7">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High</w:t>
            </w:r>
          </w:p>
        </w:tc>
        <w:tc>
          <w:tcPr>
            <w:tcW w:w="2160" w:type="dxa"/>
            <w:tcMar>
              <w:left w:w="105" w:type="dxa"/>
              <w:right w:w="105" w:type="dxa"/>
            </w:tcMar>
            <w:vAlign w:val="top"/>
          </w:tcPr>
          <w:p w:rsidR="6839EF20" w:rsidP="6839EF20" w:rsidRDefault="6839EF20" w14:paraId="4425850B" w14:textId="79B61048">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High</w:t>
            </w:r>
          </w:p>
        </w:tc>
      </w:tr>
    </w:tbl>
    <w:p w:rsidR="3F4A4614" w:rsidP="6839EF20" w:rsidRDefault="3F4A4614" w14:paraId="7254D802" w14:textId="102EEDE3">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To fight a ransomware attack on a manufacturing supply chain, we need to prioritise what matters most:</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1. Physically isolating the critical computer systems by keeping them in a designated physically secure area away from the assembly line.</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2. Ensuring that only essential staff can access digital equipment in the whole factory and only using two-factor authentication.</w:t>
      </w:r>
    </w:p>
    <w:p w:rsidR="3F4A4614" w:rsidP="6839EF20" w:rsidRDefault="3F4A4614" w14:paraId="35DFFB6B" w14:textId="3612E63A">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3. Create a strict protocol for installing any sort of security updates throughout the factory, so that there are no temporary security gaps.</w:t>
      </w:r>
    </w:p>
    <w:p w:rsidR="6839EF20" w:rsidP="6839EF20" w:rsidRDefault="6839EF20" w14:paraId="33E6E17E" w14:textId="3FE843DA">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54D6BB94" w14:textId="02B61ADD">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E1E48F4" w14:textId="70FBD95A">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ABF4462" w14:textId="1FCC1918">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DF2452F" w14:textId="3C4B668E">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2AE04BA" w14:textId="4024A7D8">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4810D16" w14:textId="4E280238">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6CC8985" w14:textId="4DD8E262">
      <w:pPr>
        <w:bidi w:val="0"/>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433024AB" w14:textId="3EE2B95C">
      <w:pPr>
        <w:pStyle w:val="Heading1"/>
        <w:keepNext w:val="1"/>
        <w:keepLines w:val="1"/>
        <w:bidi w:val="0"/>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Engineers’ role in society</w:t>
      </w:r>
    </w:p>
    <w:p w:rsidR="6839EF20" w:rsidP="6839EF20" w:rsidRDefault="6839EF20" w14:paraId="3F72254F" w14:textId="77564E6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1A03292B" w14:textId="543D827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Both Honda Motor and Yamaha Motor publish formal codes of conduct that shape how their engineers approach technical work. Thes</w:t>
      </w:r>
      <w:r w:rsidRPr="6839EF20" w:rsidR="614F2C6E">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codes centre engineering decisions on sustainability principles such as Brundtland Report’s focus on protecting future generations </w:t>
      </w:r>
      <w:r w:rsidRPr="6839EF20" w:rsidR="3F4A4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Scientific Research, n.d.</w:t>
      </w:r>
      <w:r w:rsidRPr="6839EF20" w:rsidR="3F4A4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For motorcycle engineers, this means that environmental issues are not treated as optional considerations but as a core part of responsible design. </w:t>
      </w:r>
      <w:r>
        <w:br/>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Honda’s code places clear expectations on engineers to support the company’s move toward carbon neutrality, requiring them to consider emissions, resource use and environmental impact when developing new technologies (Honda Motor Co., 2023). For example, when evaluating powertrain options, engineers must balance performance targets with energy efficiency and long-term carbon output. Yamaha’s code takes a similar direction, emphasising harmony with society and the environment, and encouraging engineers to integrate sustainability into both material selection and manufacturing processes (Yamaha Motor Co., 2023). This essentially means an engineer might choose a recycled carbon fibre weave not just for its strength-to-weight ratio, but because it can have up to 40% bio-degradable components. In motorcycle races, the crucial performance calculation now includes end-of-life.</w:t>
      </w:r>
      <w:r>
        <w:br/>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These codes also influence everyday engineering tasks. A Honda engineer working on an electric motorcycle platform might identify the challenge of battery material sourcing and propose a shift toward more recyclable chemistries. A Yamaha engineer designing a new chassis may consider not only structural strength but also the supply chain behind the aluminium being used, selecting suppliers with lower environmental impact. These are practical applications which truly reflect the problem-solving expectations within modern engineering teams.</w:t>
      </w:r>
    </w:p>
    <w:p w:rsidR="6839EF20" w:rsidP="6839EF20" w:rsidRDefault="6839EF20" w14:paraId="2109591A" w14:textId="35C1C9C9">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530F4E5" w14:textId="4A17BA0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331A0C4A" w14:textId="58B9FC3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EFE84D1" w14:textId="1919D32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11C5EBB" w14:textId="299485B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59CEEF4C" w14:textId="66897191">
      <w:pPr>
        <w:pStyle w:val="Heading1"/>
        <w:keepNext w:val="1"/>
        <w:keepLines w:val="1"/>
        <w:bidi w:val="0"/>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Problem Solving</w:t>
      </w:r>
    </w:p>
    <w:p w:rsidR="3F4A4614" w:rsidP="6839EF20" w:rsidRDefault="3F4A4614" w14:paraId="4FFEFD95" w14:textId="4F2C065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During the development stage of a new product, it is common for engineering teams to frequently encounter issues that interrupt progress. Research has shown that there are a number of problem-solving approaches for this. Two different approaches, along with diagrams, have been proposed to resolve common issues:</w:t>
      </w:r>
      <w:r>
        <w:br/>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1. One common strategy is decomposition and recomposition approach, which breaks a complex engineering problem into smaller, manageable sections that can be analysed independently (Milovanovic, Gero &amp; Becker, 2021). In product development, this approach helps teams avoid the cognitive overload that comes from examining an issue in its entirety. For example, in the development of a motorcycle powertrain, engineers may divide the problem into combustion performance, thermal management, emissions control and mechanical durability. Each sub-problem can then be tested with targeted tools, allowing teams to identify constraints or failure modes without interference from unrelated variables.</w:t>
      </w:r>
    </w:p>
    <w:p w:rsidR="3F4A4614" w:rsidP="6839EF20" w:rsidRDefault="3F4A4614" w14:paraId="3D8B81D5" w14:textId="0B0CAB4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2. Secondly, the </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PDCA (Plan–Do–Check–Act)</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cycle offers an iterative framework for continuous improvement. Teams plan a change, implement it on a small scale, evaluate the results and then either adopt or revise the solution (Deming, 1986). This loop ensures changes are rooted in evidence and not gut-feeling or guesswork.   </w:t>
      </w:r>
      <w:r w:rsidR="3F4A4614">
        <w:drawing>
          <wp:inline wp14:editId="16384D07" wp14:anchorId="32EAA6F0">
            <wp:extent cx="2076450" cy="1714500"/>
            <wp:effectExtent l="0" t="0" r="0" b="0"/>
            <wp:docPr id="2143468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3468300" name="Picture 2143468300"/>
                    <pic:cNvPicPr/>
                  </pic:nvPicPr>
                  <pic:blipFill>
                    <a:blip xmlns:r="http://schemas.openxmlformats.org/officeDocument/2006/relationships" r:embed="rId1236993057">
                      <a:extLst>
                        <a:ext uri="{28A0092B-C50C-407E-A947-70E740481C1C}">
                          <a14:useLocalDpi xmlns:a14="http://schemas.microsoft.com/office/drawing/2010/main"/>
                        </a:ext>
                      </a:extLst>
                    </a:blip>
                    <a:stretch>
                      <a:fillRect/>
                    </a:stretch>
                  </pic:blipFill>
                  <pic:spPr>
                    <a:xfrm>
                      <a:off x="0" y="0"/>
                      <a:ext cx="2076450" cy="1714500"/>
                    </a:xfrm>
                    <a:prstGeom prst="rect">
                      <a:avLst/>
                    </a:prstGeom>
                  </pic:spPr>
                </pic:pic>
              </a:graphicData>
            </a:graphic>
          </wp:inline>
        </w:drawing>
      </w:r>
    </w:p>
    <w:p w:rsidR="3F4A4614" w:rsidP="6839EF20" w:rsidRDefault="3F4A4614" w14:paraId="1DF2421A" w14:textId="1CA67D1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The PDCA (Plan–Do–Check–Act) cycle (American Society for Quality, 2025).</w:t>
      </w:r>
    </w:p>
    <w:p w:rsidR="6839EF20" w:rsidP="6839EF20" w:rsidRDefault="6839EF20" w14:paraId="0C6B209D" w14:textId="6E0157A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382175EF" w14:textId="6F22FE0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0DDA234" w14:textId="52B04FA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05DAF543" w14:textId="5E8A678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51CE9DB8" w14:textId="514DD469">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577B005" w14:textId="46F2D07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6B226005" w14:textId="351DB84C">
      <w:pPr>
        <w:pStyle w:val="Heading1"/>
        <w:keepNext w:val="1"/>
        <w:keepLines w:val="1"/>
        <w:bidi w:val="0"/>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Team Structure</w:t>
      </w:r>
    </w:p>
    <w:p w:rsidR="3F4A4614" w:rsidP="6839EF20" w:rsidRDefault="3F4A4614" w14:paraId="510FA39D" w14:textId="5D43744D">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One experience that stands out for me involved installing a flat-roof window with my father and brother. It wasn’t a formal engineering setting, but the way we organised ourselves felt very similar to how small technical teams operate. The task itself was simple in theory—lift the window, get it onto the roof, hold it steady... but once we actually started, it became clear that the coordination mattered more than anything else. My father naturally took charge, and the two of us followed his instructions, so the structure became a straightforward </w:t>
      </w:r>
      <w:r w:rsidRPr="6839EF20" w:rsidR="3F4A4614">
        <w:rPr>
          <w:rFonts w:ascii="Aptos" w:hAnsi="Aptos" w:eastAsia="Aptos" w:cs="Aptos"/>
          <w:b w:val="1"/>
          <w:bCs w:val="1"/>
          <w:i w:val="0"/>
          <w:iCs w:val="0"/>
          <w:caps w:val="0"/>
          <w:smallCaps w:val="0"/>
          <w:noProof w:val="0"/>
          <w:color w:val="000000" w:themeColor="text1" w:themeTint="FF" w:themeShade="FF"/>
          <w:sz w:val="24"/>
          <w:szCs w:val="24"/>
          <w:lang w:val="en-US"/>
        </w:rPr>
        <w:t>single-leader hierarchy</w:t>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 (Adair, 2007).</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20"/>
        <w:gridCol w:w="3120"/>
        <w:gridCol w:w="3120"/>
      </w:tblGrid>
      <w:tr w:rsidR="6839EF20" w:rsidTr="6839EF20" w14:paraId="4465F9B2">
        <w:trPr>
          <w:trHeight w:val="300"/>
        </w:trPr>
        <w:tc>
          <w:tcPr>
            <w:tcW w:w="3120" w:type="dxa"/>
            <w:tcMar>
              <w:left w:w="105" w:type="dxa"/>
              <w:right w:w="105" w:type="dxa"/>
            </w:tcMar>
            <w:vAlign w:val="top"/>
          </w:tcPr>
          <w:p w:rsidR="6839EF20" w:rsidP="6839EF20" w:rsidRDefault="6839EF20" w14:paraId="07F4D360" w14:textId="433EBD11">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Team Feature</w:t>
            </w:r>
          </w:p>
        </w:tc>
        <w:tc>
          <w:tcPr>
            <w:tcW w:w="3120" w:type="dxa"/>
            <w:tcMar>
              <w:left w:w="105" w:type="dxa"/>
              <w:right w:w="105" w:type="dxa"/>
            </w:tcMar>
            <w:vAlign w:val="top"/>
          </w:tcPr>
          <w:p w:rsidR="6839EF20" w:rsidP="6839EF20" w:rsidRDefault="6839EF20" w14:paraId="4F89693C" w14:textId="1F23AE4B">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Positive Aspect</w:t>
            </w:r>
          </w:p>
        </w:tc>
        <w:tc>
          <w:tcPr>
            <w:tcW w:w="3120" w:type="dxa"/>
            <w:tcMar>
              <w:left w:w="105" w:type="dxa"/>
              <w:right w:w="105" w:type="dxa"/>
            </w:tcMar>
            <w:vAlign w:val="top"/>
          </w:tcPr>
          <w:p w:rsidR="6839EF20" w:rsidP="6839EF20" w:rsidRDefault="6839EF20" w14:paraId="647FB82A" w14:textId="479D9737">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Negative Aspect</w:t>
            </w:r>
          </w:p>
        </w:tc>
      </w:tr>
      <w:tr w:rsidR="6839EF20" w:rsidTr="6839EF20" w14:paraId="073BAE3D">
        <w:trPr>
          <w:trHeight w:val="300"/>
        </w:trPr>
        <w:tc>
          <w:tcPr>
            <w:tcW w:w="3120" w:type="dxa"/>
            <w:tcMar>
              <w:left w:w="105" w:type="dxa"/>
              <w:right w:w="105" w:type="dxa"/>
            </w:tcMar>
            <w:vAlign w:val="top"/>
          </w:tcPr>
          <w:p w:rsidR="6839EF20" w:rsidP="6839EF20" w:rsidRDefault="6839EF20" w14:paraId="4D6D2C6A" w14:textId="4C178771">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Clear leader</w:t>
            </w:r>
          </w:p>
        </w:tc>
        <w:tc>
          <w:tcPr>
            <w:tcW w:w="3120" w:type="dxa"/>
            <w:tcMar>
              <w:left w:w="105" w:type="dxa"/>
              <w:right w:w="105" w:type="dxa"/>
            </w:tcMar>
            <w:vAlign w:val="top"/>
          </w:tcPr>
          <w:p w:rsidR="6839EF20" w:rsidP="6839EF20" w:rsidRDefault="6839EF20" w14:paraId="1CCD334E" w14:textId="67291D42">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One decision maker which reduces hesitation</w:t>
            </w:r>
          </w:p>
        </w:tc>
        <w:tc>
          <w:tcPr>
            <w:tcW w:w="3120" w:type="dxa"/>
            <w:tcMar>
              <w:left w:w="105" w:type="dxa"/>
              <w:right w:w="105" w:type="dxa"/>
            </w:tcMar>
            <w:vAlign w:val="top"/>
          </w:tcPr>
          <w:p w:rsidR="6839EF20" w:rsidP="6839EF20" w:rsidRDefault="6839EF20" w14:paraId="2BF76D07" w14:textId="591C92A8">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Less inclusive – no space for other ideas</w:t>
            </w:r>
          </w:p>
        </w:tc>
      </w:tr>
      <w:tr w:rsidR="6839EF20" w:rsidTr="6839EF20" w14:paraId="01530085">
        <w:trPr>
          <w:trHeight w:val="300"/>
        </w:trPr>
        <w:tc>
          <w:tcPr>
            <w:tcW w:w="3120" w:type="dxa"/>
            <w:tcMar>
              <w:left w:w="105" w:type="dxa"/>
              <w:right w:w="105" w:type="dxa"/>
            </w:tcMar>
            <w:vAlign w:val="top"/>
          </w:tcPr>
          <w:p w:rsidR="6839EF20" w:rsidP="6839EF20" w:rsidRDefault="6839EF20" w14:paraId="2A547478" w14:textId="1018FA34">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Defined roles</w:t>
            </w:r>
          </w:p>
        </w:tc>
        <w:tc>
          <w:tcPr>
            <w:tcW w:w="3120" w:type="dxa"/>
            <w:tcMar>
              <w:left w:w="105" w:type="dxa"/>
              <w:right w:w="105" w:type="dxa"/>
            </w:tcMar>
            <w:vAlign w:val="top"/>
          </w:tcPr>
          <w:p w:rsidR="6839EF20" w:rsidP="6839EF20" w:rsidRDefault="6839EF20" w14:paraId="3D676CD8" w14:textId="7700A21A">
            <w:pPr>
              <w:bidi w:val="0"/>
              <w:spacing w:before="0" w:beforeAutospacing="off" w:after="0" w:afterAutospacing="off" w:line="240" w:lineRule="auto"/>
              <w:ind w:left="0" w:right="0"/>
              <w:jc w:val="left"/>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Good execution and minimal mistakes due to those who made no decision</w:t>
            </w:r>
          </w:p>
        </w:tc>
        <w:tc>
          <w:tcPr>
            <w:tcW w:w="3120" w:type="dxa"/>
            <w:tcMar>
              <w:left w:w="105" w:type="dxa"/>
              <w:right w:w="105" w:type="dxa"/>
            </w:tcMar>
            <w:vAlign w:val="top"/>
          </w:tcPr>
          <w:p w:rsidR="6839EF20" w:rsidP="6839EF20" w:rsidRDefault="6839EF20" w14:paraId="5ABF3B56" w14:textId="45B1F43D">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Limited flexibility in the case of something random</w:t>
            </w:r>
          </w:p>
        </w:tc>
      </w:tr>
      <w:tr w:rsidR="6839EF20" w:rsidTr="6839EF20" w14:paraId="3E9E1772">
        <w:trPr>
          <w:trHeight w:val="300"/>
        </w:trPr>
        <w:tc>
          <w:tcPr>
            <w:tcW w:w="3120" w:type="dxa"/>
            <w:tcMar>
              <w:left w:w="105" w:type="dxa"/>
              <w:right w:w="105" w:type="dxa"/>
            </w:tcMar>
            <w:vAlign w:val="top"/>
          </w:tcPr>
          <w:p w:rsidR="6839EF20" w:rsidP="6839EF20" w:rsidRDefault="6839EF20" w14:paraId="5992435B" w14:textId="6996BB32">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Direct communication from leader</w:t>
            </w:r>
          </w:p>
        </w:tc>
        <w:tc>
          <w:tcPr>
            <w:tcW w:w="3120" w:type="dxa"/>
            <w:tcMar>
              <w:left w:w="105" w:type="dxa"/>
              <w:right w:w="105" w:type="dxa"/>
            </w:tcMar>
            <w:vAlign w:val="top"/>
          </w:tcPr>
          <w:p w:rsidR="6839EF20" w:rsidP="6839EF20" w:rsidRDefault="6839EF20" w14:paraId="2756BE0C" w14:textId="4E5512E9">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Minimal confusion</w:t>
            </w:r>
          </w:p>
        </w:tc>
        <w:tc>
          <w:tcPr>
            <w:tcW w:w="3120" w:type="dxa"/>
            <w:tcMar>
              <w:left w:w="105" w:type="dxa"/>
              <w:right w:w="105" w:type="dxa"/>
            </w:tcMar>
            <w:vAlign w:val="top"/>
          </w:tcPr>
          <w:p w:rsidR="6839EF20" w:rsidP="6839EF20" w:rsidRDefault="6839EF20" w14:paraId="5AB97C16" w14:textId="76B693D7">
            <w:pPr>
              <w:bidi w:val="0"/>
              <w:rPr>
                <w:rFonts w:ascii="Aptos" w:hAnsi="Aptos" w:eastAsia="Aptos" w:cs="Aptos"/>
                <w:b w:val="0"/>
                <w:bCs w:val="0"/>
                <w:i w:val="0"/>
                <w:iCs w:val="0"/>
                <w:sz w:val="24"/>
                <w:szCs w:val="24"/>
                <w:lang w:val="en-US"/>
              </w:rPr>
            </w:pPr>
            <w:r w:rsidRPr="6839EF20" w:rsidR="6839EF20">
              <w:rPr>
                <w:rFonts w:ascii="Aptos" w:hAnsi="Aptos" w:eastAsia="Aptos" w:cs="Aptos"/>
                <w:b w:val="0"/>
                <w:bCs w:val="0"/>
                <w:i w:val="0"/>
                <w:iCs w:val="0"/>
                <w:sz w:val="24"/>
                <w:szCs w:val="24"/>
                <w:lang w:val="en-US"/>
              </w:rPr>
              <w:t>It all falls on the leader. The team is too dependent on one person – inherent risk</w:t>
            </w:r>
          </w:p>
        </w:tc>
      </w:tr>
    </w:tbl>
    <w:p w:rsidR="6839EF20" w:rsidP="6839EF20" w:rsidRDefault="6839EF20" w14:paraId="3A3E4489" w14:textId="27C0AEB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064BCFCC" w14:textId="466EDE5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The strengths of this structure were obvious as soon as we began lifting. When three people are carrying a heavy object up a ladder, the last thing you want is a debate about which way to turn. One voice made it safer and faster. But there were drawbacks too. My brother and I mostly reacted, rather than thinking ahead or proposing alternatives. Our minds also would have naturally liked to think about the “why” behind what we were doing, but we couldn’t because of the fast execution. In engineering terms, the hierarchy kept us efficient but slightly passive—something Mullins (2016) notes as a common issue in directive leadership structures.</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If I look back, a functional or cross-functional team structure might have worked as well, as illustrated here in the design team structure diagram.</w:t>
      </w:r>
    </w:p>
    <w:p w:rsidR="6839EF20" w:rsidP="6839EF20" w:rsidRDefault="6839EF20" w14:paraId="00A16DF2" w14:textId="2A1B892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A234360" w14:textId="19FB28E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F10627B" w14:textId="4927D4A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E436A06" w14:textId="6CDCE0C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402B8623" w14:textId="63CFBD3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69F6DFFB" w14:textId="5EFCCAB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4A4614" w:rsidP="6839EF20" w:rsidRDefault="3F4A4614" w14:paraId="3425D1D3" w14:textId="3FD86AE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3F4A4614">
        <w:drawing>
          <wp:inline wp14:editId="24E7AEBF" wp14:anchorId="46A74231">
            <wp:extent cx="5943600" cy="2924175"/>
            <wp:effectExtent l="0" t="0" r="0" b="0"/>
            <wp:docPr id="1775539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5539545" name="Picture 1775539545"/>
                    <pic:cNvPicPr/>
                  </pic:nvPicPr>
                  <pic:blipFill>
                    <a:blip xmlns:r="http://schemas.openxmlformats.org/officeDocument/2006/relationships" r:embed="rId304278419">
                      <a:extLst>
                        <a:ext uri="{28A0092B-C50C-407E-A947-70E740481C1C}">
                          <a14:useLocalDpi xmlns:a14="http://schemas.microsoft.com/office/drawing/2010/main"/>
                        </a:ext>
                      </a:extLst>
                    </a:blip>
                    <a:stretch>
                      <a:fillRect/>
                    </a:stretch>
                  </pic:blipFill>
                  <pic:spPr>
                    <a:xfrm>
                      <a:off x="0" y="0"/>
                      <a:ext cx="5943600" cy="2924175"/>
                    </a:xfrm>
                    <a:prstGeom prst="rect">
                      <a:avLst/>
                    </a:prstGeom>
                  </pic:spPr>
                </pic:pic>
              </a:graphicData>
            </a:graphic>
          </wp:inline>
        </w:drawing>
      </w:r>
    </w:p>
    <w:p w:rsidR="3F4A4614" w:rsidP="6839EF20" w:rsidRDefault="3F4A4614" w14:paraId="5143BCAE" w14:textId="2FBCCFD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(Cirulis, 2017)</w:t>
      </w:r>
    </w:p>
    <w:p w:rsidR="3F4A4614" w:rsidP="6839EF20" w:rsidRDefault="3F4A4614" w14:paraId="786B7D90" w14:textId="54308EE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Instead of one leader telling everyone what to do, we could have split responsibilities more intentionally: one person focusing on alignment, another checking fixing points, someone else monitoring load angles. Engineering teams use this approach a lot because it spreads the cognitive load and makes the process more resilient (Blanchard &amp; Thacker, 2013).</w:t>
      </w:r>
      <w:r>
        <w:br/>
      </w:r>
      <w:r w:rsidRPr="6839EF20" w:rsidR="3F4A4614">
        <w:rPr>
          <w:rFonts w:ascii="Aptos" w:hAnsi="Aptos" w:eastAsia="Aptos" w:cs="Aptos"/>
          <w:b w:val="0"/>
          <w:bCs w:val="0"/>
          <w:i w:val="0"/>
          <w:iCs w:val="0"/>
          <w:caps w:val="0"/>
          <w:smallCaps w:val="0"/>
          <w:noProof w:val="0"/>
          <w:color w:val="000000" w:themeColor="text1" w:themeTint="FF" w:themeShade="FF"/>
          <w:sz w:val="24"/>
          <w:szCs w:val="24"/>
          <w:lang w:val="en-US"/>
        </w:rPr>
        <w:t xml:space="preserve">Would it have been slower? Maybe. But it might also have encouraged more communication and shared awareness, which is something engineering teams rely on especially when safety and accuracy matter. </w:t>
      </w:r>
      <w:r>
        <w:br/>
      </w:r>
      <w:r>
        <w:br/>
      </w:r>
    </w:p>
    <w:p w:rsidR="6839EF20" w:rsidP="6839EF20" w:rsidRDefault="6839EF20" w14:paraId="489380F4" w14:textId="3A2CB81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3E3356D0" w14:textId="47F4265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42908F6" w14:textId="2D37FED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CC31777" w14:textId="6690523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6DB21875" w14:textId="0D4595E0">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168CCD2D" w14:textId="0156B4F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2A3D0D58" w14:textId="5510B5B9">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9EF20" w:rsidP="6839EF20" w:rsidRDefault="6839EF20" w14:paraId="745D57B4" w14:textId="583EC121">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D88B3A8" w:rsidP="6839EF20" w:rsidRDefault="0D88B3A8" w14:paraId="3B58276F" w14:textId="55FFBAB5">
      <w:pPr>
        <w:pStyle w:val="Heading1"/>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839EF20" w:rsidR="0D88B3A8">
        <w:rPr>
          <w:noProof w:val="0"/>
          <w:lang w:val="en-US"/>
        </w:rPr>
        <w:t>Conclusion</w:t>
      </w:r>
    </w:p>
    <w:p w:rsidR="0D88B3A8" w:rsidP="6839EF20" w:rsidRDefault="0D88B3A8" w14:paraId="7EB4C303" w14:textId="45A0B26C">
      <w:pPr>
        <w:pStyle w:val="Normal"/>
      </w:pPr>
      <w:r w:rsidRPr="6839EF20" w:rsidR="0D88B3A8">
        <w:rPr>
          <w:rFonts w:ascii="Aptos" w:hAnsi="Aptos" w:eastAsia="Aptos" w:cs="Aptos"/>
          <w:noProof w:val="0"/>
          <w:sz w:val="24"/>
          <w:szCs w:val="24"/>
          <w:lang w:val="en-US"/>
        </w:rPr>
        <w:t xml:space="preserve">Across all topics, engineering relies on clear reasoning and responsibility. Whether solving problems or working in a team, the same principles apply. These foundations shape effective engineering </w:t>
      </w:r>
      <w:r w:rsidRPr="6839EF20" w:rsidR="0D88B3A8">
        <w:rPr>
          <w:rFonts w:ascii="Aptos" w:hAnsi="Aptos" w:eastAsia="Aptos" w:cs="Aptos"/>
          <w:noProof w:val="0"/>
          <w:sz w:val="24"/>
          <w:szCs w:val="24"/>
          <w:lang w:val="en-US"/>
        </w:rPr>
        <w:t>practice</w:t>
      </w:r>
      <w:r w:rsidRPr="6839EF20" w:rsidR="0D88B3A8">
        <w:rPr>
          <w:rFonts w:ascii="Aptos" w:hAnsi="Aptos" w:eastAsia="Aptos" w:cs="Aptos"/>
          <w:noProof w:val="0"/>
          <w:sz w:val="24"/>
          <w:szCs w:val="24"/>
          <w:lang w:val="en-US"/>
        </w:rPr>
        <w:t xml:space="preserve"> in both simple tasks and complex systems.</w:t>
      </w:r>
    </w:p>
    <w:p w:rsidR="6839EF20" w:rsidP="6839EF20" w:rsidRDefault="6839EF20" w14:paraId="139DA4FD" w14:textId="39BFCD9C">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5C9075A3" w14:textId="2D32432E">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71A2ECD6" w14:textId="6C35AAE9">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B1FF633" w14:textId="74D4331A">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C070F32" w14:textId="4BDD5F01">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21F9200" w14:textId="2EC1AABB">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5A172B1B" w14:textId="7BE9B93D">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305FA8D9" w14:textId="0B88CF69">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C92129B" w14:textId="69C19047">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45E4EE9E" w14:textId="6FC3FF51">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7383AF82" w14:textId="30BE3E43">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76D8E6CC" w14:textId="777DA02D">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54928DD" w14:textId="359B382D">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059894D9" w14:textId="4356A344">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08D39937" w14:textId="312019E3">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25C8F220" w14:textId="10EFF62B">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6839EF20" w:rsidP="6839EF20" w:rsidRDefault="6839EF20" w14:paraId="6690DFD3" w14:textId="7C58815C">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3F4A4614" w:rsidP="6839EF20" w:rsidRDefault="3F4A4614" w14:paraId="207CB3C4" w14:textId="3454F55B">
      <w:pPr>
        <w:pStyle w:val="Normal"/>
      </w:pP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w:t>
      </w:r>
      <w:r w:rsidRPr="6839EF20" w:rsidR="3F4A4614">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ces:</w:t>
      </w:r>
    </w:p>
    <w:p w:rsidR="6839EF20" w:rsidP="6839EF20" w:rsidRDefault="6839EF20" w14:paraId="18286E2B" w14:textId="298B41E5">
      <w:pPr>
        <w:pStyle w:val="Normal"/>
        <w:bidi w:val="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72C0D40A" w:rsidP="6839EF20" w:rsidRDefault="72C0D40A" w14:paraId="30B4FDA8" w14:textId="14AEDD36">
      <w:pPr>
        <w:bidi w:val="0"/>
        <w:spacing w:before="240" w:beforeAutospacing="off" w:after="240" w:afterAutospacing="off"/>
      </w:pPr>
      <w:r w:rsidRPr="6839EF20" w:rsidR="72C0D40A">
        <w:rPr>
          <w:rFonts w:ascii="Aptos" w:hAnsi="Aptos" w:eastAsia="Aptos" w:cs="Aptos"/>
          <w:noProof w:val="0"/>
          <w:sz w:val="24"/>
          <w:szCs w:val="24"/>
          <w:lang w:val="en-US"/>
        </w:rPr>
        <w:t>Adair, J. (2007)</w:t>
      </w:r>
      <w:r w:rsidRPr="6839EF20" w:rsidR="72C0D40A">
        <w:rPr>
          <w:rFonts w:ascii="Aptos" w:hAnsi="Aptos" w:eastAsia="Aptos" w:cs="Aptos"/>
          <w:noProof w:val="0"/>
          <w:sz w:val="24"/>
          <w:szCs w:val="24"/>
          <w:lang w:val="en-US"/>
        </w:rPr>
        <w:t xml:space="preserve"> </w:t>
      </w:r>
      <w:r w:rsidRPr="6839EF20" w:rsidR="72C0D40A">
        <w:rPr>
          <w:rFonts w:ascii="Aptos" w:hAnsi="Aptos" w:eastAsia="Aptos" w:cs="Aptos"/>
          <w:i w:val="1"/>
          <w:iCs w:val="1"/>
          <w:noProof w:val="0"/>
          <w:sz w:val="24"/>
          <w:szCs w:val="24"/>
          <w:lang w:val="en-US"/>
        </w:rPr>
        <w:t>Leadership</w:t>
      </w:r>
      <w:r w:rsidRPr="6839EF20" w:rsidR="72C0D40A">
        <w:rPr>
          <w:rFonts w:ascii="Aptos" w:hAnsi="Aptos" w:eastAsia="Aptos" w:cs="Aptos"/>
          <w:i w:val="1"/>
          <w:iCs w:val="1"/>
          <w:noProof w:val="0"/>
          <w:sz w:val="24"/>
          <w:szCs w:val="24"/>
          <w:lang w:val="en-US"/>
        </w:rPr>
        <w:t xml:space="preserve"> and Motivation: The Fifty-Fifty Rule</w:t>
      </w:r>
      <w:r w:rsidRPr="6839EF20" w:rsidR="72C0D40A">
        <w:rPr>
          <w:rFonts w:ascii="Aptos" w:hAnsi="Aptos" w:eastAsia="Aptos" w:cs="Aptos"/>
          <w:noProof w:val="0"/>
          <w:sz w:val="24"/>
          <w:szCs w:val="24"/>
          <w:lang w:val="en-US"/>
        </w:rPr>
        <w:t>. London: Kogan Page.</w:t>
      </w:r>
    </w:p>
    <w:p w:rsidR="2D95946B" w:rsidP="6839EF20" w:rsidRDefault="2D95946B" w14:paraId="11693917" w14:textId="7C5CAB99">
      <w:pPr>
        <w:pStyle w:val="Normal"/>
        <w:bidi w:val="0"/>
        <w:rPr>
          <w:noProof w:val="0"/>
          <w:lang w:val="en-US"/>
        </w:rPr>
      </w:pPr>
      <w:r w:rsidRPr="6839EF20" w:rsidR="2D95946B">
        <w:rPr>
          <w:noProof w:val="0"/>
          <w:lang w:val="en-US"/>
        </w:rPr>
        <w:t xml:space="preserve">American Society for Quality, 2025. What is the Plan-Do-Check-Act (PDCA) Cycle? [online] ASQ.org. Available at: </w:t>
      </w:r>
      <w:hyperlink r:id="R230e5f69c31c44a0">
        <w:r w:rsidRPr="6839EF20" w:rsidR="2D95946B">
          <w:rPr>
            <w:noProof w:val="0"/>
            <w:lang w:val="en-US"/>
          </w:rPr>
          <w:t>https://asq.org/quality-resources/pdca-cycle</w:t>
        </w:r>
      </w:hyperlink>
    </w:p>
    <w:p w:rsidR="72C0D40A" w:rsidP="6839EF20" w:rsidRDefault="72C0D40A" w14:paraId="1E547D84" w14:textId="11C75963">
      <w:pPr>
        <w:bidi w:val="0"/>
        <w:spacing w:before="240" w:beforeAutospacing="off" w:after="240" w:afterAutospacing="off"/>
      </w:pPr>
      <w:r w:rsidRPr="6839EF20" w:rsidR="72C0D40A">
        <w:rPr>
          <w:rFonts w:ascii="Aptos" w:hAnsi="Aptos" w:eastAsia="Aptos" w:cs="Aptos"/>
          <w:noProof w:val="0"/>
          <w:sz w:val="24"/>
          <w:szCs w:val="24"/>
          <w:lang w:val="en-US"/>
        </w:rPr>
        <w:t xml:space="preserve">Blanchard, P. &amp; Thacker, J. (2013) </w:t>
      </w:r>
      <w:r w:rsidRPr="6839EF20" w:rsidR="72C0D40A">
        <w:rPr>
          <w:rFonts w:ascii="Aptos" w:hAnsi="Aptos" w:eastAsia="Aptos" w:cs="Aptos"/>
          <w:i w:val="1"/>
          <w:iCs w:val="1"/>
          <w:noProof w:val="0"/>
          <w:sz w:val="24"/>
          <w:szCs w:val="24"/>
          <w:lang w:val="en-US"/>
        </w:rPr>
        <w:t>Effective Training: Systems, Strategies and Practices</w:t>
      </w:r>
      <w:r w:rsidRPr="6839EF20" w:rsidR="72C0D40A">
        <w:rPr>
          <w:rFonts w:ascii="Aptos" w:hAnsi="Aptos" w:eastAsia="Aptos" w:cs="Aptos"/>
          <w:noProof w:val="0"/>
          <w:sz w:val="24"/>
          <w:szCs w:val="24"/>
          <w:lang w:val="en-US"/>
        </w:rPr>
        <w:t>. 5th edn. Boston: Pearson.</w:t>
      </w:r>
    </w:p>
    <w:p w:rsidR="360750A6" w:rsidP="6839EF20" w:rsidRDefault="360750A6" w14:paraId="74AAAF44" w14:textId="0F3133FE">
      <w:pPr>
        <w:pStyle w:val="Normal"/>
        <w:bidi w:val="0"/>
        <w:rPr>
          <w:noProof w:val="0"/>
          <w:lang w:val="en-US"/>
        </w:rPr>
      </w:pPr>
      <w:r w:rsidRPr="6839EF20" w:rsidR="360750A6">
        <w:rPr>
          <w:noProof w:val="0"/>
          <w:lang w:val="en-US"/>
        </w:rPr>
        <w:t>Cirulis</w:t>
      </w:r>
      <w:r w:rsidRPr="6839EF20" w:rsidR="360750A6">
        <w:rPr>
          <w:noProof w:val="0"/>
          <w:lang w:val="en-US"/>
        </w:rPr>
        <w:t>, G. (2017) Design team structure — cross-functional illustration [Photograph]. Available at: https://www.intercom.com/blog/building-a-cross-functional-design-team/</w:t>
      </w:r>
    </w:p>
    <w:p w:rsidR="72C0D40A" w:rsidP="6839EF20" w:rsidRDefault="72C0D40A" w14:paraId="45E36872" w14:textId="339354CB">
      <w:pPr>
        <w:pStyle w:val="Normal"/>
        <w:bidi w:val="0"/>
        <w:rPr>
          <w:noProof w:val="0"/>
          <w:lang w:val="en-US"/>
        </w:rPr>
      </w:pPr>
      <w:r w:rsidRPr="6839EF20" w:rsidR="72C0D40A">
        <w:rPr>
          <w:noProof w:val="0"/>
          <w:lang w:val="en-US"/>
        </w:rPr>
        <w:t>Deming, W. (1986) Out of the Crisis. Cambridge: MIT Press.</w:t>
      </w:r>
    </w:p>
    <w:p w:rsidR="6839EF20" w:rsidP="6839EF20" w:rsidRDefault="6839EF20" w14:paraId="2CF51439" w14:textId="13F488FE">
      <w:pPr>
        <w:pStyle w:val="Normal"/>
        <w:bidi w:val="0"/>
        <w:rPr>
          <w:noProof w:val="0"/>
          <w:lang w:val="en-US"/>
        </w:rPr>
      </w:pPr>
      <w:r>
        <w:br/>
      </w:r>
      <w:r w:rsidRPr="6839EF20" w:rsidR="537E7584">
        <w:rPr>
          <w:rFonts w:ascii="Aptos" w:hAnsi="Aptos" w:eastAsia="Aptos" w:cs="Aptos"/>
          <w:noProof w:val="0"/>
          <w:sz w:val="24"/>
          <w:szCs w:val="24"/>
          <w:lang w:val="en-US"/>
        </w:rPr>
        <w:t xml:space="preserve">HSE (1974) </w:t>
      </w:r>
      <w:r w:rsidRPr="6839EF20" w:rsidR="537E7584">
        <w:rPr>
          <w:rFonts w:ascii="Aptos" w:hAnsi="Aptos" w:eastAsia="Aptos" w:cs="Aptos"/>
          <w:i w:val="1"/>
          <w:iCs w:val="1"/>
          <w:noProof w:val="0"/>
          <w:sz w:val="24"/>
          <w:szCs w:val="24"/>
          <w:lang w:val="en-US"/>
        </w:rPr>
        <w:t xml:space="preserve">Health and Safety at </w:t>
      </w:r>
      <w:r w:rsidRPr="6839EF20" w:rsidR="537E7584">
        <w:rPr>
          <w:rFonts w:ascii="Aptos" w:hAnsi="Aptos" w:eastAsia="Aptos" w:cs="Aptos"/>
          <w:i w:val="1"/>
          <w:iCs w:val="1"/>
          <w:noProof w:val="0"/>
          <w:sz w:val="24"/>
          <w:szCs w:val="24"/>
          <w:lang w:val="en-US"/>
        </w:rPr>
        <w:t>Work</w:t>
      </w:r>
      <w:r w:rsidRPr="6839EF20" w:rsidR="537E7584">
        <w:rPr>
          <w:rFonts w:ascii="Aptos" w:hAnsi="Aptos" w:eastAsia="Aptos" w:cs="Aptos"/>
          <w:i w:val="1"/>
          <w:iCs w:val="1"/>
          <w:noProof w:val="0"/>
          <w:sz w:val="24"/>
          <w:szCs w:val="24"/>
          <w:lang w:val="en-US"/>
        </w:rPr>
        <w:t xml:space="preserve"> etc. Act 1974</w:t>
      </w:r>
      <w:r w:rsidRPr="6839EF20" w:rsidR="537E7584">
        <w:rPr>
          <w:rFonts w:ascii="Aptos" w:hAnsi="Aptos" w:eastAsia="Aptos" w:cs="Aptos"/>
          <w:noProof w:val="0"/>
          <w:sz w:val="24"/>
          <w:szCs w:val="24"/>
          <w:lang w:val="en-US"/>
        </w:rPr>
        <w:t>. London: HSE.</w:t>
      </w:r>
    </w:p>
    <w:p w:rsidR="537E7584" w:rsidP="6839EF20" w:rsidRDefault="537E7584" w14:paraId="318E943F" w14:textId="6474941B">
      <w:pPr>
        <w:pStyle w:val="Normal"/>
        <w:bidi w:val="0"/>
        <w:rPr>
          <w:rFonts w:ascii="Aptos" w:hAnsi="Aptos" w:eastAsia="Aptos" w:cs="Aptos"/>
          <w:noProof w:val="0"/>
          <w:sz w:val="24"/>
          <w:szCs w:val="24"/>
          <w:lang w:val="en-US"/>
        </w:rPr>
      </w:pPr>
      <w:r>
        <w:br/>
      </w:r>
      <w:r w:rsidRPr="6839EF20" w:rsidR="537E7584">
        <w:rPr>
          <w:rFonts w:ascii="Aptos" w:hAnsi="Aptos" w:eastAsia="Aptos" w:cs="Aptos"/>
          <w:noProof w:val="0"/>
          <w:sz w:val="24"/>
          <w:szCs w:val="24"/>
          <w:lang w:val="en-US"/>
        </w:rPr>
        <w:t xml:space="preserve"> HSE (1992) </w:t>
      </w:r>
      <w:r w:rsidRPr="6839EF20" w:rsidR="537E7584">
        <w:rPr>
          <w:rFonts w:ascii="Aptos" w:hAnsi="Aptos" w:eastAsia="Aptos" w:cs="Aptos"/>
          <w:i w:val="1"/>
          <w:iCs w:val="1"/>
          <w:noProof w:val="0"/>
          <w:sz w:val="24"/>
          <w:szCs w:val="24"/>
          <w:lang w:val="en-US"/>
        </w:rPr>
        <w:t>Personal Protective Equipment at Work Regulations 1992</w:t>
      </w:r>
      <w:r w:rsidRPr="6839EF20" w:rsidR="537E7584">
        <w:rPr>
          <w:rFonts w:ascii="Aptos" w:hAnsi="Aptos" w:eastAsia="Aptos" w:cs="Aptos"/>
          <w:noProof w:val="0"/>
          <w:sz w:val="24"/>
          <w:szCs w:val="24"/>
          <w:lang w:val="en-US"/>
        </w:rPr>
        <w:t>. London: HSE.</w:t>
      </w:r>
    </w:p>
    <w:p w:rsidR="537E7584" w:rsidP="6839EF20" w:rsidRDefault="537E7584" w14:paraId="51CA22DC" w14:textId="27ECBB69">
      <w:pPr>
        <w:pStyle w:val="Normal"/>
        <w:bidi w:val="0"/>
        <w:rPr>
          <w:rFonts w:ascii="Aptos" w:hAnsi="Aptos" w:eastAsia="Aptos" w:cs="Aptos"/>
          <w:noProof w:val="0"/>
          <w:sz w:val="24"/>
          <w:szCs w:val="24"/>
          <w:lang w:val="en-US"/>
        </w:rPr>
      </w:pPr>
      <w:r>
        <w:br/>
      </w:r>
      <w:r w:rsidRPr="6839EF20" w:rsidR="537E7584">
        <w:rPr>
          <w:rFonts w:ascii="Aptos" w:hAnsi="Aptos" w:eastAsia="Aptos" w:cs="Aptos"/>
          <w:noProof w:val="0"/>
          <w:sz w:val="24"/>
          <w:szCs w:val="24"/>
          <w:lang w:val="en-US"/>
        </w:rPr>
        <w:t xml:space="preserve"> HSE (1998) </w:t>
      </w:r>
      <w:r w:rsidRPr="6839EF20" w:rsidR="537E7584">
        <w:rPr>
          <w:rFonts w:ascii="Aptos" w:hAnsi="Aptos" w:eastAsia="Aptos" w:cs="Aptos"/>
          <w:i w:val="1"/>
          <w:iCs w:val="1"/>
          <w:noProof w:val="0"/>
          <w:sz w:val="24"/>
          <w:szCs w:val="24"/>
          <w:lang w:val="en-US"/>
        </w:rPr>
        <w:t>Provision and Use of Work Equipment Regulations 1998</w:t>
      </w:r>
      <w:r w:rsidRPr="6839EF20" w:rsidR="537E7584">
        <w:rPr>
          <w:rFonts w:ascii="Aptos" w:hAnsi="Aptos" w:eastAsia="Aptos" w:cs="Aptos"/>
          <w:noProof w:val="0"/>
          <w:sz w:val="24"/>
          <w:szCs w:val="24"/>
          <w:lang w:val="en-US"/>
        </w:rPr>
        <w:t>. London: HSE.</w:t>
      </w:r>
    </w:p>
    <w:p w:rsidR="537E7584" w:rsidP="6839EF20" w:rsidRDefault="537E7584" w14:paraId="65330818" w14:textId="6C6EACE3">
      <w:pPr>
        <w:pStyle w:val="Normal"/>
        <w:bidi w:val="0"/>
        <w:rPr>
          <w:rFonts w:ascii="Aptos" w:hAnsi="Aptos" w:eastAsia="Aptos" w:cs="Aptos"/>
          <w:noProof w:val="0"/>
          <w:sz w:val="24"/>
          <w:szCs w:val="24"/>
          <w:lang w:val="en-US"/>
        </w:rPr>
      </w:pPr>
      <w:r>
        <w:br/>
      </w:r>
      <w:r w:rsidRPr="6839EF20" w:rsidR="537E7584">
        <w:rPr>
          <w:rFonts w:ascii="Aptos" w:hAnsi="Aptos" w:eastAsia="Aptos" w:cs="Aptos"/>
          <w:noProof w:val="0"/>
          <w:sz w:val="24"/>
          <w:szCs w:val="24"/>
          <w:lang w:val="en-US"/>
        </w:rPr>
        <w:t xml:space="preserve"> HSE (1999) </w:t>
      </w:r>
      <w:r w:rsidRPr="6839EF20" w:rsidR="537E7584">
        <w:rPr>
          <w:rFonts w:ascii="Aptos" w:hAnsi="Aptos" w:eastAsia="Aptos" w:cs="Aptos"/>
          <w:i w:val="1"/>
          <w:iCs w:val="1"/>
          <w:noProof w:val="0"/>
          <w:sz w:val="24"/>
          <w:szCs w:val="24"/>
          <w:lang w:val="en-US"/>
        </w:rPr>
        <w:t>Management of Health and Safety at Work Regulations 1999</w:t>
      </w:r>
      <w:r w:rsidRPr="6839EF20" w:rsidR="537E7584">
        <w:rPr>
          <w:rFonts w:ascii="Aptos" w:hAnsi="Aptos" w:eastAsia="Aptos" w:cs="Aptos"/>
          <w:noProof w:val="0"/>
          <w:sz w:val="24"/>
          <w:szCs w:val="24"/>
          <w:lang w:val="en-US"/>
        </w:rPr>
        <w:t>. London: HSE.</w:t>
      </w:r>
    </w:p>
    <w:p w:rsidR="6839EF20" w:rsidP="6839EF20" w:rsidRDefault="6839EF20" w14:paraId="79DAF495" w14:textId="25982A47">
      <w:pPr>
        <w:pStyle w:val="Normal"/>
        <w:bidi w:val="0"/>
        <w:rPr>
          <w:rFonts w:ascii="Aptos" w:hAnsi="Aptos" w:eastAsia="Aptos" w:cs="Aptos"/>
          <w:noProof w:val="0"/>
          <w:sz w:val="24"/>
          <w:szCs w:val="24"/>
          <w:lang w:val="en-US"/>
        </w:rPr>
      </w:pPr>
      <w:r>
        <w:br/>
      </w:r>
      <w:r w:rsidRPr="6839EF20" w:rsidR="39FB4CD1">
        <w:rPr>
          <w:rFonts w:ascii="Aptos" w:hAnsi="Aptos" w:eastAsia="Aptos" w:cs="Aptos"/>
          <w:noProof w:val="0"/>
          <w:sz w:val="24"/>
          <w:szCs w:val="24"/>
          <w:lang w:val="en-US"/>
        </w:rPr>
        <w:t xml:space="preserve">Honda. (no date) </w:t>
      </w:r>
      <w:r w:rsidRPr="6839EF20" w:rsidR="39FB4CD1">
        <w:rPr>
          <w:rFonts w:ascii="Aptos" w:hAnsi="Aptos" w:eastAsia="Aptos" w:cs="Aptos"/>
          <w:i w:val="1"/>
          <w:iCs w:val="1"/>
          <w:noProof w:val="0"/>
          <w:sz w:val="24"/>
          <w:szCs w:val="24"/>
          <w:lang w:val="en-US"/>
        </w:rPr>
        <w:t>Code of Conduct</w:t>
      </w:r>
      <w:r w:rsidRPr="6839EF20" w:rsidR="39FB4CD1">
        <w:rPr>
          <w:rFonts w:ascii="Aptos" w:hAnsi="Aptos" w:eastAsia="Aptos" w:cs="Aptos"/>
          <w:noProof w:val="0"/>
          <w:sz w:val="24"/>
          <w:szCs w:val="24"/>
          <w:lang w:val="en-US"/>
        </w:rPr>
        <w:t xml:space="preserve">. Available at: </w:t>
      </w:r>
      <w:hyperlink r:id="R4d4a1574b61d48e3">
        <w:r w:rsidRPr="6839EF20" w:rsidR="39FB4CD1">
          <w:rPr>
            <w:rStyle w:val="Hyperlink"/>
            <w:rFonts w:ascii="Aptos" w:hAnsi="Aptos" w:eastAsia="Aptos" w:cs="Aptos"/>
            <w:noProof w:val="0"/>
            <w:sz w:val="24"/>
            <w:szCs w:val="24"/>
            <w:lang w:val="en-US"/>
          </w:rPr>
          <w:t>https://global.honda/en/about/codeofconduct.html</w:t>
        </w:r>
      </w:hyperlink>
      <w:r w:rsidRPr="6839EF20" w:rsidR="39FB4CD1">
        <w:rPr>
          <w:rFonts w:ascii="Aptos" w:hAnsi="Aptos" w:eastAsia="Aptos" w:cs="Aptos"/>
          <w:noProof w:val="0"/>
          <w:sz w:val="24"/>
          <w:szCs w:val="24"/>
          <w:lang w:val="en-US"/>
        </w:rPr>
        <w:t xml:space="preserve"> (Accessed: 7 December 2025).</w:t>
      </w:r>
    </w:p>
    <w:p w:rsidR="4A4FEA94" w:rsidP="6839EF20" w:rsidRDefault="4A4FEA94" w14:paraId="40DA4E1E" w14:textId="26D506E5">
      <w:pPr>
        <w:pStyle w:val="Normal"/>
        <w:bidi w:val="0"/>
        <w:rPr>
          <w:noProof w:val="0"/>
          <w:lang w:val="en-US"/>
        </w:rPr>
      </w:pPr>
      <w:r w:rsidRPr="6839EF20" w:rsidR="4A4FEA94">
        <w:rPr>
          <w:rFonts w:ascii="Aptos" w:hAnsi="Aptos" w:eastAsia="Aptos" w:cs="Aptos"/>
          <w:noProof w:val="0"/>
          <w:sz w:val="24"/>
          <w:szCs w:val="24"/>
          <w:lang w:val="en-US"/>
        </w:rPr>
        <w:t xml:space="preserve">ISO (2015) </w:t>
      </w:r>
      <w:r w:rsidRPr="6839EF20" w:rsidR="4A4FEA94">
        <w:rPr>
          <w:rFonts w:ascii="Aptos" w:hAnsi="Aptos" w:eastAsia="Aptos" w:cs="Aptos"/>
          <w:i w:val="1"/>
          <w:iCs w:val="1"/>
          <w:noProof w:val="0"/>
          <w:sz w:val="24"/>
          <w:szCs w:val="24"/>
          <w:lang w:val="en-US"/>
        </w:rPr>
        <w:t>BS EN ISO 23125: Machine Tools – Safety Requirements for Turning Machines</w:t>
      </w:r>
      <w:r w:rsidRPr="6839EF20" w:rsidR="4A4FEA94">
        <w:rPr>
          <w:rFonts w:ascii="Aptos" w:hAnsi="Aptos" w:eastAsia="Aptos" w:cs="Aptos"/>
          <w:noProof w:val="0"/>
          <w:sz w:val="24"/>
          <w:szCs w:val="24"/>
          <w:lang w:val="en-US"/>
        </w:rPr>
        <w:t>. Geneva: ISO.</w:t>
      </w:r>
      <w:r>
        <w:br/>
      </w:r>
      <w:r>
        <w:br/>
      </w:r>
      <w:r w:rsidRPr="6839EF20" w:rsidR="5B53A607">
        <w:rPr>
          <w:rFonts w:ascii="Aptos" w:hAnsi="Aptos" w:eastAsia="Aptos" w:cs="Aptos"/>
          <w:noProof w:val="0"/>
          <w:sz w:val="24"/>
          <w:szCs w:val="24"/>
          <w:lang w:val="en-US"/>
        </w:rPr>
        <w:t>Mahmood, S. et al. (2022) ‘Systematic threat assessment and security testing of automotive OTA update systems’, ScienceDirect.</w:t>
      </w:r>
      <w:r>
        <w:br/>
      </w:r>
      <w:r>
        <w:br/>
      </w:r>
      <w:r w:rsidRPr="6839EF20" w:rsidR="2DE704F7">
        <w:rPr>
          <w:noProof w:val="0"/>
          <w:lang w:val="en-US"/>
        </w:rPr>
        <w:t xml:space="preserve">Milovanovic, J., Gero, J. &amp; Becker, K., 2021. Decomposition and </w:t>
      </w:r>
      <w:r w:rsidRPr="6839EF20" w:rsidR="2DE704F7">
        <w:rPr>
          <w:noProof w:val="0"/>
          <w:lang w:val="en-US"/>
        </w:rPr>
        <w:t>recomposition</w:t>
      </w:r>
      <w:r w:rsidRPr="6839EF20" w:rsidR="2DE704F7">
        <w:rPr>
          <w:noProof w:val="0"/>
          <w:lang w:val="en-US"/>
        </w:rPr>
        <w:t xml:space="preserve"> strategies </w:t>
      </w:r>
      <w:r w:rsidRPr="6839EF20" w:rsidR="2DE704F7">
        <w:rPr>
          <w:noProof w:val="0"/>
          <w:lang w:val="en-US"/>
        </w:rPr>
        <w:t>of</w:t>
      </w:r>
      <w:r w:rsidRPr="6839EF20" w:rsidR="2DE704F7">
        <w:rPr>
          <w:noProof w:val="0"/>
          <w:lang w:val="en-US"/>
        </w:rPr>
        <w:t xml:space="preserve"> professional engineering design teams. Proceedings of the International Conference on Engineering Design (ICED21), pp. 871–880. </w:t>
      </w:r>
      <w:r w:rsidRPr="6839EF20" w:rsidR="2DE704F7">
        <w:rPr>
          <w:noProof w:val="0"/>
          <w:lang w:val="en-US"/>
        </w:rPr>
        <w:t>doi</w:t>
      </w:r>
      <w:r w:rsidRPr="6839EF20" w:rsidR="2DE704F7">
        <w:rPr>
          <w:noProof w:val="0"/>
          <w:lang w:val="en-US"/>
        </w:rPr>
        <w:t>: 10.1017/pds.2021.87. (Accessed: 7 December 2025)</w:t>
      </w:r>
    </w:p>
    <w:p w:rsidR="6839EF20" w:rsidP="6839EF20" w:rsidRDefault="6839EF20" w14:paraId="0CBDD051" w14:textId="2472A141">
      <w:pPr>
        <w:pStyle w:val="Normal"/>
        <w:bidi w:val="0"/>
        <w:rPr>
          <w:rFonts w:ascii="Aptos" w:hAnsi="Aptos" w:eastAsia="Aptos" w:cs="Aptos"/>
          <w:noProof w:val="0"/>
          <w:sz w:val="24"/>
          <w:szCs w:val="24"/>
          <w:lang w:val="en-US"/>
        </w:rPr>
      </w:pPr>
    </w:p>
    <w:p w:rsidR="2B2BC22B" w:rsidP="6839EF20" w:rsidRDefault="2B2BC22B" w14:paraId="2F59A4F0" w14:textId="53C23888">
      <w:pPr>
        <w:pStyle w:val="Normal"/>
        <w:bidi w:val="0"/>
        <w:rPr>
          <w:rFonts w:ascii="Aptos" w:hAnsi="Aptos" w:eastAsia="Aptos" w:cs="Aptos"/>
          <w:noProof w:val="0"/>
          <w:sz w:val="24"/>
          <w:szCs w:val="24"/>
          <w:lang w:val="en-US"/>
        </w:rPr>
      </w:pPr>
      <w:r w:rsidRPr="6839EF20" w:rsidR="2B2BC22B">
        <w:rPr>
          <w:rFonts w:ascii="Aptos" w:hAnsi="Aptos" w:eastAsia="Aptos" w:cs="Aptos"/>
          <w:noProof w:val="0"/>
          <w:sz w:val="24"/>
          <w:szCs w:val="24"/>
          <w:lang w:val="en-US"/>
        </w:rPr>
        <w:t>Miller, C. and Valasek, C. (2015) Remote exploitation of an unaltered passenger vehicle. Las Vegas: Def Con 23. Available at: https://illmatics.com/remote%20attack%20surfaces.html (Accessed: 7 December 2025).</w:t>
      </w:r>
    </w:p>
    <w:p w:rsidR="1FE3DBBA" w:rsidP="6839EF20" w:rsidRDefault="1FE3DBBA" w14:paraId="7A7295BA" w14:textId="017320FF">
      <w:pPr>
        <w:pStyle w:val="Normal"/>
        <w:bidi w:val="0"/>
        <w:spacing w:before="240" w:beforeAutospacing="off" w:after="240" w:afterAutospacing="off"/>
      </w:pPr>
      <w:r w:rsidRPr="6839EF20" w:rsidR="1FE3DBBA">
        <w:rPr>
          <w:rFonts w:ascii="Aptos" w:hAnsi="Aptos" w:eastAsia="Aptos" w:cs="Aptos"/>
          <w:noProof w:val="0"/>
          <w:sz w:val="24"/>
          <w:szCs w:val="24"/>
          <w:lang w:val="en-US"/>
        </w:rPr>
        <w:t>Mocnik</w:t>
      </w:r>
      <w:r w:rsidRPr="6839EF20" w:rsidR="1FE3DBBA">
        <w:rPr>
          <w:rFonts w:ascii="Aptos" w:hAnsi="Aptos" w:eastAsia="Aptos" w:cs="Aptos"/>
          <w:noProof w:val="0"/>
          <w:sz w:val="24"/>
          <w:szCs w:val="24"/>
          <w:lang w:val="en-US"/>
        </w:rPr>
        <w:t>, R. &amp; Fowler, D. S. (2023) ‘Vehicular Over-the-Air Software Upgrade Threat Modelling’, WMG, University of Warwick / Red Bull Media House GmbH.</w:t>
      </w:r>
    </w:p>
    <w:p w:rsidR="6839EF20" w:rsidP="6839EF20" w:rsidRDefault="6839EF20" w14:paraId="428C3C15" w14:textId="044DF55C">
      <w:pPr>
        <w:pStyle w:val="Normal"/>
        <w:bidi w:val="0"/>
        <w:spacing w:before="240" w:beforeAutospacing="off" w:after="240" w:afterAutospacing="off"/>
      </w:pPr>
      <w:r>
        <w:br/>
      </w:r>
      <w:r w:rsidRPr="6839EF20" w:rsidR="6BEB0BCA">
        <w:rPr>
          <w:rFonts w:ascii="Aptos" w:hAnsi="Aptos" w:eastAsia="Aptos" w:cs="Aptos"/>
          <w:noProof w:val="0"/>
          <w:sz w:val="24"/>
          <w:szCs w:val="24"/>
          <w:lang w:val="en-US"/>
        </w:rPr>
        <w:t>Mullins, L. (2016)</w:t>
      </w:r>
      <w:r w:rsidRPr="6839EF20" w:rsidR="6BEB0BCA">
        <w:rPr>
          <w:rFonts w:ascii="Aptos" w:hAnsi="Aptos" w:eastAsia="Aptos" w:cs="Aptos"/>
          <w:noProof w:val="0"/>
          <w:sz w:val="24"/>
          <w:szCs w:val="24"/>
          <w:lang w:val="en-US"/>
        </w:rPr>
        <w:t xml:space="preserve"> </w:t>
      </w:r>
      <w:r w:rsidRPr="6839EF20" w:rsidR="6BEB0BCA">
        <w:rPr>
          <w:rFonts w:ascii="Aptos" w:hAnsi="Aptos" w:eastAsia="Aptos" w:cs="Aptos"/>
          <w:i w:val="1"/>
          <w:iCs w:val="1"/>
          <w:noProof w:val="0"/>
          <w:sz w:val="24"/>
          <w:szCs w:val="24"/>
          <w:lang w:val="en-US"/>
        </w:rPr>
        <w:t>Management</w:t>
      </w:r>
      <w:r w:rsidRPr="6839EF20" w:rsidR="6BEB0BCA">
        <w:rPr>
          <w:rFonts w:ascii="Aptos" w:hAnsi="Aptos" w:eastAsia="Aptos" w:cs="Aptos"/>
          <w:i w:val="1"/>
          <w:iCs w:val="1"/>
          <w:noProof w:val="0"/>
          <w:sz w:val="24"/>
          <w:szCs w:val="24"/>
          <w:lang w:val="en-US"/>
        </w:rPr>
        <w:t xml:space="preserve"> and </w:t>
      </w:r>
      <w:r w:rsidRPr="6839EF20" w:rsidR="6BEB0BCA">
        <w:rPr>
          <w:rFonts w:ascii="Aptos" w:hAnsi="Aptos" w:eastAsia="Aptos" w:cs="Aptos"/>
          <w:i w:val="1"/>
          <w:iCs w:val="1"/>
          <w:noProof w:val="0"/>
          <w:sz w:val="24"/>
          <w:szCs w:val="24"/>
          <w:lang w:val="en-US"/>
        </w:rPr>
        <w:t>Organisational</w:t>
      </w:r>
      <w:r w:rsidRPr="6839EF20" w:rsidR="6BEB0BCA">
        <w:rPr>
          <w:rFonts w:ascii="Aptos" w:hAnsi="Aptos" w:eastAsia="Aptos" w:cs="Aptos"/>
          <w:i w:val="1"/>
          <w:iCs w:val="1"/>
          <w:noProof w:val="0"/>
          <w:sz w:val="24"/>
          <w:szCs w:val="24"/>
          <w:lang w:val="en-US"/>
        </w:rPr>
        <w:t xml:space="preserve"> </w:t>
      </w:r>
      <w:r w:rsidRPr="6839EF20" w:rsidR="6BEB0BCA">
        <w:rPr>
          <w:rFonts w:ascii="Aptos" w:hAnsi="Aptos" w:eastAsia="Aptos" w:cs="Aptos"/>
          <w:i w:val="1"/>
          <w:iCs w:val="1"/>
          <w:noProof w:val="0"/>
          <w:sz w:val="24"/>
          <w:szCs w:val="24"/>
          <w:lang w:val="en-US"/>
        </w:rPr>
        <w:t>Behaviour</w:t>
      </w:r>
      <w:r w:rsidRPr="6839EF20" w:rsidR="6BEB0BCA">
        <w:rPr>
          <w:rFonts w:ascii="Aptos" w:hAnsi="Aptos" w:eastAsia="Aptos" w:cs="Aptos"/>
          <w:noProof w:val="0"/>
          <w:sz w:val="24"/>
          <w:szCs w:val="24"/>
          <w:lang w:val="en-US"/>
        </w:rPr>
        <w:t xml:space="preserve">. 11th </w:t>
      </w:r>
      <w:r w:rsidRPr="6839EF20" w:rsidR="6BEB0BCA">
        <w:rPr>
          <w:rFonts w:ascii="Aptos" w:hAnsi="Aptos" w:eastAsia="Aptos" w:cs="Aptos"/>
          <w:noProof w:val="0"/>
          <w:sz w:val="24"/>
          <w:szCs w:val="24"/>
          <w:lang w:val="en-US"/>
        </w:rPr>
        <w:t>edn</w:t>
      </w:r>
      <w:r w:rsidRPr="6839EF20" w:rsidR="6BEB0BCA">
        <w:rPr>
          <w:rFonts w:ascii="Aptos" w:hAnsi="Aptos" w:eastAsia="Aptos" w:cs="Aptos"/>
          <w:noProof w:val="0"/>
          <w:sz w:val="24"/>
          <w:szCs w:val="24"/>
          <w:lang w:val="en-US"/>
        </w:rPr>
        <w:t>. Harlow: Pearson.</w:t>
      </w:r>
    </w:p>
    <w:p w:rsidR="6839EF20" w:rsidP="6839EF20" w:rsidRDefault="6839EF20" w14:paraId="01AB724D" w14:textId="674BFC28">
      <w:pPr>
        <w:pStyle w:val="Normal"/>
        <w:bidi w:val="0"/>
        <w:rPr>
          <w:rFonts w:ascii="Aptos" w:hAnsi="Aptos" w:eastAsia="Aptos" w:cs="Aptos"/>
          <w:noProof w:val="0"/>
          <w:sz w:val="24"/>
          <w:szCs w:val="24"/>
          <w:lang w:val="en-US"/>
        </w:rPr>
      </w:pPr>
      <w:r>
        <w:br/>
      </w:r>
      <w:r>
        <w:br/>
      </w:r>
      <w:r w:rsidRPr="6839EF20" w:rsidR="51F6EFF8">
        <w:rPr>
          <w:rFonts w:ascii="Aptos" w:hAnsi="Aptos" w:eastAsia="Aptos" w:cs="Aptos"/>
          <w:noProof w:val="0"/>
          <w:sz w:val="24"/>
          <w:szCs w:val="24"/>
          <w:lang w:val="en-US"/>
        </w:rPr>
        <w:t>Plappert, C. et al. (2023) ‘Secure and Lightweight Over-the-Air Software Update Distribution for Connected Vehicles’, Fraunhofer SIT / ACSAC Proceedings.</w:t>
      </w:r>
      <w:r>
        <w:br/>
      </w:r>
      <w:r>
        <w:br/>
      </w:r>
    </w:p>
    <w:p w:rsidR="6839EF20" w:rsidP="6839EF20" w:rsidRDefault="6839EF20" w14:paraId="2FA4DE5B" w14:textId="56EE6700">
      <w:pPr>
        <w:pStyle w:val="Normal"/>
        <w:bidi w:val="0"/>
        <w:rPr>
          <w:rFonts w:ascii="Aptos" w:hAnsi="Aptos" w:eastAsia="Aptos" w:cs="Aptos"/>
          <w:noProof w:val="0"/>
          <w:sz w:val="24"/>
          <w:szCs w:val="24"/>
          <w:lang w:val="en-US"/>
        </w:rPr>
      </w:pPr>
      <w:r>
        <w:br/>
      </w:r>
      <w:r w:rsidRPr="6839EF20" w:rsidR="07C07264">
        <w:rPr>
          <w:rFonts w:ascii="Aptos" w:hAnsi="Aptos" w:eastAsia="Aptos" w:cs="Aptos"/>
          <w:i w:val="1"/>
          <w:iCs w:val="1"/>
          <w:noProof w:val="0"/>
          <w:sz w:val="24"/>
          <w:szCs w:val="24"/>
          <w:lang w:val="en-US"/>
        </w:rPr>
        <w:t>SCIRP – Scientific Research Publishing</w:t>
      </w:r>
      <w:r w:rsidRPr="6839EF20" w:rsidR="07C07264">
        <w:rPr>
          <w:rFonts w:ascii="Aptos" w:hAnsi="Aptos" w:eastAsia="Aptos" w:cs="Aptos"/>
          <w:noProof w:val="0"/>
          <w:sz w:val="24"/>
          <w:szCs w:val="24"/>
          <w:lang w:val="en-US"/>
        </w:rPr>
        <w:t xml:space="preserve"> (no date) </w:t>
      </w:r>
      <w:r w:rsidRPr="6839EF20" w:rsidR="07C07264">
        <w:rPr>
          <w:rFonts w:ascii="Aptos" w:hAnsi="Aptos" w:eastAsia="Aptos" w:cs="Aptos"/>
          <w:i w:val="1"/>
          <w:iCs w:val="1"/>
          <w:noProof w:val="0"/>
          <w:sz w:val="24"/>
          <w:szCs w:val="24"/>
          <w:lang w:val="en-US"/>
        </w:rPr>
        <w:t>ReferencesPapers</w:t>
      </w:r>
      <w:r w:rsidRPr="6839EF20" w:rsidR="07C07264">
        <w:rPr>
          <w:rFonts w:ascii="Aptos" w:hAnsi="Aptos" w:eastAsia="Aptos" w:cs="Aptos"/>
          <w:i w:val="1"/>
          <w:iCs w:val="1"/>
          <w:noProof w:val="0"/>
          <w:sz w:val="24"/>
          <w:szCs w:val="24"/>
          <w:lang w:val="en-US"/>
        </w:rPr>
        <w:t xml:space="preserve">: </w:t>
      </w:r>
      <w:r w:rsidRPr="6839EF20" w:rsidR="07C07264">
        <w:rPr>
          <w:rFonts w:ascii="Aptos" w:hAnsi="Aptos" w:eastAsia="Aptos" w:cs="Aptos"/>
          <w:i w:val="1"/>
          <w:iCs w:val="1"/>
          <w:noProof w:val="0"/>
          <w:sz w:val="24"/>
          <w:szCs w:val="24"/>
          <w:lang w:val="en-US"/>
        </w:rPr>
        <w:t>ReferenceID</w:t>
      </w:r>
      <w:r w:rsidRPr="6839EF20" w:rsidR="07C07264">
        <w:rPr>
          <w:rFonts w:ascii="Aptos" w:hAnsi="Aptos" w:eastAsia="Aptos" w:cs="Aptos"/>
          <w:i w:val="1"/>
          <w:iCs w:val="1"/>
          <w:noProof w:val="0"/>
          <w:sz w:val="24"/>
          <w:szCs w:val="24"/>
          <w:lang w:val="en-US"/>
        </w:rPr>
        <w:t xml:space="preserve"> 1639813</w:t>
      </w:r>
      <w:r w:rsidRPr="6839EF20" w:rsidR="07C07264">
        <w:rPr>
          <w:rFonts w:ascii="Aptos" w:hAnsi="Aptos" w:eastAsia="Aptos" w:cs="Aptos"/>
          <w:noProof w:val="0"/>
          <w:sz w:val="24"/>
          <w:szCs w:val="24"/>
          <w:lang w:val="en-US"/>
        </w:rPr>
        <w:t xml:space="preserve">, SCIRP website. Available at: </w:t>
      </w:r>
      <w:hyperlink r:id="Rcb715e5674dd4f31">
        <w:r w:rsidRPr="6839EF20" w:rsidR="07C07264">
          <w:rPr>
            <w:rStyle w:val="Hyperlink"/>
            <w:rFonts w:ascii="Aptos" w:hAnsi="Aptos" w:eastAsia="Aptos" w:cs="Aptos"/>
            <w:noProof w:val="0"/>
            <w:sz w:val="24"/>
            <w:szCs w:val="24"/>
            <w:lang w:val="en-US"/>
          </w:rPr>
          <w:t>https://www.scirp.org/reference/ReferencesPapers?ReferenceID=1639813</w:t>
        </w:r>
      </w:hyperlink>
      <w:r w:rsidRPr="6839EF20" w:rsidR="07C07264">
        <w:rPr>
          <w:rFonts w:ascii="Aptos" w:hAnsi="Aptos" w:eastAsia="Aptos" w:cs="Aptos"/>
          <w:noProof w:val="0"/>
          <w:sz w:val="24"/>
          <w:szCs w:val="24"/>
          <w:lang w:val="en-US"/>
        </w:rPr>
        <w:t xml:space="preserve"> (Accessed: 7 December 2025)</w:t>
      </w:r>
    </w:p>
    <w:p w:rsidR="6839EF20" w:rsidP="6839EF20" w:rsidRDefault="6839EF20" w14:paraId="235B1094" w14:textId="436263A3">
      <w:pPr>
        <w:pStyle w:val="Normal"/>
        <w:bidi w:val="0"/>
        <w:rPr>
          <w:rFonts w:ascii="Aptos" w:hAnsi="Aptos" w:eastAsia="Aptos" w:cs="Aptos"/>
          <w:noProof w:val="0"/>
          <w:sz w:val="24"/>
          <w:szCs w:val="24"/>
          <w:lang w:val="en-US"/>
        </w:rPr>
      </w:pPr>
      <w:r>
        <w:br/>
      </w:r>
      <w:r w:rsidRPr="6839EF20" w:rsidR="703CDBB8">
        <w:rPr>
          <w:rFonts w:ascii="Aptos" w:hAnsi="Aptos" w:eastAsia="Aptos" w:cs="Aptos"/>
          <w:noProof w:val="0"/>
          <w:sz w:val="24"/>
          <w:szCs w:val="24"/>
          <w:lang w:val="en-US"/>
        </w:rPr>
        <w:t xml:space="preserve">Yamaha Motor Co., Ltd. (no date) </w:t>
      </w:r>
      <w:r w:rsidRPr="6839EF20" w:rsidR="703CDBB8">
        <w:rPr>
          <w:rFonts w:ascii="Aptos" w:hAnsi="Aptos" w:eastAsia="Aptos" w:cs="Aptos"/>
          <w:i w:val="1"/>
          <w:iCs w:val="1"/>
          <w:noProof w:val="0"/>
          <w:sz w:val="24"/>
          <w:szCs w:val="24"/>
          <w:lang w:val="en-US"/>
        </w:rPr>
        <w:t>Compliance</w:t>
      </w:r>
      <w:r w:rsidRPr="6839EF20" w:rsidR="703CDBB8">
        <w:rPr>
          <w:rFonts w:ascii="Aptos" w:hAnsi="Aptos" w:eastAsia="Aptos" w:cs="Aptos"/>
          <w:noProof w:val="0"/>
          <w:sz w:val="24"/>
          <w:szCs w:val="24"/>
          <w:lang w:val="en-US"/>
        </w:rPr>
        <w:t xml:space="preserve">. Available at: </w:t>
      </w:r>
      <w:hyperlink r:id="R2aae424ab52f41bd">
        <w:r w:rsidRPr="6839EF20" w:rsidR="703CDBB8">
          <w:rPr>
            <w:rStyle w:val="Hyperlink"/>
            <w:rFonts w:ascii="Aptos" w:hAnsi="Aptos" w:eastAsia="Aptos" w:cs="Aptos"/>
            <w:noProof w:val="0"/>
            <w:sz w:val="24"/>
            <w:szCs w:val="24"/>
            <w:lang w:val="en-US"/>
          </w:rPr>
          <w:t>https://global.yamaha-motor.com/sustainability/governance/compliance/</w:t>
        </w:r>
      </w:hyperlink>
      <w:r w:rsidRPr="6839EF20" w:rsidR="703CDBB8">
        <w:rPr>
          <w:rFonts w:ascii="Aptos" w:hAnsi="Aptos" w:eastAsia="Aptos" w:cs="Aptos"/>
          <w:noProof w:val="0"/>
          <w:sz w:val="24"/>
          <w:szCs w:val="24"/>
          <w:lang w:val="en-US"/>
        </w:rPr>
        <w:t xml:space="preserve"> (Accessed: 7 December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27A2CB"/>
    <w:rsid w:val="059CE112"/>
    <w:rsid w:val="07C07264"/>
    <w:rsid w:val="0A67DBBA"/>
    <w:rsid w:val="0C719095"/>
    <w:rsid w:val="0D88B3A8"/>
    <w:rsid w:val="0ED0B435"/>
    <w:rsid w:val="0FD7E20C"/>
    <w:rsid w:val="0FD7E20C"/>
    <w:rsid w:val="14009BCD"/>
    <w:rsid w:val="1413A2B6"/>
    <w:rsid w:val="146155F5"/>
    <w:rsid w:val="162E2456"/>
    <w:rsid w:val="164B2E4C"/>
    <w:rsid w:val="164B2E4C"/>
    <w:rsid w:val="17116768"/>
    <w:rsid w:val="19200E88"/>
    <w:rsid w:val="19200E88"/>
    <w:rsid w:val="1A3B19E4"/>
    <w:rsid w:val="1FE3DBBA"/>
    <w:rsid w:val="24537D52"/>
    <w:rsid w:val="278F83EB"/>
    <w:rsid w:val="278F83EB"/>
    <w:rsid w:val="2A49F07D"/>
    <w:rsid w:val="2B2BC22B"/>
    <w:rsid w:val="2D95946B"/>
    <w:rsid w:val="2DE704F7"/>
    <w:rsid w:val="335525B4"/>
    <w:rsid w:val="360750A6"/>
    <w:rsid w:val="39FB4CD1"/>
    <w:rsid w:val="3B49B94C"/>
    <w:rsid w:val="3B49B94C"/>
    <w:rsid w:val="3F4A4614"/>
    <w:rsid w:val="4027A2CB"/>
    <w:rsid w:val="40A1AD35"/>
    <w:rsid w:val="483FD876"/>
    <w:rsid w:val="4A4FEA94"/>
    <w:rsid w:val="51F6EFF8"/>
    <w:rsid w:val="537E7584"/>
    <w:rsid w:val="567BF78C"/>
    <w:rsid w:val="5856F4C2"/>
    <w:rsid w:val="589F8D61"/>
    <w:rsid w:val="5B53A607"/>
    <w:rsid w:val="614F2C6E"/>
    <w:rsid w:val="637999DD"/>
    <w:rsid w:val="637999DD"/>
    <w:rsid w:val="6526FCEA"/>
    <w:rsid w:val="6839EF20"/>
    <w:rsid w:val="6BEB0BCA"/>
    <w:rsid w:val="6EF40F28"/>
    <w:rsid w:val="703CDBB8"/>
    <w:rsid w:val="72C0D40A"/>
    <w:rsid w:val="731AA6F6"/>
    <w:rsid w:val="7714C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4F583"/>
  <w15:chartTrackingRefBased/>
  <w15:docId w15:val="{3C9ABD38-914E-4AAF-B80A-F4ABE86A98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839EF2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6839EF2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839EF2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36993057" /><Relationship Type="http://schemas.openxmlformats.org/officeDocument/2006/relationships/image" Target="/media/image2.png" Id="rId304278419" /><Relationship Type="http://schemas.openxmlformats.org/officeDocument/2006/relationships/hyperlink" Target="https://asq.org/quality-resources/pdca-cycle" TargetMode="External" Id="R230e5f69c31c44a0" /><Relationship Type="http://schemas.openxmlformats.org/officeDocument/2006/relationships/hyperlink" Target="https://global.honda/en/about/codeofconduct.html?utm_source=chatgpt.com" TargetMode="External" Id="R4d4a1574b61d48e3" /><Relationship Type="http://schemas.openxmlformats.org/officeDocument/2006/relationships/hyperlink" Target="https://www.scirp.org/reference/ReferencesPapers?ReferenceID=1639813" TargetMode="External" Id="Rcb715e5674dd4f31" /><Relationship Type="http://schemas.openxmlformats.org/officeDocument/2006/relationships/hyperlink" Target="https://global.yamaha-motor.com/sustainability/governance/compliance/?utm_source=chatgpt.com" TargetMode="External" Id="R2aae424ab52f41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2025-12-07T21:32:29.0142090Z</dcterms:created>
  <dcterms:modified xsi:type="dcterms:W3CDTF">2025-12-07T22:01:41.1065659Z</dcterms:modified>
  <dc:creator>Raul Tarca (2513542)</dc:creator>
  <lastModifiedBy>Raul Tarca (2513542)</lastModifiedBy>
</coreProperties>
</file>