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A690C" w14:textId="77777777" w:rsidR="007119EE" w:rsidRDefault="007119EE" w:rsidP="007119EE">
      <w:pPr>
        <w:spacing w:after="0" w:line="259" w:lineRule="auto"/>
        <w:rPr>
          <w:bCs/>
          <w:sz w:val="32"/>
        </w:rPr>
      </w:pPr>
      <w:r>
        <w:rPr>
          <w:bCs/>
          <w:sz w:val="32"/>
        </w:rPr>
        <w:t xml:space="preserve">Name: Samira Ghafar </w:t>
      </w:r>
    </w:p>
    <w:p w14:paraId="709CAE33" w14:textId="77777777" w:rsidR="007119EE" w:rsidRDefault="007119EE" w:rsidP="007119EE">
      <w:pPr>
        <w:spacing w:after="0" w:line="259" w:lineRule="auto"/>
        <w:rPr>
          <w:bCs/>
          <w:sz w:val="32"/>
        </w:rPr>
      </w:pPr>
      <w:r>
        <w:rPr>
          <w:bCs/>
          <w:sz w:val="32"/>
        </w:rPr>
        <w:t>Student ID: 2242271</w:t>
      </w:r>
    </w:p>
    <w:p w14:paraId="45D3C740" w14:textId="7E7D393B" w:rsidR="007119EE" w:rsidRDefault="007119EE" w:rsidP="007119EE">
      <w:pPr>
        <w:spacing w:after="0" w:line="259" w:lineRule="auto"/>
        <w:rPr>
          <w:bCs/>
          <w:sz w:val="32"/>
        </w:rPr>
      </w:pPr>
      <w:r>
        <w:rPr>
          <w:bCs/>
          <w:sz w:val="32"/>
        </w:rPr>
        <w:t xml:space="preserve">Module code: </w:t>
      </w:r>
      <w:r>
        <w:rPr>
          <w:bCs/>
          <w:sz w:val="32"/>
        </w:rPr>
        <w:t>LCHS4003</w:t>
      </w:r>
    </w:p>
    <w:p w14:paraId="688FAB4E" w14:textId="2058A62E" w:rsidR="007119EE" w:rsidRDefault="007119EE" w:rsidP="007119EE">
      <w:pPr>
        <w:spacing w:after="0" w:line="259" w:lineRule="auto"/>
        <w:rPr>
          <w:bCs/>
          <w:sz w:val="32"/>
        </w:rPr>
      </w:pPr>
      <w:r>
        <w:rPr>
          <w:bCs/>
          <w:sz w:val="32"/>
        </w:rPr>
        <w:t xml:space="preserve">Module:  </w:t>
      </w:r>
      <w:r>
        <w:rPr>
          <w:bCs/>
          <w:sz w:val="32"/>
        </w:rPr>
        <w:t xml:space="preserve">Introduction to health and social care </w:t>
      </w:r>
    </w:p>
    <w:p w14:paraId="55042B35" w14:textId="21BD18E8" w:rsidR="007119EE" w:rsidRDefault="007119EE" w:rsidP="007119EE">
      <w:pPr>
        <w:rPr>
          <w:rFonts w:ascii="Arial" w:hAnsi="Arial" w:cs="Arial"/>
          <w:sz w:val="22"/>
          <w:szCs w:val="22"/>
        </w:rPr>
      </w:pPr>
      <w:r>
        <w:rPr>
          <w:bCs/>
          <w:sz w:val="32"/>
        </w:rPr>
        <w:t xml:space="preserve">Lecturer: </w:t>
      </w:r>
      <w:r>
        <w:rPr>
          <w:bCs/>
          <w:sz w:val="32"/>
        </w:rPr>
        <w:t>Farah Islam</w:t>
      </w:r>
    </w:p>
    <w:p w14:paraId="0D36FF75" w14:textId="051D6DA6" w:rsidR="00D90799" w:rsidRPr="00D90799" w:rsidRDefault="00D90799" w:rsidP="00D90799">
      <w:pPr>
        <w:rPr>
          <w:rFonts w:ascii="Arial" w:hAnsi="Arial" w:cs="Arial"/>
          <w:sz w:val="22"/>
          <w:szCs w:val="22"/>
        </w:rPr>
      </w:pPr>
      <w:r w:rsidRPr="00D90799">
        <w:rPr>
          <w:rFonts w:ascii="Arial" w:hAnsi="Arial" w:cs="Arial"/>
          <w:sz w:val="22"/>
          <w:szCs w:val="22"/>
        </w:rPr>
        <w:t xml:space="preserve">Health and social care professionals have a duty to provide safe, </w:t>
      </w:r>
      <w:r w:rsidR="009D07CA" w:rsidRPr="00D90799">
        <w:rPr>
          <w:rFonts w:ascii="Arial" w:hAnsi="Arial" w:cs="Arial"/>
          <w:sz w:val="22"/>
          <w:szCs w:val="22"/>
        </w:rPr>
        <w:t>effective,</w:t>
      </w:r>
      <w:r w:rsidRPr="00D90799">
        <w:rPr>
          <w:rFonts w:ascii="Arial" w:hAnsi="Arial" w:cs="Arial"/>
          <w:sz w:val="22"/>
          <w:szCs w:val="22"/>
        </w:rPr>
        <w:t xml:space="preserve"> and person-centred care through clear communication, accurate documentation and collaborative working. These principles are fundamental to promoting positive health outcomes, safeguarding vulnerable adults and maintaining public trust within health and social care services. Mrs Thompson, an 84-year-old woman recently discharged from hospital following pneumonia, presents with several complex needs including mild dementia, medication non-adherence, increasing confusion and concerns regarding her safety after being found outside inadequately dressed in cold weather. These incidents demonstrate the importance of coordinated care involving effective communication between professionals, accurate record keeping and collaborative multidisciplinary working. This report explores the significance of communication within Mrs Thompson's care using the Equality Act 2010 and the Calgary-Cambridge communication model. It also discusses the importance of administrative skills and record keeping with reference to the Data Protection Act 2018 and professional guidance. Finally, the report examines multidisciplinary collaboration, highlighting approaches to overcoming common barriers to partnership working while promoting safe, high-quality person-centred care.</w:t>
      </w:r>
    </w:p>
    <w:p w14:paraId="00DAC5FB" w14:textId="72ECC11A" w:rsidR="00D90799" w:rsidRPr="00D90799" w:rsidRDefault="00D90799" w:rsidP="00D90799">
      <w:pPr>
        <w:rPr>
          <w:rFonts w:ascii="Arial" w:hAnsi="Arial" w:cs="Arial"/>
          <w:sz w:val="22"/>
          <w:szCs w:val="22"/>
        </w:rPr>
      </w:pPr>
      <w:r w:rsidRPr="00D90799">
        <w:rPr>
          <w:rFonts w:ascii="Arial" w:hAnsi="Arial" w:cs="Arial"/>
          <w:sz w:val="22"/>
          <w:szCs w:val="22"/>
        </w:rPr>
        <w:t>Effective communication is fundamental to delivering safe, compassionate and person-centred care</w:t>
      </w:r>
      <w:r w:rsidR="009D07CA">
        <w:rPr>
          <w:rFonts w:ascii="Arial" w:hAnsi="Arial" w:cs="Arial"/>
          <w:sz w:val="22"/>
          <w:szCs w:val="22"/>
        </w:rPr>
        <w:t xml:space="preserve"> (Casey, 2011)</w:t>
      </w:r>
      <w:r w:rsidRPr="00D90799">
        <w:rPr>
          <w:rFonts w:ascii="Arial" w:hAnsi="Arial" w:cs="Arial"/>
          <w:sz w:val="22"/>
          <w:szCs w:val="22"/>
        </w:rPr>
        <w:t>. It enables healthcare professionals to develop therapeutic relationships, accurately assess patients' needs and promote informed decision-making</w:t>
      </w:r>
      <w:r w:rsidR="00F92A8B">
        <w:rPr>
          <w:rFonts w:ascii="Arial" w:hAnsi="Arial" w:cs="Arial"/>
          <w:sz w:val="22"/>
          <w:szCs w:val="22"/>
        </w:rPr>
        <w:t xml:space="preserve"> (</w:t>
      </w:r>
      <w:r w:rsidR="00F92A8B" w:rsidRPr="00F92A8B">
        <w:rPr>
          <w:rFonts w:ascii="Arial" w:hAnsi="Arial" w:cs="Arial"/>
          <w:sz w:val="22"/>
          <w:szCs w:val="22"/>
        </w:rPr>
        <w:t>Baughan</w:t>
      </w:r>
      <w:r w:rsidR="00F92A8B">
        <w:rPr>
          <w:rFonts w:ascii="Arial" w:hAnsi="Arial" w:cs="Arial"/>
          <w:sz w:val="22"/>
          <w:szCs w:val="22"/>
        </w:rPr>
        <w:t>, 2013)</w:t>
      </w:r>
      <w:r w:rsidRPr="00D90799">
        <w:rPr>
          <w:rFonts w:ascii="Arial" w:hAnsi="Arial" w:cs="Arial"/>
          <w:sz w:val="22"/>
          <w:szCs w:val="22"/>
        </w:rPr>
        <w:t>. The Nursing and Midwifery Council (NMC, 2018) states that healthcare professionals must communicate clearly, listen actively and share relevant information to protect patient safety. For Mrs Thompson, effective communication is particularly important due to her advanced age, mild dementia and recent discharge from hospital following pneumonia. These factors may affect her memory, understanding and ability to retain information, increasing the risk of medication errors, confusion and avoidable hospital readmission if communication is ineffective</w:t>
      </w:r>
      <w:r w:rsidR="00F92A8B">
        <w:rPr>
          <w:rFonts w:ascii="Arial" w:hAnsi="Arial" w:cs="Arial"/>
          <w:sz w:val="22"/>
          <w:szCs w:val="22"/>
        </w:rPr>
        <w:t xml:space="preserve"> (Collins et al, 2022)</w:t>
      </w:r>
      <w:r w:rsidRPr="00D90799">
        <w:rPr>
          <w:rFonts w:ascii="Arial" w:hAnsi="Arial" w:cs="Arial"/>
          <w:sz w:val="22"/>
          <w:szCs w:val="22"/>
        </w:rPr>
        <w:t>.</w:t>
      </w:r>
      <w:r w:rsidR="009D07CA">
        <w:rPr>
          <w:rFonts w:ascii="Arial" w:hAnsi="Arial" w:cs="Arial"/>
          <w:sz w:val="22"/>
          <w:szCs w:val="22"/>
        </w:rPr>
        <w:t xml:space="preserve"> </w:t>
      </w:r>
      <w:r w:rsidRPr="00D90799">
        <w:rPr>
          <w:rFonts w:ascii="Arial" w:hAnsi="Arial" w:cs="Arial"/>
          <w:sz w:val="22"/>
          <w:szCs w:val="22"/>
        </w:rPr>
        <w:t>Person-centred communication requires healthcare professionals to adapt their approach to meet the individual's cognitive and emotional needs. As Mrs Thompson has mild dementia, professionals should communicate using simple, non-medical language, short sentences and a calm tone of voice. Information should be delivered slowly, allowing sufficient time for her to process and respond</w:t>
      </w:r>
      <w:r w:rsidR="00F92A8B">
        <w:rPr>
          <w:rFonts w:ascii="Arial" w:hAnsi="Arial" w:cs="Arial"/>
          <w:sz w:val="22"/>
          <w:szCs w:val="22"/>
        </w:rPr>
        <w:t xml:space="preserve"> (</w:t>
      </w:r>
      <w:r w:rsidR="00F92A8B" w:rsidRPr="00F92A8B">
        <w:rPr>
          <w:rFonts w:ascii="Arial" w:hAnsi="Arial" w:cs="Arial"/>
          <w:sz w:val="22"/>
          <w:szCs w:val="22"/>
        </w:rPr>
        <w:t>Sunjaya</w:t>
      </w:r>
      <w:r w:rsidR="00F92A8B">
        <w:rPr>
          <w:rFonts w:ascii="Arial" w:hAnsi="Arial" w:cs="Arial"/>
          <w:sz w:val="22"/>
          <w:szCs w:val="22"/>
        </w:rPr>
        <w:t>, 2025)</w:t>
      </w:r>
      <w:r w:rsidRPr="00D90799">
        <w:rPr>
          <w:rFonts w:ascii="Arial" w:hAnsi="Arial" w:cs="Arial"/>
          <w:sz w:val="22"/>
          <w:szCs w:val="22"/>
        </w:rPr>
        <w:t>. Written information, medication schedules and visual prompts can reinforce verbal explanations and support medication adherence</w:t>
      </w:r>
      <w:r w:rsidR="00F92A8B">
        <w:rPr>
          <w:rFonts w:ascii="Arial" w:hAnsi="Arial" w:cs="Arial"/>
          <w:sz w:val="22"/>
          <w:szCs w:val="22"/>
        </w:rPr>
        <w:t xml:space="preserve"> (Chen, 2022)</w:t>
      </w:r>
      <w:r w:rsidRPr="00D90799">
        <w:rPr>
          <w:rFonts w:ascii="Arial" w:hAnsi="Arial" w:cs="Arial"/>
          <w:sz w:val="22"/>
          <w:szCs w:val="22"/>
        </w:rPr>
        <w:t>. Healthcare professionals should also use the teach-back technique, asking Mrs Thompson to explain information in her own words to confirm her understanding. This helps identify misunderstandings, promotes independence and ensures she can safely manage her care at home</w:t>
      </w:r>
      <w:r w:rsidR="00F92A8B">
        <w:rPr>
          <w:rFonts w:ascii="Arial" w:hAnsi="Arial" w:cs="Arial"/>
          <w:sz w:val="22"/>
          <w:szCs w:val="22"/>
        </w:rPr>
        <w:t xml:space="preserve"> (</w:t>
      </w:r>
      <w:r w:rsidR="00F92A8B" w:rsidRPr="00F92A8B">
        <w:rPr>
          <w:rFonts w:ascii="Arial" w:hAnsi="Arial" w:cs="Arial"/>
          <w:sz w:val="22"/>
          <w:szCs w:val="22"/>
        </w:rPr>
        <w:t>Mahmoodi</w:t>
      </w:r>
      <w:r w:rsidR="00F92A8B">
        <w:rPr>
          <w:rFonts w:ascii="Arial" w:hAnsi="Arial" w:cs="Arial"/>
          <w:sz w:val="22"/>
          <w:szCs w:val="22"/>
        </w:rPr>
        <w:t xml:space="preserve">, 2025). </w:t>
      </w:r>
    </w:p>
    <w:p w14:paraId="63E9D944" w14:textId="5222B96A" w:rsidR="00D90799" w:rsidRPr="00D90799" w:rsidRDefault="00D90799" w:rsidP="00D90799">
      <w:pPr>
        <w:rPr>
          <w:rFonts w:ascii="Arial" w:hAnsi="Arial" w:cs="Arial"/>
          <w:sz w:val="22"/>
          <w:szCs w:val="22"/>
        </w:rPr>
      </w:pPr>
      <w:r w:rsidRPr="00D90799">
        <w:rPr>
          <w:rFonts w:ascii="Arial" w:hAnsi="Arial" w:cs="Arial"/>
          <w:sz w:val="22"/>
          <w:szCs w:val="22"/>
        </w:rPr>
        <w:t xml:space="preserve">Communication with Mrs Thompson's family is equally important in delivering coordinated and holistic care. Family members often possess valuable knowledge regarding her daily </w:t>
      </w:r>
      <w:r w:rsidRPr="00D90799">
        <w:rPr>
          <w:rFonts w:ascii="Arial" w:hAnsi="Arial" w:cs="Arial"/>
          <w:sz w:val="22"/>
          <w:szCs w:val="22"/>
        </w:rPr>
        <w:lastRenderedPageBreak/>
        <w:t>routine, medication management, cognitive function and recent behavioural changes</w:t>
      </w:r>
      <w:r w:rsidR="0017050E">
        <w:rPr>
          <w:rFonts w:ascii="Arial" w:hAnsi="Arial" w:cs="Arial"/>
          <w:sz w:val="22"/>
          <w:szCs w:val="22"/>
        </w:rPr>
        <w:t xml:space="preserve"> (</w:t>
      </w:r>
      <w:r w:rsidR="0017050E" w:rsidRPr="0017050E">
        <w:rPr>
          <w:rFonts w:ascii="Arial" w:hAnsi="Arial" w:cs="Arial"/>
          <w:sz w:val="22"/>
          <w:szCs w:val="22"/>
        </w:rPr>
        <w:t>Welch</w:t>
      </w:r>
      <w:r w:rsidR="0017050E">
        <w:rPr>
          <w:rFonts w:ascii="Arial" w:hAnsi="Arial" w:cs="Arial"/>
          <w:sz w:val="22"/>
          <w:szCs w:val="22"/>
        </w:rPr>
        <w:t>, 2025)</w:t>
      </w:r>
      <w:r w:rsidRPr="00D90799">
        <w:rPr>
          <w:rFonts w:ascii="Arial" w:hAnsi="Arial" w:cs="Arial"/>
          <w:sz w:val="22"/>
          <w:szCs w:val="22"/>
        </w:rPr>
        <w:t>. With Mrs Thompson's consent, relatives should be involved in discussions regarding discharge planning, medication reviews and ongoing care arrangements</w:t>
      </w:r>
      <w:r w:rsidR="001D654B">
        <w:rPr>
          <w:rFonts w:ascii="Arial" w:hAnsi="Arial" w:cs="Arial"/>
          <w:sz w:val="22"/>
          <w:szCs w:val="22"/>
        </w:rPr>
        <w:t xml:space="preserve"> (Powell, 2018)</w:t>
      </w:r>
      <w:r w:rsidRPr="00D90799">
        <w:rPr>
          <w:rFonts w:ascii="Arial" w:hAnsi="Arial" w:cs="Arial"/>
          <w:sz w:val="22"/>
          <w:szCs w:val="22"/>
        </w:rPr>
        <w:t>. Their involvement promotes continuity of care by ensuring consistent support at home and enabling healthcare professionals to identify changes in her condition at an early stage. Family members may also provide reassurance, reduce Mrs Thompson's anxiety and encourage adherence to agreed treatment plans</w:t>
      </w:r>
      <w:r w:rsidR="001D654B">
        <w:rPr>
          <w:rFonts w:ascii="Arial" w:hAnsi="Arial" w:cs="Arial"/>
          <w:sz w:val="22"/>
          <w:szCs w:val="22"/>
        </w:rPr>
        <w:t xml:space="preserve"> (</w:t>
      </w:r>
      <w:r w:rsidR="001D654B" w:rsidRPr="001D654B">
        <w:rPr>
          <w:rFonts w:ascii="Arial" w:hAnsi="Arial" w:cs="Arial"/>
          <w:sz w:val="22"/>
          <w:szCs w:val="22"/>
        </w:rPr>
        <w:t>Kelley</w:t>
      </w:r>
      <w:r w:rsidR="001D654B">
        <w:rPr>
          <w:rFonts w:ascii="Arial" w:hAnsi="Arial" w:cs="Arial"/>
          <w:sz w:val="22"/>
          <w:szCs w:val="22"/>
        </w:rPr>
        <w:t>, 2019).</w:t>
      </w:r>
    </w:p>
    <w:p w14:paraId="1D40F08E" w14:textId="79D0D8E7" w:rsidR="00D90799" w:rsidRPr="00D90799" w:rsidRDefault="00D90799" w:rsidP="00D90799">
      <w:pPr>
        <w:rPr>
          <w:rFonts w:ascii="Arial" w:hAnsi="Arial" w:cs="Arial"/>
          <w:sz w:val="22"/>
          <w:szCs w:val="22"/>
        </w:rPr>
      </w:pPr>
      <w:r w:rsidRPr="00D90799">
        <w:rPr>
          <w:rFonts w:ascii="Arial" w:hAnsi="Arial" w:cs="Arial"/>
          <w:sz w:val="22"/>
          <w:szCs w:val="22"/>
        </w:rPr>
        <w:t>The Equality Act 2010 provides a legal framework that supports effective communication within health and social care. The Act protects individuals from discrimination based on protected characteristics, including age and disability</w:t>
      </w:r>
      <w:r w:rsidR="001D654B">
        <w:rPr>
          <w:rFonts w:ascii="Arial" w:hAnsi="Arial" w:cs="Arial"/>
          <w:sz w:val="22"/>
          <w:szCs w:val="22"/>
        </w:rPr>
        <w:t xml:space="preserve"> (</w:t>
      </w:r>
      <w:r w:rsidR="001D654B" w:rsidRPr="001D654B">
        <w:rPr>
          <w:rFonts w:ascii="Arial" w:hAnsi="Arial" w:cs="Arial"/>
          <w:sz w:val="22"/>
          <w:szCs w:val="22"/>
        </w:rPr>
        <w:t>Hamerton</w:t>
      </w:r>
      <w:r w:rsidR="001D654B">
        <w:rPr>
          <w:rFonts w:ascii="Arial" w:hAnsi="Arial" w:cs="Arial"/>
          <w:sz w:val="22"/>
          <w:szCs w:val="22"/>
        </w:rPr>
        <w:t>, 2025)</w:t>
      </w:r>
      <w:r w:rsidRPr="00D90799">
        <w:rPr>
          <w:rFonts w:ascii="Arial" w:hAnsi="Arial" w:cs="Arial"/>
          <w:sz w:val="22"/>
          <w:szCs w:val="22"/>
        </w:rPr>
        <w:t>. Dementia may be recognised as a disability where it has a substantial and long-term effect on an individual's ability to carry out normal daily activities. Healthcare providers therefore have a legal duty to make reasonable adjustments to ensure Mrs Thompson can access information and participate fully in decisions about her care. These adjustments may include allowing longer appointments, providing information in accessible formats and adapting communication methods to accommodate her cognitive needs. Such measures promote equality, dignity and person-centred care while ensuring legal compliance.</w:t>
      </w:r>
    </w:p>
    <w:p w14:paraId="7C03226B" w14:textId="7450EEE5" w:rsidR="00D90799" w:rsidRPr="00D90799" w:rsidRDefault="00D90799" w:rsidP="00D90799">
      <w:pPr>
        <w:rPr>
          <w:rFonts w:ascii="Arial" w:hAnsi="Arial" w:cs="Arial"/>
          <w:sz w:val="22"/>
          <w:szCs w:val="22"/>
        </w:rPr>
      </w:pPr>
      <w:r w:rsidRPr="00D90799">
        <w:rPr>
          <w:rFonts w:ascii="Arial" w:hAnsi="Arial" w:cs="Arial"/>
          <w:sz w:val="22"/>
          <w:szCs w:val="22"/>
        </w:rPr>
        <w:t>The Calgary-Cambridge Communication Model provides a structured approach that can improve consultations with Mrs Thompson. The model includes initiating the consultation, gathering information, building the relationship, explanation and planning, and closing the consultation</w:t>
      </w:r>
      <w:r w:rsidR="00AB02A0">
        <w:rPr>
          <w:rFonts w:ascii="Arial" w:hAnsi="Arial" w:cs="Arial"/>
          <w:sz w:val="22"/>
          <w:szCs w:val="22"/>
        </w:rPr>
        <w:t xml:space="preserve"> (Hastings, 2024)</w:t>
      </w:r>
      <w:r w:rsidRPr="00D90799">
        <w:rPr>
          <w:rFonts w:ascii="Arial" w:hAnsi="Arial" w:cs="Arial"/>
          <w:sz w:val="22"/>
          <w:szCs w:val="22"/>
        </w:rPr>
        <w:t>. Healthcare professionals should begin by introducing themselves, explaining the purpose of the consultation and establishing rapport to create a trusting environment. Open-ended questions should then be used to explore Mrs Thompson's understanding of her illness, medication routine and any concerns she may have. Active listening, empathy and appropriate non-verbal communication, including eye contact and reassuring body language, help build trust and encourage honest discussion.</w:t>
      </w:r>
      <w:r>
        <w:rPr>
          <w:rFonts w:ascii="Arial" w:hAnsi="Arial" w:cs="Arial"/>
          <w:sz w:val="22"/>
          <w:szCs w:val="22"/>
        </w:rPr>
        <w:t xml:space="preserve"> </w:t>
      </w:r>
      <w:r w:rsidRPr="00D90799">
        <w:rPr>
          <w:rFonts w:ascii="Arial" w:hAnsi="Arial" w:cs="Arial"/>
          <w:sz w:val="22"/>
          <w:szCs w:val="22"/>
        </w:rPr>
        <w:t>During the explanation and planning stage, professionals should clearly explain the purpose of each medication, the risks associated with missed doses and the importance of completing treatment</w:t>
      </w:r>
      <w:r w:rsidR="00AB02A0">
        <w:rPr>
          <w:rFonts w:ascii="Arial" w:hAnsi="Arial" w:cs="Arial"/>
          <w:sz w:val="22"/>
          <w:szCs w:val="22"/>
        </w:rPr>
        <w:t xml:space="preserve"> (</w:t>
      </w:r>
      <w:proofErr w:type="spellStart"/>
      <w:r w:rsidR="00AB02A0" w:rsidRPr="00AB02A0">
        <w:rPr>
          <w:rFonts w:ascii="Arial" w:hAnsi="Arial" w:cs="Arial"/>
          <w:sz w:val="22"/>
          <w:szCs w:val="22"/>
        </w:rPr>
        <w:t>Baniaghil</w:t>
      </w:r>
      <w:proofErr w:type="spellEnd"/>
      <w:r w:rsidR="00AB02A0">
        <w:rPr>
          <w:rFonts w:ascii="Arial" w:hAnsi="Arial" w:cs="Arial"/>
          <w:sz w:val="22"/>
          <w:szCs w:val="22"/>
        </w:rPr>
        <w:t xml:space="preserve"> et al, 2022)</w:t>
      </w:r>
      <w:r w:rsidRPr="00D90799">
        <w:rPr>
          <w:rFonts w:ascii="Arial" w:hAnsi="Arial" w:cs="Arial"/>
          <w:sz w:val="22"/>
          <w:szCs w:val="22"/>
        </w:rPr>
        <w:t>. Mrs Thompson should be involved in developing her care plan to promote shared decision-making and maintain her independence wherever possible. The consultation should conclude with a summary of the agreed actions and confirmation that both Mrs Thompson and, where appropriate, her family</w:t>
      </w:r>
      <w:r w:rsidR="00AB02A0">
        <w:rPr>
          <w:rFonts w:ascii="Arial" w:hAnsi="Arial" w:cs="Arial"/>
          <w:sz w:val="22"/>
          <w:szCs w:val="22"/>
        </w:rPr>
        <w:t xml:space="preserve"> (</w:t>
      </w:r>
      <w:r w:rsidR="00AB02A0" w:rsidRPr="00AB02A0">
        <w:rPr>
          <w:rFonts w:ascii="Arial" w:hAnsi="Arial" w:cs="Arial"/>
          <w:sz w:val="22"/>
          <w:szCs w:val="22"/>
        </w:rPr>
        <w:t>Grove</w:t>
      </w:r>
      <w:r w:rsidR="00AB02A0">
        <w:rPr>
          <w:rFonts w:ascii="Arial" w:hAnsi="Arial" w:cs="Arial"/>
          <w:sz w:val="22"/>
          <w:szCs w:val="22"/>
        </w:rPr>
        <w:t xml:space="preserve"> et al, 2022)</w:t>
      </w:r>
    </w:p>
    <w:p w14:paraId="442C1070" w14:textId="34499F96" w:rsidR="00D90799" w:rsidRPr="00D90799" w:rsidRDefault="00D90799" w:rsidP="00D90799">
      <w:pPr>
        <w:rPr>
          <w:rFonts w:ascii="Arial" w:hAnsi="Arial" w:cs="Arial"/>
          <w:sz w:val="22"/>
          <w:szCs w:val="22"/>
        </w:rPr>
      </w:pPr>
      <w:r w:rsidRPr="00D90799">
        <w:rPr>
          <w:rFonts w:ascii="Arial" w:hAnsi="Arial" w:cs="Arial"/>
          <w:sz w:val="22"/>
          <w:szCs w:val="22"/>
        </w:rPr>
        <w:t>Good administrative practice underpins safe and effective healthcare. Accurate documentation enables continuity of care, supports clinical decision-making and provides legal evidence of interventions undertaken. In Mrs Thompson's case, accurate records are essential following her medication omission, incident reporting and safeguarding concerns</w:t>
      </w:r>
      <w:r w:rsidR="00BC7E53">
        <w:rPr>
          <w:rFonts w:ascii="Arial" w:hAnsi="Arial" w:cs="Arial"/>
          <w:sz w:val="22"/>
          <w:szCs w:val="22"/>
        </w:rPr>
        <w:t xml:space="preserve"> (Mabunda et al, 2025)</w:t>
      </w:r>
      <w:r w:rsidRPr="00D90799">
        <w:rPr>
          <w:rFonts w:ascii="Arial" w:hAnsi="Arial" w:cs="Arial"/>
          <w:sz w:val="22"/>
          <w:szCs w:val="22"/>
        </w:rPr>
        <w:t>. Following the missed medication, healthcare professionals should accurately document the dates, medications involved, observed deterioration, actions taken and communication with other professionals. The incident should be reported using the organisation's incident reporting system to facilitate investigation, organisational learning and quality improvement</w:t>
      </w:r>
      <w:r w:rsidR="00D93B08">
        <w:rPr>
          <w:rFonts w:ascii="Arial" w:hAnsi="Arial" w:cs="Arial"/>
          <w:sz w:val="22"/>
          <w:szCs w:val="22"/>
        </w:rPr>
        <w:t xml:space="preserve"> (</w:t>
      </w:r>
      <w:r w:rsidR="00D93B08" w:rsidRPr="00D93B08">
        <w:rPr>
          <w:rFonts w:ascii="Arial" w:hAnsi="Arial" w:cs="Arial"/>
          <w:sz w:val="22"/>
          <w:szCs w:val="22"/>
        </w:rPr>
        <w:t>Mahajan</w:t>
      </w:r>
      <w:r w:rsidR="00D93B08">
        <w:rPr>
          <w:rFonts w:ascii="Arial" w:hAnsi="Arial" w:cs="Arial"/>
          <w:sz w:val="22"/>
          <w:szCs w:val="22"/>
        </w:rPr>
        <w:t xml:space="preserve"> et al, 2025)</w:t>
      </w:r>
      <w:r w:rsidRPr="00D90799">
        <w:rPr>
          <w:rFonts w:ascii="Arial" w:hAnsi="Arial" w:cs="Arial"/>
          <w:sz w:val="22"/>
          <w:szCs w:val="22"/>
        </w:rPr>
        <w:t>.</w:t>
      </w:r>
      <w:r>
        <w:rPr>
          <w:rFonts w:ascii="Arial" w:hAnsi="Arial" w:cs="Arial"/>
          <w:sz w:val="22"/>
          <w:szCs w:val="22"/>
        </w:rPr>
        <w:t xml:space="preserve"> </w:t>
      </w:r>
      <w:r w:rsidRPr="00D90799">
        <w:rPr>
          <w:rFonts w:ascii="Arial" w:hAnsi="Arial" w:cs="Arial"/>
          <w:sz w:val="22"/>
          <w:szCs w:val="22"/>
        </w:rPr>
        <w:t xml:space="preserve">The NMC Code (2018) requires nurses to keep clear, accurate and contemporaneous records. Documentation should be factual, objective, legible and completed as soon as possible after providing care. Records must distinguish between observed facts and professional opinion while ensuring </w:t>
      </w:r>
      <w:proofErr w:type="gramStart"/>
      <w:r w:rsidRPr="00D90799">
        <w:rPr>
          <w:rFonts w:ascii="Arial" w:hAnsi="Arial" w:cs="Arial"/>
          <w:sz w:val="22"/>
          <w:szCs w:val="22"/>
        </w:rPr>
        <w:t>accountability</w:t>
      </w:r>
      <w:proofErr w:type="gramEnd"/>
      <w:r w:rsidRPr="00D90799">
        <w:rPr>
          <w:rFonts w:ascii="Arial" w:hAnsi="Arial" w:cs="Arial"/>
          <w:sz w:val="22"/>
          <w:szCs w:val="22"/>
        </w:rPr>
        <w:t xml:space="preserve"> for all clinical decisions</w:t>
      </w:r>
      <w:r w:rsidR="00D93B08">
        <w:rPr>
          <w:rFonts w:ascii="Arial" w:hAnsi="Arial" w:cs="Arial"/>
          <w:sz w:val="22"/>
          <w:szCs w:val="22"/>
        </w:rPr>
        <w:t xml:space="preserve"> (</w:t>
      </w:r>
      <w:r w:rsidR="00D93B08" w:rsidRPr="00D93B08">
        <w:rPr>
          <w:rFonts w:ascii="Arial" w:hAnsi="Arial" w:cs="Arial"/>
          <w:sz w:val="22"/>
          <w:szCs w:val="22"/>
        </w:rPr>
        <w:t>N</w:t>
      </w:r>
      <w:r w:rsidR="00D93B08">
        <w:rPr>
          <w:rFonts w:ascii="Arial" w:hAnsi="Arial" w:cs="Arial"/>
          <w:sz w:val="22"/>
          <w:szCs w:val="22"/>
        </w:rPr>
        <w:t xml:space="preserve">MC, </w:t>
      </w:r>
      <w:r w:rsidR="00D93B08" w:rsidRPr="00D93B08">
        <w:rPr>
          <w:rFonts w:ascii="Arial" w:hAnsi="Arial" w:cs="Arial"/>
          <w:sz w:val="22"/>
          <w:szCs w:val="22"/>
        </w:rPr>
        <w:t>2023).</w:t>
      </w:r>
    </w:p>
    <w:p w14:paraId="595696D8" w14:textId="726E5EF0" w:rsidR="00D90799" w:rsidRPr="00D90799" w:rsidRDefault="00D90799" w:rsidP="00D90799">
      <w:pPr>
        <w:rPr>
          <w:rFonts w:ascii="Arial" w:hAnsi="Arial" w:cs="Arial"/>
          <w:sz w:val="22"/>
          <w:szCs w:val="22"/>
        </w:rPr>
      </w:pPr>
      <w:r w:rsidRPr="00D90799">
        <w:rPr>
          <w:rFonts w:ascii="Arial" w:hAnsi="Arial" w:cs="Arial"/>
          <w:sz w:val="22"/>
          <w:szCs w:val="22"/>
        </w:rPr>
        <w:lastRenderedPageBreak/>
        <w:t>The Data Protection Act 2018 and UK General Data Protection Regulation establish the legal framework governing personal information. Mrs Thompson's medical records contain sensitive personal data that must be processed lawfully, fairly and securely. Only professionals directly involved in her care should access her records, and information should only be shared where appropriate, necessary and proportionate</w:t>
      </w:r>
      <w:r w:rsidR="00BC7E53">
        <w:rPr>
          <w:rFonts w:ascii="Arial" w:hAnsi="Arial" w:cs="Arial"/>
          <w:sz w:val="22"/>
          <w:szCs w:val="22"/>
        </w:rPr>
        <w:t xml:space="preserve"> (Francis, 2020)</w:t>
      </w:r>
      <w:r w:rsidRPr="00D90799">
        <w:rPr>
          <w:rFonts w:ascii="Arial" w:hAnsi="Arial" w:cs="Arial"/>
          <w:sz w:val="22"/>
          <w:szCs w:val="22"/>
        </w:rPr>
        <w:t>. Secure electronic patient record systems, password protection and role-based access controls help maintain confidentiality.</w:t>
      </w:r>
      <w:r>
        <w:rPr>
          <w:rFonts w:ascii="Arial" w:hAnsi="Arial" w:cs="Arial"/>
          <w:sz w:val="22"/>
          <w:szCs w:val="22"/>
        </w:rPr>
        <w:t xml:space="preserve"> </w:t>
      </w:r>
      <w:r w:rsidRPr="00D90799">
        <w:rPr>
          <w:rFonts w:ascii="Arial" w:hAnsi="Arial" w:cs="Arial"/>
          <w:sz w:val="22"/>
          <w:szCs w:val="22"/>
        </w:rPr>
        <w:t>Confidentiality remains a fundamental ethical principle; however, information sharing may be justified where significant safeguarding concerns exist. Mrs Thompson being found outdoors inadequately dressed during cold weather indicates potential self-neglect and increased vulnerability. Under the Care Act 2014, professionals have a responsibility to raise safeguarding concerns where an adult with care and support needs may be experiencing neglect or abuse. Appropriate information sharing between health and social care agencies is therefore essential to protect Mrs Thompson while remaining compliant with legal requirements</w:t>
      </w:r>
      <w:r w:rsidR="00BC7E53">
        <w:rPr>
          <w:rFonts w:ascii="Arial" w:hAnsi="Arial" w:cs="Arial"/>
          <w:sz w:val="22"/>
          <w:szCs w:val="22"/>
        </w:rPr>
        <w:t xml:space="preserve"> (Barnes et al, 2017). </w:t>
      </w:r>
    </w:p>
    <w:p w14:paraId="3E34488B" w14:textId="76AFAAC9" w:rsidR="00D90799" w:rsidRPr="00D90799" w:rsidRDefault="00D90799" w:rsidP="00D90799">
      <w:pPr>
        <w:rPr>
          <w:rFonts w:ascii="Arial" w:hAnsi="Arial" w:cs="Arial"/>
          <w:sz w:val="22"/>
          <w:szCs w:val="22"/>
        </w:rPr>
      </w:pPr>
      <w:r w:rsidRPr="00D90799">
        <w:rPr>
          <w:rFonts w:ascii="Arial" w:hAnsi="Arial" w:cs="Arial"/>
          <w:sz w:val="22"/>
          <w:szCs w:val="22"/>
        </w:rPr>
        <w:t>Medication management also requires robust administrative systems. Following the medication incident, professionals should arrange a medication review involving the GP and pharmacist to identify factors contributing to non-adherence</w:t>
      </w:r>
      <w:r w:rsidR="006C50DA">
        <w:rPr>
          <w:rFonts w:ascii="Arial" w:hAnsi="Arial" w:cs="Arial"/>
          <w:sz w:val="22"/>
          <w:szCs w:val="22"/>
        </w:rPr>
        <w:t xml:space="preserve"> (</w:t>
      </w:r>
      <w:r w:rsidR="006C50DA" w:rsidRPr="006C50DA">
        <w:rPr>
          <w:rFonts w:ascii="Arial" w:hAnsi="Arial" w:cs="Arial"/>
          <w:sz w:val="22"/>
          <w:szCs w:val="22"/>
        </w:rPr>
        <w:t>Maidment</w:t>
      </w:r>
      <w:r w:rsidR="006C50DA">
        <w:rPr>
          <w:rFonts w:ascii="Arial" w:hAnsi="Arial" w:cs="Arial"/>
          <w:sz w:val="22"/>
          <w:szCs w:val="22"/>
        </w:rPr>
        <w:t xml:space="preserve"> et al, 2020)</w:t>
      </w:r>
      <w:r w:rsidRPr="00D90799">
        <w:rPr>
          <w:rFonts w:ascii="Arial" w:hAnsi="Arial" w:cs="Arial"/>
          <w:sz w:val="22"/>
          <w:szCs w:val="22"/>
        </w:rPr>
        <w:t>. Electronic prescribing systems, medication administration records and domiciliary care documentation support safer medicines management and reduce the likelihood of repeated errors.</w:t>
      </w:r>
      <w:r>
        <w:rPr>
          <w:rFonts w:ascii="Arial" w:hAnsi="Arial" w:cs="Arial"/>
          <w:sz w:val="22"/>
          <w:szCs w:val="22"/>
        </w:rPr>
        <w:t xml:space="preserve"> </w:t>
      </w:r>
      <w:r w:rsidRPr="00D90799">
        <w:rPr>
          <w:rFonts w:ascii="Arial" w:hAnsi="Arial" w:cs="Arial"/>
          <w:sz w:val="22"/>
          <w:szCs w:val="22"/>
        </w:rPr>
        <w:t>Risk assessments should also be documented and regularly reviewed</w:t>
      </w:r>
      <w:r w:rsidR="006C50DA">
        <w:rPr>
          <w:rFonts w:ascii="Arial" w:hAnsi="Arial" w:cs="Arial"/>
          <w:sz w:val="22"/>
          <w:szCs w:val="22"/>
        </w:rPr>
        <w:t xml:space="preserve"> (Porterfield et al, 2014)</w:t>
      </w:r>
      <w:r w:rsidRPr="00D90799">
        <w:rPr>
          <w:rFonts w:ascii="Arial" w:hAnsi="Arial" w:cs="Arial"/>
          <w:sz w:val="22"/>
          <w:szCs w:val="22"/>
        </w:rPr>
        <w:t>. Mrs Thompson's dementia, recent pneumonia, medication non-compliance and wandering behaviour increase her risks of falls, hypothermia, self-neglect and hospital readmission. Comprehensive documentation enables all professionals involved in her care to understand current risks and implement appropriate interventions.</w:t>
      </w:r>
      <w:r>
        <w:rPr>
          <w:rFonts w:ascii="Arial" w:hAnsi="Arial" w:cs="Arial"/>
          <w:sz w:val="22"/>
          <w:szCs w:val="22"/>
        </w:rPr>
        <w:t xml:space="preserve"> </w:t>
      </w:r>
      <w:r w:rsidRPr="00D90799">
        <w:rPr>
          <w:rFonts w:ascii="Arial" w:hAnsi="Arial" w:cs="Arial"/>
          <w:sz w:val="22"/>
          <w:szCs w:val="22"/>
        </w:rPr>
        <w:t>High-quality record keeping also contributes to service improvement through audit, incident analysis and evidence-based practice</w:t>
      </w:r>
      <w:r w:rsidR="00BC7E53">
        <w:rPr>
          <w:rFonts w:ascii="Arial" w:hAnsi="Arial" w:cs="Arial"/>
          <w:sz w:val="22"/>
          <w:szCs w:val="22"/>
        </w:rPr>
        <w:t xml:space="preserve"> (Demsash et al, 2023)</w:t>
      </w:r>
      <w:r w:rsidRPr="00D90799">
        <w:rPr>
          <w:rFonts w:ascii="Arial" w:hAnsi="Arial" w:cs="Arial"/>
          <w:sz w:val="22"/>
          <w:szCs w:val="22"/>
        </w:rPr>
        <w:t>. Accurate documentation enables organisations to identify trends, evaluate interventions and improve patient safety. Consequently, strong administrative skills directly contribute to high-quality, accountable and legally compliant healthcare</w:t>
      </w:r>
      <w:r w:rsidR="00BC7E53">
        <w:rPr>
          <w:rFonts w:ascii="Arial" w:hAnsi="Arial" w:cs="Arial"/>
          <w:sz w:val="22"/>
          <w:szCs w:val="22"/>
        </w:rPr>
        <w:t xml:space="preserve"> (Koh et al, 2021). </w:t>
      </w:r>
    </w:p>
    <w:p w14:paraId="198A9C45" w14:textId="57351FD9" w:rsidR="00D90799" w:rsidRPr="00D90799" w:rsidRDefault="00D90799" w:rsidP="00D90799">
      <w:pPr>
        <w:rPr>
          <w:rFonts w:ascii="Arial" w:hAnsi="Arial" w:cs="Arial"/>
          <w:sz w:val="22"/>
          <w:szCs w:val="22"/>
        </w:rPr>
      </w:pPr>
      <w:r w:rsidRPr="00D90799">
        <w:rPr>
          <w:rFonts w:ascii="Arial" w:hAnsi="Arial" w:cs="Arial"/>
          <w:sz w:val="22"/>
          <w:szCs w:val="22"/>
        </w:rPr>
        <w:t>Collaborative multidisciplinary working is essential when caring for individuals with complex health and social care needs. Mrs Thompson's care requires coordinated input from her GP, community nurse, pharmacist, domiciliary carers, occupational therapist, social worker and family members</w:t>
      </w:r>
      <w:r w:rsidR="00AB02A0">
        <w:rPr>
          <w:rFonts w:ascii="Arial" w:hAnsi="Arial" w:cs="Arial"/>
          <w:sz w:val="22"/>
          <w:szCs w:val="22"/>
        </w:rPr>
        <w:t xml:space="preserve"> (Thana et al, 2025)</w:t>
      </w:r>
      <w:r w:rsidRPr="00D90799">
        <w:rPr>
          <w:rFonts w:ascii="Arial" w:hAnsi="Arial" w:cs="Arial"/>
          <w:sz w:val="22"/>
          <w:szCs w:val="22"/>
        </w:rPr>
        <w:t>.</w:t>
      </w:r>
      <w:r>
        <w:rPr>
          <w:rFonts w:ascii="Arial" w:hAnsi="Arial" w:cs="Arial"/>
          <w:sz w:val="22"/>
          <w:szCs w:val="22"/>
        </w:rPr>
        <w:t xml:space="preserve"> </w:t>
      </w:r>
      <w:r w:rsidRPr="00D90799">
        <w:rPr>
          <w:rFonts w:ascii="Arial" w:hAnsi="Arial" w:cs="Arial"/>
          <w:sz w:val="22"/>
          <w:szCs w:val="22"/>
        </w:rPr>
        <w:t>Each professional contributes specialist expertise. The GP reviews medications and monitors long-term conditions. Community nurses assess health status and support recovery following pneumonia. Domiciliary carers assist with personal care and medication prompts, while pharmacists optimise medicines management. Social workers coordinate safeguarding interventions and ongoing care packages, ensuring Mrs Thompson receives appropriate support within the community.</w:t>
      </w:r>
      <w:r>
        <w:rPr>
          <w:rFonts w:ascii="Arial" w:hAnsi="Arial" w:cs="Arial"/>
          <w:sz w:val="22"/>
          <w:szCs w:val="22"/>
        </w:rPr>
        <w:t xml:space="preserve"> </w:t>
      </w:r>
      <w:r w:rsidRPr="00D90799">
        <w:rPr>
          <w:rFonts w:ascii="Arial" w:hAnsi="Arial" w:cs="Arial"/>
          <w:sz w:val="22"/>
          <w:szCs w:val="22"/>
        </w:rPr>
        <w:t>Effective collaboration depends upon timely communication, shared goals and clearly defined professional responsibilities</w:t>
      </w:r>
      <w:r w:rsidR="006C50DA">
        <w:rPr>
          <w:rFonts w:ascii="Arial" w:hAnsi="Arial" w:cs="Arial"/>
          <w:sz w:val="22"/>
          <w:szCs w:val="22"/>
        </w:rPr>
        <w:t xml:space="preserve"> (Dawe et al, 2024)</w:t>
      </w:r>
      <w:r w:rsidRPr="00D90799">
        <w:rPr>
          <w:rFonts w:ascii="Arial" w:hAnsi="Arial" w:cs="Arial"/>
          <w:sz w:val="22"/>
          <w:szCs w:val="22"/>
        </w:rPr>
        <w:t>.</w:t>
      </w:r>
      <w:r>
        <w:rPr>
          <w:rFonts w:ascii="Arial" w:hAnsi="Arial" w:cs="Arial"/>
          <w:sz w:val="22"/>
          <w:szCs w:val="22"/>
        </w:rPr>
        <w:t xml:space="preserve"> Moreover,</w:t>
      </w:r>
      <w:r w:rsidRPr="00D90799">
        <w:rPr>
          <w:rFonts w:ascii="Arial" w:hAnsi="Arial" w:cs="Arial"/>
          <w:sz w:val="22"/>
          <w:szCs w:val="22"/>
        </w:rPr>
        <w:t xml:space="preserve"> </w:t>
      </w:r>
      <w:r>
        <w:rPr>
          <w:rFonts w:ascii="Arial" w:hAnsi="Arial" w:cs="Arial"/>
          <w:sz w:val="22"/>
          <w:szCs w:val="22"/>
        </w:rPr>
        <w:t>r</w:t>
      </w:r>
      <w:r w:rsidRPr="00D90799">
        <w:rPr>
          <w:rFonts w:ascii="Arial" w:hAnsi="Arial" w:cs="Arial"/>
          <w:sz w:val="22"/>
          <w:szCs w:val="22"/>
        </w:rPr>
        <w:t>egular multidisciplinary meetings</w:t>
      </w:r>
      <w:r>
        <w:rPr>
          <w:rFonts w:ascii="Arial" w:hAnsi="Arial" w:cs="Arial"/>
          <w:sz w:val="22"/>
          <w:szCs w:val="22"/>
        </w:rPr>
        <w:t xml:space="preserve">. </w:t>
      </w:r>
      <w:r w:rsidRPr="00D90799">
        <w:rPr>
          <w:rFonts w:ascii="Arial" w:hAnsi="Arial" w:cs="Arial"/>
          <w:sz w:val="22"/>
          <w:szCs w:val="22"/>
        </w:rPr>
        <w:t>shared electronic health records and structured communication tools such as SBAR (Situation, Background, Assessment and Recommendation) improve information transfer and reduce misunderstandings between professional</w:t>
      </w:r>
      <w:r w:rsidR="00AB02A0">
        <w:rPr>
          <w:rFonts w:ascii="Arial" w:hAnsi="Arial" w:cs="Arial"/>
          <w:sz w:val="22"/>
          <w:szCs w:val="22"/>
        </w:rPr>
        <w:t>s</w:t>
      </w:r>
      <w:r w:rsidR="006C50DA">
        <w:rPr>
          <w:rFonts w:ascii="Arial" w:hAnsi="Arial" w:cs="Arial"/>
          <w:sz w:val="22"/>
          <w:szCs w:val="22"/>
        </w:rPr>
        <w:t xml:space="preserve"> (Muller et al, 2018). </w:t>
      </w:r>
    </w:p>
    <w:p w14:paraId="4F67DF28" w14:textId="725D13FF" w:rsidR="00D90799" w:rsidRPr="00D90799" w:rsidRDefault="00D90799" w:rsidP="00D90799">
      <w:pPr>
        <w:rPr>
          <w:rFonts w:ascii="Arial" w:hAnsi="Arial" w:cs="Arial"/>
          <w:sz w:val="22"/>
          <w:szCs w:val="22"/>
        </w:rPr>
      </w:pPr>
      <w:r w:rsidRPr="00D90799">
        <w:rPr>
          <w:rFonts w:ascii="Arial" w:hAnsi="Arial" w:cs="Arial"/>
          <w:sz w:val="22"/>
          <w:szCs w:val="22"/>
        </w:rPr>
        <w:t>Several barriers may affect collaborative working, including poor communication, incompatible IT systems, professional boundaries, differing organisational priorities and resource pressures</w:t>
      </w:r>
      <w:r w:rsidR="006C50DA">
        <w:rPr>
          <w:rFonts w:ascii="Arial" w:hAnsi="Arial" w:cs="Arial"/>
          <w:sz w:val="22"/>
          <w:szCs w:val="22"/>
        </w:rPr>
        <w:t xml:space="preserve"> (Howick et al, 2024)</w:t>
      </w:r>
      <w:r w:rsidRPr="00D90799">
        <w:rPr>
          <w:rFonts w:ascii="Arial" w:hAnsi="Arial" w:cs="Arial"/>
          <w:sz w:val="22"/>
          <w:szCs w:val="22"/>
        </w:rPr>
        <w:t xml:space="preserve">. These challenges may delay referrals, duplicate </w:t>
      </w:r>
      <w:r w:rsidRPr="00D90799">
        <w:rPr>
          <w:rFonts w:ascii="Arial" w:hAnsi="Arial" w:cs="Arial"/>
          <w:sz w:val="22"/>
          <w:szCs w:val="22"/>
        </w:rPr>
        <w:lastRenderedPageBreak/>
        <w:t>assessments or result in fragmented care. Strategies to overcome these barriers include regular multidisciplinary meetings, integrated care pathways, shared documentation systems, mutual professional respect and ongoing interprofessional education.</w:t>
      </w:r>
      <w:r>
        <w:rPr>
          <w:rFonts w:ascii="Arial" w:hAnsi="Arial" w:cs="Arial"/>
          <w:sz w:val="22"/>
          <w:szCs w:val="22"/>
        </w:rPr>
        <w:t xml:space="preserve"> </w:t>
      </w:r>
      <w:r w:rsidRPr="00D90799">
        <w:rPr>
          <w:rFonts w:ascii="Arial" w:hAnsi="Arial" w:cs="Arial"/>
          <w:sz w:val="22"/>
          <w:szCs w:val="22"/>
        </w:rPr>
        <w:t>Person-centred care remains central throughout multidisciplinary working. Mrs Thompson should be actively involved in decisions regarding her care whenever she has capacity, while her family should also be included with her consent. Collaborative working enables professionals to develop comprehensive care plans that address physical health, medication adherence, mental wellbeing and safeguarding concerns, ultimately improving health outcomes and reducing avoidable hospital admissions.</w:t>
      </w:r>
    </w:p>
    <w:p w14:paraId="5EE8F12C" w14:textId="77777777" w:rsidR="00D90799" w:rsidRPr="00D90799" w:rsidRDefault="00D90799" w:rsidP="00D90799">
      <w:pPr>
        <w:rPr>
          <w:rFonts w:ascii="Arial" w:hAnsi="Arial" w:cs="Arial"/>
          <w:sz w:val="22"/>
          <w:szCs w:val="22"/>
        </w:rPr>
      </w:pPr>
      <w:r w:rsidRPr="00D90799">
        <w:rPr>
          <w:rFonts w:ascii="Arial" w:hAnsi="Arial" w:cs="Arial"/>
          <w:sz w:val="22"/>
          <w:szCs w:val="22"/>
        </w:rPr>
        <w:t>Mrs Thompson's case demonstrates the importance of effective communication, accurate record keeping and multidisciplinary collaboration in delivering safe, person-centred health and social care. Communication adapted to her cognitive needs promotes understanding, independence and medication adherence while supporting family involvement. Accurate documentation and adherence to the Data Protection Act 2018 ensure continuity of care, accountability and appropriate safeguarding interventions. Collaborative working between healthcare professionals enables coordinated assessment, risk management and holistic care planning, improving patient safety and quality of life. Ultimately, integrating communication, professional record keeping and partnership working supports legal compliance, promotes dignity and delivers high-quality, compassionate care for vulnerable adults living within the community.</w:t>
      </w:r>
    </w:p>
    <w:p w14:paraId="0A759FF4" w14:textId="77777777" w:rsidR="00D90799" w:rsidRPr="00D90799" w:rsidRDefault="00D90799" w:rsidP="00D90799">
      <w:pPr>
        <w:rPr>
          <w:rFonts w:ascii="Arial" w:hAnsi="Arial" w:cs="Arial"/>
          <w:sz w:val="22"/>
          <w:szCs w:val="22"/>
        </w:rPr>
      </w:pPr>
    </w:p>
    <w:p w14:paraId="367CCB2A" w14:textId="77777777" w:rsidR="000B1EAA" w:rsidRDefault="000B1EAA">
      <w:pPr>
        <w:rPr>
          <w:rFonts w:ascii="Arial" w:hAnsi="Arial" w:cs="Arial"/>
          <w:sz w:val="22"/>
          <w:szCs w:val="22"/>
        </w:rPr>
      </w:pPr>
    </w:p>
    <w:p w14:paraId="0441D3DD" w14:textId="77777777" w:rsidR="009D07CA" w:rsidRDefault="009D07CA">
      <w:pPr>
        <w:rPr>
          <w:rFonts w:ascii="Arial" w:hAnsi="Arial" w:cs="Arial"/>
          <w:sz w:val="22"/>
          <w:szCs w:val="22"/>
        </w:rPr>
      </w:pPr>
    </w:p>
    <w:p w14:paraId="277B294C" w14:textId="77777777" w:rsidR="009D07CA" w:rsidRDefault="009D07CA">
      <w:pPr>
        <w:rPr>
          <w:rFonts w:ascii="Arial" w:hAnsi="Arial" w:cs="Arial"/>
          <w:sz w:val="22"/>
          <w:szCs w:val="22"/>
        </w:rPr>
      </w:pPr>
    </w:p>
    <w:p w14:paraId="0A71E6D3" w14:textId="77777777" w:rsidR="009D07CA" w:rsidRDefault="009D07CA">
      <w:pPr>
        <w:rPr>
          <w:rFonts w:ascii="Arial" w:hAnsi="Arial" w:cs="Arial"/>
          <w:sz w:val="22"/>
          <w:szCs w:val="22"/>
        </w:rPr>
      </w:pPr>
    </w:p>
    <w:p w14:paraId="706B3C7D" w14:textId="77777777" w:rsidR="009D07CA" w:rsidRDefault="009D07CA">
      <w:pPr>
        <w:rPr>
          <w:rFonts w:ascii="Arial" w:hAnsi="Arial" w:cs="Arial"/>
          <w:sz w:val="22"/>
          <w:szCs w:val="22"/>
        </w:rPr>
      </w:pPr>
    </w:p>
    <w:p w14:paraId="5CB23D63" w14:textId="77777777" w:rsidR="009D07CA" w:rsidRDefault="009D07CA">
      <w:pPr>
        <w:rPr>
          <w:rFonts w:ascii="Arial" w:hAnsi="Arial" w:cs="Arial"/>
          <w:sz w:val="22"/>
          <w:szCs w:val="22"/>
        </w:rPr>
      </w:pPr>
    </w:p>
    <w:p w14:paraId="74B5EB68" w14:textId="77777777" w:rsidR="009D07CA" w:rsidRDefault="009D07CA">
      <w:pPr>
        <w:rPr>
          <w:rFonts w:ascii="Arial" w:hAnsi="Arial" w:cs="Arial"/>
          <w:sz w:val="22"/>
          <w:szCs w:val="22"/>
        </w:rPr>
      </w:pPr>
    </w:p>
    <w:p w14:paraId="77FBE565" w14:textId="77777777" w:rsidR="009D07CA" w:rsidRDefault="009D07CA">
      <w:pPr>
        <w:rPr>
          <w:rFonts w:ascii="Arial" w:hAnsi="Arial" w:cs="Arial"/>
          <w:sz w:val="22"/>
          <w:szCs w:val="22"/>
        </w:rPr>
      </w:pPr>
    </w:p>
    <w:p w14:paraId="2582AC87" w14:textId="77777777" w:rsidR="009D07CA" w:rsidRDefault="009D07CA">
      <w:pPr>
        <w:rPr>
          <w:rFonts w:ascii="Arial" w:hAnsi="Arial" w:cs="Arial"/>
          <w:sz w:val="22"/>
          <w:szCs w:val="22"/>
        </w:rPr>
      </w:pPr>
    </w:p>
    <w:p w14:paraId="1AC69911" w14:textId="77777777" w:rsidR="009D07CA" w:rsidRDefault="009D07CA">
      <w:pPr>
        <w:rPr>
          <w:rFonts w:ascii="Arial" w:hAnsi="Arial" w:cs="Arial"/>
          <w:sz w:val="22"/>
          <w:szCs w:val="22"/>
        </w:rPr>
      </w:pPr>
    </w:p>
    <w:p w14:paraId="023CD631" w14:textId="77777777" w:rsidR="009D07CA" w:rsidRDefault="009D07CA">
      <w:pPr>
        <w:rPr>
          <w:rFonts w:ascii="Arial" w:hAnsi="Arial" w:cs="Arial"/>
          <w:sz w:val="22"/>
          <w:szCs w:val="22"/>
        </w:rPr>
      </w:pPr>
    </w:p>
    <w:p w14:paraId="427B46AE" w14:textId="77777777" w:rsidR="009D07CA" w:rsidRDefault="009D07CA">
      <w:pPr>
        <w:rPr>
          <w:rFonts w:ascii="Arial" w:hAnsi="Arial" w:cs="Arial"/>
          <w:sz w:val="22"/>
          <w:szCs w:val="22"/>
        </w:rPr>
      </w:pPr>
    </w:p>
    <w:p w14:paraId="2FB9094F" w14:textId="77777777" w:rsidR="009D07CA" w:rsidRDefault="009D07CA">
      <w:pPr>
        <w:rPr>
          <w:rFonts w:ascii="Arial" w:hAnsi="Arial" w:cs="Arial"/>
          <w:sz w:val="22"/>
          <w:szCs w:val="22"/>
        </w:rPr>
      </w:pPr>
    </w:p>
    <w:p w14:paraId="65E79AAB" w14:textId="77777777" w:rsidR="009D07CA" w:rsidRDefault="009D07CA">
      <w:pPr>
        <w:rPr>
          <w:rFonts w:ascii="Arial" w:hAnsi="Arial" w:cs="Arial"/>
          <w:sz w:val="22"/>
          <w:szCs w:val="22"/>
        </w:rPr>
      </w:pPr>
    </w:p>
    <w:p w14:paraId="16632EBF" w14:textId="77777777" w:rsidR="009D07CA" w:rsidRDefault="009D07CA">
      <w:pPr>
        <w:rPr>
          <w:rFonts w:ascii="Arial" w:hAnsi="Arial" w:cs="Arial"/>
          <w:sz w:val="22"/>
          <w:szCs w:val="22"/>
        </w:rPr>
      </w:pPr>
    </w:p>
    <w:p w14:paraId="3A2663FA" w14:textId="77777777" w:rsidR="009D07CA" w:rsidRDefault="009D07CA">
      <w:pPr>
        <w:rPr>
          <w:rFonts w:ascii="Arial" w:hAnsi="Arial" w:cs="Arial"/>
          <w:sz w:val="22"/>
          <w:szCs w:val="22"/>
        </w:rPr>
      </w:pPr>
    </w:p>
    <w:p w14:paraId="4F62BD42" w14:textId="77777777" w:rsidR="009D07CA" w:rsidRDefault="009D07CA">
      <w:pPr>
        <w:rPr>
          <w:rFonts w:ascii="Arial" w:hAnsi="Arial" w:cs="Arial"/>
          <w:sz w:val="22"/>
          <w:szCs w:val="22"/>
        </w:rPr>
      </w:pPr>
    </w:p>
    <w:p w14:paraId="0F3BB539" w14:textId="77777777" w:rsidR="009D07CA" w:rsidRDefault="009D07CA">
      <w:pPr>
        <w:rPr>
          <w:rFonts w:ascii="Arial" w:hAnsi="Arial" w:cs="Arial"/>
          <w:sz w:val="22"/>
          <w:szCs w:val="22"/>
        </w:rPr>
      </w:pPr>
    </w:p>
    <w:p w14:paraId="238E858C" w14:textId="77777777" w:rsidR="00D93B08" w:rsidRDefault="00D93B08">
      <w:pPr>
        <w:rPr>
          <w:rFonts w:ascii="Arial" w:hAnsi="Arial" w:cs="Arial"/>
          <w:sz w:val="22"/>
          <w:szCs w:val="22"/>
        </w:rPr>
      </w:pPr>
    </w:p>
    <w:p w14:paraId="57B98FF4" w14:textId="77777777" w:rsidR="00D93B08" w:rsidRDefault="00D93B08">
      <w:pPr>
        <w:rPr>
          <w:rFonts w:ascii="Arial" w:hAnsi="Arial" w:cs="Arial"/>
          <w:sz w:val="22"/>
          <w:szCs w:val="22"/>
        </w:rPr>
      </w:pPr>
    </w:p>
    <w:p w14:paraId="03F474CC" w14:textId="6989A85C" w:rsidR="00AB02A0" w:rsidRPr="00AB02A0" w:rsidRDefault="009D07CA">
      <w:pPr>
        <w:rPr>
          <w:rFonts w:ascii="Arial" w:hAnsi="Arial" w:cs="Arial"/>
          <w:sz w:val="28"/>
          <w:szCs w:val="28"/>
        </w:rPr>
      </w:pPr>
      <w:r w:rsidRPr="00AB02A0">
        <w:rPr>
          <w:rFonts w:ascii="Arial" w:hAnsi="Arial" w:cs="Arial"/>
          <w:sz w:val="28"/>
          <w:szCs w:val="28"/>
        </w:rPr>
        <w:t xml:space="preserve">References </w:t>
      </w:r>
    </w:p>
    <w:p w14:paraId="1DF50307" w14:textId="77777777" w:rsidR="00D93B08" w:rsidRDefault="00D93B08">
      <w:pPr>
        <w:rPr>
          <w:rFonts w:ascii="Arial" w:hAnsi="Arial" w:cs="Arial"/>
          <w:sz w:val="22"/>
          <w:szCs w:val="22"/>
        </w:rPr>
      </w:pPr>
    </w:p>
    <w:p w14:paraId="5B81D2E5" w14:textId="77777777" w:rsidR="00D93B08" w:rsidRDefault="00D93B08">
      <w:pPr>
        <w:rPr>
          <w:rFonts w:ascii="Arial" w:hAnsi="Arial" w:cs="Arial"/>
          <w:sz w:val="22"/>
          <w:szCs w:val="22"/>
        </w:rPr>
      </w:pPr>
    </w:p>
    <w:p w14:paraId="1E84939B" w14:textId="77777777" w:rsidR="00D93B08" w:rsidRDefault="00D93B08">
      <w:pPr>
        <w:rPr>
          <w:rFonts w:ascii="Arial" w:hAnsi="Arial" w:cs="Arial"/>
          <w:sz w:val="22"/>
          <w:szCs w:val="22"/>
        </w:rPr>
      </w:pPr>
      <w:proofErr w:type="spellStart"/>
      <w:r w:rsidRPr="00AB02A0">
        <w:rPr>
          <w:rFonts w:ascii="Arial" w:hAnsi="Arial" w:cs="Arial"/>
          <w:sz w:val="22"/>
          <w:szCs w:val="22"/>
        </w:rPr>
        <w:t>Baniaghil</w:t>
      </w:r>
      <w:proofErr w:type="spellEnd"/>
      <w:r w:rsidRPr="00AB02A0">
        <w:rPr>
          <w:rFonts w:ascii="Arial" w:hAnsi="Arial" w:cs="Arial"/>
          <w:sz w:val="22"/>
          <w:szCs w:val="22"/>
        </w:rPr>
        <w:t>, A.-S., Ghasemi, S</w:t>
      </w:r>
      <w:r>
        <w:rPr>
          <w:rFonts w:ascii="Arial" w:hAnsi="Arial" w:cs="Arial"/>
          <w:sz w:val="22"/>
          <w:szCs w:val="22"/>
        </w:rPr>
        <w:t xml:space="preserve"> et al</w:t>
      </w:r>
      <w:r w:rsidRPr="00AB02A0">
        <w:rPr>
          <w:rFonts w:ascii="Arial" w:hAnsi="Arial" w:cs="Arial"/>
          <w:sz w:val="22"/>
          <w:szCs w:val="22"/>
        </w:rPr>
        <w:t xml:space="preserve"> (2022). Effect of communication skills training using the </w:t>
      </w:r>
      <w:proofErr w:type="spellStart"/>
      <w:r w:rsidRPr="00AB02A0">
        <w:rPr>
          <w:rFonts w:ascii="Arial" w:hAnsi="Arial" w:cs="Arial"/>
          <w:sz w:val="22"/>
          <w:szCs w:val="22"/>
        </w:rPr>
        <w:t>calgary-cambridge</w:t>
      </w:r>
      <w:proofErr w:type="spellEnd"/>
      <w:r w:rsidRPr="00AB02A0">
        <w:rPr>
          <w:rFonts w:ascii="Arial" w:hAnsi="Arial" w:cs="Arial"/>
          <w:sz w:val="22"/>
          <w:szCs w:val="22"/>
        </w:rPr>
        <w:t xml:space="preserve"> model on interviewing skills among midwifery students: A randomized controlled trial. </w:t>
      </w:r>
      <w:r w:rsidRPr="00AB02A0">
        <w:rPr>
          <w:rFonts w:ascii="Arial" w:hAnsi="Arial" w:cs="Arial"/>
          <w:i/>
          <w:iCs/>
          <w:sz w:val="22"/>
          <w:szCs w:val="22"/>
        </w:rPr>
        <w:t>Iranian Journal of Nursing and Midwifery Research</w:t>
      </w:r>
      <w:r w:rsidRPr="00AB02A0">
        <w:rPr>
          <w:rFonts w:ascii="Arial" w:hAnsi="Arial" w:cs="Arial"/>
          <w:sz w:val="22"/>
          <w:szCs w:val="22"/>
        </w:rPr>
        <w:t xml:space="preserve">, [online] 27(1), pp.24–29. </w:t>
      </w:r>
      <w:proofErr w:type="gramStart"/>
      <w:r w:rsidRPr="00AB02A0">
        <w:rPr>
          <w:rFonts w:ascii="Arial" w:hAnsi="Arial" w:cs="Arial"/>
          <w:sz w:val="22"/>
          <w:szCs w:val="22"/>
        </w:rPr>
        <w:t>doi:10.4103/ijnmr.IJNMR</w:t>
      </w:r>
      <w:proofErr w:type="gramEnd"/>
      <w:r w:rsidRPr="00AB02A0">
        <w:rPr>
          <w:rFonts w:ascii="Arial" w:hAnsi="Arial" w:cs="Arial"/>
          <w:sz w:val="22"/>
          <w:szCs w:val="22"/>
        </w:rPr>
        <w:t>_42_20.</w:t>
      </w:r>
    </w:p>
    <w:p w14:paraId="5F1F50D0" w14:textId="77777777" w:rsidR="00D93B08" w:rsidRDefault="00D93B08">
      <w:pPr>
        <w:rPr>
          <w:rFonts w:ascii="Arial" w:hAnsi="Arial" w:cs="Arial"/>
          <w:sz w:val="22"/>
          <w:szCs w:val="22"/>
        </w:rPr>
      </w:pPr>
      <w:r w:rsidRPr="00BC7E53">
        <w:rPr>
          <w:rFonts w:ascii="Arial" w:hAnsi="Arial" w:cs="Arial"/>
          <w:sz w:val="22"/>
          <w:szCs w:val="22"/>
        </w:rPr>
        <w:t xml:space="preserve">Barnes, D., Boland, B., Linhart, K. and Wilson, K. (2017). Personalisation and Social Care Assessment – the Care Act 2014. </w:t>
      </w:r>
      <w:proofErr w:type="spellStart"/>
      <w:r w:rsidRPr="00BC7E53">
        <w:rPr>
          <w:rFonts w:ascii="Arial" w:hAnsi="Arial" w:cs="Arial"/>
          <w:i/>
          <w:iCs/>
          <w:sz w:val="22"/>
          <w:szCs w:val="22"/>
        </w:rPr>
        <w:t>BJPsych</w:t>
      </w:r>
      <w:proofErr w:type="spellEnd"/>
      <w:r w:rsidRPr="00BC7E53">
        <w:rPr>
          <w:rFonts w:ascii="Arial" w:hAnsi="Arial" w:cs="Arial"/>
          <w:i/>
          <w:iCs/>
          <w:sz w:val="22"/>
          <w:szCs w:val="22"/>
        </w:rPr>
        <w:t xml:space="preserve"> Bulletin</w:t>
      </w:r>
      <w:r w:rsidRPr="00BC7E53">
        <w:rPr>
          <w:rFonts w:ascii="Arial" w:hAnsi="Arial" w:cs="Arial"/>
          <w:sz w:val="22"/>
          <w:szCs w:val="22"/>
        </w:rPr>
        <w:t>, [online] 41(3), pp.176–180. doi:10.1192/pb.bp.116.053660.</w:t>
      </w:r>
    </w:p>
    <w:p w14:paraId="4F6C1B8C" w14:textId="77777777" w:rsidR="00D93B08" w:rsidRDefault="00D93B08">
      <w:pPr>
        <w:rPr>
          <w:rFonts w:ascii="Arial" w:hAnsi="Arial" w:cs="Arial"/>
          <w:sz w:val="22"/>
          <w:szCs w:val="22"/>
        </w:rPr>
      </w:pPr>
      <w:r w:rsidRPr="00F92A8B">
        <w:rPr>
          <w:rFonts w:ascii="Arial" w:hAnsi="Arial" w:cs="Arial"/>
          <w:sz w:val="22"/>
          <w:szCs w:val="22"/>
        </w:rPr>
        <w:t>Baughan, J., &amp; Smith, A. (2013). </w:t>
      </w:r>
      <w:r w:rsidRPr="00F92A8B">
        <w:rPr>
          <w:rFonts w:ascii="Arial" w:hAnsi="Arial" w:cs="Arial"/>
          <w:i/>
          <w:iCs/>
          <w:sz w:val="22"/>
          <w:szCs w:val="22"/>
        </w:rPr>
        <w:t xml:space="preserve">Compassion, caring, and </w:t>
      </w:r>
      <w:proofErr w:type="gramStart"/>
      <w:r w:rsidRPr="00F92A8B">
        <w:rPr>
          <w:rFonts w:ascii="Arial" w:hAnsi="Arial" w:cs="Arial"/>
          <w:i/>
          <w:iCs/>
          <w:sz w:val="22"/>
          <w:szCs w:val="22"/>
        </w:rPr>
        <w:t>communication :</w:t>
      </w:r>
      <w:proofErr w:type="gramEnd"/>
      <w:r w:rsidRPr="00F92A8B">
        <w:rPr>
          <w:rFonts w:ascii="Arial" w:hAnsi="Arial" w:cs="Arial"/>
          <w:i/>
          <w:iCs/>
          <w:sz w:val="22"/>
          <w:szCs w:val="22"/>
        </w:rPr>
        <w:t xml:space="preserve"> skills for nursing practice</w:t>
      </w:r>
      <w:r w:rsidRPr="00F92A8B">
        <w:rPr>
          <w:rFonts w:ascii="Arial" w:hAnsi="Arial" w:cs="Arial"/>
          <w:sz w:val="22"/>
          <w:szCs w:val="22"/>
        </w:rPr>
        <w:t> (2nd ed.). Pearson.</w:t>
      </w:r>
    </w:p>
    <w:p w14:paraId="0169977D" w14:textId="77777777" w:rsidR="00D93B08" w:rsidRDefault="00D93B08">
      <w:pPr>
        <w:rPr>
          <w:rFonts w:ascii="Arial" w:hAnsi="Arial" w:cs="Arial"/>
          <w:sz w:val="22"/>
          <w:szCs w:val="22"/>
        </w:rPr>
      </w:pPr>
      <w:r w:rsidRPr="009D07CA">
        <w:rPr>
          <w:rFonts w:ascii="Arial" w:hAnsi="Arial" w:cs="Arial"/>
          <w:sz w:val="22"/>
          <w:szCs w:val="22"/>
        </w:rPr>
        <w:t>Casey, A.,</w:t>
      </w:r>
      <w:r>
        <w:rPr>
          <w:rFonts w:ascii="Arial" w:hAnsi="Arial" w:cs="Arial"/>
          <w:sz w:val="22"/>
          <w:szCs w:val="22"/>
        </w:rPr>
        <w:t xml:space="preserve"> </w:t>
      </w:r>
      <w:r w:rsidRPr="009D07CA">
        <w:rPr>
          <w:rFonts w:ascii="Arial" w:hAnsi="Arial" w:cs="Arial"/>
          <w:sz w:val="22"/>
          <w:szCs w:val="22"/>
        </w:rPr>
        <w:t>Wallis, A. (2011). Effective communication: Principle of Nursing Practice E. </w:t>
      </w:r>
      <w:r w:rsidRPr="009D07CA">
        <w:rPr>
          <w:rFonts w:ascii="Arial" w:hAnsi="Arial" w:cs="Arial"/>
          <w:i/>
          <w:iCs/>
          <w:sz w:val="22"/>
          <w:szCs w:val="22"/>
        </w:rPr>
        <w:t>Nursing Standard</w:t>
      </w:r>
      <w:r w:rsidRPr="009D07CA">
        <w:rPr>
          <w:rFonts w:ascii="Arial" w:hAnsi="Arial" w:cs="Arial"/>
          <w:sz w:val="22"/>
          <w:szCs w:val="22"/>
        </w:rPr>
        <w:t>, </w:t>
      </w:r>
      <w:r w:rsidRPr="009D07CA">
        <w:rPr>
          <w:rFonts w:ascii="Arial" w:hAnsi="Arial" w:cs="Arial"/>
          <w:i/>
          <w:iCs/>
          <w:sz w:val="22"/>
          <w:szCs w:val="22"/>
        </w:rPr>
        <w:t>25</w:t>
      </w:r>
      <w:r w:rsidRPr="009D07CA">
        <w:rPr>
          <w:rFonts w:ascii="Arial" w:hAnsi="Arial" w:cs="Arial"/>
          <w:sz w:val="22"/>
          <w:szCs w:val="22"/>
        </w:rPr>
        <w:t xml:space="preserve">(32), 35–37. </w:t>
      </w:r>
      <w:hyperlink r:id="rId4" w:history="1">
        <w:r w:rsidRPr="00312B80">
          <w:rPr>
            <w:rStyle w:val="Hyperlink"/>
            <w:rFonts w:ascii="Arial" w:hAnsi="Arial" w:cs="Arial"/>
            <w:sz w:val="22"/>
            <w:szCs w:val="22"/>
          </w:rPr>
          <w:t>https://doi.org/10.7748/ns2011.04.25.32.35.c8450</w:t>
        </w:r>
      </w:hyperlink>
    </w:p>
    <w:p w14:paraId="4AE550C7" w14:textId="77777777" w:rsidR="00D93B08" w:rsidRDefault="00D93B08">
      <w:pPr>
        <w:rPr>
          <w:rFonts w:ascii="Arial" w:hAnsi="Arial" w:cs="Arial"/>
          <w:sz w:val="22"/>
          <w:szCs w:val="22"/>
        </w:rPr>
      </w:pPr>
      <w:r w:rsidRPr="00F92A8B">
        <w:rPr>
          <w:rFonts w:ascii="Arial" w:hAnsi="Arial" w:cs="Arial"/>
          <w:sz w:val="22"/>
          <w:szCs w:val="22"/>
        </w:rPr>
        <w:t>Chen, A. T. et al. (2022) The use of visual methods to support communication with older adults with cognitive impairment: A scoping review. </w:t>
      </w:r>
      <w:r w:rsidRPr="00F92A8B">
        <w:rPr>
          <w:rFonts w:ascii="Arial" w:hAnsi="Arial" w:cs="Arial"/>
          <w:i/>
          <w:iCs/>
          <w:sz w:val="22"/>
          <w:szCs w:val="22"/>
        </w:rPr>
        <w:t>Geriatric nursing (New York)</w:t>
      </w:r>
      <w:r w:rsidRPr="00F92A8B">
        <w:rPr>
          <w:rFonts w:ascii="Arial" w:hAnsi="Arial" w:cs="Arial"/>
          <w:sz w:val="22"/>
          <w:szCs w:val="22"/>
        </w:rPr>
        <w:t>. [Online] 4652–60.</w:t>
      </w:r>
    </w:p>
    <w:p w14:paraId="5A58CF3D" w14:textId="77777777" w:rsidR="00D93B08" w:rsidRDefault="00D93B08">
      <w:pPr>
        <w:rPr>
          <w:rFonts w:ascii="Arial" w:hAnsi="Arial" w:cs="Arial"/>
          <w:sz w:val="22"/>
          <w:szCs w:val="22"/>
        </w:rPr>
      </w:pPr>
      <w:r w:rsidRPr="00F92A8B">
        <w:rPr>
          <w:rFonts w:ascii="Arial" w:hAnsi="Arial" w:cs="Arial"/>
          <w:sz w:val="22"/>
          <w:szCs w:val="22"/>
        </w:rPr>
        <w:t>Collins, R., Hunt, A., Quinn, C., Martyr, A., Pentecost, C., &amp; Clare, L. (2022). Methods and approaches for enhancing communication with people with moderate-to-severe dementia that can facilitate their inclusion in research and service evaluation: Findings from the IDEAL programme. </w:t>
      </w:r>
      <w:r w:rsidRPr="00F92A8B">
        <w:rPr>
          <w:rFonts w:ascii="Arial" w:hAnsi="Arial" w:cs="Arial"/>
          <w:i/>
          <w:iCs/>
          <w:sz w:val="22"/>
          <w:szCs w:val="22"/>
        </w:rPr>
        <w:t>Dementia (London, England)</w:t>
      </w:r>
      <w:r w:rsidRPr="00F92A8B">
        <w:rPr>
          <w:rFonts w:ascii="Arial" w:hAnsi="Arial" w:cs="Arial"/>
          <w:sz w:val="22"/>
          <w:szCs w:val="22"/>
        </w:rPr>
        <w:t>, </w:t>
      </w:r>
      <w:r w:rsidRPr="00F92A8B">
        <w:rPr>
          <w:rFonts w:ascii="Arial" w:hAnsi="Arial" w:cs="Arial"/>
          <w:i/>
          <w:iCs/>
          <w:sz w:val="22"/>
          <w:szCs w:val="22"/>
        </w:rPr>
        <w:t>21</w:t>
      </w:r>
      <w:r w:rsidRPr="00F92A8B">
        <w:rPr>
          <w:rFonts w:ascii="Arial" w:hAnsi="Arial" w:cs="Arial"/>
          <w:sz w:val="22"/>
          <w:szCs w:val="22"/>
        </w:rPr>
        <w:t xml:space="preserve">(4), 1135–1153. </w:t>
      </w:r>
      <w:hyperlink r:id="rId5" w:history="1">
        <w:r w:rsidRPr="00312B80">
          <w:rPr>
            <w:rStyle w:val="Hyperlink"/>
            <w:rFonts w:ascii="Arial" w:hAnsi="Arial" w:cs="Arial"/>
            <w:sz w:val="22"/>
            <w:szCs w:val="22"/>
          </w:rPr>
          <w:t>https://doi.org/10.1177/14713012211069449</w:t>
        </w:r>
      </w:hyperlink>
    </w:p>
    <w:p w14:paraId="1C134083" w14:textId="77777777" w:rsidR="00D93B08" w:rsidRDefault="00D93B08">
      <w:pPr>
        <w:rPr>
          <w:rFonts w:ascii="Arial" w:hAnsi="Arial" w:cs="Arial"/>
          <w:sz w:val="22"/>
          <w:szCs w:val="22"/>
        </w:rPr>
      </w:pPr>
      <w:r w:rsidRPr="006C50DA">
        <w:rPr>
          <w:rFonts w:ascii="Arial" w:hAnsi="Arial" w:cs="Arial"/>
          <w:sz w:val="22"/>
          <w:szCs w:val="22"/>
        </w:rPr>
        <w:t xml:space="preserve">Dawe, J., Cronshaw, H. and Frerk, C. (2024). Learning from the multidisciplinary team: advancing patient care through collaboration. </w:t>
      </w:r>
      <w:r w:rsidRPr="006C50DA">
        <w:rPr>
          <w:rFonts w:ascii="Arial" w:hAnsi="Arial" w:cs="Arial"/>
          <w:i/>
          <w:iCs/>
          <w:sz w:val="22"/>
          <w:szCs w:val="22"/>
        </w:rPr>
        <w:t>British journal of hospital medicine</w:t>
      </w:r>
      <w:r w:rsidRPr="006C50DA">
        <w:rPr>
          <w:rFonts w:ascii="Arial" w:hAnsi="Arial" w:cs="Arial"/>
          <w:sz w:val="22"/>
          <w:szCs w:val="22"/>
        </w:rPr>
        <w:t>, [online] 85(5), pp.1–4. doi:10.12968/hmed.2023.0387.</w:t>
      </w:r>
    </w:p>
    <w:p w14:paraId="299EA3E7" w14:textId="77777777" w:rsidR="00D93B08" w:rsidRDefault="00D93B08">
      <w:pPr>
        <w:rPr>
          <w:rFonts w:ascii="Arial" w:hAnsi="Arial" w:cs="Arial"/>
          <w:sz w:val="22"/>
          <w:szCs w:val="22"/>
        </w:rPr>
      </w:pPr>
      <w:r w:rsidRPr="00BC7E53">
        <w:rPr>
          <w:rFonts w:ascii="Arial" w:hAnsi="Arial" w:cs="Arial"/>
          <w:sz w:val="22"/>
          <w:szCs w:val="22"/>
        </w:rPr>
        <w:t>Demsash, A.W., Kassie, S.Y</w:t>
      </w:r>
      <w:r>
        <w:rPr>
          <w:rFonts w:ascii="Arial" w:hAnsi="Arial" w:cs="Arial"/>
          <w:sz w:val="22"/>
          <w:szCs w:val="22"/>
        </w:rPr>
        <w:t xml:space="preserve"> et al </w:t>
      </w:r>
      <w:r w:rsidRPr="00BC7E53">
        <w:rPr>
          <w:rFonts w:ascii="Arial" w:hAnsi="Arial" w:cs="Arial"/>
          <w:sz w:val="22"/>
          <w:szCs w:val="22"/>
        </w:rPr>
        <w:t xml:space="preserve">(2023). Health professionals’ routine practice documentation and its associated factors in a resource-limited setting: a cross-sectional study. </w:t>
      </w:r>
      <w:r w:rsidRPr="00BC7E53">
        <w:rPr>
          <w:rFonts w:ascii="Arial" w:hAnsi="Arial" w:cs="Arial"/>
          <w:i/>
          <w:iCs/>
          <w:sz w:val="22"/>
          <w:szCs w:val="22"/>
        </w:rPr>
        <w:t>BMJ Health &amp; Care Informatics</w:t>
      </w:r>
      <w:r w:rsidRPr="00BC7E53">
        <w:rPr>
          <w:rFonts w:ascii="Arial" w:hAnsi="Arial" w:cs="Arial"/>
          <w:sz w:val="22"/>
          <w:szCs w:val="22"/>
        </w:rPr>
        <w:t>, [online] 30(1), pp.1–7. doi:10.1136/bmjhci-2022-100699.</w:t>
      </w:r>
    </w:p>
    <w:p w14:paraId="4602A53E" w14:textId="77777777" w:rsidR="00D93B08" w:rsidRDefault="00D93B08">
      <w:pPr>
        <w:rPr>
          <w:rFonts w:ascii="Arial" w:hAnsi="Arial" w:cs="Arial"/>
          <w:sz w:val="22"/>
          <w:szCs w:val="22"/>
        </w:rPr>
      </w:pPr>
      <w:r w:rsidRPr="00BC7E53">
        <w:rPr>
          <w:rFonts w:ascii="Arial" w:hAnsi="Arial" w:cs="Arial"/>
          <w:sz w:val="22"/>
          <w:szCs w:val="22"/>
        </w:rPr>
        <w:t xml:space="preserve">Francis, B. (2020). General Data Protection Regulation (GDPR) and Data Protection Act 2018: What does this mean for clinicians? </w:t>
      </w:r>
      <w:r w:rsidRPr="00BC7E53">
        <w:rPr>
          <w:rFonts w:ascii="Arial" w:hAnsi="Arial" w:cs="Arial"/>
          <w:i/>
          <w:iCs/>
          <w:sz w:val="22"/>
          <w:szCs w:val="22"/>
        </w:rPr>
        <w:t>Archives of Disease in Childhood - Education and Practice</w:t>
      </w:r>
      <w:r w:rsidRPr="00BC7E53">
        <w:rPr>
          <w:rFonts w:ascii="Arial" w:hAnsi="Arial" w:cs="Arial"/>
          <w:sz w:val="22"/>
          <w:szCs w:val="22"/>
        </w:rPr>
        <w:t>, [online] 105(5). doi:10.1136/archdischild-2018-316057.</w:t>
      </w:r>
    </w:p>
    <w:p w14:paraId="6E8A0A92" w14:textId="77777777" w:rsidR="00D93B08" w:rsidRPr="00AB02A0" w:rsidRDefault="00D93B08" w:rsidP="00AB02A0">
      <w:pPr>
        <w:rPr>
          <w:rFonts w:ascii="Arial" w:hAnsi="Arial" w:cs="Arial"/>
          <w:sz w:val="22"/>
          <w:szCs w:val="22"/>
        </w:rPr>
      </w:pPr>
      <w:r w:rsidRPr="00AB02A0">
        <w:rPr>
          <w:rFonts w:ascii="Arial" w:hAnsi="Arial" w:cs="Arial"/>
          <w:sz w:val="22"/>
          <w:szCs w:val="22"/>
        </w:rPr>
        <w:lastRenderedPageBreak/>
        <w:t>Grover, S., Fitzpatrick, A.</w:t>
      </w:r>
      <w:r>
        <w:rPr>
          <w:rFonts w:ascii="Arial" w:hAnsi="Arial" w:cs="Arial"/>
          <w:sz w:val="22"/>
          <w:szCs w:val="22"/>
        </w:rPr>
        <w:t xml:space="preserve"> et al </w:t>
      </w:r>
      <w:r w:rsidRPr="00AB02A0">
        <w:rPr>
          <w:rFonts w:ascii="Arial" w:hAnsi="Arial" w:cs="Arial"/>
          <w:sz w:val="22"/>
          <w:szCs w:val="22"/>
        </w:rPr>
        <w:t>(2022). Defining and implementing patient-</w:t>
      </w:r>
      <w:proofErr w:type="spellStart"/>
      <w:r w:rsidRPr="00AB02A0">
        <w:rPr>
          <w:rFonts w:ascii="Arial" w:hAnsi="Arial" w:cs="Arial"/>
          <w:sz w:val="22"/>
          <w:szCs w:val="22"/>
        </w:rPr>
        <w:t>centered</w:t>
      </w:r>
      <w:proofErr w:type="spellEnd"/>
      <w:r w:rsidRPr="00AB02A0">
        <w:rPr>
          <w:rFonts w:ascii="Arial" w:hAnsi="Arial" w:cs="Arial"/>
          <w:sz w:val="22"/>
          <w:szCs w:val="22"/>
        </w:rPr>
        <w:t xml:space="preserve"> care: An umbrella review. </w:t>
      </w:r>
      <w:r w:rsidRPr="00AB02A0">
        <w:rPr>
          <w:rFonts w:ascii="Arial" w:hAnsi="Arial" w:cs="Arial"/>
          <w:i/>
          <w:iCs/>
          <w:sz w:val="22"/>
          <w:szCs w:val="22"/>
        </w:rPr>
        <w:t xml:space="preserve">Patient Education and </w:t>
      </w:r>
      <w:proofErr w:type="spellStart"/>
      <w:r w:rsidRPr="00AB02A0">
        <w:rPr>
          <w:rFonts w:ascii="Arial" w:hAnsi="Arial" w:cs="Arial"/>
          <w:i/>
          <w:iCs/>
          <w:sz w:val="22"/>
          <w:szCs w:val="22"/>
        </w:rPr>
        <w:t>Counseling</w:t>
      </w:r>
      <w:proofErr w:type="spellEnd"/>
      <w:r w:rsidRPr="00AB02A0">
        <w:rPr>
          <w:rFonts w:ascii="Arial" w:hAnsi="Arial" w:cs="Arial"/>
          <w:sz w:val="22"/>
          <w:szCs w:val="22"/>
        </w:rPr>
        <w:t xml:space="preserve">, [online] 105(7), pp.1679–1688. </w:t>
      </w:r>
      <w:proofErr w:type="gramStart"/>
      <w:r w:rsidRPr="00AB02A0">
        <w:rPr>
          <w:rFonts w:ascii="Arial" w:hAnsi="Arial" w:cs="Arial"/>
          <w:sz w:val="22"/>
          <w:szCs w:val="22"/>
        </w:rPr>
        <w:t>doi:10.1016/j.pec</w:t>
      </w:r>
      <w:proofErr w:type="gramEnd"/>
      <w:r w:rsidRPr="00AB02A0">
        <w:rPr>
          <w:rFonts w:ascii="Arial" w:hAnsi="Arial" w:cs="Arial"/>
          <w:sz w:val="22"/>
          <w:szCs w:val="22"/>
        </w:rPr>
        <w:t>.2021.11.004.</w:t>
      </w:r>
    </w:p>
    <w:p w14:paraId="40C47515" w14:textId="77777777" w:rsidR="00D93B08" w:rsidRDefault="00D93B08">
      <w:pPr>
        <w:rPr>
          <w:rFonts w:ascii="Arial" w:hAnsi="Arial" w:cs="Arial"/>
          <w:sz w:val="22"/>
          <w:szCs w:val="22"/>
        </w:rPr>
      </w:pPr>
      <w:proofErr w:type="spellStart"/>
      <w:r w:rsidRPr="001D654B">
        <w:rPr>
          <w:rFonts w:ascii="Arial" w:hAnsi="Arial" w:cs="Arial"/>
          <w:sz w:val="22"/>
          <w:szCs w:val="22"/>
        </w:rPr>
        <w:t>Hamerton</w:t>
      </w:r>
      <w:proofErr w:type="spellEnd"/>
      <w:r w:rsidRPr="001D654B">
        <w:rPr>
          <w:rFonts w:ascii="Arial" w:hAnsi="Arial" w:cs="Arial"/>
          <w:sz w:val="22"/>
          <w:szCs w:val="22"/>
        </w:rPr>
        <w:t>, C. (2025) The Equality Act 2010: evaluating the evolution and development of organisational strategy and professional practice. </w:t>
      </w:r>
      <w:r w:rsidRPr="001D654B">
        <w:rPr>
          <w:rFonts w:ascii="Arial" w:hAnsi="Arial" w:cs="Arial"/>
          <w:i/>
          <w:iCs/>
          <w:sz w:val="22"/>
          <w:szCs w:val="22"/>
        </w:rPr>
        <w:t>Strategic HR review</w:t>
      </w:r>
      <w:r w:rsidRPr="001D654B">
        <w:rPr>
          <w:rFonts w:ascii="Arial" w:hAnsi="Arial" w:cs="Arial"/>
          <w:sz w:val="22"/>
          <w:szCs w:val="22"/>
        </w:rPr>
        <w:t>. [Online] 24 (1), 30–35.</w:t>
      </w:r>
    </w:p>
    <w:p w14:paraId="4BCC6BCA" w14:textId="77777777" w:rsidR="00D93B08" w:rsidRPr="00AB02A0" w:rsidRDefault="00D93B08" w:rsidP="00AB02A0">
      <w:pPr>
        <w:rPr>
          <w:rFonts w:ascii="Arial" w:hAnsi="Arial" w:cs="Arial"/>
          <w:sz w:val="22"/>
          <w:szCs w:val="22"/>
        </w:rPr>
      </w:pPr>
      <w:r w:rsidRPr="00AB02A0">
        <w:rPr>
          <w:rFonts w:ascii="Arial" w:hAnsi="Arial" w:cs="Arial"/>
          <w:sz w:val="22"/>
          <w:szCs w:val="22"/>
        </w:rPr>
        <w:t xml:space="preserve">Hastings, C. (2024). Is the Calgary-Cambridge Model of consultation a suitable communication tool for students and newly qualified paramedics? A qualitative study. </w:t>
      </w:r>
      <w:r w:rsidRPr="00AB02A0">
        <w:rPr>
          <w:rFonts w:ascii="Arial" w:hAnsi="Arial" w:cs="Arial"/>
          <w:i/>
          <w:iCs/>
          <w:sz w:val="22"/>
          <w:szCs w:val="22"/>
        </w:rPr>
        <w:t>British paramedic journal</w:t>
      </w:r>
      <w:r w:rsidRPr="00AB02A0">
        <w:rPr>
          <w:rFonts w:ascii="Arial" w:hAnsi="Arial" w:cs="Arial"/>
          <w:sz w:val="22"/>
          <w:szCs w:val="22"/>
        </w:rPr>
        <w:t>, [online] 9(1), pp.23–33. doi:10.29045/14784726.2024.6.9.1.23.</w:t>
      </w:r>
    </w:p>
    <w:p w14:paraId="7C4FF0F5" w14:textId="77777777" w:rsidR="00D93B08" w:rsidRDefault="00D93B08">
      <w:pPr>
        <w:rPr>
          <w:rFonts w:ascii="Arial" w:hAnsi="Arial" w:cs="Arial"/>
          <w:sz w:val="22"/>
          <w:szCs w:val="22"/>
        </w:rPr>
      </w:pPr>
      <w:r w:rsidRPr="006C50DA">
        <w:rPr>
          <w:rFonts w:ascii="Arial" w:hAnsi="Arial" w:cs="Arial"/>
          <w:sz w:val="22"/>
          <w:szCs w:val="22"/>
        </w:rPr>
        <w:t xml:space="preserve">Howick, J., Weston, A.B., Solomon, J., Nockels, K., Bostock, J. and </w:t>
      </w:r>
      <w:proofErr w:type="spellStart"/>
      <w:r w:rsidRPr="006C50DA">
        <w:rPr>
          <w:rFonts w:ascii="Arial" w:hAnsi="Arial" w:cs="Arial"/>
          <w:sz w:val="22"/>
          <w:szCs w:val="22"/>
        </w:rPr>
        <w:t>Keshtkar</w:t>
      </w:r>
      <w:proofErr w:type="spellEnd"/>
      <w:r w:rsidRPr="006C50DA">
        <w:rPr>
          <w:rFonts w:ascii="Arial" w:hAnsi="Arial" w:cs="Arial"/>
          <w:sz w:val="22"/>
          <w:szCs w:val="22"/>
        </w:rPr>
        <w:t xml:space="preserve">, L. (2024). How does communication affect patient safety? Protocol for a systematic review and logic model. </w:t>
      </w:r>
      <w:r w:rsidRPr="006C50DA">
        <w:rPr>
          <w:rFonts w:ascii="Arial" w:hAnsi="Arial" w:cs="Arial"/>
          <w:i/>
          <w:iCs/>
          <w:sz w:val="22"/>
          <w:szCs w:val="22"/>
        </w:rPr>
        <w:t>BMJ Open</w:t>
      </w:r>
      <w:r w:rsidRPr="006C50DA">
        <w:rPr>
          <w:rFonts w:ascii="Arial" w:hAnsi="Arial" w:cs="Arial"/>
          <w:sz w:val="22"/>
          <w:szCs w:val="22"/>
        </w:rPr>
        <w:t xml:space="preserve">, [online] 14(5), pp.1–8. </w:t>
      </w:r>
      <w:proofErr w:type="spellStart"/>
      <w:proofErr w:type="gramStart"/>
      <w:r w:rsidRPr="006C50DA">
        <w:rPr>
          <w:rFonts w:ascii="Arial" w:hAnsi="Arial" w:cs="Arial"/>
          <w:sz w:val="22"/>
          <w:szCs w:val="22"/>
        </w:rPr>
        <w:t>doi:https</w:t>
      </w:r>
      <w:proofErr w:type="spellEnd"/>
      <w:r w:rsidRPr="006C50DA">
        <w:rPr>
          <w:rFonts w:ascii="Arial" w:hAnsi="Arial" w:cs="Arial"/>
          <w:sz w:val="22"/>
          <w:szCs w:val="22"/>
        </w:rPr>
        <w:t>://doi.org/10.1136/bmjopen-2024-085312</w:t>
      </w:r>
      <w:proofErr w:type="gramEnd"/>
      <w:r w:rsidRPr="006C50DA">
        <w:rPr>
          <w:rFonts w:ascii="Arial" w:hAnsi="Arial" w:cs="Arial"/>
          <w:sz w:val="22"/>
          <w:szCs w:val="22"/>
        </w:rPr>
        <w:t>.</w:t>
      </w:r>
    </w:p>
    <w:p w14:paraId="21DBD946" w14:textId="77777777" w:rsidR="00D93B08" w:rsidRDefault="00D93B08">
      <w:pPr>
        <w:rPr>
          <w:rFonts w:ascii="Arial" w:hAnsi="Arial" w:cs="Arial"/>
          <w:sz w:val="22"/>
          <w:szCs w:val="22"/>
        </w:rPr>
      </w:pPr>
      <w:r w:rsidRPr="001D654B">
        <w:rPr>
          <w:rFonts w:ascii="Arial" w:hAnsi="Arial" w:cs="Arial"/>
          <w:sz w:val="22"/>
          <w:szCs w:val="22"/>
        </w:rPr>
        <w:t>Kelley, R. et al. (2019) The impacts of family involvement on general hospital care experiences for people living with dementia: An ethnographic study. </w:t>
      </w:r>
      <w:r w:rsidRPr="001D654B">
        <w:rPr>
          <w:rFonts w:ascii="Arial" w:hAnsi="Arial" w:cs="Arial"/>
          <w:i/>
          <w:iCs/>
          <w:sz w:val="22"/>
          <w:szCs w:val="22"/>
        </w:rPr>
        <w:t>International journal of nursing studies</w:t>
      </w:r>
      <w:r w:rsidRPr="001D654B">
        <w:rPr>
          <w:rFonts w:ascii="Arial" w:hAnsi="Arial" w:cs="Arial"/>
          <w:sz w:val="22"/>
          <w:szCs w:val="22"/>
        </w:rPr>
        <w:t>. [Online] 9672–81.</w:t>
      </w:r>
    </w:p>
    <w:p w14:paraId="0A2B060F" w14:textId="77777777" w:rsidR="00D93B08" w:rsidRDefault="00D93B08">
      <w:pPr>
        <w:rPr>
          <w:rFonts w:ascii="Arial" w:hAnsi="Arial" w:cs="Arial"/>
          <w:sz w:val="22"/>
          <w:szCs w:val="22"/>
        </w:rPr>
      </w:pPr>
      <w:r w:rsidRPr="00BC7E53">
        <w:rPr>
          <w:rFonts w:ascii="Arial" w:hAnsi="Arial" w:cs="Arial"/>
          <w:sz w:val="22"/>
          <w:szCs w:val="22"/>
        </w:rPr>
        <w:t xml:space="preserve">Koh, J. and Ahmed, M. (2021). Improving clinical documentation: introduction of electronic health records in paediatrics. </w:t>
      </w:r>
      <w:r w:rsidRPr="00BC7E53">
        <w:rPr>
          <w:rFonts w:ascii="Arial" w:hAnsi="Arial" w:cs="Arial"/>
          <w:i/>
          <w:iCs/>
          <w:sz w:val="22"/>
          <w:szCs w:val="22"/>
        </w:rPr>
        <w:t>BMJ Open Quality</w:t>
      </w:r>
      <w:r w:rsidRPr="00BC7E53">
        <w:rPr>
          <w:rFonts w:ascii="Arial" w:hAnsi="Arial" w:cs="Arial"/>
          <w:sz w:val="22"/>
          <w:szCs w:val="22"/>
        </w:rPr>
        <w:t>, [online] 10(1), p.e000918. doi:10.1136/bmjoq-2020-000918.</w:t>
      </w:r>
    </w:p>
    <w:p w14:paraId="2F9426B2" w14:textId="77777777" w:rsidR="00D93B08" w:rsidRDefault="00D93B08">
      <w:pPr>
        <w:rPr>
          <w:rFonts w:ascii="Arial" w:hAnsi="Arial" w:cs="Arial"/>
          <w:sz w:val="22"/>
          <w:szCs w:val="22"/>
        </w:rPr>
      </w:pPr>
      <w:r w:rsidRPr="00BC7E53">
        <w:rPr>
          <w:rFonts w:ascii="Arial" w:hAnsi="Arial" w:cs="Arial"/>
          <w:sz w:val="22"/>
          <w:szCs w:val="22"/>
        </w:rPr>
        <w:t xml:space="preserve">Mabunda, N., Masondo, I. and Mokoena-de Beer, A. (2025). Nurses’ understanding of quality documentation: A qualitative study in a Mental Health Institution. </w:t>
      </w:r>
      <w:proofErr w:type="spellStart"/>
      <w:r w:rsidRPr="00BC7E53">
        <w:rPr>
          <w:rFonts w:ascii="Arial" w:hAnsi="Arial" w:cs="Arial"/>
          <w:i/>
          <w:iCs/>
          <w:sz w:val="22"/>
          <w:szCs w:val="22"/>
        </w:rPr>
        <w:t>Curationis</w:t>
      </w:r>
      <w:proofErr w:type="spellEnd"/>
      <w:r w:rsidRPr="00BC7E53">
        <w:rPr>
          <w:rFonts w:ascii="Arial" w:hAnsi="Arial" w:cs="Arial"/>
          <w:sz w:val="22"/>
          <w:szCs w:val="22"/>
        </w:rPr>
        <w:t>. [online] doi:10.4102/</w:t>
      </w:r>
      <w:proofErr w:type="gramStart"/>
      <w:r w:rsidRPr="00BC7E53">
        <w:rPr>
          <w:rFonts w:ascii="Arial" w:hAnsi="Arial" w:cs="Arial"/>
          <w:sz w:val="22"/>
          <w:szCs w:val="22"/>
        </w:rPr>
        <w:t>curationis.v</w:t>
      </w:r>
      <w:proofErr w:type="gramEnd"/>
      <w:r w:rsidRPr="00BC7E53">
        <w:rPr>
          <w:rFonts w:ascii="Arial" w:hAnsi="Arial" w:cs="Arial"/>
          <w:sz w:val="22"/>
          <w:szCs w:val="22"/>
        </w:rPr>
        <w:t>48i1.2737.</w:t>
      </w:r>
    </w:p>
    <w:p w14:paraId="619D4BCF" w14:textId="77777777" w:rsidR="00D93B08" w:rsidRDefault="00D93B08">
      <w:pPr>
        <w:rPr>
          <w:rFonts w:ascii="Arial" w:hAnsi="Arial" w:cs="Arial"/>
          <w:sz w:val="22"/>
          <w:szCs w:val="22"/>
        </w:rPr>
      </w:pPr>
      <w:r w:rsidRPr="00D93B08">
        <w:rPr>
          <w:rFonts w:ascii="Arial" w:hAnsi="Arial" w:cs="Arial"/>
          <w:sz w:val="22"/>
          <w:szCs w:val="22"/>
        </w:rPr>
        <w:t xml:space="preserve">Mahajan, U., </w:t>
      </w:r>
      <w:proofErr w:type="spellStart"/>
      <w:r w:rsidRPr="00D93B08">
        <w:rPr>
          <w:rFonts w:ascii="Arial" w:hAnsi="Arial" w:cs="Arial"/>
          <w:sz w:val="22"/>
          <w:szCs w:val="22"/>
        </w:rPr>
        <w:t>Parpia</w:t>
      </w:r>
      <w:proofErr w:type="spellEnd"/>
      <w:r w:rsidRPr="00D93B08">
        <w:rPr>
          <w:rFonts w:ascii="Arial" w:hAnsi="Arial" w:cs="Arial"/>
          <w:sz w:val="22"/>
          <w:szCs w:val="22"/>
        </w:rPr>
        <w:t xml:space="preserve">, S.S.A., Akhtar, M., Gupta, R. and Gupta, V. (2025). Understanding Engagement </w:t>
      </w:r>
      <w:proofErr w:type="gramStart"/>
      <w:r w:rsidRPr="00D93B08">
        <w:rPr>
          <w:rFonts w:ascii="Arial" w:hAnsi="Arial" w:cs="Arial"/>
          <w:sz w:val="22"/>
          <w:szCs w:val="22"/>
        </w:rPr>
        <w:t>With</w:t>
      </w:r>
      <w:proofErr w:type="gramEnd"/>
      <w:r w:rsidRPr="00D93B08">
        <w:rPr>
          <w:rFonts w:ascii="Arial" w:hAnsi="Arial" w:cs="Arial"/>
          <w:sz w:val="22"/>
          <w:szCs w:val="22"/>
        </w:rPr>
        <w:t xml:space="preserve"> Incident Reporting Systems Among NHS Healthcare Professionals: A Cross-Sectional Study. </w:t>
      </w:r>
      <w:r w:rsidRPr="00D93B08">
        <w:rPr>
          <w:rFonts w:ascii="Arial" w:hAnsi="Arial" w:cs="Arial"/>
          <w:i/>
          <w:iCs/>
          <w:sz w:val="22"/>
          <w:szCs w:val="22"/>
        </w:rPr>
        <w:t>Cureus</w:t>
      </w:r>
      <w:r w:rsidRPr="00D93B08">
        <w:rPr>
          <w:rFonts w:ascii="Arial" w:hAnsi="Arial" w:cs="Arial"/>
          <w:sz w:val="22"/>
          <w:szCs w:val="22"/>
        </w:rPr>
        <w:t>. doi:10.7759/cureus.97060.</w:t>
      </w:r>
    </w:p>
    <w:p w14:paraId="6A723989" w14:textId="77777777" w:rsidR="00D93B08" w:rsidRDefault="00D93B08">
      <w:pPr>
        <w:rPr>
          <w:rFonts w:ascii="Arial" w:hAnsi="Arial" w:cs="Arial"/>
          <w:sz w:val="22"/>
          <w:szCs w:val="22"/>
        </w:rPr>
      </w:pPr>
      <w:r w:rsidRPr="00F92A8B">
        <w:rPr>
          <w:rFonts w:ascii="Arial" w:hAnsi="Arial" w:cs="Arial"/>
          <w:sz w:val="22"/>
          <w:szCs w:val="22"/>
        </w:rPr>
        <w:t>Mahmoodi, H. (2025) Empowering patients through effective communication: The teach-back method as a tool for health literacy. </w:t>
      </w:r>
      <w:r w:rsidRPr="00F92A8B">
        <w:rPr>
          <w:rFonts w:ascii="Arial" w:hAnsi="Arial" w:cs="Arial"/>
          <w:i/>
          <w:iCs/>
          <w:sz w:val="22"/>
          <w:szCs w:val="22"/>
        </w:rPr>
        <w:t>Health promotion perspectives</w:t>
      </w:r>
      <w:r w:rsidRPr="00F92A8B">
        <w:rPr>
          <w:rFonts w:ascii="Arial" w:hAnsi="Arial" w:cs="Arial"/>
          <w:sz w:val="22"/>
          <w:szCs w:val="22"/>
        </w:rPr>
        <w:t>. [Online] 15 (3), 211–212.</w:t>
      </w:r>
    </w:p>
    <w:p w14:paraId="3B1627D8" w14:textId="77777777" w:rsidR="00D93B08" w:rsidRDefault="00D93B08">
      <w:pPr>
        <w:rPr>
          <w:rFonts w:ascii="Arial" w:hAnsi="Arial" w:cs="Arial"/>
          <w:sz w:val="22"/>
          <w:szCs w:val="22"/>
        </w:rPr>
      </w:pPr>
      <w:r w:rsidRPr="006C50DA">
        <w:rPr>
          <w:rFonts w:ascii="Arial" w:hAnsi="Arial" w:cs="Arial"/>
          <w:sz w:val="22"/>
          <w:szCs w:val="22"/>
        </w:rPr>
        <w:t>Maidment, I. D, Lawson, S., Wong</w:t>
      </w:r>
      <w:r>
        <w:rPr>
          <w:rFonts w:ascii="Arial" w:hAnsi="Arial" w:cs="Arial"/>
          <w:sz w:val="22"/>
          <w:szCs w:val="22"/>
        </w:rPr>
        <w:t xml:space="preserve"> et al </w:t>
      </w:r>
      <w:r w:rsidRPr="006C50DA">
        <w:rPr>
          <w:rFonts w:ascii="Arial" w:hAnsi="Arial" w:cs="Arial"/>
          <w:sz w:val="22"/>
          <w:szCs w:val="22"/>
        </w:rPr>
        <w:t>(2020). Medication management in older people: the MEMORABLE realist synthesis. </w:t>
      </w:r>
      <w:r w:rsidRPr="006C50DA">
        <w:rPr>
          <w:rFonts w:ascii="Arial" w:hAnsi="Arial" w:cs="Arial"/>
          <w:i/>
          <w:iCs/>
          <w:sz w:val="22"/>
          <w:szCs w:val="22"/>
        </w:rPr>
        <w:t>Health Services and Delivery Research</w:t>
      </w:r>
      <w:r w:rsidRPr="006C50DA">
        <w:rPr>
          <w:rFonts w:ascii="Arial" w:hAnsi="Arial" w:cs="Arial"/>
          <w:sz w:val="22"/>
          <w:szCs w:val="22"/>
        </w:rPr>
        <w:t>, 8(26), pp.1–128. doi:10.3310/hsdr08260.</w:t>
      </w:r>
    </w:p>
    <w:p w14:paraId="5C035299" w14:textId="77777777" w:rsidR="00D93B08" w:rsidRDefault="00D93B08">
      <w:pPr>
        <w:rPr>
          <w:rFonts w:ascii="Arial" w:hAnsi="Arial" w:cs="Arial"/>
          <w:sz w:val="22"/>
          <w:szCs w:val="22"/>
        </w:rPr>
      </w:pPr>
      <w:r w:rsidRPr="006C50DA">
        <w:rPr>
          <w:rFonts w:ascii="Arial" w:hAnsi="Arial" w:cs="Arial"/>
          <w:sz w:val="22"/>
          <w:szCs w:val="22"/>
        </w:rPr>
        <w:t>Müller, M., Jürgens, J</w:t>
      </w:r>
      <w:r>
        <w:rPr>
          <w:rFonts w:ascii="Arial" w:hAnsi="Arial" w:cs="Arial"/>
          <w:sz w:val="22"/>
          <w:szCs w:val="22"/>
        </w:rPr>
        <w:t xml:space="preserve"> et al</w:t>
      </w:r>
      <w:r w:rsidRPr="006C50DA">
        <w:rPr>
          <w:rFonts w:ascii="Arial" w:hAnsi="Arial" w:cs="Arial"/>
          <w:sz w:val="22"/>
          <w:szCs w:val="22"/>
        </w:rPr>
        <w:t xml:space="preserve">. (2018). Impact of the Communication and Patient hand-off Tool SBAR on Patient safety: a Systematic Review. </w:t>
      </w:r>
      <w:r w:rsidRPr="006C50DA">
        <w:rPr>
          <w:rFonts w:ascii="Arial" w:hAnsi="Arial" w:cs="Arial"/>
          <w:i/>
          <w:iCs/>
          <w:sz w:val="22"/>
          <w:szCs w:val="22"/>
        </w:rPr>
        <w:t>BMJ Open</w:t>
      </w:r>
      <w:r w:rsidRPr="006C50DA">
        <w:rPr>
          <w:rFonts w:ascii="Arial" w:hAnsi="Arial" w:cs="Arial"/>
          <w:sz w:val="22"/>
          <w:szCs w:val="22"/>
        </w:rPr>
        <w:t xml:space="preserve">, 8(8), pp.1–10. </w:t>
      </w:r>
      <w:proofErr w:type="spellStart"/>
      <w:proofErr w:type="gramStart"/>
      <w:r w:rsidRPr="006C50DA">
        <w:rPr>
          <w:rFonts w:ascii="Arial" w:hAnsi="Arial" w:cs="Arial"/>
          <w:sz w:val="22"/>
          <w:szCs w:val="22"/>
        </w:rPr>
        <w:t>doi:https</w:t>
      </w:r>
      <w:proofErr w:type="spellEnd"/>
      <w:r w:rsidRPr="006C50DA">
        <w:rPr>
          <w:rFonts w:ascii="Arial" w:hAnsi="Arial" w:cs="Arial"/>
          <w:sz w:val="22"/>
          <w:szCs w:val="22"/>
        </w:rPr>
        <w:t>://doi.org/10.1136/bmjopen-2018-022202</w:t>
      </w:r>
      <w:proofErr w:type="gramEnd"/>
      <w:r w:rsidRPr="006C50DA">
        <w:rPr>
          <w:rFonts w:ascii="Arial" w:hAnsi="Arial" w:cs="Arial"/>
          <w:sz w:val="22"/>
          <w:szCs w:val="22"/>
        </w:rPr>
        <w:t>.</w:t>
      </w:r>
    </w:p>
    <w:p w14:paraId="06849C37" w14:textId="77777777" w:rsidR="00D93B08" w:rsidRDefault="00D93B08">
      <w:pPr>
        <w:rPr>
          <w:rFonts w:ascii="Arial" w:hAnsi="Arial" w:cs="Arial"/>
          <w:sz w:val="22"/>
          <w:szCs w:val="22"/>
        </w:rPr>
      </w:pPr>
      <w:r w:rsidRPr="00D93B08">
        <w:rPr>
          <w:rFonts w:ascii="Arial" w:hAnsi="Arial" w:cs="Arial"/>
          <w:sz w:val="22"/>
          <w:szCs w:val="22"/>
        </w:rPr>
        <w:t xml:space="preserve">Nursing and Midwifery Council (2023). </w:t>
      </w:r>
      <w:r w:rsidRPr="00D93B08">
        <w:rPr>
          <w:rFonts w:ascii="Arial" w:hAnsi="Arial" w:cs="Arial"/>
          <w:i/>
          <w:iCs/>
          <w:sz w:val="22"/>
          <w:szCs w:val="22"/>
        </w:rPr>
        <w:t>Standards</w:t>
      </w:r>
      <w:r w:rsidRPr="00D93B08">
        <w:rPr>
          <w:rFonts w:ascii="Arial" w:hAnsi="Arial" w:cs="Arial"/>
          <w:sz w:val="22"/>
          <w:szCs w:val="22"/>
        </w:rPr>
        <w:t xml:space="preserve">. [online] </w:t>
      </w:r>
      <w:r w:rsidRPr="00D93B08">
        <w:rPr>
          <w:rFonts w:ascii="Arial" w:hAnsi="Arial" w:cs="Arial"/>
          <w:i/>
          <w:iCs/>
          <w:sz w:val="22"/>
          <w:szCs w:val="22"/>
        </w:rPr>
        <w:t>Nmc.org.uk</w:t>
      </w:r>
      <w:r w:rsidRPr="00D93B08">
        <w:rPr>
          <w:rFonts w:ascii="Arial" w:hAnsi="Arial" w:cs="Arial"/>
          <w:sz w:val="22"/>
          <w:szCs w:val="22"/>
        </w:rPr>
        <w:t>. Available at: https://www.nmc.org.uk/standards/ [Accessed 22 July 2026].</w:t>
      </w:r>
    </w:p>
    <w:p w14:paraId="28699B49" w14:textId="77777777" w:rsidR="00D93B08" w:rsidRDefault="00D93B08">
      <w:pPr>
        <w:rPr>
          <w:rFonts w:ascii="Arial" w:hAnsi="Arial" w:cs="Arial"/>
          <w:sz w:val="22"/>
          <w:szCs w:val="22"/>
        </w:rPr>
      </w:pPr>
      <w:r w:rsidRPr="006C50DA">
        <w:rPr>
          <w:rFonts w:ascii="Arial" w:hAnsi="Arial" w:cs="Arial"/>
          <w:sz w:val="22"/>
          <w:szCs w:val="22"/>
        </w:rPr>
        <w:t xml:space="preserve">Porterfield, A., Engelbert, K. and </w:t>
      </w:r>
      <w:proofErr w:type="spellStart"/>
      <w:r w:rsidRPr="006C50DA">
        <w:rPr>
          <w:rFonts w:ascii="Arial" w:hAnsi="Arial" w:cs="Arial"/>
          <w:sz w:val="22"/>
          <w:szCs w:val="22"/>
        </w:rPr>
        <w:t>Coustasse</w:t>
      </w:r>
      <w:proofErr w:type="spellEnd"/>
      <w:r w:rsidRPr="006C50DA">
        <w:rPr>
          <w:rFonts w:ascii="Arial" w:hAnsi="Arial" w:cs="Arial"/>
          <w:sz w:val="22"/>
          <w:szCs w:val="22"/>
        </w:rPr>
        <w:t>, A. (2014). Electronic Prescribing: Improving the Efficiency and Accuracy of Prescribing in the Ambulatory Care Setting. </w:t>
      </w:r>
      <w:r w:rsidRPr="006C50DA">
        <w:rPr>
          <w:rFonts w:ascii="Arial" w:hAnsi="Arial" w:cs="Arial"/>
          <w:i/>
          <w:iCs/>
          <w:sz w:val="22"/>
          <w:szCs w:val="22"/>
        </w:rPr>
        <w:t>Perspectives in Health Information Management</w:t>
      </w:r>
      <w:r w:rsidRPr="006C50DA">
        <w:rPr>
          <w:rFonts w:ascii="Arial" w:hAnsi="Arial" w:cs="Arial"/>
          <w:sz w:val="22"/>
          <w:szCs w:val="22"/>
        </w:rPr>
        <w:t>, [online] 11(Spring), p.1g. Available at: https://pmc.ncbi.nlm.nih.gov/articles/PMC3995494/ [Accessed 22 July 2026].</w:t>
      </w:r>
    </w:p>
    <w:p w14:paraId="767706EC" w14:textId="77777777" w:rsidR="00D93B08" w:rsidRDefault="00D93B08">
      <w:pPr>
        <w:rPr>
          <w:rFonts w:ascii="Arial" w:hAnsi="Arial" w:cs="Arial"/>
          <w:sz w:val="22"/>
          <w:szCs w:val="22"/>
        </w:rPr>
      </w:pPr>
      <w:r w:rsidRPr="001D654B">
        <w:rPr>
          <w:rFonts w:ascii="Arial" w:hAnsi="Arial" w:cs="Arial"/>
          <w:sz w:val="22"/>
          <w:szCs w:val="22"/>
        </w:rPr>
        <w:lastRenderedPageBreak/>
        <w:t>Powell, C. et al. (2018) Family involvement in timely detection of changes in health of nursing homes residents: A qualitative exploratory study. </w:t>
      </w:r>
      <w:r w:rsidRPr="001D654B">
        <w:rPr>
          <w:rFonts w:ascii="Arial" w:hAnsi="Arial" w:cs="Arial"/>
          <w:i/>
          <w:iCs/>
          <w:sz w:val="22"/>
          <w:szCs w:val="22"/>
        </w:rPr>
        <w:t>Journal of clinical nursing</w:t>
      </w:r>
      <w:r w:rsidRPr="001D654B">
        <w:rPr>
          <w:rFonts w:ascii="Arial" w:hAnsi="Arial" w:cs="Arial"/>
          <w:sz w:val="22"/>
          <w:szCs w:val="22"/>
        </w:rPr>
        <w:t>. [Online] 27 (1–2), 317–327.</w:t>
      </w:r>
    </w:p>
    <w:p w14:paraId="4F518FE8" w14:textId="77777777" w:rsidR="00D93B08" w:rsidRDefault="00D93B08">
      <w:pPr>
        <w:rPr>
          <w:rFonts w:ascii="Arial" w:hAnsi="Arial" w:cs="Arial"/>
          <w:sz w:val="22"/>
          <w:szCs w:val="22"/>
        </w:rPr>
      </w:pPr>
      <w:proofErr w:type="spellStart"/>
      <w:r w:rsidRPr="00F92A8B">
        <w:rPr>
          <w:rFonts w:ascii="Arial" w:hAnsi="Arial" w:cs="Arial"/>
          <w:sz w:val="22"/>
          <w:szCs w:val="22"/>
        </w:rPr>
        <w:t>Sunjaya</w:t>
      </w:r>
      <w:proofErr w:type="spellEnd"/>
      <w:r w:rsidRPr="00F92A8B">
        <w:rPr>
          <w:rFonts w:ascii="Arial" w:hAnsi="Arial" w:cs="Arial"/>
          <w:sz w:val="22"/>
          <w:szCs w:val="22"/>
        </w:rPr>
        <w:t>, A. M. et al. (2025) Communication strategies for delivering personalised dementia care and support: a mixed-methods systematic review and narrative synthesis. </w:t>
      </w:r>
      <w:r w:rsidRPr="00F92A8B">
        <w:rPr>
          <w:rFonts w:ascii="Arial" w:hAnsi="Arial" w:cs="Arial"/>
          <w:i/>
          <w:iCs/>
          <w:sz w:val="22"/>
          <w:szCs w:val="22"/>
        </w:rPr>
        <w:t>Age and ageing</w:t>
      </w:r>
      <w:r w:rsidRPr="00F92A8B">
        <w:rPr>
          <w:rFonts w:ascii="Arial" w:hAnsi="Arial" w:cs="Arial"/>
          <w:sz w:val="22"/>
          <w:szCs w:val="22"/>
        </w:rPr>
        <w:t>. [Online] 54 (5)</w:t>
      </w:r>
      <w:r>
        <w:rPr>
          <w:rFonts w:ascii="Arial" w:hAnsi="Arial" w:cs="Arial"/>
          <w:sz w:val="22"/>
          <w:szCs w:val="22"/>
        </w:rPr>
        <w:t xml:space="preserve">. </w:t>
      </w:r>
    </w:p>
    <w:p w14:paraId="070AA102" w14:textId="77777777" w:rsidR="00D93B08" w:rsidRDefault="00D93B08">
      <w:pPr>
        <w:rPr>
          <w:rFonts w:ascii="Arial" w:hAnsi="Arial" w:cs="Arial"/>
          <w:sz w:val="22"/>
          <w:szCs w:val="22"/>
        </w:rPr>
      </w:pPr>
      <w:r w:rsidRPr="00AB02A0">
        <w:rPr>
          <w:rFonts w:ascii="Arial" w:hAnsi="Arial" w:cs="Arial"/>
          <w:sz w:val="22"/>
          <w:szCs w:val="22"/>
        </w:rPr>
        <w:t xml:space="preserve">Thana, L., </w:t>
      </w:r>
      <w:proofErr w:type="spellStart"/>
      <w:r w:rsidRPr="00AB02A0">
        <w:rPr>
          <w:rFonts w:ascii="Arial" w:hAnsi="Arial" w:cs="Arial"/>
          <w:sz w:val="22"/>
          <w:szCs w:val="22"/>
        </w:rPr>
        <w:t>Wistow</w:t>
      </w:r>
      <w:proofErr w:type="spellEnd"/>
      <w:r w:rsidRPr="00AB02A0">
        <w:rPr>
          <w:rFonts w:ascii="Arial" w:hAnsi="Arial" w:cs="Arial"/>
          <w:sz w:val="22"/>
          <w:szCs w:val="22"/>
        </w:rPr>
        <w:t>, G.</w:t>
      </w:r>
      <w:r>
        <w:rPr>
          <w:rFonts w:ascii="Arial" w:hAnsi="Arial" w:cs="Arial"/>
          <w:sz w:val="22"/>
          <w:szCs w:val="22"/>
        </w:rPr>
        <w:t xml:space="preserve"> et al </w:t>
      </w:r>
      <w:r w:rsidRPr="00AB02A0">
        <w:rPr>
          <w:rFonts w:ascii="Arial" w:hAnsi="Arial" w:cs="Arial"/>
          <w:sz w:val="22"/>
          <w:szCs w:val="22"/>
        </w:rPr>
        <w:t xml:space="preserve">2025). Frontline staff perspectives on multi-disciplinary team working and the effectiveness of integrated service delivery: Findings from the evaluation of the Integrated Care and Support Pioneers in England. </w:t>
      </w:r>
      <w:r w:rsidRPr="00AB02A0">
        <w:rPr>
          <w:rFonts w:ascii="Arial" w:hAnsi="Arial" w:cs="Arial"/>
          <w:i/>
          <w:iCs/>
          <w:sz w:val="22"/>
          <w:szCs w:val="22"/>
        </w:rPr>
        <w:t>Journal of Health Services Research &amp; Policy</w:t>
      </w:r>
      <w:r w:rsidRPr="00AB02A0">
        <w:rPr>
          <w:rFonts w:ascii="Arial" w:hAnsi="Arial" w:cs="Arial"/>
          <w:sz w:val="22"/>
          <w:szCs w:val="22"/>
        </w:rPr>
        <w:t>, 30(1_suppl). doi:10.1177/13558196251349388.</w:t>
      </w:r>
    </w:p>
    <w:p w14:paraId="3DCF8884" w14:textId="77777777" w:rsidR="00D93B08" w:rsidRDefault="00D93B08">
      <w:pPr>
        <w:rPr>
          <w:rFonts w:ascii="Arial" w:hAnsi="Arial" w:cs="Arial"/>
          <w:sz w:val="22"/>
          <w:szCs w:val="22"/>
        </w:rPr>
      </w:pPr>
      <w:r w:rsidRPr="0017050E">
        <w:rPr>
          <w:rFonts w:ascii="Arial" w:hAnsi="Arial" w:cs="Arial"/>
          <w:sz w:val="22"/>
          <w:szCs w:val="22"/>
        </w:rPr>
        <w:t>Welch, J. et al. (2025) Giving patients, families and staff a reliable voice in acute care: Expert guidance for implementation of Martha’s Rule in UK hospitals. </w:t>
      </w:r>
      <w:r w:rsidRPr="0017050E">
        <w:rPr>
          <w:rFonts w:ascii="Arial" w:hAnsi="Arial" w:cs="Arial"/>
          <w:i/>
          <w:iCs/>
          <w:sz w:val="22"/>
          <w:szCs w:val="22"/>
        </w:rPr>
        <w:t>Future Healthcare Journal</w:t>
      </w:r>
      <w:r w:rsidRPr="0017050E">
        <w:rPr>
          <w:rFonts w:ascii="Arial" w:hAnsi="Arial" w:cs="Arial"/>
          <w:sz w:val="22"/>
          <w:szCs w:val="22"/>
        </w:rPr>
        <w:t>. [Online] 12 (1)</w:t>
      </w:r>
      <w:r>
        <w:rPr>
          <w:rFonts w:ascii="Arial" w:hAnsi="Arial" w:cs="Arial"/>
          <w:sz w:val="22"/>
          <w:szCs w:val="22"/>
        </w:rPr>
        <w:t>.</w:t>
      </w:r>
    </w:p>
    <w:p w14:paraId="4FB5D81C" w14:textId="77777777" w:rsidR="00F92A8B" w:rsidRDefault="00F92A8B">
      <w:pPr>
        <w:rPr>
          <w:rFonts w:ascii="Arial" w:hAnsi="Arial" w:cs="Arial"/>
          <w:sz w:val="22"/>
          <w:szCs w:val="22"/>
        </w:rPr>
      </w:pPr>
    </w:p>
    <w:p w14:paraId="68FE3053" w14:textId="77777777" w:rsidR="009D07CA" w:rsidRDefault="009D07CA">
      <w:pPr>
        <w:rPr>
          <w:rFonts w:ascii="Arial" w:hAnsi="Arial" w:cs="Arial"/>
          <w:sz w:val="22"/>
          <w:szCs w:val="22"/>
        </w:rPr>
      </w:pPr>
    </w:p>
    <w:p w14:paraId="1E092F7F" w14:textId="77777777" w:rsidR="009D07CA" w:rsidRDefault="009D07CA">
      <w:pPr>
        <w:rPr>
          <w:rFonts w:ascii="Arial" w:hAnsi="Arial" w:cs="Arial"/>
          <w:sz w:val="22"/>
          <w:szCs w:val="22"/>
        </w:rPr>
      </w:pPr>
    </w:p>
    <w:p w14:paraId="1B9514D8" w14:textId="77777777" w:rsidR="009D07CA" w:rsidRDefault="009D07CA">
      <w:pPr>
        <w:rPr>
          <w:rFonts w:ascii="Arial" w:hAnsi="Arial" w:cs="Arial"/>
          <w:sz w:val="22"/>
          <w:szCs w:val="22"/>
        </w:rPr>
      </w:pPr>
    </w:p>
    <w:p w14:paraId="51CC9538" w14:textId="77777777" w:rsidR="009D07CA" w:rsidRDefault="009D07CA">
      <w:pPr>
        <w:rPr>
          <w:rFonts w:ascii="Arial" w:hAnsi="Arial" w:cs="Arial"/>
          <w:sz w:val="22"/>
          <w:szCs w:val="22"/>
        </w:rPr>
      </w:pPr>
    </w:p>
    <w:p w14:paraId="0933CDA5" w14:textId="77777777" w:rsidR="009D07CA" w:rsidRDefault="009D07CA">
      <w:pPr>
        <w:rPr>
          <w:rFonts w:ascii="Arial" w:hAnsi="Arial" w:cs="Arial"/>
          <w:sz w:val="22"/>
          <w:szCs w:val="22"/>
        </w:rPr>
      </w:pPr>
    </w:p>
    <w:p w14:paraId="709DABE7" w14:textId="77777777" w:rsidR="009D07CA" w:rsidRDefault="009D07CA">
      <w:pPr>
        <w:rPr>
          <w:rFonts w:ascii="Arial" w:hAnsi="Arial" w:cs="Arial"/>
          <w:sz w:val="22"/>
          <w:szCs w:val="22"/>
        </w:rPr>
      </w:pPr>
    </w:p>
    <w:p w14:paraId="739A2E7D" w14:textId="77777777" w:rsidR="009D07CA" w:rsidRDefault="009D07CA">
      <w:pPr>
        <w:rPr>
          <w:rFonts w:ascii="Arial" w:hAnsi="Arial" w:cs="Arial"/>
          <w:sz w:val="22"/>
          <w:szCs w:val="22"/>
        </w:rPr>
      </w:pPr>
    </w:p>
    <w:p w14:paraId="169C5856" w14:textId="77777777" w:rsidR="009D07CA" w:rsidRDefault="009D07CA">
      <w:pPr>
        <w:rPr>
          <w:rFonts w:ascii="Arial" w:hAnsi="Arial" w:cs="Arial"/>
          <w:sz w:val="22"/>
          <w:szCs w:val="22"/>
        </w:rPr>
      </w:pPr>
    </w:p>
    <w:p w14:paraId="1570FA85" w14:textId="77777777" w:rsidR="009D07CA" w:rsidRDefault="009D07CA">
      <w:pPr>
        <w:rPr>
          <w:rFonts w:ascii="Arial" w:hAnsi="Arial" w:cs="Arial"/>
          <w:sz w:val="22"/>
          <w:szCs w:val="22"/>
        </w:rPr>
      </w:pPr>
    </w:p>
    <w:p w14:paraId="1220C532" w14:textId="77777777" w:rsidR="009D07CA" w:rsidRDefault="009D07CA">
      <w:pPr>
        <w:rPr>
          <w:rFonts w:ascii="Arial" w:hAnsi="Arial" w:cs="Arial"/>
          <w:sz w:val="22"/>
          <w:szCs w:val="22"/>
        </w:rPr>
      </w:pPr>
    </w:p>
    <w:p w14:paraId="5C903559" w14:textId="77777777" w:rsidR="009D07CA" w:rsidRDefault="009D07CA">
      <w:pPr>
        <w:rPr>
          <w:rFonts w:ascii="Arial" w:hAnsi="Arial" w:cs="Arial"/>
          <w:sz w:val="22"/>
          <w:szCs w:val="22"/>
        </w:rPr>
      </w:pPr>
    </w:p>
    <w:p w14:paraId="071FAA81" w14:textId="77777777" w:rsidR="009D07CA" w:rsidRDefault="009D07CA">
      <w:pPr>
        <w:rPr>
          <w:rFonts w:ascii="Arial" w:hAnsi="Arial" w:cs="Arial"/>
          <w:sz w:val="22"/>
          <w:szCs w:val="22"/>
        </w:rPr>
      </w:pPr>
    </w:p>
    <w:p w14:paraId="04AA4486" w14:textId="77777777" w:rsidR="009D07CA" w:rsidRDefault="009D07CA">
      <w:pPr>
        <w:rPr>
          <w:rFonts w:ascii="Arial" w:hAnsi="Arial" w:cs="Arial"/>
          <w:sz w:val="22"/>
          <w:szCs w:val="22"/>
        </w:rPr>
      </w:pPr>
    </w:p>
    <w:p w14:paraId="6D949BF1" w14:textId="77777777" w:rsidR="009D07CA" w:rsidRDefault="009D07CA">
      <w:pPr>
        <w:rPr>
          <w:rFonts w:ascii="Arial" w:hAnsi="Arial" w:cs="Arial"/>
          <w:sz w:val="22"/>
          <w:szCs w:val="22"/>
        </w:rPr>
      </w:pPr>
    </w:p>
    <w:p w14:paraId="2A1E88DD" w14:textId="77777777" w:rsidR="009D07CA" w:rsidRDefault="009D07CA">
      <w:pPr>
        <w:rPr>
          <w:rFonts w:ascii="Arial" w:hAnsi="Arial" w:cs="Arial"/>
          <w:sz w:val="22"/>
          <w:szCs w:val="22"/>
        </w:rPr>
      </w:pPr>
    </w:p>
    <w:p w14:paraId="5FD9159C" w14:textId="77777777" w:rsidR="009D07CA" w:rsidRDefault="009D07CA">
      <w:pPr>
        <w:rPr>
          <w:rFonts w:ascii="Arial" w:hAnsi="Arial" w:cs="Arial"/>
          <w:sz w:val="22"/>
          <w:szCs w:val="22"/>
        </w:rPr>
      </w:pPr>
    </w:p>
    <w:p w14:paraId="09EBF5DA" w14:textId="77777777" w:rsidR="009D07CA" w:rsidRDefault="009D07CA">
      <w:pPr>
        <w:rPr>
          <w:rFonts w:ascii="Arial" w:hAnsi="Arial" w:cs="Arial"/>
          <w:sz w:val="22"/>
          <w:szCs w:val="22"/>
        </w:rPr>
      </w:pPr>
    </w:p>
    <w:p w14:paraId="7DDCF09F" w14:textId="77777777" w:rsidR="009D07CA" w:rsidRDefault="009D07CA">
      <w:pPr>
        <w:rPr>
          <w:rFonts w:ascii="Arial" w:hAnsi="Arial" w:cs="Arial"/>
          <w:sz w:val="22"/>
          <w:szCs w:val="22"/>
        </w:rPr>
      </w:pPr>
    </w:p>
    <w:p w14:paraId="6D84785F" w14:textId="77777777" w:rsidR="009D07CA" w:rsidRDefault="009D07CA">
      <w:pPr>
        <w:rPr>
          <w:rFonts w:ascii="Arial" w:hAnsi="Arial" w:cs="Arial"/>
          <w:sz w:val="22"/>
          <w:szCs w:val="22"/>
        </w:rPr>
      </w:pPr>
    </w:p>
    <w:p w14:paraId="50DCDECF" w14:textId="77777777" w:rsidR="009D07CA" w:rsidRDefault="009D07CA">
      <w:pPr>
        <w:rPr>
          <w:rFonts w:ascii="Arial" w:hAnsi="Arial" w:cs="Arial"/>
          <w:sz w:val="22"/>
          <w:szCs w:val="22"/>
        </w:rPr>
      </w:pPr>
    </w:p>
    <w:p w14:paraId="2F00A46F" w14:textId="77777777" w:rsidR="009D07CA" w:rsidRDefault="009D07CA">
      <w:pPr>
        <w:rPr>
          <w:rFonts w:ascii="Arial" w:hAnsi="Arial" w:cs="Arial"/>
          <w:sz w:val="22"/>
          <w:szCs w:val="22"/>
        </w:rPr>
      </w:pPr>
    </w:p>
    <w:p w14:paraId="0D0603A3" w14:textId="77777777" w:rsidR="009D07CA" w:rsidRDefault="009D07CA">
      <w:pPr>
        <w:rPr>
          <w:rFonts w:ascii="Arial" w:hAnsi="Arial" w:cs="Arial"/>
          <w:sz w:val="22"/>
          <w:szCs w:val="22"/>
        </w:rPr>
      </w:pPr>
    </w:p>
    <w:p w14:paraId="63C8D6A6" w14:textId="77777777" w:rsidR="009D07CA" w:rsidRDefault="009D07CA">
      <w:pPr>
        <w:rPr>
          <w:rFonts w:ascii="Arial" w:hAnsi="Arial" w:cs="Arial"/>
          <w:sz w:val="22"/>
          <w:szCs w:val="22"/>
        </w:rPr>
      </w:pPr>
    </w:p>
    <w:p w14:paraId="53BA9C14" w14:textId="77777777" w:rsidR="009D07CA" w:rsidRDefault="009D07CA">
      <w:pPr>
        <w:rPr>
          <w:rFonts w:ascii="Arial" w:hAnsi="Arial" w:cs="Arial"/>
          <w:sz w:val="22"/>
          <w:szCs w:val="22"/>
        </w:rPr>
      </w:pPr>
    </w:p>
    <w:p w14:paraId="3917EB93" w14:textId="77777777" w:rsidR="009D07CA" w:rsidRDefault="009D07CA">
      <w:pPr>
        <w:rPr>
          <w:rFonts w:ascii="Arial" w:hAnsi="Arial" w:cs="Arial"/>
          <w:sz w:val="22"/>
          <w:szCs w:val="22"/>
        </w:rPr>
      </w:pPr>
    </w:p>
    <w:p w14:paraId="75969A62" w14:textId="77777777" w:rsidR="009D07CA" w:rsidRPr="00D90799" w:rsidRDefault="009D07CA">
      <w:pPr>
        <w:rPr>
          <w:rFonts w:ascii="Arial" w:hAnsi="Arial" w:cs="Arial"/>
          <w:sz w:val="22"/>
          <w:szCs w:val="22"/>
        </w:rPr>
      </w:pPr>
    </w:p>
    <w:sectPr w:rsidR="009D07CA" w:rsidRPr="00D90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799"/>
    <w:rsid w:val="000B1EAA"/>
    <w:rsid w:val="0017050E"/>
    <w:rsid w:val="001D654B"/>
    <w:rsid w:val="006C50DA"/>
    <w:rsid w:val="007119EE"/>
    <w:rsid w:val="009D07CA"/>
    <w:rsid w:val="00A11893"/>
    <w:rsid w:val="00AB02A0"/>
    <w:rsid w:val="00B60AF6"/>
    <w:rsid w:val="00BA5B5C"/>
    <w:rsid w:val="00BC2254"/>
    <w:rsid w:val="00BC7E53"/>
    <w:rsid w:val="00D90799"/>
    <w:rsid w:val="00D93B08"/>
    <w:rsid w:val="00E14FB4"/>
    <w:rsid w:val="00F92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9B075"/>
  <w15:chartTrackingRefBased/>
  <w15:docId w15:val="{F92B4C97-30D3-4E12-B745-627BACC3C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7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7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7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7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7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7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7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7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7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7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7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7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7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7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7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7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7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799"/>
    <w:rPr>
      <w:rFonts w:eastAsiaTheme="majorEastAsia" w:cstheme="majorBidi"/>
      <w:color w:val="272727" w:themeColor="text1" w:themeTint="D8"/>
    </w:rPr>
  </w:style>
  <w:style w:type="paragraph" w:styleId="Title">
    <w:name w:val="Title"/>
    <w:basedOn w:val="Normal"/>
    <w:next w:val="Normal"/>
    <w:link w:val="TitleChar"/>
    <w:uiPriority w:val="10"/>
    <w:qFormat/>
    <w:rsid w:val="00D90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7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7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7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799"/>
    <w:pPr>
      <w:spacing w:before="160"/>
      <w:jc w:val="center"/>
    </w:pPr>
    <w:rPr>
      <w:i/>
      <w:iCs/>
      <w:color w:val="404040" w:themeColor="text1" w:themeTint="BF"/>
    </w:rPr>
  </w:style>
  <w:style w:type="character" w:customStyle="1" w:styleId="QuoteChar">
    <w:name w:val="Quote Char"/>
    <w:basedOn w:val="DefaultParagraphFont"/>
    <w:link w:val="Quote"/>
    <w:uiPriority w:val="29"/>
    <w:rsid w:val="00D90799"/>
    <w:rPr>
      <w:i/>
      <w:iCs/>
      <w:color w:val="404040" w:themeColor="text1" w:themeTint="BF"/>
    </w:rPr>
  </w:style>
  <w:style w:type="paragraph" w:styleId="ListParagraph">
    <w:name w:val="List Paragraph"/>
    <w:basedOn w:val="Normal"/>
    <w:uiPriority w:val="34"/>
    <w:qFormat/>
    <w:rsid w:val="00D90799"/>
    <w:pPr>
      <w:ind w:left="720"/>
      <w:contextualSpacing/>
    </w:pPr>
  </w:style>
  <w:style w:type="character" w:styleId="IntenseEmphasis">
    <w:name w:val="Intense Emphasis"/>
    <w:basedOn w:val="DefaultParagraphFont"/>
    <w:uiPriority w:val="21"/>
    <w:qFormat/>
    <w:rsid w:val="00D90799"/>
    <w:rPr>
      <w:i/>
      <w:iCs/>
      <w:color w:val="0F4761" w:themeColor="accent1" w:themeShade="BF"/>
    </w:rPr>
  </w:style>
  <w:style w:type="paragraph" w:styleId="IntenseQuote">
    <w:name w:val="Intense Quote"/>
    <w:basedOn w:val="Normal"/>
    <w:next w:val="Normal"/>
    <w:link w:val="IntenseQuoteChar"/>
    <w:uiPriority w:val="30"/>
    <w:qFormat/>
    <w:rsid w:val="00D90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799"/>
    <w:rPr>
      <w:i/>
      <w:iCs/>
      <w:color w:val="0F4761" w:themeColor="accent1" w:themeShade="BF"/>
    </w:rPr>
  </w:style>
  <w:style w:type="character" w:styleId="IntenseReference">
    <w:name w:val="Intense Reference"/>
    <w:basedOn w:val="DefaultParagraphFont"/>
    <w:uiPriority w:val="32"/>
    <w:qFormat/>
    <w:rsid w:val="00D90799"/>
    <w:rPr>
      <w:b/>
      <w:bCs/>
      <w:smallCaps/>
      <w:color w:val="0F4761" w:themeColor="accent1" w:themeShade="BF"/>
      <w:spacing w:val="5"/>
    </w:rPr>
  </w:style>
  <w:style w:type="character" w:styleId="Hyperlink">
    <w:name w:val="Hyperlink"/>
    <w:basedOn w:val="DefaultParagraphFont"/>
    <w:uiPriority w:val="99"/>
    <w:unhideWhenUsed/>
    <w:rsid w:val="009D07CA"/>
    <w:rPr>
      <w:color w:val="467886" w:themeColor="hyperlink"/>
      <w:u w:val="single"/>
    </w:rPr>
  </w:style>
  <w:style w:type="character" w:styleId="UnresolvedMention">
    <w:name w:val="Unresolved Mention"/>
    <w:basedOn w:val="DefaultParagraphFont"/>
    <w:uiPriority w:val="99"/>
    <w:semiHidden/>
    <w:unhideWhenUsed/>
    <w:rsid w:val="009D0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177/14713012211069449" TargetMode="External"/><Relationship Id="rId4" Type="http://schemas.openxmlformats.org/officeDocument/2006/relationships/hyperlink" Target="https://doi.org/10.7748/ns2011.04.25.32.35.c8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d42255ec-e1af-44ac-b676-7700d3d39603}" enabled="1" method="Standard" siteId="{1a07c565-b111-42d0-ada8-16998c72bd30}" contentBits="0" removed="0"/>
</clbl:labelList>
</file>

<file path=docProps/app.xml><?xml version="1.0" encoding="utf-8"?>
<Properties xmlns="http://schemas.openxmlformats.org/officeDocument/2006/extended-properties" xmlns:vt="http://schemas.openxmlformats.org/officeDocument/2006/docPropsVTypes">
  <Template>Normal</Template>
  <TotalTime>10</TotalTime>
  <Pages>8</Pages>
  <Words>2801</Words>
  <Characters>15967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Ghafar</dc:creator>
  <cp:keywords/>
  <dc:description/>
  <cp:lastModifiedBy>Tariq Ghafar</cp:lastModifiedBy>
  <cp:revision>4</cp:revision>
  <dcterms:created xsi:type="dcterms:W3CDTF">2026-07-22T21:11:00Z</dcterms:created>
  <dcterms:modified xsi:type="dcterms:W3CDTF">2026-07-22T21:16:00Z</dcterms:modified>
</cp:coreProperties>
</file>