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7100AB" w14:textId="2D0B3D95" w:rsidR="00A350D8" w:rsidRDefault="00A350D8" w:rsidP="00A350D8">
      <w:pPr>
        <w:spacing w:line="276" w:lineRule="auto"/>
        <w:jc w:val="center"/>
        <w:rPr>
          <w:sz w:val="56"/>
          <w:szCs w:val="56"/>
          <w:shd w:val="clear" w:color="auto" w:fill="FFFFFF"/>
        </w:rPr>
      </w:pPr>
      <w:r>
        <w:rPr>
          <w:sz w:val="56"/>
          <w:szCs w:val="56"/>
          <w:shd w:val="clear" w:color="auto" w:fill="FFFFFF"/>
        </w:rPr>
        <w:t xml:space="preserve"> UWTSD </w:t>
      </w:r>
    </w:p>
    <w:p w14:paraId="0F336D13" w14:textId="77777777" w:rsidR="00A350D8" w:rsidRDefault="00A350D8" w:rsidP="00A350D8">
      <w:pPr>
        <w:spacing w:line="276" w:lineRule="auto"/>
        <w:jc w:val="center"/>
        <w:rPr>
          <w:sz w:val="56"/>
          <w:szCs w:val="56"/>
          <w:shd w:val="clear" w:color="auto" w:fill="FFFFFF"/>
        </w:rPr>
      </w:pPr>
      <w:r>
        <w:rPr>
          <w:sz w:val="56"/>
          <w:szCs w:val="56"/>
          <w:shd w:val="clear" w:color="auto" w:fill="FFFFFF"/>
        </w:rPr>
        <w:t>LONDON BUSINESS SCHOOL</w:t>
      </w:r>
    </w:p>
    <w:p w14:paraId="42EC3A49" w14:textId="77777777" w:rsidR="00A350D8" w:rsidRDefault="00A350D8" w:rsidP="00A350D8">
      <w:pPr>
        <w:spacing w:line="276" w:lineRule="auto"/>
        <w:jc w:val="center"/>
        <w:rPr>
          <w:sz w:val="56"/>
          <w:szCs w:val="56"/>
          <w:shd w:val="clear" w:color="auto" w:fill="FFFFFF"/>
        </w:rPr>
      </w:pPr>
      <w:r>
        <w:rPr>
          <w:sz w:val="56"/>
          <w:szCs w:val="56"/>
          <w:shd w:val="clear" w:color="auto" w:fill="FFFFFF"/>
        </w:rPr>
        <w:t xml:space="preserve">BA BUSINESS </w:t>
      </w:r>
    </w:p>
    <w:p w14:paraId="7B84C7D3" w14:textId="77777777" w:rsidR="00A350D8" w:rsidRDefault="00A350D8" w:rsidP="00A350D8">
      <w:pPr>
        <w:spacing w:line="276" w:lineRule="auto"/>
        <w:jc w:val="center"/>
        <w:rPr>
          <w:sz w:val="56"/>
          <w:szCs w:val="56"/>
          <w:shd w:val="clear" w:color="auto" w:fill="FFFFFF"/>
        </w:rPr>
      </w:pPr>
      <w:r>
        <w:rPr>
          <w:sz w:val="56"/>
          <w:szCs w:val="56"/>
          <w:shd w:val="clear" w:color="auto" w:fill="FFFFFF"/>
        </w:rPr>
        <w:t>MANAGEMENT</w:t>
      </w:r>
    </w:p>
    <w:p w14:paraId="2FF2EA88" w14:textId="54CD61C8" w:rsidR="00A350D8" w:rsidRDefault="00A350D8" w:rsidP="00A350D8">
      <w:pPr>
        <w:spacing w:line="276" w:lineRule="auto"/>
        <w:jc w:val="center"/>
        <w:rPr>
          <w:sz w:val="56"/>
          <w:szCs w:val="56"/>
          <w:shd w:val="clear" w:color="auto" w:fill="FFFFFF"/>
        </w:rPr>
      </w:pPr>
      <w:r>
        <w:rPr>
          <w:sz w:val="56"/>
          <w:szCs w:val="56"/>
          <w:shd w:val="clear" w:color="auto" w:fill="FFFFFF"/>
        </w:rPr>
        <w:t xml:space="preserve">TERM </w:t>
      </w:r>
      <w:r w:rsidR="00B60E54">
        <w:rPr>
          <w:sz w:val="56"/>
          <w:szCs w:val="56"/>
          <w:shd w:val="clear" w:color="auto" w:fill="FFFFFF"/>
        </w:rPr>
        <w:t>2</w:t>
      </w:r>
    </w:p>
    <w:p w14:paraId="151C2712" w14:textId="6DF3FC0D" w:rsidR="00A350D8" w:rsidRDefault="00A350D8" w:rsidP="00A350D8">
      <w:pPr>
        <w:spacing w:line="276" w:lineRule="auto"/>
        <w:jc w:val="center"/>
        <w:rPr>
          <w:sz w:val="56"/>
          <w:szCs w:val="56"/>
          <w:shd w:val="clear" w:color="auto" w:fill="FFFFFF"/>
        </w:rPr>
      </w:pPr>
      <w:r>
        <w:rPr>
          <w:sz w:val="56"/>
          <w:szCs w:val="56"/>
          <w:shd w:val="clear" w:color="auto" w:fill="FFFFFF"/>
        </w:rPr>
        <w:t xml:space="preserve">GROUP </w:t>
      </w:r>
      <w:r w:rsidR="00B60E54">
        <w:rPr>
          <w:sz w:val="56"/>
          <w:szCs w:val="56"/>
          <w:shd w:val="clear" w:color="auto" w:fill="FFFFFF"/>
        </w:rPr>
        <w:t>1</w:t>
      </w:r>
    </w:p>
    <w:p w14:paraId="741391D6" w14:textId="65BEFBDF" w:rsidR="00A350D8" w:rsidRDefault="0074514B" w:rsidP="00A350D8">
      <w:pPr>
        <w:spacing w:line="276" w:lineRule="auto"/>
        <w:jc w:val="center"/>
        <w:rPr>
          <w:sz w:val="56"/>
          <w:szCs w:val="56"/>
          <w:shd w:val="clear" w:color="auto" w:fill="FFFFFF"/>
        </w:rPr>
      </w:pPr>
      <w:r>
        <w:rPr>
          <w:sz w:val="56"/>
          <w:szCs w:val="56"/>
          <w:shd w:val="clear" w:color="auto" w:fill="FFFFFF"/>
        </w:rPr>
        <w:t>ACCOUNTING</w:t>
      </w:r>
      <w:r w:rsidR="006934E1">
        <w:rPr>
          <w:sz w:val="56"/>
          <w:szCs w:val="56"/>
          <w:shd w:val="clear" w:color="auto" w:fill="FFFFFF"/>
        </w:rPr>
        <w:t xml:space="preserve"> </w:t>
      </w:r>
      <w:r w:rsidR="00A350D8">
        <w:rPr>
          <w:sz w:val="56"/>
          <w:szCs w:val="56"/>
          <w:shd w:val="clear" w:color="auto" w:fill="FFFFFF"/>
        </w:rPr>
        <w:t>FUNDAMENTALS</w:t>
      </w:r>
    </w:p>
    <w:p w14:paraId="2DCEB6B4" w14:textId="77777777" w:rsidR="00A350D8" w:rsidRDefault="00A350D8" w:rsidP="00A350D8">
      <w:pPr>
        <w:spacing w:line="276" w:lineRule="auto"/>
        <w:jc w:val="center"/>
        <w:rPr>
          <w:sz w:val="56"/>
          <w:szCs w:val="56"/>
          <w:shd w:val="clear" w:color="auto" w:fill="FFFFFF"/>
        </w:rPr>
      </w:pPr>
    </w:p>
    <w:p w14:paraId="6E43E9E2" w14:textId="047056AA" w:rsidR="00A350D8" w:rsidRDefault="00A350D8" w:rsidP="00A350D8">
      <w:pPr>
        <w:spacing w:line="276" w:lineRule="auto"/>
        <w:jc w:val="left"/>
        <w:rPr>
          <w:sz w:val="48"/>
          <w:szCs w:val="48"/>
          <w:shd w:val="clear" w:color="auto" w:fill="FFFFFF"/>
        </w:rPr>
      </w:pPr>
      <w:r>
        <w:rPr>
          <w:sz w:val="48"/>
          <w:szCs w:val="48"/>
          <w:shd w:val="clear" w:color="auto" w:fill="FFFFFF"/>
        </w:rPr>
        <w:t xml:space="preserve">LECTURER : </w:t>
      </w:r>
      <w:r w:rsidR="00745BD6">
        <w:rPr>
          <w:sz w:val="48"/>
          <w:szCs w:val="48"/>
          <w:shd w:val="clear" w:color="auto" w:fill="FFFFFF"/>
        </w:rPr>
        <w:t>WID</w:t>
      </w:r>
      <w:r w:rsidR="00733CBA">
        <w:rPr>
          <w:sz w:val="48"/>
          <w:szCs w:val="48"/>
          <w:shd w:val="clear" w:color="auto" w:fill="FFFFFF"/>
        </w:rPr>
        <w:t>IN</w:t>
      </w:r>
      <w:r w:rsidR="009A131B">
        <w:rPr>
          <w:sz w:val="48"/>
          <w:szCs w:val="48"/>
          <w:shd w:val="clear" w:color="auto" w:fill="FFFFFF"/>
        </w:rPr>
        <w:t xml:space="preserve"> BO</w:t>
      </w:r>
      <w:r w:rsidR="000B319C">
        <w:rPr>
          <w:sz w:val="48"/>
          <w:szCs w:val="48"/>
          <w:shd w:val="clear" w:color="auto" w:fill="FFFFFF"/>
        </w:rPr>
        <w:t xml:space="preserve">NGASU </w:t>
      </w:r>
      <w:r w:rsidR="00700569">
        <w:rPr>
          <w:sz w:val="48"/>
          <w:szCs w:val="48"/>
          <w:shd w:val="clear" w:color="auto" w:fill="FFFFFF"/>
        </w:rPr>
        <w:t>SHA</w:t>
      </w:r>
      <w:r w:rsidR="000A5E1F">
        <w:rPr>
          <w:sz w:val="48"/>
          <w:szCs w:val="48"/>
          <w:shd w:val="clear" w:color="auto" w:fill="FFFFFF"/>
        </w:rPr>
        <w:t>’</w:t>
      </w:r>
      <w:r w:rsidR="007B37A3">
        <w:rPr>
          <w:sz w:val="48"/>
          <w:szCs w:val="48"/>
          <w:shd w:val="clear" w:color="auto" w:fill="FFFFFF"/>
        </w:rPr>
        <w:t>VEN</w:t>
      </w:r>
    </w:p>
    <w:p w14:paraId="3E7082C8" w14:textId="77777777" w:rsidR="00A350D8" w:rsidRDefault="00A350D8" w:rsidP="00A350D8">
      <w:pPr>
        <w:spacing w:line="276" w:lineRule="auto"/>
        <w:jc w:val="left"/>
        <w:rPr>
          <w:sz w:val="48"/>
          <w:szCs w:val="48"/>
          <w:shd w:val="clear" w:color="auto" w:fill="FFFFFF"/>
        </w:rPr>
      </w:pPr>
      <w:r>
        <w:rPr>
          <w:sz w:val="48"/>
          <w:szCs w:val="48"/>
          <w:shd w:val="clear" w:color="auto" w:fill="FFFFFF"/>
        </w:rPr>
        <w:t>STUDENT NAME AND NUMBER : RENATA BISEROVA PETROVA-1921704</w:t>
      </w:r>
    </w:p>
    <w:p w14:paraId="7D55F9E9" w14:textId="77777777" w:rsidR="00A350D8" w:rsidRDefault="00A350D8" w:rsidP="00A350D8">
      <w:pPr>
        <w:spacing w:line="276" w:lineRule="auto"/>
        <w:jc w:val="center"/>
        <w:rPr>
          <w:sz w:val="48"/>
          <w:szCs w:val="48"/>
          <w:shd w:val="clear" w:color="auto" w:fill="FFFFFF"/>
        </w:rPr>
      </w:pPr>
    </w:p>
    <w:p w14:paraId="666155E1" w14:textId="77777777" w:rsidR="00A350D8" w:rsidRDefault="00A350D8" w:rsidP="00A350D8">
      <w:pPr>
        <w:spacing w:line="276" w:lineRule="auto"/>
        <w:jc w:val="center"/>
        <w:rPr>
          <w:sz w:val="48"/>
          <w:szCs w:val="48"/>
          <w:shd w:val="clear" w:color="auto" w:fill="FFFFFF"/>
        </w:rPr>
      </w:pPr>
    </w:p>
    <w:p w14:paraId="3F288ADB" w14:textId="77777777" w:rsidR="00A350D8" w:rsidRDefault="00A350D8" w:rsidP="00A350D8">
      <w:pPr>
        <w:spacing w:line="276" w:lineRule="auto"/>
        <w:jc w:val="center"/>
        <w:rPr>
          <w:sz w:val="48"/>
          <w:szCs w:val="48"/>
          <w:shd w:val="clear" w:color="auto" w:fill="FFFFFF"/>
        </w:rPr>
      </w:pPr>
    </w:p>
    <w:p w14:paraId="1163BF8A" w14:textId="376A244E" w:rsidR="00A350D8" w:rsidRDefault="00A350D8" w:rsidP="00A350D8">
      <w:pPr>
        <w:spacing w:line="276" w:lineRule="auto"/>
        <w:jc w:val="left"/>
        <w:rPr>
          <w:sz w:val="40"/>
          <w:szCs w:val="40"/>
          <w:shd w:val="clear" w:color="auto" w:fill="FFFFFF"/>
        </w:rPr>
      </w:pPr>
      <w:r w:rsidRPr="00C37D09">
        <w:rPr>
          <w:sz w:val="40"/>
          <w:szCs w:val="40"/>
          <w:shd w:val="clear" w:color="auto" w:fill="FFFFFF"/>
        </w:rPr>
        <w:t>SUBMISION DATE</w:t>
      </w:r>
      <w:r>
        <w:rPr>
          <w:sz w:val="40"/>
          <w:szCs w:val="40"/>
          <w:shd w:val="clear" w:color="auto" w:fill="FFFFFF"/>
        </w:rPr>
        <w:t xml:space="preserve"> : </w:t>
      </w:r>
      <w:r w:rsidR="00261B96">
        <w:rPr>
          <w:sz w:val="40"/>
          <w:szCs w:val="40"/>
          <w:shd w:val="clear" w:color="auto" w:fill="FFFFFF"/>
        </w:rPr>
        <w:t>13.11.2020</w:t>
      </w:r>
    </w:p>
    <w:p w14:paraId="2CEE442E" w14:textId="77777777" w:rsidR="00827682" w:rsidRDefault="00827682" w:rsidP="00A350D8">
      <w:pPr>
        <w:spacing w:line="276" w:lineRule="auto"/>
        <w:jc w:val="left"/>
        <w:rPr>
          <w:sz w:val="40"/>
          <w:szCs w:val="40"/>
          <w:shd w:val="clear" w:color="auto" w:fill="FFFFFF"/>
        </w:rPr>
      </w:pPr>
    </w:p>
    <w:p w14:paraId="73F8F599" w14:textId="69FE7D45" w:rsidR="005C004F" w:rsidRDefault="005C004F" w:rsidP="00B92208">
      <w:pPr>
        <w:rPr>
          <w:b/>
          <w:bCs/>
          <w:sz w:val="96"/>
          <w:szCs w:val="96"/>
        </w:rPr>
      </w:pPr>
    </w:p>
    <w:p w14:paraId="6D3F5434" w14:textId="77777777" w:rsidR="005C004F" w:rsidRDefault="005C004F">
      <w:pPr>
        <w:rPr>
          <w:b/>
          <w:bCs/>
          <w:sz w:val="96"/>
          <w:szCs w:val="96"/>
        </w:rPr>
      </w:pPr>
      <w:r>
        <w:rPr>
          <w:b/>
          <w:bCs/>
          <w:sz w:val="96"/>
          <w:szCs w:val="96"/>
        </w:rPr>
        <w:br w:type="page"/>
      </w:r>
    </w:p>
    <w:sdt>
      <w:sdtPr>
        <w:rPr>
          <w:rFonts w:ascii="Times New Roman" w:eastAsia="Calibri" w:hAnsi="Times New Roman" w:cs="Times New Roman"/>
          <w:color w:val="auto"/>
          <w:sz w:val="24"/>
          <w:szCs w:val="22"/>
          <w:lang w:eastAsia="ar-SA"/>
        </w:rPr>
        <w:id w:val="492380608"/>
        <w:docPartObj>
          <w:docPartGallery w:val="Table of Contents"/>
          <w:docPartUnique/>
        </w:docPartObj>
      </w:sdtPr>
      <w:sdtEndPr>
        <w:rPr>
          <w:b/>
          <w:bCs/>
          <w:noProof/>
        </w:rPr>
      </w:sdtEndPr>
      <w:sdtContent>
        <w:p w14:paraId="4E1A2CD5" w14:textId="64636A4B" w:rsidR="00DC77F6" w:rsidRPr="00DC77F6" w:rsidRDefault="00DC77F6" w:rsidP="00DC77F6">
          <w:pPr>
            <w:pStyle w:val="TOCHeading"/>
            <w:jc w:val="center"/>
            <w:rPr>
              <w:rFonts w:ascii="Times New Roman" w:hAnsi="Times New Roman" w:cs="Times New Roman"/>
              <w:b/>
              <w:bCs/>
              <w:color w:val="auto"/>
            </w:rPr>
          </w:pPr>
          <w:r w:rsidRPr="00DC77F6">
            <w:rPr>
              <w:rFonts w:ascii="Times New Roman" w:hAnsi="Times New Roman" w:cs="Times New Roman"/>
              <w:b/>
              <w:bCs/>
              <w:color w:val="auto"/>
            </w:rPr>
            <w:t>TABLE OF CONTENTS</w:t>
          </w:r>
        </w:p>
        <w:p w14:paraId="37F46490" w14:textId="7ED5A4E0" w:rsidR="00DC77F6" w:rsidRDefault="00DC77F6">
          <w:pPr>
            <w:pStyle w:val="TOC1"/>
            <w:tabs>
              <w:tab w:val="right" w:leader="dot" w:pos="9016"/>
            </w:tabs>
            <w:rPr>
              <w:noProof/>
            </w:rPr>
          </w:pPr>
          <w:r>
            <w:fldChar w:fldCharType="begin"/>
          </w:r>
          <w:r>
            <w:instrText xml:space="preserve"> TOC \o "1-3" \h \z \u </w:instrText>
          </w:r>
          <w:r>
            <w:fldChar w:fldCharType="separate"/>
          </w:r>
          <w:hyperlink w:anchor="_Toc55918524" w:history="1">
            <w:r w:rsidRPr="00495416">
              <w:rPr>
                <w:rStyle w:val="Hyperlink"/>
                <w:noProof/>
              </w:rPr>
              <w:t>QUESTION 1</w:t>
            </w:r>
            <w:r>
              <w:rPr>
                <w:noProof/>
                <w:webHidden/>
              </w:rPr>
              <w:tab/>
            </w:r>
            <w:r>
              <w:rPr>
                <w:noProof/>
                <w:webHidden/>
              </w:rPr>
              <w:fldChar w:fldCharType="begin"/>
            </w:r>
            <w:r>
              <w:rPr>
                <w:noProof/>
                <w:webHidden/>
              </w:rPr>
              <w:instrText xml:space="preserve"> PAGEREF _Toc55918524 \h </w:instrText>
            </w:r>
            <w:r>
              <w:rPr>
                <w:noProof/>
                <w:webHidden/>
              </w:rPr>
            </w:r>
            <w:r>
              <w:rPr>
                <w:noProof/>
                <w:webHidden/>
              </w:rPr>
              <w:fldChar w:fldCharType="separate"/>
            </w:r>
            <w:r>
              <w:rPr>
                <w:noProof/>
                <w:webHidden/>
              </w:rPr>
              <w:t>3</w:t>
            </w:r>
            <w:r>
              <w:rPr>
                <w:noProof/>
                <w:webHidden/>
              </w:rPr>
              <w:fldChar w:fldCharType="end"/>
            </w:r>
          </w:hyperlink>
        </w:p>
        <w:p w14:paraId="35C2B99C" w14:textId="6748572D" w:rsidR="00DC77F6" w:rsidRDefault="00B60E54">
          <w:pPr>
            <w:pStyle w:val="TOC2"/>
            <w:tabs>
              <w:tab w:val="right" w:leader="dot" w:pos="9016"/>
            </w:tabs>
            <w:rPr>
              <w:noProof/>
            </w:rPr>
          </w:pPr>
          <w:hyperlink w:anchor="_Toc55918525" w:history="1">
            <w:r w:rsidR="00DC77F6" w:rsidRPr="00495416">
              <w:rPr>
                <w:rStyle w:val="Hyperlink"/>
                <w:noProof/>
              </w:rPr>
              <w:t>a) Preparation of financial statement</w:t>
            </w:r>
            <w:r w:rsidR="00DC77F6">
              <w:rPr>
                <w:noProof/>
                <w:webHidden/>
              </w:rPr>
              <w:tab/>
            </w:r>
            <w:r w:rsidR="00DC77F6">
              <w:rPr>
                <w:noProof/>
                <w:webHidden/>
              </w:rPr>
              <w:fldChar w:fldCharType="begin"/>
            </w:r>
            <w:r w:rsidR="00DC77F6">
              <w:rPr>
                <w:noProof/>
                <w:webHidden/>
              </w:rPr>
              <w:instrText xml:space="preserve"> PAGEREF _Toc55918525 \h </w:instrText>
            </w:r>
            <w:r w:rsidR="00DC77F6">
              <w:rPr>
                <w:noProof/>
                <w:webHidden/>
              </w:rPr>
            </w:r>
            <w:r w:rsidR="00DC77F6">
              <w:rPr>
                <w:noProof/>
                <w:webHidden/>
              </w:rPr>
              <w:fldChar w:fldCharType="separate"/>
            </w:r>
            <w:r w:rsidR="00DC77F6">
              <w:rPr>
                <w:noProof/>
                <w:webHidden/>
              </w:rPr>
              <w:t>3</w:t>
            </w:r>
            <w:r w:rsidR="00DC77F6">
              <w:rPr>
                <w:noProof/>
                <w:webHidden/>
              </w:rPr>
              <w:fldChar w:fldCharType="end"/>
            </w:r>
          </w:hyperlink>
        </w:p>
        <w:p w14:paraId="0A577296" w14:textId="27A29F76" w:rsidR="00DC77F6" w:rsidRDefault="00B60E54">
          <w:pPr>
            <w:pStyle w:val="TOC2"/>
            <w:tabs>
              <w:tab w:val="right" w:leader="dot" w:pos="9016"/>
            </w:tabs>
            <w:rPr>
              <w:noProof/>
            </w:rPr>
          </w:pPr>
          <w:hyperlink w:anchor="_Toc55918526" w:history="1">
            <w:r w:rsidR="00DC77F6" w:rsidRPr="00495416">
              <w:rPr>
                <w:rStyle w:val="Hyperlink"/>
                <w:noProof/>
              </w:rPr>
              <w:t>b) Evaluating why the statement of financial position balances</w:t>
            </w:r>
            <w:r w:rsidR="00DC77F6">
              <w:rPr>
                <w:noProof/>
                <w:webHidden/>
              </w:rPr>
              <w:tab/>
            </w:r>
            <w:r w:rsidR="00DC77F6">
              <w:rPr>
                <w:noProof/>
                <w:webHidden/>
              </w:rPr>
              <w:fldChar w:fldCharType="begin"/>
            </w:r>
            <w:r w:rsidR="00DC77F6">
              <w:rPr>
                <w:noProof/>
                <w:webHidden/>
              </w:rPr>
              <w:instrText xml:space="preserve"> PAGEREF _Toc55918526 \h </w:instrText>
            </w:r>
            <w:r w:rsidR="00DC77F6">
              <w:rPr>
                <w:noProof/>
                <w:webHidden/>
              </w:rPr>
            </w:r>
            <w:r w:rsidR="00DC77F6">
              <w:rPr>
                <w:noProof/>
                <w:webHidden/>
              </w:rPr>
              <w:fldChar w:fldCharType="separate"/>
            </w:r>
            <w:r w:rsidR="00DC77F6">
              <w:rPr>
                <w:noProof/>
                <w:webHidden/>
              </w:rPr>
              <w:t>4</w:t>
            </w:r>
            <w:r w:rsidR="00DC77F6">
              <w:rPr>
                <w:noProof/>
                <w:webHidden/>
              </w:rPr>
              <w:fldChar w:fldCharType="end"/>
            </w:r>
          </w:hyperlink>
        </w:p>
        <w:p w14:paraId="57D3A0F5" w14:textId="0F4B0F26" w:rsidR="00DC77F6" w:rsidRDefault="00B60E54">
          <w:pPr>
            <w:pStyle w:val="TOC1"/>
            <w:tabs>
              <w:tab w:val="right" w:leader="dot" w:pos="9016"/>
            </w:tabs>
            <w:rPr>
              <w:noProof/>
            </w:rPr>
          </w:pPr>
          <w:hyperlink w:anchor="_Toc55918527" w:history="1">
            <w:r w:rsidR="00DC77F6" w:rsidRPr="00495416">
              <w:rPr>
                <w:rStyle w:val="Hyperlink"/>
                <w:noProof/>
              </w:rPr>
              <w:t>QUESTION 2</w:t>
            </w:r>
            <w:r w:rsidR="00DC77F6">
              <w:rPr>
                <w:noProof/>
                <w:webHidden/>
              </w:rPr>
              <w:tab/>
            </w:r>
            <w:r w:rsidR="00DC77F6">
              <w:rPr>
                <w:noProof/>
                <w:webHidden/>
              </w:rPr>
              <w:fldChar w:fldCharType="begin"/>
            </w:r>
            <w:r w:rsidR="00DC77F6">
              <w:rPr>
                <w:noProof/>
                <w:webHidden/>
              </w:rPr>
              <w:instrText xml:space="preserve"> PAGEREF _Toc55918527 \h </w:instrText>
            </w:r>
            <w:r w:rsidR="00DC77F6">
              <w:rPr>
                <w:noProof/>
                <w:webHidden/>
              </w:rPr>
            </w:r>
            <w:r w:rsidR="00DC77F6">
              <w:rPr>
                <w:noProof/>
                <w:webHidden/>
              </w:rPr>
              <w:fldChar w:fldCharType="separate"/>
            </w:r>
            <w:r w:rsidR="00DC77F6">
              <w:rPr>
                <w:noProof/>
                <w:webHidden/>
              </w:rPr>
              <w:t>4</w:t>
            </w:r>
            <w:r w:rsidR="00DC77F6">
              <w:rPr>
                <w:noProof/>
                <w:webHidden/>
              </w:rPr>
              <w:fldChar w:fldCharType="end"/>
            </w:r>
          </w:hyperlink>
        </w:p>
        <w:p w14:paraId="6CD2C73E" w14:textId="5E63C209" w:rsidR="00DC77F6" w:rsidRDefault="00B60E54">
          <w:pPr>
            <w:pStyle w:val="TOC2"/>
            <w:tabs>
              <w:tab w:val="right" w:leader="dot" w:pos="9016"/>
            </w:tabs>
            <w:rPr>
              <w:noProof/>
            </w:rPr>
          </w:pPr>
          <w:hyperlink w:anchor="_Toc55918528" w:history="1">
            <w:r w:rsidR="00DC77F6" w:rsidRPr="00495416">
              <w:rPr>
                <w:rStyle w:val="Hyperlink"/>
                <w:noProof/>
              </w:rPr>
              <w:t>a) Schedule of ratios for Chocco plc for 2019 and 2018</w:t>
            </w:r>
            <w:r w:rsidR="00DC77F6">
              <w:rPr>
                <w:noProof/>
                <w:webHidden/>
              </w:rPr>
              <w:tab/>
            </w:r>
            <w:r w:rsidR="00DC77F6">
              <w:rPr>
                <w:noProof/>
                <w:webHidden/>
              </w:rPr>
              <w:fldChar w:fldCharType="begin"/>
            </w:r>
            <w:r w:rsidR="00DC77F6">
              <w:rPr>
                <w:noProof/>
                <w:webHidden/>
              </w:rPr>
              <w:instrText xml:space="preserve"> PAGEREF _Toc55918528 \h </w:instrText>
            </w:r>
            <w:r w:rsidR="00DC77F6">
              <w:rPr>
                <w:noProof/>
                <w:webHidden/>
              </w:rPr>
            </w:r>
            <w:r w:rsidR="00DC77F6">
              <w:rPr>
                <w:noProof/>
                <w:webHidden/>
              </w:rPr>
              <w:fldChar w:fldCharType="separate"/>
            </w:r>
            <w:r w:rsidR="00DC77F6">
              <w:rPr>
                <w:noProof/>
                <w:webHidden/>
              </w:rPr>
              <w:t>4</w:t>
            </w:r>
            <w:r w:rsidR="00DC77F6">
              <w:rPr>
                <w:noProof/>
                <w:webHidden/>
              </w:rPr>
              <w:fldChar w:fldCharType="end"/>
            </w:r>
          </w:hyperlink>
        </w:p>
        <w:p w14:paraId="6D329978" w14:textId="356A6202" w:rsidR="00DC77F6" w:rsidRDefault="00B60E54">
          <w:pPr>
            <w:pStyle w:val="TOC2"/>
            <w:tabs>
              <w:tab w:val="right" w:leader="dot" w:pos="9016"/>
            </w:tabs>
            <w:rPr>
              <w:noProof/>
            </w:rPr>
          </w:pPr>
          <w:hyperlink w:anchor="_Toc55918529" w:history="1">
            <w:r w:rsidR="00DC77F6" w:rsidRPr="00495416">
              <w:rPr>
                <w:rStyle w:val="Hyperlink"/>
                <w:noProof/>
              </w:rPr>
              <w:t>b) Analysing and interpreting the financial performance and position of Chocco plc</w:t>
            </w:r>
            <w:r w:rsidR="00DC77F6">
              <w:rPr>
                <w:noProof/>
                <w:webHidden/>
              </w:rPr>
              <w:tab/>
            </w:r>
            <w:r w:rsidR="00DC77F6">
              <w:rPr>
                <w:noProof/>
                <w:webHidden/>
              </w:rPr>
              <w:fldChar w:fldCharType="begin"/>
            </w:r>
            <w:r w:rsidR="00DC77F6">
              <w:rPr>
                <w:noProof/>
                <w:webHidden/>
              </w:rPr>
              <w:instrText xml:space="preserve"> PAGEREF _Toc55918529 \h </w:instrText>
            </w:r>
            <w:r w:rsidR="00DC77F6">
              <w:rPr>
                <w:noProof/>
                <w:webHidden/>
              </w:rPr>
            </w:r>
            <w:r w:rsidR="00DC77F6">
              <w:rPr>
                <w:noProof/>
                <w:webHidden/>
              </w:rPr>
              <w:fldChar w:fldCharType="separate"/>
            </w:r>
            <w:r w:rsidR="00DC77F6">
              <w:rPr>
                <w:noProof/>
                <w:webHidden/>
              </w:rPr>
              <w:t>6</w:t>
            </w:r>
            <w:r w:rsidR="00DC77F6">
              <w:rPr>
                <w:noProof/>
                <w:webHidden/>
              </w:rPr>
              <w:fldChar w:fldCharType="end"/>
            </w:r>
          </w:hyperlink>
        </w:p>
        <w:p w14:paraId="49368BDA" w14:textId="7D09449B" w:rsidR="00DC77F6" w:rsidRDefault="00B60E54">
          <w:pPr>
            <w:pStyle w:val="TOC1"/>
            <w:tabs>
              <w:tab w:val="right" w:leader="dot" w:pos="9016"/>
            </w:tabs>
            <w:rPr>
              <w:noProof/>
            </w:rPr>
          </w:pPr>
          <w:hyperlink w:anchor="_Toc55918530" w:history="1">
            <w:r w:rsidR="00DC77F6" w:rsidRPr="00495416">
              <w:rPr>
                <w:rStyle w:val="Hyperlink"/>
                <w:noProof/>
              </w:rPr>
              <w:t>REFERENCES</w:t>
            </w:r>
            <w:r w:rsidR="00DC77F6">
              <w:rPr>
                <w:noProof/>
                <w:webHidden/>
              </w:rPr>
              <w:tab/>
            </w:r>
            <w:r w:rsidR="00DC77F6">
              <w:rPr>
                <w:noProof/>
                <w:webHidden/>
              </w:rPr>
              <w:fldChar w:fldCharType="begin"/>
            </w:r>
            <w:r w:rsidR="00DC77F6">
              <w:rPr>
                <w:noProof/>
                <w:webHidden/>
              </w:rPr>
              <w:instrText xml:space="preserve"> PAGEREF _Toc55918530 \h </w:instrText>
            </w:r>
            <w:r w:rsidR="00DC77F6">
              <w:rPr>
                <w:noProof/>
                <w:webHidden/>
              </w:rPr>
            </w:r>
            <w:r w:rsidR="00DC77F6">
              <w:rPr>
                <w:noProof/>
                <w:webHidden/>
              </w:rPr>
              <w:fldChar w:fldCharType="separate"/>
            </w:r>
            <w:r w:rsidR="00DC77F6">
              <w:rPr>
                <w:noProof/>
                <w:webHidden/>
              </w:rPr>
              <w:t>11</w:t>
            </w:r>
            <w:r w:rsidR="00DC77F6">
              <w:rPr>
                <w:noProof/>
                <w:webHidden/>
              </w:rPr>
              <w:fldChar w:fldCharType="end"/>
            </w:r>
          </w:hyperlink>
        </w:p>
        <w:p w14:paraId="5D36BFF1" w14:textId="6799E0B9" w:rsidR="00DC77F6" w:rsidRDefault="00DC77F6">
          <w:r>
            <w:rPr>
              <w:b/>
              <w:bCs/>
              <w:noProof/>
            </w:rPr>
            <w:fldChar w:fldCharType="end"/>
          </w:r>
        </w:p>
      </w:sdtContent>
    </w:sdt>
    <w:p w14:paraId="0E2C6D48" w14:textId="77777777" w:rsidR="00B16B71" w:rsidRDefault="00B16B71">
      <w:pPr>
        <w:rPr>
          <w:b/>
          <w:bCs/>
          <w:szCs w:val="24"/>
        </w:rPr>
      </w:pPr>
      <w:r>
        <w:rPr>
          <w:b/>
          <w:bCs/>
          <w:szCs w:val="24"/>
        </w:rPr>
        <w:br w:type="page"/>
      </w:r>
    </w:p>
    <w:p w14:paraId="75423BE8" w14:textId="1421F820" w:rsidR="007D0EBB" w:rsidRDefault="00B16B71" w:rsidP="00B16B71">
      <w:pPr>
        <w:pStyle w:val="Heading1"/>
      </w:pPr>
      <w:bookmarkStart w:id="0" w:name="_Toc55918524"/>
      <w:r w:rsidRPr="00B16B71">
        <w:lastRenderedPageBreak/>
        <w:t>QUESTION 1</w:t>
      </w:r>
      <w:bookmarkEnd w:id="0"/>
    </w:p>
    <w:p w14:paraId="76389680" w14:textId="690CCB7A" w:rsidR="00B16B71" w:rsidRPr="00B556C7" w:rsidRDefault="00B556C7" w:rsidP="00B556C7">
      <w:pPr>
        <w:pStyle w:val="Heading2"/>
      </w:pPr>
      <w:bookmarkStart w:id="1" w:name="_Toc55918525"/>
      <w:r w:rsidRPr="00B556C7">
        <w:t>a)</w:t>
      </w:r>
      <w:r>
        <w:t xml:space="preserve"> </w:t>
      </w:r>
      <w:r w:rsidR="00726E0B" w:rsidRPr="00B556C7">
        <w:t>Preparation of financial statement</w:t>
      </w:r>
      <w:bookmarkEnd w:id="1"/>
    </w:p>
    <w:tbl>
      <w:tblPr>
        <w:tblW w:w="5936" w:type="dxa"/>
        <w:tblLook w:val="04A0" w:firstRow="1" w:lastRow="0" w:firstColumn="1" w:lastColumn="0" w:noHBand="0" w:noVBand="1"/>
      </w:tblPr>
      <w:tblGrid>
        <w:gridCol w:w="4217"/>
        <w:gridCol w:w="1719"/>
      </w:tblGrid>
      <w:tr w:rsidR="0065711B" w:rsidRPr="0065711B" w14:paraId="4C9A3F34" w14:textId="77777777" w:rsidTr="0065711B">
        <w:trPr>
          <w:trHeight w:val="315"/>
        </w:trPr>
        <w:tc>
          <w:tcPr>
            <w:tcW w:w="593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F0D14C" w14:textId="77777777" w:rsidR="0065711B" w:rsidRPr="0065711B" w:rsidRDefault="0065711B" w:rsidP="0065711B">
            <w:pPr>
              <w:spacing w:line="240" w:lineRule="auto"/>
              <w:jc w:val="center"/>
              <w:rPr>
                <w:rFonts w:eastAsia="Times New Roman"/>
                <w:b/>
                <w:bCs/>
                <w:color w:val="000000"/>
                <w:szCs w:val="24"/>
                <w:lang w:val="en-IN" w:eastAsia="en-IN"/>
              </w:rPr>
            </w:pPr>
            <w:r w:rsidRPr="0065711B">
              <w:rPr>
                <w:rFonts w:eastAsia="Times New Roman"/>
                <w:b/>
                <w:bCs/>
                <w:color w:val="000000"/>
                <w:szCs w:val="24"/>
                <w:lang w:val="en-IN" w:eastAsia="en-IN"/>
              </w:rPr>
              <w:t>Eccles plc</w:t>
            </w:r>
          </w:p>
        </w:tc>
      </w:tr>
      <w:tr w:rsidR="0065711B" w:rsidRPr="0065711B" w14:paraId="09345BE2" w14:textId="77777777" w:rsidTr="0065711B">
        <w:trPr>
          <w:trHeight w:val="315"/>
        </w:trPr>
        <w:tc>
          <w:tcPr>
            <w:tcW w:w="593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778BA0" w14:textId="77777777" w:rsidR="0065711B" w:rsidRPr="0065711B" w:rsidRDefault="0065711B" w:rsidP="0065711B">
            <w:pPr>
              <w:spacing w:line="240" w:lineRule="auto"/>
              <w:jc w:val="center"/>
              <w:rPr>
                <w:rFonts w:eastAsia="Times New Roman"/>
                <w:b/>
                <w:bCs/>
                <w:color w:val="000000"/>
                <w:szCs w:val="24"/>
                <w:lang w:val="en-IN" w:eastAsia="en-IN"/>
              </w:rPr>
            </w:pPr>
            <w:r w:rsidRPr="0065711B">
              <w:rPr>
                <w:rFonts w:eastAsia="Times New Roman"/>
                <w:b/>
                <w:bCs/>
                <w:color w:val="000000"/>
                <w:szCs w:val="24"/>
                <w:lang w:val="en-IN" w:eastAsia="en-IN"/>
              </w:rPr>
              <w:t>Income Statement for the year ended 31st December 2019</w:t>
            </w:r>
          </w:p>
        </w:tc>
      </w:tr>
      <w:tr w:rsidR="0065711B" w:rsidRPr="0065711B" w14:paraId="63121A8D"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38B5B003"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Particulars</w:t>
            </w:r>
          </w:p>
        </w:tc>
        <w:tc>
          <w:tcPr>
            <w:tcW w:w="1719" w:type="dxa"/>
            <w:tcBorders>
              <w:top w:val="nil"/>
              <w:left w:val="nil"/>
              <w:bottom w:val="single" w:sz="4" w:space="0" w:color="auto"/>
              <w:right w:val="single" w:sz="4" w:space="0" w:color="auto"/>
            </w:tcBorders>
            <w:shd w:val="clear" w:color="auto" w:fill="auto"/>
            <w:noWrap/>
            <w:vAlign w:val="bottom"/>
            <w:hideMark/>
          </w:tcPr>
          <w:p w14:paraId="2D2E44CC"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Amount (in £)</w:t>
            </w:r>
          </w:p>
        </w:tc>
      </w:tr>
      <w:tr w:rsidR="0065711B" w:rsidRPr="0065711B" w14:paraId="3A5024BF"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48918843"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Sales</w:t>
            </w:r>
          </w:p>
        </w:tc>
        <w:tc>
          <w:tcPr>
            <w:tcW w:w="1719" w:type="dxa"/>
            <w:tcBorders>
              <w:top w:val="nil"/>
              <w:left w:val="nil"/>
              <w:bottom w:val="single" w:sz="4" w:space="0" w:color="auto"/>
              <w:right w:val="single" w:sz="4" w:space="0" w:color="auto"/>
            </w:tcBorders>
            <w:shd w:val="clear" w:color="auto" w:fill="auto"/>
            <w:noWrap/>
            <w:vAlign w:val="bottom"/>
            <w:hideMark/>
          </w:tcPr>
          <w:p w14:paraId="1225418B"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827630</w:t>
            </w:r>
          </w:p>
        </w:tc>
      </w:tr>
      <w:tr w:rsidR="0065711B" w:rsidRPr="0065711B" w14:paraId="31F68BDB"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2F9E9685"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Less: Cost of sales</w:t>
            </w:r>
          </w:p>
        </w:tc>
        <w:tc>
          <w:tcPr>
            <w:tcW w:w="1719" w:type="dxa"/>
            <w:tcBorders>
              <w:top w:val="nil"/>
              <w:left w:val="nil"/>
              <w:bottom w:val="single" w:sz="4" w:space="0" w:color="auto"/>
              <w:right w:val="single" w:sz="4" w:space="0" w:color="auto"/>
            </w:tcBorders>
            <w:shd w:val="clear" w:color="auto" w:fill="auto"/>
            <w:noWrap/>
            <w:vAlign w:val="bottom"/>
            <w:hideMark/>
          </w:tcPr>
          <w:p w14:paraId="72012BB4"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578650</w:t>
            </w:r>
          </w:p>
        </w:tc>
      </w:tr>
      <w:tr w:rsidR="0065711B" w:rsidRPr="0065711B" w14:paraId="1A161DFE"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5A6026F3"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Gross profit</w:t>
            </w:r>
          </w:p>
        </w:tc>
        <w:tc>
          <w:tcPr>
            <w:tcW w:w="1719" w:type="dxa"/>
            <w:tcBorders>
              <w:top w:val="nil"/>
              <w:left w:val="nil"/>
              <w:bottom w:val="single" w:sz="4" w:space="0" w:color="auto"/>
              <w:right w:val="single" w:sz="4" w:space="0" w:color="auto"/>
            </w:tcBorders>
            <w:shd w:val="clear" w:color="auto" w:fill="auto"/>
            <w:noWrap/>
            <w:vAlign w:val="bottom"/>
            <w:hideMark/>
          </w:tcPr>
          <w:p w14:paraId="35C322AD" w14:textId="77777777" w:rsidR="0065711B" w:rsidRPr="0065711B" w:rsidRDefault="0065711B" w:rsidP="0065711B">
            <w:pPr>
              <w:spacing w:line="240" w:lineRule="auto"/>
              <w:jc w:val="right"/>
              <w:rPr>
                <w:rFonts w:eastAsia="Times New Roman"/>
                <w:b/>
                <w:bCs/>
                <w:color w:val="000000"/>
                <w:szCs w:val="24"/>
                <w:lang w:val="en-IN" w:eastAsia="en-IN"/>
              </w:rPr>
            </w:pPr>
            <w:r w:rsidRPr="0065711B">
              <w:rPr>
                <w:rFonts w:eastAsia="Times New Roman"/>
                <w:b/>
                <w:bCs/>
                <w:color w:val="000000"/>
                <w:szCs w:val="24"/>
                <w:lang w:val="en-IN" w:eastAsia="en-IN"/>
              </w:rPr>
              <w:t>248980</w:t>
            </w:r>
          </w:p>
        </w:tc>
      </w:tr>
      <w:tr w:rsidR="0065711B" w:rsidRPr="0065711B" w14:paraId="5C7A17BD"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5D895643"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Less: Expenses</w:t>
            </w:r>
          </w:p>
        </w:tc>
        <w:tc>
          <w:tcPr>
            <w:tcW w:w="1719" w:type="dxa"/>
            <w:tcBorders>
              <w:top w:val="nil"/>
              <w:left w:val="nil"/>
              <w:bottom w:val="single" w:sz="4" w:space="0" w:color="auto"/>
              <w:right w:val="single" w:sz="4" w:space="0" w:color="auto"/>
            </w:tcBorders>
            <w:shd w:val="clear" w:color="auto" w:fill="auto"/>
            <w:noWrap/>
            <w:vAlign w:val="bottom"/>
            <w:hideMark/>
          </w:tcPr>
          <w:p w14:paraId="78BF42FF"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r>
      <w:tr w:rsidR="0065711B" w:rsidRPr="0065711B" w14:paraId="1F1033E0"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52ED851A"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Administrative expenses</w:t>
            </w:r>
          </w:p>
        </w:tc>
        <w:tc>
          <w:tcPr>
            <w:tcW w:w="1719" w:type="dxa"/>
            <w:tcBorders>
              <w:top w:val="nil"/>
              <w:left w:val="nil"/>
              <w:bottom w:val="single" w:sz="4" w:space="0" w:color="auto"/>
              <w:right w:val="single" w:sz="4" w:space="0" w:color="auto"/>
            </w:tcBorders>
            <w:shd w:val="clear" w:color="auto" w:fill="auto"/>
            <w:noWrap/>
            <w:vAlign w:val="bottom"/>
            <w:hideMark/>
          </w:tcPr>
          <w:p w14:paraId="7D180F4F"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30000</w:t>
            </w:r>
          </w:p>
        </w:tc>
      </w:tr>
      <w:tr w:rsidR="0065711B" w:rsidRPr="0065711B" w14:paraId="0D427365"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4BA2DAB0"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Directors remuneration</w:t>
            </w:r>
          </w:p>
        </w:tc>
        <w:tc>
          <w:tcPr>
            <w:tcW w:w="1719" w:type="dxa"/>
            <w:tcBorders>
              <w:top w:val="nil"/>
              <w:left w:val="nil"/>
              <w:bottom w:val="single" w:sz="4" w:space="0" w:color="auto"/>
              <w:right w:val="single" w:sz="4" w:space="0" w:color="auto"/>
            </w:tcBorders>
            <w:shd w:val="clear" w:color="auto" w:fill="auto"/>
            <w:noWrap/>
            <w:vAlign w:val="bottom"/>
            <w:hideMark/>
          </w:tcPr>
          <w:p w14:paraId="41AC6243"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5000</w:t>
            </w:r>
          </w:p>
        </w:tc>
      </w:tr>
      <w:tr w:rsidR="0065711B" w:rsidRPr="0065711B" w14:paraId="580A854D"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49518F01"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Distribution costs</w:t>
            </w:r>
          </w:p>
        </w:tc>
        <w:tc>
          <w:tcPr>
            <w:tcW w:w="1719" w:type="dxa"/>
            <w:tcBorders>
              <w:top w:val="nil"/>
              <w:left w:val="nil"/>
              <w:bottom w:val="single" w:sz="4" w:space="0" w:color="auto"/>
              <w:right w:val="single" w:sz="4" w:space="0" w:color="auto"/>
            </w:tcBorders>
            <w:shd w:val="clear" w:color="auto" w:fill="auto"/>
            <w:noWrap/>
            <w:vAlign w:val="bottom"/>
            <w:hideMark/>
          </w:tcPr>
          <w:p w14:paraId="58E804BC"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28000</w:t>
            </w:r>
          </w:p>
        </w:tc>
      </w:tr>
      <w:tr w:rsidR="0065711B" w:rsidRPr="0065711B" w14:paraId="7810A47E"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26A8AF1E"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Outstanding commission to salesmen</w:t>
            </w:r>
          </w:p>
        </w:tc>
        <w:tc>
          <w:tcPr>
            <w:tcW w:w="1719" w:type="dxa"/>
            <w:tcBorders>
              <w:top w:val="nil"/>
              <w:left w:val="nil"/>
              <w:bottom w:val="single" w:sz="4" w:space="0" w:color="auto"/>
              <w:right w:val="single" w:sz="4" w:space="0" w:color="auto"/>
            </w:tcBorders>
            <w:shd w:val="clear" w:color="auto" w:fill="auto"/>
            <w:noWrap/>
            <w:vAlign w:val="bottom"/>
            <w:hideMark/>
          </w:tcPr>
          <w:p w14:paraId="3052EB10"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3000</w:t>
            </w:r>
          </w:p>
        </w:tc>
      </w:tr>
      <w:tr w:rsidR="0065711B" w:rsidRPr="0065711B" w14:paraId="43583CAE"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31837441"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Profit before interest and tax</w:t>
            </w:r>
          </w:p>
        </w:tc>
        <w:tc>
          <w:tcPr>
            <w:tcW w:w="1719" w:type="dxa"/>
            <w:tcBorders>
              <w:top w:val="nil"/>
              <w:left w:val="nil"/>
              <w:bottom w:val="single" w:sz="4" w:space="0" w:color="auto"/>
              <w:right w:val="single" w:sz="4" w:space="0" w:color="auto"/>
            </w:tcBorders>
            <w:shd w:val="clear" w:color="auto" w:fill="auto"/>
            <w:noWrap/>
            <w:vAlign w:val="bottom"/>
            <w:hideMark/>
          </w:tcPr>
          <w:p w14:paraId="1B0FAC78"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182980</w:t>
            </w:r>
          </w:p>
        </w:tc>
      </w:tr>
      <w:tr w:rsidR="0065711B" w:rsidRPr="0065711B" w14:paraId="676FC29A"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2B1CA4D2"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Interest paid</w:t>
            </w:r>
          </w:p>
        </w:tc>
        <w:tc>
          <w:tcPr>
            <w:tcW w:w="1719" w:type="dxa"/>
            <w:tcBorders>
              <w:top w:val="nil"/>
              <w:left w:val="nil"/>
              <w:bottom w:val="single" w:sz="4" w:space="0" w:color="auto"/>
              <w:right w:val="single" w:sz="4" w:space="0" w:color="auto"/>
            </w:tcBorders>
            <w:shd w:val="clear" w:color="auto" w:fill="auto"/>
            <w:noWrap/>
            <w:vAlign w:val="bottom"/>
            <w:hideMark/>
          </w:tcPr>
          <w:p w14:paraId="04EBDC51"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2000</w:t>
            </w:r>
          </w:p>
        </w:tc>
      </w:tr>
      <w:tr w:rsidR="0065711B" w:rsidRPr="0065711B" w14:paraId="16D4414E"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45896A1B"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Earnings after interest</w:t>
            </w:r>
          </w:p>
        </w:tc>
        <w:tc>
          <w:tcPr>
            <w:tcW w:w="1719" w:type="dxa"/>
            <w:tcBorders>
              <w:top w:val="nil"/>
              <w:left w:val="nil"/>
              <w:bottom w:val="single" w:sz="4" w:space="0" w:color="auto"/>
              <w:right w:val="single" w:sz="4" w:space="0" w:color="auto"/>
            </w:tcBorders>
            <w:shd w:val="clear" w:color="auto" w:fill="auto"/>
            <w:noWrap/>
            <w:vAlign w:val="bottom"/>
            <w:hideMark/>
          </w:tcPr>
          <w:p w14:paraId="43B877AF"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180980</w:t>
            </w:r>
          </w:p>
        </w:tc>
      </w:tr>
      <w:tr w:rsidR="0065711B" w:rsidRPr="0065711B" w14:paraId="7DC8C02F"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67DA00CF"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xml:space="preserve">Tax </w:t>
            </w:r>
          </w:p>
        </w:tc>
        <w:tc>
          <w:tcPr>
            <w:tcW w:w="1719" w:type="dxa"/>
            <w:tcBorders>
              <w:top w:val="nil"/>
              <w:left w:val="nil"/>
              <w:bottom w:val="single" w:sz="4" w:space="0" w:color="auto"/>
              <w:right w:val="single" w:sz="4" w:space="0" w:color="auto"/>
            </w:tcBorders>
            <w:shd w:val="clear" w:color="auto" w:fill="auto"/>
            <w:noWrap/>
            <w:vAlign w:val="bottom"/>
            <w:hideMark/>
          </w:tcPr>
          <w:p w14:paraId="315DFD3C"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68000</w:t>
            </w:r>
          </w:p>
        </w:tc>
      </w:tr>
      <w:tr w:rsidR="0065711B" w:rsidRPr="0065711B" w14:paraId="78277590" w14:textId="77777777" w:rsidTr="0065711B">
        <w:trPr>
          <w:trHeight w:val="315"/>
        </w:trPr>
        <w:tc>
          <w:tcPr>
            <w:tcW w:w="4217" w:type="dxa"/>
            <w:tcBorders>
              <w:top w:val="nil"/>
              <w:left w:val="single" w:sz="4" w:space="0" w:color="auto"/>
              <w:bottom w:val="single" w:sz="4" w:space="0" w:color="auto"/>
              <w:right w:val="single" w:sz="4" w:space="0" w:color="auto"/>
            </w:tcBorders>
            <w:shd w:val="clear" w:color="auto" w:fill="auto"/>
            <w:noWrap/>
            <w:vAlign w:val="bottom"/>
            <w:hideMark/>
          </w:tcPr>
          <w:p w14:paraId="1981BFAA"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Net profit</w:t>
            </w:r>
          </w:p>
        </w:tc>
        <w:tc>
          <w:tcPr>
            <w:tcW w:w="1719" w:type="dxa"/>
            <w:tcBorders>
              <w:top w:val="nil"/>
              <w:left w:val="nil"/>
              <w:bottom w:val="single" w:sz="4" w:space="0" w:color="auto"/>
              <w:right w:val="single" w:sz="4" w:space="0" w:color="auto"/>
            </w:tcBorders>
            <w:shd w:val="clear" w:color="auto" w:fill="auto"/>
            <w:noWrap/>
            <w:vAlign w:val="bottom"/>
            <w:hideMark/>
          </w:tcPr>
          <w:p w14:paraId="21A2A883" w14:textId="77777777" w:rsidR="0065711B" w:rsidRPr="0065711B" w:rsidRDefault="0065711B" w:rsidP="0065711B">
            <w:pPr>
              <w:spacing w:line="240" w:lineRule="auto"/>
              <w:jc w:val="right"/>
              <w:rPr>
                <w:rFonts w:eastAsia="Times New Roman"/>
                <w:b/>
                <w:bCs/>
                <w:color w:val="000000"/>
                <w:szCs w:val="24"/>
                <w:lang w:val="en-IN" w:eastAsia="en-IN"/>
              </w:rPr>
            </w:pPr>
            <w:r w:rsidRPr="0065711B">
              <w:rPr>
                <w:rFonts w:eastAsia="Times New Roman"/>
                <w:b/>
                <w:bCs/>
                <w:color w:val="000000"/>
                <w:szCs w:val="24"/>
                <w:lang w:val="en-IN" w:eastAsia="en-IN"/>
              </w:rPr>
              <w:t>112980</w:t>
            </w:r>
          </w:p>
        </w:tc>
      </w:tr>
    </w:tbl>
    <w:p w14:paraId="3742A421" w14:textId="11F4E508" w:rsidR="0065711B" w:rsidRDefault="0065711B" w:rsidP="00B16B71">
      <w:pPr>
        <w:rPr>
          <w:lang w:val="en-GB"/>
        </w:rPr>
      </w:pPr>
    </w:p>
    <w:tbl>
      <w:tblPr>
        <w:tblW w:w="6799" w:type="dxa"/>
        <w:tblLook w:val="04A0" w:firstRow="1" w:lastRow="0" w:firstColumn="1" w:lastColumn="0" w:noHBand="0" w:noVBand="1"/>
      </w:tblPr>
      <w:tblGrid>
        <w:gridCol w:w="5110"/>
        <w:gridCol w:w="1689"/>
      </w:tblGrid>
      <w:tr w:rsidR="0065711B" w:rsidRPr="0065711B" w14:paraId="7BEA514E" w14:textId="77777777" w:rsidTr="00D41C89">
        <w:trPr>
          <w:trHeight w:val="315"/>
        </w:trPr>
        <w:tc>
          <w:tcPr>
            <w:tcW w:w="6799"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6AAFE2" w14:textId="77777777" w:rsidR="0065711B" w:rsidRPr="0065711B" w:rsidRDefault="0065711B" w:rsidP="0065711B">
            <w:pPr>
              <w:spacing w:line="240" w:lineRule="auto"/>
              <w:jc w:val="center"/>
              <w:rPr>
                <w:rFonts w:eastAsia="Times New Roman"/>
                <w:b/>
                <w:bCs/>
                <w:color w:val="000000"/>
                <w:szCs w:val="24"/>
                <w:lang w:val="en-IN" w:eastAsia="en-IN"/>
              </w:rPr>
            </w:pPr>
            <w:r w:rsidRPr="0065711B">
              <w:rPr>
                <w:rFonts w:eastAsia="Times New Roman"/>
                <w:b/>
                <w:bCs/>
                <w:color w:val="000000"/>
                <w:szCs w:val="24"/>
                <w:lang w:val="en-IN" w:eastAsia="en-IN"/>
              </w:rPr>
              <w:t>Eccles plc</w:t>
            </w:r>
          </w:p>
        </w:tc>
      </w:tr>
      <w:tr w:rsidR="0065711B" w:rsidRPr="0065711B" w14:paraId="564D79E0" w14:textId="77777777" w:rsidTr="00D41C89">
        <w:trPr>
          <w:trHeight w:val="315"/>
        </w:trPr>
        <w:tc>
          <w:tcPr>
            <w:tcW w:w="6799"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3E263A" w14:textId="77777777" w:rsidR="0065711B" w:rsidRPr="0065711B" w:rsidRDefault="0065711B" w:rsidP="0065711B">
            <w:pPr>
              <w:spacing w:line="240" w:lineRule="auto"/>
              <w:jc w:val="center"/>
              <w:rPr>
                <w:rFonts w:eastAsia="Times New Roman"/>
                <w:b/>
                <w:bCs/>
                <w:color w:val="000000"/>
                <w:szCs w:val="24"/>
                <w:lang w:val="en-IN" w:eastAsia="en-IN"/>
              </w:rPr>
            </w:pPr>
            <w:r w:rsidRPr="0065711B">
              <w:rPr>
                <w:rFonts w:eastAsia="Times New Roman"/>
                <w:b/>
                <w:bCs/>
                <w:color w:val="000000"/>
                <w:szCs w:val="24"/>
                <w:lang w:val="en-IN" w:eastAsia="en-IN"/>
              </w:rPr>
              <w:t>Statement of financial position as at 31st December 2019</w:t>
            </w:r>
          </w:p>
        </w:tc>
      </w:tr>
      <w:tr w:rsidR="0065711B" w:rsidRPr="0065711B" w14:paraId="525AD971"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75497B69"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Particulars</w:t>
            </w:r>
          </w:p>
        </w:tc>
        <w:tc>
          <w:tcPr>
            <w:tcW w:w="1689" w:type="dxa"/>
            <w:tcBorders>
              <w:top w:val="nil"/>
              <w:left w:val="nil"/>
              <w:bottom w:val="single" w:sz="4" w:space="0" w:color="auto"/>
              <w:right w:val="single" w:sz="4" w:space="0" w:color="auto"/>
            </w:tcBorders>
            <w:shd w:val="clear" w:color="auto" w:fill="auto"/>
            <w:noWrap/>
            <w:vAlign w:val="bottom"/>
            <w:hideMark/>
          </w:tcPr>
          <w:p w14:paraId="1F1060B6"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Amount (in £)</w:t>
            </w:r>
          </w:p>
        </w:tc>
      </w:tr>
      <w:tr w:rsidR="0065711B" w:rsidRPr="0065711B" w14:paraId="5DA19B2A"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0254AE27"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ASSETS</w:t>
            </w:r>
          </w:p>
        </w:tc>
        <w:tc>
          <w:tcPr>
            <w:tcW w:w="1689" w:type="dxa"/>
            <w:tcBorders>
              <w:top w:val="nil"/>
              <w:left w:val="nil"/>
              <w:bottom w:val="single" w:sz="4" w:space="0" w:color="auto"/>
              <w:right w:val="single" w:sz="4" w:space="0" w:color="auto"/>
            </w:tcBorders>
            <w:shd w:val="clear" w:color="auto" w:fill="auto"/>
            <w:noWrap/>
            <w:vAlign w:val="bottom"/>
            <w:hideMark/>
          </w:tcPr>
          <w:p w14:paraId="05A9C971"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r>
      <w:tr w:rsidR="0065711B" w:rsidRPr="0065711B" w14:paraId="6DF36306"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1BCA840D"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Current assets</w:t>
            </w:r>
          </w:p>
        </w:tc>
        <w:tc>
          <w:tcPr>
            <w:tcW w:w="1689" w:type="dxa"/>
            <w:tcBorders>
              <w:top w:val="nil"/>
              <w:left w:val="nil"/>
              <w:bottom w:val="single" w:sz="4" w:space="0" w:color="auto"/>
              <w:right w:val="single" w:sz="4" w:space="0" w:color="auto"/>
            </w:tcBorders>
            <w:shd w:val="clear" w:color="auto" w:fill="auto"/>
            <w:noWrap/>
            <w:vAlign w:val="bottom"/>
            <w:hideMark/>
          </w:tcPr>
          <w:p w14:paraId="43389D32"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r>
      <w:tr w:rsidR="0065711B" w:rsidRPr="0065711B" w14:paraId="78993DF6"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2D2AD18B"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Stock</w:t>
            </w:r>
          </w:p>
        </w:tc>
        <w:tc>
          <w:tcPr>
            <w:tcW w:w="1689" w:type="dxa"/>
            <w:tcBorders>
              <w:top w:val="nil"/>
              <w:left w:val="nil"/>
              <w:bottom w:val="single" w:sz="4" w:space="0" w:color="auto"/>
              <w:right w:val="single" w:sz="4" w:space="0" w:color="auto"/>
            </w:tcBorders>
            <w:shd w:val="clear" w:color="auto" w:fill="auto"/>
            <w:noWrap/>
            <w:vAlign w:val="bottom"/>
            <w:hideMark/>
          </w:tcPr>
          <w:p w14:paraId="5EB59EC8"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330600</w:t>
            </w:r>
          </w:p>
        </w:tc>
      </w:tr>
      <w:tr w:rsidR="0065711B" w:rsidRPr="0065711B" w14:paraId="5AC14CC0"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29EB085F"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Debtors (170125+980)</w:t>
            </w:r>
          </w:p>
        </w:tc>
        <w:tc>
          <w:tcPr>
            <w:tcW w:w="1689" w:type="dxa"/>
            <w:tcBorders>
              <w:top w:val="nil"/>
              <w:left w:val="nil"/>
              <w:bottom w:val="single" w:sz="4" w:space="0" w:color="auto"/>
              <w:right w:val="single" w:sz="4" w:space="0" w:color="auto"/>
            </w:tcBorders>
            <w:shd w:val="clear" w:color="auto" w:fill="auto"/>
            <w:noWrap/>
            <w:vAlign w:val="bottom"/>
            <w:hideMark/>
          </w:tcPr>
          <w:p w14:paraId="38ACDDAF"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171105</w:t>
            </w:r>
          </w:p>
        </w:tc>
      </w:tr>
      <w:tr w:rsidR="0065711B" w:rsidRPr="0065711B" w14:paraId="1E375F4B"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44AA5B35" w14:textId="4BAE8C1B"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Cash and bank</w:t>
            </w:r>
            <w:r>
              <w:rPr>
                <w:rFonts w:eastAsia="Times New Roman"/>
                <w:color w:val="000000"/>
                <w:szCs w:val="24"/>
                <w:lang w:val="en-IN" w:eastAsia="en-IN"/>
              </w:rPr>
              <w:t xml:space="preserve"> (12900-68000)</w:t>
            </w:r>
          </w:p>
        </w:tc>
        <w:tc>
          <w:tcPr>
            <w:tcW w:w="1689" w:type="dxa"/>
            <w:tcBorders>
              <w:top w:val="nil"/>
              <w:left w:val="nil"/>
              <w:bottom w:val="single" w:sz="4" w:space="0" w:color="auto"/>
              <w:right w:val="single" w:sz="4" w:space="0" w:color="auto"/>
            </w:tcBorders>
            <w:shd w:val="clear" w:color="auto" w:fill="auto"/>
            <w:noWrap/>
            <w:vAlign w:val="bottom"/>
            <w:hideMark/>
          </w:tcPr>
          <w:p w14:paraId="5679EAF3"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-55100</w:t>
            </w:r>
          </w:p>
        </w:tc>
      </w:tr>
      <w:tr w:rsidR="0065711B" w:rsidRPr="0065711B" w14:paraId="22EC4E51"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4D4F931E"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c>
          <w:tcPr>
            <w:tcW w:w="1689" w:type="dxa"/>
            <w:tcBorders>
              <w:top w:val="nil"/>
              <w:left w:val="nil"/>
              <w:bottom w:val="single" w:sz="4" w:space="0" w:color="auto"/>
              <w:right w:val="single" w:sz="4" w:space="0" w:color="auto"/>
            </w:tcBorders>
            <w:shd w:val="clear" w:color="auto" w:fill="auto"/>
            <w:noWrap/>
            <w:vAlign w:val="bottom"/>
            <w:hideMark/>
          </w:tcPr>
          <w:p w14:paraId="00CBBBB2"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r>
      <w:tr w:rsidR="0065711B" w:rsidRPr="0065711B" w14:paraId="6ABCB12E"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5E854B2C"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Total current assets</w:t>
            </w:r>
          </w:p>
        </w:tc>
        <w:tc>
          <w:tcPr>
            <w:tcW w:w="1689" w:type="dxa"/>
            <w:tcBorders>
              <w:top w:val="nil"/>
              <w:left w:val="nil"/>
              <w:bottom w:val="single" w:sz="4" w:space="0" w:color="auto"/>
              <w:right w:val="single" w:sz="4" w:space="0" w:color="auto"/>
            </w:tcBorders>
            <w:shd w:val="clear" w:color="auto" w:fill="auto"/>
            <w:noWrap/>
            <w:vAlign w:val="bottom"/>
            <w:hideMark/>
          </w:tcPr>
          <w:p w14:paraId="3AA1C2D8" w14:textId="77777777" w:rsidR="0065711B" w:rsidRPr="0065711B" w:rsidRDefault="0065711B" w:rsidP="0065711B">
            <w:pPr>
              <w:spacing w:line="240" w:lineRule="auto"/>
              <w:jc w:val="right"/>
              <w:rPr>
                <w:rFonts w:eastAsia="Times New Roman"/>
                <w:b/>
                <w:bCs/>
                <w:color w:val="000000"/>
                <w:szCs w:val="24"/>
                <w:lang w:val="en-IN" w:eastAsia="en-IN"/>
              </w:rPr>
            </w:pPr>
            <w:r w:rsidRPr="0065711B">
              <w:rPr>
                <w:rFonts w:eastAsia="Times New Roman"/>
                <w:b/>
                <w:bCs/>
                <w:color w:val="000000"/>
                <w:szCs w:val="24"/>
                <w:lang w:val="en-IN" w:eastAsia="en-IN"/>
              </w:rPr>
              <w:t>446605</w:t>
            </w:r>
          </w:p>
        </w:tc>
      </w:tr>
      <w:tr w:rsidR="0065711B" w:rsidRPr="0065711B" w14:paraId="50CEBC1A"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63E6344F"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c>
          <w:tcPr>
            <w:tcW w:w="1689" w:type="dxa"/>
            <w:tcBorders>
              <w:top w:val="nil"/>
              <w:left w:val="nil"/>
              <w:bottom w:val="single" w:sz="4" w:space="0" w:color="auto"/>
              <w:right w:val="single" w:sz="4" w:space="0" w:color="auto"/>
            </w:tcBorders>
            <w:shd w:val="clear" w:color="auto" w:fill="auto"/>
            <w:noWrap/>
            <w:vAlign w:val="bottom"/>
            <w:hideMark/>
          </w:tcPr>
          <w:p w14:paraId="1171AB8B"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r>
      <w:tr w:rsidR="0065711B" w:rsidRPr="0065711B" w14:paraId="49F45FA5"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26130BA9"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Non-current assets</w:t>
            </w:r>
          </w:p>
        </w:tc>
        <w:tc>
          <w:tcPr>
            <w:tcW w:w="1689" w:type="dxa"/>
            <w:tcBorders>
              <w:top w:val="nil"/>
              <w:left w:val="nil"/>
              <w:bottom w:val="single" w:sz="4" w:space="0" w:color="auto"/>
              <w:right w:val="single" w:sz="4" w:space="0" w:color="auto"/>
            </w:tcBorders>
            <w:shd w:val="clear" w:color="auto" w:fill="auto"/>
            <w:noWrap/>
            <w:vAlign w:val="bottom"/>
            <w:hideMark/>
          </w:tcPr>
          <w:p w14:paraId="43B3208B"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r>
      <w:tr w:rsidR="0065711B" w:rsidRPr="0065711B" w14:paraId="37E4521F"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3F060D0A"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Plant and equipment</w:t>
            </w:r>
          </w:p>
        </w:tc>
        <w:tc>
          <w:tcPr>
            <w:tcW w:w="1689" w:type="dxa"/>
            <w:tcBorders>
              <w:top w:val="nil"/>
              <w:left w:val="nil"/>
              <w:bottom w:val="single" w:sz="4" w:space="0" w:color="auto"/>
              <w:right w:val="single" w:sz="4" w:space="0" w:color="auto"/>
            </w:tcBorders>
            <w:shd w:val="clear" w:color="auto" w:fill="auto"/>
            <w:noWrap/>
            <w:vAlign w:val="bottom"/>
            <w:hideMark/>
          </w:tcPr>
          <w:p w14:paraId="662F1923"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632730</w:t>
            </w:r>
          </w:p>
        </w:tc>
      </w:tr>
      <w:tr w:rsidR="0065711B" w:rsidRPr="0065711B" w14:paraId="2EBBF253"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4D2F3325"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Total Non-current assets</w:t>
            </w:r>
          </w:p>
        </w:tc>
        <w:tc>
          <w:tcPr>
            <w:tcW w:w="1689" w:type="dxa"/>
            <w:tcBorders>
              <w:top w:val="nil"/>
              <w:left w:val="nil"/>
              <w:bottom w:val="single" w:sz="4" w:space="0" w:color="auto"/>
              <w:right w:val="single" w:sz="4" w:space="0" w:color="auto"/>
            </w:tcBorders>
            <w:shd w:val="clear" w:color="auto" w:fill="auto"/>
            <w:noWrap/>
            <w:vAlign w:val="bottom"/>
            <w:hideMark/>
          </w:tcPr>
          <w:p w14:paraId="26CA0203" w14:textId="77777777" w:rsidR="0065711B" w:rsidRPr="0065711B" w:rsidRDefault="0065711B" w:rsidP="0065711B">
            <w:pPr>
              <w:spacing w:line="240" w:lineRule="auto"/>
              <w:jc w:val="right"/>
              <w:rPr>
                <w:rFonts w:eastAsia="Times New Roman"/>
                <w:b/>
                <w:bCs/>
                <w:color w:val="000000"/>
                <w:szCs w:val="24"/>
                <w:lang w:val="en-IN" w:eastAsia="en-IN"/>
              </w:rPr>
            </w:pPr>
            <w:r w:rsidRPr="0065711B">
              <w:rPr>
                <w:rFonts w:eastAsia="Times New Roman"/>
                <w:b/>
                <w:bCs/>
                <w:color w:val="000000"/>
                <w:szCs w:val="24"/>
                <w:lang w:val="en-IN" w:eastAsia="en-IN"/>
              </w:rPr>
              <w:t>632730</w:t>
            </w:r>
          </w:p>
        </w:tc>
      </w:tr>
      <w:tr w:rsidR="0065711B" w:rsidRPr="0065711B" w14:paraId="787326A2"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7B4C2DB2"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c>
          <w:tcPr>
            <w:tcW w:w="1689" w:type="dxa"/>
            <w:tcBorders>
              <w:top w:val="nil"/>
              <w:left w:val="nil"/>
              <w:bottom w:val="single" w:sz="4" w:space="0" w:color="auto"/>
              <w:right w:val="single" w:sz="4" w:space="0" w:color="auto"/>
            </w:tcBorders>
            <w:shd w:val="clear" w:color="auto" w:fill="auto"/>
            <w:noWrap/>
            <w:vAlign w:val="bottom"/>
            <w:hideMark/>
          </w:tcPr>
          <w:p w14:paraId="3481F3CF"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r>
      <w:tr w:rsidR="0065711B" w:rsidRPr="0065711B" w14:paraId="12CB0B3D"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749E1E44"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Total assets</w:t>
            </w:r>
          </w:p>
        </w:tc>
        <w:tc>
          <w:tcPr>
            <w:tcW w:w="1689" w:type="dxa"/>
            <w:tcBorders>
              <w:top w:val="nil"/>
              <w:left w:val="nil"/>
              <w:bottom w:val="single" w:sz="4" w:space="0" w:color="auto"/>
              <w:right w:val="single" w:sz="4" w:space="0" w:color="auto"/>
            </w:tcBorders>
            <w:shd w:val="clear" w:color="auto" w:fill="auto"/>
            <w:noWrap/>
            <w:vAlign w:val="bottom"/>
            <w:hideMark/>
          </w:tcPr>
          <w:p w14:paraId="70FC1BFF" w14:textId="77777777" w:rsidR="0065711B" w:rsidRPr="0065711B" w:rsidRDefault="0065711B" w:rsidP="0065711B">
            <w:pPr>
              <w:spacing w:line="240" w:lineRule="auto"/>
              <w:jc w:val="right"/>
              <w:rPr>
                <w:rFonts w:eastAsia="Times New Roman"/>
                <w:b/>
                <w:bCs/>
                <w:color w:val="000000"/>
                <w:szCs w:val="24"/>
                <w:lang w:val="en-IN" w:eastAsia="en-IN"/>
              </w:rPr>
            </w:pPr>
            <w:r w:rsidRPr="0065711B">
              <w:rPr>
                <w:rFonts w:eastAsia="Times New Roman"/>
                <w:b/>
                <w:bCs/>
                <w:color w:val="000000"/>
                <w:szCs w:val="24"/>
                <w:lang w:val="en-IN" w:eastAsia="en-IN"/>
              </w:rPr>
              <w:t>1079335</w:t>
            </w:r>
          </w:p>
        </w:tc>
      </w:tr>
      <w:tr w:rsidR="0065711B" w:rsidRPr="0065711B" w14:paraId="10A6494B"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127AD18B"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c>
          <w:tcPr>
            <w:tcW w:w="1689" w:type="dxa"/>
            <w:tcBorders>
              <w:top w:val="nil"/>
              <w:left w:val="nil"/>
              <w:bottom w:val="single" w:sz="4" w:space="0" w:color="auto"/>
              <w:right w:val="single" w:sz="4" w:space="0" w:color="auto"/>
            </w:tcBorders>
            <w:shd w:val="clear" w:color="auto" w:fill="auto"/>
            <w:noWrap/>
            <w:vAlign w:val="bottom"/>
            <w:hideMark/>
          </w:tcPr>
          <w:p w14:paraId="0CC585AF"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r>
      <w:tr w:rsidR="0065711B" w:rsidRPr="0065711B" w14:paraId="39549845"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565676FF"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LIABILITIES</w:t>
            </w:r>
          </w:p>
        </w:tc>
        <w:tc>
          <w:tcPr>
            <w:tcW w:w="1689" w:type="dxa"/>
            <w:tcBorders>
              <w:top w:val="nil"/>
              <w:left w:val="nil"/>
              <w:bottom w:val="single" w:sz="4" w:space="0" w:color="auto"/>
              <w:right w:val="single" w:sz="4" w:space="0" w:color="auto"/>
            </w:tcBorders>
            <w:shd w:val="clear" w:color="auto" w:fill="auto"/>
            <w:noWrap/>
            <w:vAlign w:val="bottom"/>
            <w:hideMark/>
          </w:tcPr>
          <w:p w14:paraId="4E1FE9AE"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r>
      <w:tr w:rsidR="0065711B" w:rsidRPr="0065711B" w14:paraId="15633EB0"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7D6263A8"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Current liabilities</w:t>
            </w:r>
          </w:p>
        </w:tc>
        <w:tc>
          <w:tcPr>
            <w:tcW w:w="1689" w:type="dxa"/>
            <w:tcBorders>
              <w:top w:val="nil"/>
              <w:left w:val="nil"/>
              <w:bottom w:val="single" w:sz="4" w:space="0" w:color="auto"/>
              <w:right w:val="single" w:sz="4" w:space="0" w:color="auto"/>
            </w:tcBorders>
            <w:shd w:val="clear" w:color="auto" w:fill="auto"/>
            <w:noWrap/>
            <w:vAlign w:val="bottom"/>
            <w:hideMark/>
          </w:tcPr>
          <w:p w14:paraId="42962702"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r>
      <w:tr w:rsidR="0065711B" w:rsidRPr="0065711B" w14:paraId="203B2856"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1B6899F1"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Accounts payable (Creditors)</w:t>
            </w:r>
          </w:p>
        </w:tc>
        <w:tc>
          <w:tcPr>
            <w:tcW w:w="1689" w:type="dxa"/>
            <w:tcBorders>
              <w:top w:val="nil"/>
              <w:left w:val="nil"/>
              <w:bottom w:val="single" w:sz="4" w:space="0" w:color="auto"/>
              <w:right w:val="single" w:sz="4" w:space="0" w:color="auto"/>
            </w:tcBorders>
            <w:shd w:val="clear" w:color="auto" w:fill="auto"/>
            <w:noWrap/>
            <w:vAlign w:val="bottom"/>
            <w:hideMark/>
          </w:tcPr>
          <w:p w14:paraId="16E66847"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171355</w:t>
            </w:r>
          </w:p>
        </w:tc>
      </w:tr>
      <w:tr w:rsidR="0065711B" w:rsidRPr="0065711B" w14:paraId="38B3A87C"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18873C18"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Outstanding commission to salesmen</w:t>
            </w:r>
          </w:p>
        </w:tc>
        <w:tc>
          <w:tcPr>
            <w:tcW w:w="1689" w:type="dxa"/>
            <w:tcBorders>
              <w:top w:val="nil"/>
              <w:left w:val="nil"/>
              <w:bottom w:val="single" w:sz="4" w:space="0" w:color="auto"/>
              <w:right w:val="single" w:sz="4" w:space="0" w:color="auto"/>
            </w:tcBorders>
            <w:shd w:val="clear" w:color="auto" w:fill="auto"/>
            <w:noWrap/>
            <w:vAlign w:val="bottom"/>
            <w:hideMark/>
          </w:tcPr>
          <w:p w14:paraId="171917D3"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3000</w:t>
            </w:r>
          </w:p>
        </w:tc>
      </w:tr>
      <w:tr w:rsidR="0065711B" w:rsidRPr="0065711B" w14:paraId="42A8F8AC"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5F5364AD" w14:textId="78568BA1"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Total current liabilities</w:t>
            </w:r>
          </w:p>
        </w:tc>
        <w:tc>
          <w:tcPr>
            <w:tcW w:w="1689" w:type="dxa"/>
            <w:tcBorders>
              <w:top w:val="nil"/>
              <w:left w:val="nil"/>
              <w:bottom w:val="single" w:sz="4" w:space="0" w:color="auto"/>
              <w:right w:val="single" w:sz="4" w:space="0" w:color="auto"/>
            </w:tcBorders>
            <w:shd w:val="clear" w:color="auto" w:fill="auto"/>
            <w:noWrap/>
            <w:vAlign w:val="bottom"/>
            <w:hideMark/>
          </w:tcPr>
          <w:p w14:paraId="1D4A3391" w14:textId="77777777" w:rsidR="0065711B" w:rsidRPr="0065711B" w:rsidRDefault="0065711B" w:rsidP="0065711B">
            <w:pPr>
              <w:spacing w:line="240" w:lineRule="auto"/>
              <w:jc w:val="right"/>
              <w:rPr>
                <w:rFonts w:eastAsia="Times New Roman"/>
                <w:b/>
                <w:bCs/>
                <w:color w:val="000000"/>
                <w:szCs w:val="24"/>
                <w:lang w:val="en-IN" w:eastAsia="en-IN"/>
              </w:rPr>
            </w:pPr>
            <w:r w:rsidRPr="0065711B">
              <w:rPr>
                <w:rFonts w:eastAsia="Times New Roman"/>
                <w:b/>
                <w:bCs/>
                <w:color w:val="000000"/>
                <w:szCs w:val="24"/>
                <w:lang w:val="en-IN" w:eastAsia="en-IN"/>
              </w:rPr>
              <w:t>174355</w:t>
            </w:r>
          </w:p>
        </w:tc>
      </w:tr>
      <w:tr w:rsidR="0065711B" w:rsidRPr="0065711B" w14:paraId="212836E5"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6758C4C2"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lastRenderedPageBreak/>
              <w:t>Non-current liabilities</w:t>
            </w:r>
          </w:p>
        </w:tc>
        <w:tc>
          <w:tcPr>
            <w:tcW w:w="1689" w:type="dxa"/>
            <w:tcBorders>
              <w:top w:val="nil"/>
              <w:left w:val="nil"/>
              <w:bottom w:val="single" w:sz="4" w:space="0" w:color="auto"/>
              <w:right w:val="single" w:sz="4" w:space="0" w:color="auto"/>
            </w:tcBorders>
            <w:shd w:val="clear" w:color="auto" w:fill="auto"/>
            <w:noWrap/>
            <w:vAlign w:val="bottom"/>
            <w:hideMark/>
          </w:tcPr>
          <w:p w14:paraId="5381445B"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 </w:t>
            </w:r>
          </w:p>
        </w:tc>
      </w:tr>
      <w:tr w:rsidR="0065711B" w:rsidRPr="0065711B" w14:paraId="7F94F04F"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1ECEAEE2"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Share capital (310000+300000)</w:t>
            </w:r>
          </w:p>
        </w:tc>
        <w:tc>
          <w:tcPr>
            <w:tcW w:w="1689" w:type="dxa"/>
            <w:tcBorders>
              <w:top w:val="nil"/>
              <w:left w:val="nil"/>
              <w:bottom w:val="single" w:sz="4" w:space="0" w:color="auto"/>
              <w:right w:val="single" w:sz="4" w:space="0" w:color="auto"/>
            </w:tcBorders>
            <w:shd w:val="clear" w:color="auto" w:fill="auto"/>
            <w:noWrap/>
            <w:vAlign w:val="bottom"/>
            <w:hideMark/>
          </w:tcPr>
          <w:p w14:paraId="7A17D6B6"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610000</w:t>
            </w:r>
          </w:p>
        </w:tc>
      </w:tr>
      <w:tr w:rsidR="0065711B" w:rsidRPr="0065711B" w14:paraId="36779AEF"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0FD411FF"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4% Debentures</w:t>
            </w:r>
          </w:p>
        </w:tc>
        <w:tc>
          <w:tcPr>
            <w:tcW w:w="1689" w:type="dxa"/>
            <w:tcBorders>
              <w:top w:val="nil"/>
              <w:left w:val="nil"/>
              <w:bottom w:val="single" w:sz="4" w:space="0" w:color="auto"/>
              <w:right w:val="single" w:sz="4" w:space="0" w:color="auto"/>
            </w:tcBorders>
            <w:shd w:val="clear" w:color="auto" w:fill="auto"/>
            <w:noWrap/>
            <w:vAlign w:val="bottom"/>
            <w:hideMark/>
          </w:tcPr>
          <w:p w14:paraId="55C30A86"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100000</w:t>
            </w:r>
          </w:p>
        </w:tc>
      </w:tr>
      <w:tr w:rsidR="0065711B" w:rsidRPr="0065711B" w14:paraId="73798261"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257F9E04" w14:textId="77777777"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Retained profits at 1st January 2018 (132000-50000)</w:t>
            </w:r>
          </w:p>
        </w:tc>
        <w:tc>
          <w:tcPr>
            <w:tcW w:w="1689" w:type="dxa"/>
            <w:tcBorders>
              <w:top w:val="nil"/>
              <w:left w:val="nil"/>
              <w:bottom w:val="single" w:sz="4" w:space="0" w:color="auto"/>
              <w:right w:val="single" w:sz="4" w:space="0" w:color="auto"/>
            </w:tcBorders>
            <w:shd w:val="clear" w:color="auto" w:fill="auto"/>
            <w:noWrap/>
            <w:vAlign w:val="bottom"/>
            <w:hideMark/>
          </w:tcPr>
          <w:p w14:paraId="2BDDB51A"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82000</w:t>
            </w:r>
          </w:p>
        </w:tc>
      </w:tr>
      <w:tr w:rsidR="0065711B" w:rsidRPr="0065711B" w14:paraId="084F4A73"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178BBE93" w14:textId="379ECF39" w:rsidR="0065711B" w:rsidRPr="0065711B" w:rsidRDefault="0065711B" w:rsidP="0065711B">
            <w:pPr>
              <w:spacing w:line="240" w:lineRule="auto"/>
              <w:jc w:val="left"/>
              <w:rPr>
                <w:rFonts w:eastAsia="Times New Roman"/>
                <w:color w:val="000000"/>
                <w:szCs w:val="24"/>
                <w:lang w:val="en-IN" w:eastAsia="en-IN"/>
              </w:rPr>
            </w:pPr>
            <w:r w:rsidRPr="0065711B">
              <w:rPr>
                <w:rFonts w:eastAsia="Times New Roman"/>
                <w:color w:val="000000"/>
                <w:szCs w:val="24"/>
                <w:lang w:val="en-IN" w:eastAsia="en-IN"/>
              </w:rPr>
              <w:t>Net profit</w:t>
            </w:r>
            <w:r w:rsidR="00D41C89">
              <w:rPr>
                <w:rFonts w:eastAsia="Times New Roman"/>
                <w:color w:val="000000"/>
                <w:szCs w:val="24"/>
                <w:lang w:val="en-IN" w:eastAsia="en-IN"/>
              </w:rPr>
              <w:t xml:space="preserve"> for the year ended 31</w:t>
            </w:r>
            <w:r w:rsidR="00D41C89" w:rsidRPr="00D41C89">
              <w:rPr>
                <w:rFonts w:eastAsia="Times New Roman"/>
                <w:color w:val="000000"/>
                <w:szCs w:val="24"/>
                <w:vertAlign w:val="superscript"/>
                <w:lang w:val="en-IN" w:eastAsia="en-IN"/>
              </w:rPr>
              <w:t>st</w:t>
            </w:r>
            <w:r w:rsidR="00D41C89">
              <w:rPr>
                <w:rFonts w:eastAsia="Times New Roman"/>
                <w:color w:val="000000"/>
                <w:szCs w:val="24"/>
                <w:lang w:val="en-IN" w:eastAsia="en-IN"/>
              </w:rPr>
              <w:t xml:space="preserve"> December 2019</w:t>
            </w:r>
          </w:p>
        </w:tc>
        <w:tc>
          <w:tcPr>
            <w:tcW w:w="1689" w:type="dxa"/>
            <w:tcBorders>
              <w:top w:val="nil"/>
              <w:left w:val="nil"/>
              <w:bottom w:val="single" w:sz="4" w:space="0" w:color="auto"/>
              <w:right w:val="single" w:sz="4" w:space="0" w:color="auto"/>
            </w:tcBorders>
            <w:shd w:val="clear" w:color="auto" w:fill="auto"/>
            <w:noWrap/>
            <w:vAlign w:val="bottom"/>
            <w:hideMark/>
          </w:tcPr>
          <w:p w14:paraId="671AC047" w14:textId="77777777" w:rsidR="0065711B" w:rsidRPr="0065711B" w:rsidRDefault="0065711B" w:rsidP="0065711B">
            <w:pPr>
              <w:spacing w:line="240" w:lineRule="auto"/>
              <w:jc w:val="right"/>
              <w:rPr>
                <w:rFonts w:eastAsia="Times New Roman"/>
                <w:color w:val="000000"/>
                <w:szCs w:val="24"/>
                <w:lang w:val="en-IN" w:eastAsia="en-IN"/>
              </w:rPr>
            </w:pPr>
            <w:r w:rsidRPr="0065711B">
              <w:rPr>
                <w:rFonts w:eastAsia="Times New Roman"/>
                <w:color w:val="000000"/>
                <w:szCs w:val="24"/>
                <w:lang w:val="en-IN" w:eastAsia="en-IN"/>
              </w:rPr>
              <w:t>112980</w:t>
            </w:r>
          </w:p>
        </w:tc>
      </w:tr>
      <w:tr w:rsidR="0065711B" w:rsidRPr="0065711B" w14:paraId="005F9271"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64E7CB68"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Total Non-current liabilities</w:t>
            </w:r>
          </w:p>
        </w:tc>
        <w:tc>
          <w:tcPr>
            <w:tcW w:w="1689" w:type="dxa"/>
            <w:tcBorders>
              <w:top w:val="nil"/>
              <w:left w:val="nil"/>
              <w:bottom w:val="single" w:sz="4" w:space="0" w:color="auto"/>
              <w:right w:val="single" w:sz="4" w:space="0" w:color="auto"/>
            </w:tcBorders>
            <w:shd w:val="clear" w:color="auto" w:fill="auto"/>
            <w:noWrap/>
            <w:vAlign w:val="bottom"/>
            <w:hideMark/>
          </w:tcPr>
          <w:p w14:paraId="2B734660" w14:textId="77777777" w:rsidR="0065711B" w:rsidRPr="0065711B" w:rsidRDefault="0065711B" w:rsidP="0065711B">
            <w:pPr>
              <w:spacing w:line="240" w:lineRule="auto"/>
              <w:jc w:val="right"/>
              <w:rPr>
                <w:rFonts w:eastAsia="Times New Roman"/>
                <w:b/>
                <w:bCs/>
                <w:color w:val="000000"/>
                <w:szCs w:val="24"/>
                <w:lang w:val="en-IN" w:eastAsia="en-IN"/>
              </w:rPr>
            </w:pPr>
            <w:r w:rsidRPr="0065711B">
              <w:rPr>
                <w:rFonts w:eastAsia="Times New Roman"/>
                <w:b/>
                <w:bCs/>
                <w:color w:val="000000"/>
                <w:szCs w:val="24"/>
                <w:lang w:val="en-IN" w:eastAsia="en-IN"/>
              </w:rPr>
              <w:t>904980</w:t>
            </w:r>
          </w:p>
        </w:tc>
      </w:tr>
      <w:tr w:rsidR="0065711B" w:rsidRPr="0065711B" w14:paraId="31AA15F1" w14:textId="77777777" w:rsidTr="00D41C89">
        <w:trPr>
          <w:trHeight w:val="315"/>
        </w:trPr>
        <w:tc>
          <w:tcPr>
            <w:tcW w:w="5110" w:type="dxa"/>
            <w:tcBorders>
              <w:top w:val="nil"/>
              <w:left w:val="single" w:sz="4" w:space="0" w:color="auto"/>
              <w:bottom w:val="single" w:sz="4" w:space="0" w:color="auto"/>
              <w:right w:val="single" w:sz="4" w:space="0" w:color="auto"/>
            </w:tcBorders>
            <w:shd w:val="clear" w:color="auto" w:fill="auto"/>
            <w:noWrap/>
            <w:vAlign w:val="bottom"/>
            <w:hideMark/>
          </w:tcPr>
          <w:p w14:paraId="6D81AA0D" w14:textId="77777777" w:rsidR="0065711B" w:rsidRPr="0065711B" w:rsidRDefault="0065711B" w:rsidP="0065711B">
            <w:pPr>
              <w:spacing w:line="240" w:lineRule="auto"/>
              <w:jc w:val="left"/>
              <w:rPr>
                <w:rFonts w:eastAsia="Times New Roman"/>
                <w:b/>
                <w:bCs/>
                <w:color w:val="000000"/>
                <w:szCs w:val="24"/>
                <w:lang w:val="en-IN" w:eastAsia="en-IN"/>
              </w:rPr>
            </w:pPr>
            <w:r w:rsidRPr="0065711B">
              <w:rPr>
                <w:rFonts w:eastAsia="Times New Roman"/>
                <w:b/>
                <w:bCs/>
                <w:color w:val="000000"/>
                <w:szCs w:val="24"/>
                <w:lang w:val="en-IN" w:eastAsia="en-IN"/>
              </w:rPr>
              <w:t>Total liabilities</w:t>
            </w:r>
          </w:p>
        </w:tc>
        <w:tc>
          <w:tcPr>
            <w:tcW w:w="1689" w:type="dxa"/>
            <w:tcBorders>
              <w:top w:val="nil"/>
              <w:left w:val="nil"/>
              <w:bottom w:val="single" w:sz="4" w:space="0" w:color="auto"/>
              <w:right w:val="single" w:sz="4" w:space="0" w:color="auto"/>
            </w:tcBorders>
            <w:shd w:val="clear" w:color="auto" w:fill="auto"/>
            <w:noWrap/>
            <w:vAlign w:val="bottom"/>
            <w:hideMark/>
          </w:tcPr>
          <w:p w14:paraId="2265ACFC" w14:textId="77777777" w:rsidR="0065711B" w:rsidRPr="0065711B" w:rsidRDefault="0065711B" w:rsidP="0065711B">
            <w:pPr>
              <w:spacing w:line="240" w:lineRule="auto"/>
              <w:jc w:val="right"/>
              <w:rPr>
                <w:rFonts w:eastAsia="Times New Roman"/>
                <w:b/>
                <w:bCs/>
                <w:color w:val="000000"/>
                <w:szCs w:val="24"/>
                <w:lang w:val="en-IN" w:eastAsia="en-IN"/>
              </w:rPr>
            </w:pPr>
            <w:r w:rsidRPr="0065711B">
              <w:rPr>
                <w:rFonts w:eastAsia="Times New Roman"/>
                <w:b/>
                <w:bCs/>
                <w:color w:val="000000"/>
                <w:szCs w:val="24"/>
                <w:lang w:val="en-IN" w:eastAsia="en-IN"/>
              </w:rPr>
              <w:t>1079335</w:t>
            </w:r>
          </w:p>
        </w:tc>
      </w:tr>
    </w:tbl>
    <w:p w14:paraId="7B033041" w14:textId="77777777" w:rsidR="0065711B" w:rsidRDefault="0065711B" w:rsidP="00B16B71">
      <w:pPr>
        <w:rPr>
          <w:lang w:val="en-GB"/>
        </w:rPr>
      </w:pPr>
    </w:p>
    <w:p w14:paraId="38F9EC29" w14:textId="0E8A5138" w:rsidR="0065711B" w:rsidRDefault="00F04FE6" w:rsidP="00206E9B">
      <w:pPr>
        <w:pStyle w:val="Heading2"/>
      </w:pPr>
      <w:bookmarkStart w:id="2" w:name="_Toc55918526"/>
      <w:r>
        <w:t>b)</w:t>
      </w:r>
      <w:r w:rsidR="00206E9B">
        <w:t xml:space="preserve"> Evaluating why </w:t>
      </w:r>
      <w:r w:rsidR="00206E9B" w:rsidRPr="00206E9B">
        <w:t>the statement of financial position balances</w:t>
      </w:r>
      <w:bookmarkEnd w:id="2"/>
    </w:p>
    <w:p w14:paraId="6B5A97C6" w14:textId="0C667924" w:rsidR="00681BCF" w:rsidRPr="00681BCF" w:rsidRDefault="00172211" w:rsidP="00D9582C">
      <w:pPr>
        <w:tabs>
          <w:tab w:val="left" w:pos="851"/>
        </w:tabs>
        <w:rPr>
          <w:lang w:val="en-GB"/>
        </w:rPr>
      </w:pPr>
      <w:r>
        <w:rPr>
          <w:lang w:val="en-GB"/>
        </w:rPr>
        <w:tab/>
        <w:t>T</w:t>
      </w:r>
      <w:r w:rsidR="00EE5C01">
        <w:rPr>
          <w:lang w:val="en-GB"/>
        </w:rPr>
        <w:t>he statement of position is one of the most important financial statements</w:t>
      </w:r>
      <w:r>
        <w:rPr>
          <w:lang w:val="en-GB"/>
        </w:rPr>
        <w:t xml:space="preserve"> as it provides</w:t>
      </w:r>
      <w:r w:rsidR="00EE5C01">
        <w:rPr>
          <w:lang w:val="en-GB"/>
        </w:rPr>
        <w:t xml:space="preserve"> </w:t>
      </w:r>
      <w:r>
        <w:rPr>
          <w:lang w:val="en-GB"/>
        </w:rPr>
        <w:t xml:space="preserve">information on the firms’ assets, liabilities and any difference between the two as of the date of that accounting period. </w:t>
      </w:r>
      <w:r w:rsidR="00415E2D">
        <w:rPr>
          <w:lang w:val="en-GB"/>
        </w:rPr>
        <w:t>This statement must reflect the basic accounting principles and the standards</w:t>
      </w:r>
      <w:r w:rsidR="00AE64E0">
        <w:rPr>
          <w:lang w:val="en-GB"/>
        </w:rPr>
        <w:t xml:space="preserve">. </w:t>
      </w:r>
      <w:r w:rsidR="00395F25">
        <w:rPr>
          <w:lang w:val="en-GB"/>
        </w:rPr>
        <w:t xml:space="preserve">The balance sheet is prepared in such a way that all the assets of a business entity is equivalent to the sum total </w:t>
      </w:r>
      <w:r w:rsidR="009322AE">
        <w:rPr>
          <w:lang w:val="en-GB"/>
        </w:rPr>
        <w:t>o</w:t>
      </w:r>
      <w:r w:rsidR="00395F25">
        <w:rPr>
          <w:lang w:val="en-GB"/>
        </w:rPr>
        <w:t>f entire amount of liabilities and the equity</w:t>
      </w:r>
      <w:r w:rsidR="002F5047">
        <w:rPr>
          <w:lang w:val="en-GB"/>
        </w:rPr>
        <w:t xml:space="preserve"> (</w:t>
      </w:r>
      <w:r w:rsidR="002F5047" w:rsidRPr="002F5047">
        <w:rPr>
          <w:szCs w:val="24"/>
          <w:shd w:val="clear" w:color="auto" w:fill="FFFFFF"/>
        </w:rPr>
        <w:t>Daniel, Marioara and Isabela, 2017</w:t>
      </w:r>
      <w:r w:rsidR="002F5047">
        <w:rPr>
          <w:lang w:val="en-GB"/>
        </w:rPr>
        <w:t>)</w:t>
      </w:r>
      <w:r w:rsidR="009322AE">
        <w:rPr>
          <w:lang w:val="en-GB"/>
        </w:rPr>
        <w:t xml:space="preserve">. The reason why balance sheet is always at the equilibrium is because of the reason that the assets of the firm </w:t>
      </w:r>
      <w:r w:rsidR="00E74665">
        <w:rPr>
          <w:lang w:val="en-GB"/>
        </w:rPr>
        <w:t xml:space="preserve">might have being financed from the internal sources, for instance, the share capital and the profits of the company or from the external sources like lenders, loan from the bank, trade creditors and so </w:t>
      </w:r>
      <w:r w:rsidR="00061BF2">
        <w:rPr>
          <w:lang w:val="en-GB"/>
        </w:rPr>
        <w:t>forth</w:t>
      </w:r>
      <w:r w:rsidR="00E74665">
        <w:rPr>
          <w:lang w:val="en-GB"/>
        </w:rPr>
        <w:t xml:space="preserve">. </w:t>
      </w:r>
      <w:r w:rsidR="00AC4DF4">
        <w:rPr>
          <w:lang w:val="en-GB"/>
        </w:rPr>
        <w:t>Therefore, the total assets of the business must be equivalent to the amount of the capital invested by the business owners in the form of share capital or profits or any other form of borrowings, thus, the total assets of the entity must to equivalent to the sum total of the total liabilities and equity of that entity. This has resulted into the accounting equation of Total assets = Total liabilities + Equity.</w:t>
      </w:r>
    </w:p>
    <w:p w14:paraId="64E47002" w14:textId="134AC782" w:rsidR="00206E9B" w:rsidRDefault="00206E9B" w:rsidP="00206E9B">
      <w:pPr>
        <w:pStyle w:val="Heading1"/>
      </w:pPr>
      <w:bookmarkStart w:id="3" w:name="_Toc55918527"/>
      <w:r w:rsidRPr="00206E9B">
        <w:t>QUESTION 2</w:t>
      </w:r>
      <w:bookmarkEnd w:id="3"/>
    </w:p>
    <w:p w14:paraId="36D48E3C" w14:textId="66A41019" w:rsidR="00206E9B" w:rsidRDefault="00206E9B" w:rsidP="00206E9B">
      <w:pPr>
        <w:pStyle w:val="Heading2"/>
      </w:pPr>
      <w:bookmarkStart w:id="4" w:name="_Toc55918528"/>
      <w:r>
        <w:t xml:space="preserve">a) </w:t>
      </w:r>
      <w:r w:rsidRPr="00206E9B">
        <w:t>Schedule of ratios for Chocco plc for 2019 and 2018</w:t>
      </w:r>
      <w:bookmarkEnd w:id="4"/>
    </w:p>
    <w:tbl>
      <w:tblPr>
        <w:tblW w:w="5000" w:type="pct"/>
        <w:tblLook w:val="04A0" w:firstRow="1" w:lastRow="0" w:firstColumn="1" w:lastColumn="0" w:noHBand="0" w:noVBand="1"/>
      </w:tblPr>
      <w:tblGrid>
        <w:gridCol w:w="2820"/>
        <w:gridCol w:w="4062"/>
        <w:gridCol w:w="1067"/>
        <w:gridCol w:w="1067"/>
      </w:tblGrid>
      <w:tr w:rsidR="00603B67" w:rsidRPr="00603B67" w14:paraId="633E7A47" w14:textId="77777777" w:rsidTr="00603B67">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90CE13" w14:textId="77777777" w:rsidR="00603B67" w:rsidRPr="00603B67" w:rsidRDefault="00603B67" w:rsidP="00603B67">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Ratio analysis of Chocco plc</w:t>
            </w:r>
          </w:p>
        </w:tc>
      </w:tr>
      <w:tr w:rsidR="00603B67" w:rsidRPr="00603B67" w14:paraId="44B7A3F6"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6EE5EBA7" w14:textId="77777777" w:rsidR="00603B67" w:rsidRPr="00603B67" w:rsidRDefault="00603B67" w:rsidP="00603B67">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 </w:t>
            </w:r>
          </w:p>
        </w:tc>
        <w:tc>
          <w:tcPr>
            <w:tcW w:w="1865" w:type="pct"/>
            <w:tcBorders>
              <w:top w:val="nil"/>
              <w:left w:val="nil"/>
              <w:bottom w:val="single" w:sz="4" w:space="0" w:color="auto"/>
              <w:right w:val="single" w:sz="4" w:space="0" w:color="auto"/>
            </w:tcBorders>
            <w:shd w:val="clear" w:color="auto" w:fill="auto"/>
            <w:vAlign w:val="bottom"/>
            <w:hideMark/>
          </w:tcPr>
          <w:p w14:paraId="058E5B29" w14:textId="77777777" w:rsidR="00603B67" w:rsidRPr="00603B67" w:rsidRDefault="00603B67" w:rsidP="00603B67">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 </w:t>
            </w:r>
          </w:p>
        </w:tc>
        <w:tc>
          <w:tcPr>
            <w:tcW w:w="721" w:type="pct"/>
            <w:tcBorders>
              <w:top w:val="nil"/>
              <w:left w:val="nil"/>
              <w:bottom w:val="single" w:sz="4" w:space="0" w:color="auto"/>
              <w:right w:val="single" w:sz="4" w:space="0" w:color="auto"/>
            </w:tcBorders>
            <w:shd w:val="clear" w:color="auto" w:fill="auto"/>
            <w:vAlign w:val="bottom"/>
            <w:hideMark/>
          </w:tcPr>
          <w:p w14:paraId="414BE02D" w14:textId="77777777" w:rsidR="00603B67" w:rsidRPr="00603B67" w:rsidRDefault="00603B67" w:rsidP="00603B67">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2019</w:t>
            </w:r>
          </w:p>
        </w:tc>
        <w:tc>
          <w:tcPr>
            <w:tcW w:w="721" w:type="pct"/>
            <w:tcBorders>
              <w:top w:val="nil"/>
              <w:left w:val="nil"/>
              <w:bottom w:val="single" w:sz="4" w:space="0" w:color="auto"/>
              <w:right w:val="single" w:sz="4" w:space="0" w:color="auto"/>
            </w:tcBorders>
            <w:shd w:val="clear" w:color="auto" w:fill="auto"/>
            <w:vAlign w:val="bottom"/>
            <w:hideMark/>
          </w:tcPr>
          <w:p w14:paraId="16E4059A" w14:textId="77777777" w:rsidR="00603B67" w:rsidRPr="00603B67" w:rsidRDefault="00603B67" w:rsidP="00603B67">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2018</w:t>
            </w:r>
          </w:p>
        </w:tc>
      </w:tr>
      <w:tr w:rsidR="00603B67" w:rsidRPr="00603B67" w14:paraId="0072A8D6" w14:textId="77777777" w:rsidTr="00603B67">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000000" w:fill="9BC2E6"/>
            <w:vAlign w:val="bottom"/>
            <w:hideMark/>
          </w:tcPr>
          <w:p w14:paraId="5419E4FD" w14:textId="77777777" w:rsidR="00603B67" w:rsidRPr="00603B67" w:rsidRDefault="00603B67" w:rsidP="00603B67">
            <w:pPr>
              <w:spacing w:line="240" w:lineRule="auto"/>
              <w:jc w:val="center"/>
              <w:rPr>
                <w:rFonts w:eastAsia="Times New Roman"/>
                <w:b/>
                <w:bCs/>
                <w:i/>
                <w:iCs/>
                <w:color w:val="000000"/>
                <w:szCs w:val="24"/>
                <w:u w:val="single"/>
                <w:lang w:val="en-IN" w:eastAsia="en-IN"/>
              </w:rPr>
            </w:pPr>
            <w:r w:rsidRPr="00603B67">
              <w:rPr>
                <w:rFonts w:eastAsia="Times New Roman"/>
                <w:b/>
                <w:bCs/>
                <w:i/>
                <w:iCs/>
                <w:color w:val="000000"/>
                <w:szCs w:val="24"/>
                <w:u w:val="single"/>
                <w:lang w:val="en-IN" w:eastAsia="en-IN"/>
              </w:rPr>
              <w:t>Liquidity ratio</w:t>
            </w:r>
          </w:p>
        </w:tc>
      </w:tr>
      <w:tr w:rsidR="00603B67" w:rsidRPr="00603B67" w14:paraId="368F3191" w14:textId="77777777" w:rsidTr="008E6983">
        <w:trPr>
          <w:trHeight w:val="453"/>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49C3D4EF"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Current assets</w:t>
            </w:r>
          </w:p>
        </w:tc>
        <w:tc>
          <w:tcPr>
            <w:tcW w:w="1865" w:type="pct"/>
            <w:tcBorders>
              <w:top w:val="nil"/>
              <w:left w:val="nil"/>
              <w:bottom w:val="single" w:sz="4" w:space="0" w:color="auto"/>
              <w:right w:val="single" w:sz="4" w:space="0" w:color="auto"/>
            </w:tcBorders>
            <w:shd w:val="clear" w:color="auto" w:fill="auto"/>
            <w:vAlign w:val="bottom"/>
            <w:hideMark/>
          </w:tcPr>
          <w:p w14:paraId="78CCC1B1" w14:textId="238B7165"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622FAC0B"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2303</w:t>
            </w:r>
          </w:p>
        </w:tc>
        <w:tc>
          <w:tcPr>
            <w:tcW w:w="721" w:type="pct"/>
            <w:tcBorders>
              <w:top w:val="nil"/>
              <w:left w:val="nil"/>
              <w:bottom w:val="single" w:sz="4" w:space="0" w:color="auto"/>
              <w:right w:val="single" w:sz="4" w:space="0" w:color="auto"/>
            </w:tcBorders>
            <w:shd w:val="clear" w:color="auto" w:fill="auto"/>
            <w:vAlign w:val="bottom"/>
            <w:hideMark/>
          </w:tcPr>
          <w:p w14:paraId="59E80EDE"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2355</w:t>
            </w:r>
          </w:p>
        </w:tc>
      </w:tr>
      <w:tr w:rsidR="00603B67" w:rsidRPr="00603B67" w14:paraId="6CDD2760" w14:textId="77777777" w:rsidTr="00603B67">
        <w:trPr>
          <w:trHeight w:val="377"/>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2E6D5621"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Current liability</w:t>
            </w:r>
          </w:p>
        </w:tc>
        <w:tc>
          <w:tcPr>
            <w:tcW w:w="1865" w:type="pct"/>
            <w:tcBorders>
              <w:top w:val="nil"/>
              <w:left w:val="nil"/>
              <w:bottom w:val="single" w:sz="4" w:space="0" w:color="auto"/>
              <w:right w:val="single" w:sz="4" w:space="0" w:color="auto"/>
            </w:tcBorders>
            <w:shd w:val="clear" w:color="auto" w:fill="auto"/>
            <w:vAlign w:val="bottom"/>
            <w:hideMark/>
          </w:tcPr>
          <w:p w14:paraId="338DEA49" w14:textId="3789E557"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6661B222"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2511</w:t>
            </w:r>
          </w:p>
        </w:tc>
        <w:tc>
          <w:tcPr>
            <w:tcW w:w="721" w:type="pct"/>
            <w:tcBorders>
              <w:top w:val="nil"/>
              <w:left w:val="nil"/>
              <w:bottom w:val="single" w:sz="4" w:space="0" w:color="auto"/>
              <w:right w:val="single" w:sz="4" w:space="0" w:color="auto"/>
            </w:tcBorders>
            <w:shd w:val="clear" w:color="auto" w:fill="auto"/>
            <w:vAlign w:val="bottom"/>
            <w:hideMark/>
          </w:tcPr>
          <w:p w14:paraId="4CFBA45B"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3046</w:t>
            </w:r>
          </w:p>
        </w:tc>
      </w:tr>
      <w:tr w:rsidR="00603B67" w:rsidRPr="00603B67" w14:paraId="2D76F42A" w14:textId="77777777" w:rsidTr="008E6983">
        <w:trPr>
          <w:trHeight w:val="451"/>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7B3C726D"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Inventory</w:t>
            </w:r>
          </w:p>
        </w:tc>
        <w:tc>
          <w:tcPr>
            <w:tcW w:w="1865" w:type="pct"/>
            <w:tcBorders>
              <w:top w:val="nil"/>
              <w:left w:val="nil"/>
              <w:bottom w:val="single" w:sz="4" w:space="0" w:color="auto"/>
              <w:right w:val="single" w:sz="4" w:space="0" w:color="auto"/>
            </w:tcBorders>
            <w:shd w:val="clear" w:color="auto" w:fill="auto"/>
            <w:vAlign w:val="bottom"/>
            <w:hideMark/>
          </w:tcPr>
          <w:p w14:paraId="58FEB6CF" w14:textId="4030168B"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3EB7FCBD"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708</w:t>
            </w:r>
          </w:p>
        </w:tc>
        <w:tc>
          <w:tcPr>
            <w:tcW w:w="721" w:type="pct"/>
            <w:tcBorders>
              <w:top w:val="nil"/>
              <w:left w:val="nil"/>
              <w:bottom w:val="single" w:sz="4" w:space="0" w:color="auto"/>
              <w:right w:val="single" w:sz="4" w:space="0" w:color="auto"/>
            </w:tcBorders>
            <w:shd w:val="clear" w:color="auto" w:fill="auto"/>
            <w:vAlign w:val="bottom"/>
            <w:hideMark/>
          </w:tcPr>
          <w:p w14:paraId="3367BAD3"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659</w:t>
            </w:r>
          </w:p>
        </w:tc>
      </w:tr>
      <w:tr w:rsidR="00603B67" w:rsidRPr="00603B67" w14:paraId="38DF519C" w14:textId="77777777" w:rsidTr="00603B67">
        <w:trPr>
          <w:trHeight w:val="387"/>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4781BBFC"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Quick Assets</w:t>
            </w:r>
          </w:p>
        </w:tc>
        <w:tc>
          <w:tcPr>
            <w:tcW w:w="1865" w:type="pct"/>
            <w:tcBorders>
              <w:top w:val="nil"/>
              <w:left w:val="nil"/>
              <w:bottom w:val="single" w:sz="4" w:space="0" w:color="auto"/>
              <w:right w:val="single" w:sz="4" w:space="0" w:color="auto"/>
            </w:tcBorders>
            <w:shd w:val="clear" w:color="auto" w:fill="auto"/>
            <w:vAlign w:val="bottom"/>
            <w:hideMark/>
          </w:tcPr>
          <w:p w14:paraId="57158C63" w14:textId="0FDDA778"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70B783A2"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1595</w:t>
            </w:r>
          </w:p>
        </w:tc>
        <w:tc>
          <w:tcPr>
            <w:tcW w:w="721" w:type="pct"/>
            <w:tcBorders>
              <w:top w:val="nil"/>
              <w:left w:val="nil"/>
              <w:bottom w:val="single" w:sz="4" w:space="0" w:color="auto"/>
              <w:right w:val="single" w:sz="4" w:space="0" w:color="auto"/>
            </w:tcBorders>
            <w:shd w:val="clear" w:color="auto" w:fill="auto"/>
            <w:vAlign w:val="bottom"/>
            <w:hideMark/>
          </w:tcPr>
          <w:p w14:paraId="4B41DD9B"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1696</w:t>
            </w:r>
          </w:p>
        </w:tc>
      </w:tr>
      <w:tr w:rsidR="00603B67" w:rsidRPr="00603B67" w14:paraId="74DCD997" w14:textId="77777777" w:rsidTr="008E6983">
        <w:trPr>
          <w:trHeight w:val="445"/>
        </w:trPr>
        <w:tc>
          <w:tcPr>
            <w:tcW w:w="1693" w:type="pct"/>
            <w:tcBorders>
              <w:top w:val="nil"/>
              <w:left w:val="single" w:sz="4" w:space="0" w:color="auto"/>
              <w:bottom w:val="single" w:sz="4" w:space="0" w:color="auto"/>
              <w:right w:val="single" w:sz="4" w:space="0" w:color="auto"/>
            </w:tcBorders>
            <w:shd w:val="clear" w:color="000000" w:fill="FFFFFF"/>
            <w:vAlign w:val="bottom"/>
            <w:hideMark/>
          </w:tcPr>
          <w:p w14:paraId="6A4AA064"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Current ratio</w:t>
            </w:r>
          </w:p>
        </w:tc>
        <w:tc>
          <w:tcPr>
            <w:tcW w:w="1865" w:type="pct"/>
            <w:tcBorders>
              <w:top w:val="nil"/>
              <w:left w:val="nil"/>
              <w:bottom w:val="single" w:sz="4" w:space="0" w:color="auto"/>
              <w:right w:val="single" w:sz="4" w:space="0" w:color="auto"/>
            </w:tcBorders>
            <w:shd w:val="clear" w:color="000000" w:fill="FFFFFF"/>
            <w:vAlign w:val="bottom"/>
            <w:hideMark/>
          </w:tcPr>
          <w:p w14:paraId="4BF80A8C" w14:textId="456E5952"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Current assets / current liabilities</w:t>
            </w:r>
          </w:p>
        </w:tc>
        <w:tc>
          <w:tcPr>
            <w:tcW w:w="721" w:type="pct"/>
            <w:tcBorders>
              <w:top w:val="nil"/>
              <w:left w:val="nil"/>
              <w:bottom w:val="single" w:sz="4" w:space="0" w:color="auto"/>
              <w:right w:val="single" w:sz="4" w:space="0" w:color="auto"/>
            </w:tcBorders>
            <w:shd w:val="clear" w:color="000000" w:fill="FFFFFF"/>
            <w:vAlign w:val="bottom"/>
            <w:hideMark/>
          </w:tcPr>
          <w:p w14:paraId="05B97E1F"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0.92</w:t>
            </w:r>
          </w:p>
        </w:tc>
        <w:tc>
          <w:tcPr>
            <w:tcW w:w="721" w:type="pct"/>
            <w:tcBorders>
              <w:top w:val="nil"/>
              <w:left w:val="nil"/>
              <w:bottom w:val="single" w:sz="4" w:space="0" w:color="auto"/>
              <w:right w:val="single" w:sz="4" w:space="0" w:color="auto"/>
            </w:tcBorders>
            <w:shd w:val="clear" w:color="000000" w:fill="FFFFFF"/>
            <w:vAlign w:val="bottom"/>
            <w:hideMark/>
          </w:tcPr>
          <w:p w14:paraId="382815E6"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0.77</w:t>
            </w:r>
          </w:p>
        </w:tc>
      </w:tr>
      <w:tr w:rsidR="00603B67" w:rsidRPr="00603B67" w14:paraId="1CAA1680" w14:textId="77777777" w:rsidTr="008E6983">
        <w:trPr>
          <w:trHeight w:val="274"/>
        </w:trPr>
        <w:tc>
          <w:tcPr>
            <w:tcW w:w="1693" w:type="pct"/>
            <w:tcBorders>
              <w:top w:val="nil"/>
              <w:left w:val="single" w:sz="4" w:space="0" w:color="auto"/>
              <w:bottom w:val="single" w:sz="4" w:space="0" w:color="auto"/>
              <w:right w:val="single" w:sz="4" w:space="0" w:color="auto"/>
            </w:tcBorders>
            <w:shd w:val="clear" w:color="000000" w:fill="FFFFFF"/>
            <w:vAlign w:val="bottom"/>
            <w:hideMark/>
          </w:tcPr>
          <w:p w14:paraId="5794692B"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Quick Ratio</w:t>
            </w:r>
          </w:p>
        </w:tc>
        <w:tc>
          <w:tcPr>
            <w:tcW w:w="1865" w:type="pct"/>
            <w:tcBorders>
              <w:top w:val="nil"/>
              <w:left w:val="nil"/>
              <w:bottom w:val="single" w:sz="4" w:space="0" w:color="auto"/>
              <w:right w:val="single" w:sz="4" w:space="0" w:color="auto"/>
            </w:tcBorders>
            <w:shd w:val="clear" w:color="000000" w:fill="FFFFFF"/>
            <w:vAlign w:val="bottom"/>
            <w:hideMark/>
          </w:tcPr>
          <w:p w14:paraId="73938570" w14:textId="6EA5CBF4"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(Current Assets - Inventory) / Current Liabilities</w:t>
            </w:r>
          </w:p>
        </w:tc>
        <w:tc>
          <w:tcPr>
            <w:tcW w:w="721" w:type="pct"/>
            <w:tcBorders>
              <w:top w:val="nil"/>
              <w:left w:val="nil"/>
              <w:bottom w:val="single" w:sz="4" w:space="0" w:color="auto"/>
              <w:right w:val="single" w:sz="4" w:space="0" w:color="auto"/>
            </w:tcBorders>
            <w:shd w:val="clear" w:color="000000" w:fill="FFFFFF"/>
            <w:vAlign w:val="bottom"/>
            <w:hideMark/>
          </w:tcPr>
          <w:p w14:paraId="7D730C53"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0.64</w:t>
            </w:r>
          </w:p>
        </w:tc>
        <w:tc>
          <w:tcPr>
            <w:tcW w:w="721" w:type="pct"/>
            <w:tcBorders>
              <w:top w:val="nil"/>
              <w:left w:val="nil"/>
              <w:bottom w:val="single" w:sz="4" w:space="0" w:color="auto"/>
              <w:right w:val="single" w:sz="4" w:space="0" w:color="auto"/>
            </w:tcBorders>
            <w:shd w:val="clear" w:color="000000" w:fill="FFFFFF"/>
            <w:vAlign w:val="bottom"/>
            <w:hideMark/>
          </w:tcPr>
          <w:p w14:paraId="41ACC90F"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0.56</w:t>
            </w:r>
          </w:p>
        </w:tc>
      </w:tr>
      <w:tr w:rsidR="00603B67" w:rsidRPr="00603B67" w14:paraId="4BD9293E"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442DDC01" w14:textId="77777777" w:rsidR="00603B67" w:rsidRPr="00603B67" w:rsidRDefault="00603B67" w:rsidP="00603B67">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 </w:t>
            </w:r>
          </w:p>
        </w:tc>
        <w:tc>
          <w:tcPr>
            <w:tcW w:w="1865" w:type="pct"/>
            <w:tcBorders>
              <w:top w:val="nil"/>
              <w:left w:val="nil"/>
              <w:bottom w:val="single" w:sz="4" w:space="0" w:color="auto"/>
              <w:right w:val="single" w:sz="4" w:space="0" w:color="auto"/>
            </w:tcBorders>
            <w:shd w:val="clear" w:color="auto" w:fill="auto"/>
            <w:vAlign w:val="bottom"/>
            <w:hideMark/>
          </w:tcPr>
          <w:p w14:paraId="2E5DF259" w14:textId="35657781"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65270DF5" w14:textId="10A66C1A"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264F50BD" w14:textId="5B8DEBEC" w:rsidR="00603B67" w:rsidRPr="00603B67" w:rsidRDefault="00603B67" w:rsidP="00114884">
            <w:pPr>
              <w:spacing w:line="240" w:lineRule="auto"/>
              <w:jc w:val="center"/>
              <w:rPr>
                <w:rFonts w:eastAsia="Times New Roman"/>
                <w:color w:val="000000"/>
                <w:szCs w:val="24"/>
                <w:lang w:val="en-IN" w:eastAsia="en-IN"/>
              </w:rPr>
            </w:pPr>
          </w:p>
        </w:tc>
      </w:tr>
      <w:tr w:rsidR="00603B67" w:rsidRPr="00603B67" w14:paraId="33DF3F79" w14:textId="77777777" w:rsidTr="00603B67">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000000" w:fill="9BC2E6"/>
            <w:vAlign w:val="bottom"/>
            <w:hideMark/>
          </w:tcPr>
          <w:p w14:paraId="65100D68" w14:textId="77777777" w:rsidR="00603B67" w:rsidRPr="00603B67" w:rsidRDefault="00603B67" w:rsidP="00114884">
            <w:pPr>
              <w:spacing w:line="240" w:lineRule="auto"/>
              <w:jc w:val="center"/>
              <w:rPr>
                <w:rFonts w:eastAsia="Times New Roman"/>
                <w:b/>
                <w:bCs/>
                <w:i/>
                <w:iCs/>
                <w:color w:val="000000"/>
                <w:szCs w:val="24"/>
                <w:u w:val="single"/>
                <w:lang w:val="en-IN" w:eastAsia="en-IN"/>
              </w:rPr>
            </w:pPr>
            <w:r w:rsidRPr="00603B67">
              <w:rPr>
                <w:rFonts w:eastAsia="Times New Roman"/>
                <w:b/>
                <w:bCs/>
                <w:i/>
                <w:iCs/>
                <w:color w:val="000000"/>
                <w:szCs w:val="24"/>
                <w:u w:val="single"/>
                <w:lang w:val="en-IN" w:eastAsia="en-IN"/>
              </w:rPr>
              <w:lastRenderedPageBreak/>
              <w:t>Profitability ratio</w:t>
            </w:r>
          </w:p>
        </w:tc>
      </w:tr>
      <w:tr w:rsidR="00603B67" w:rsidRPr="00603B67" w14:paraId="01B10AAC" w14:textId="77777777" w:rsidTr="00603B67">
        <w:trPr>
          <w:trHeight w:val="490"/>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1692E5FE"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Employed Capital</w:t>
            </w:r>
          </w:p>
        </w:tc>
        <w:tc>
          <w:tcPr>
            <w:tcW w:w="1865" w:type="pct"/>
            <w:tcBorders>
              <w:top w:val="nil"/>
              <w:left w:val="nil"/>
              <w:bottom w:val="single" w:sz="4" w:space="0" w:color="auto"/>
              <w:right w:val="single" w:sz="4" w:space="0" w:color="auto"/>
            </w:tcBorders>
            <w:shd w:val="clear" w:color="auto" w:fill="auto"/>
            <w:vAlign w:val="bottom"/>
            <w:hideMark/>
          </w:tcPr>
          <w:p w14:paraId="1C8DFD5E" w14:textId="6EA0ABB3"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0E3DCC8D"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7225</w:t>
            </w:r>
          </w:p>
        </w:tc>
        <w:tc>
          <w:tcPr>
            <w:tcW w:w="721" w:type="pct"/>
            <w:tcBorders>
              <w:top w:val="nil"/>
              <w:left w:val="nil"/>
              <w:bottom w:val="single" w:sz="4" w:space="0" w:color="auto"/>
              <w:right w:val="single" w:sz="4" w:space="0" w:color="auto"/>
            </w:tcBorders>
            <w:shd w:val="clear" w:color="auto" w:fill="auto"/>
            <w:vAlign w:val="bottom"/>
            <w:hideMark/>
          </w:tcPr>
          <w:p w14:paraId="73DD090C"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7041</w:t>
            </w:r>
          </w:p>
        </w:tc>
      </w:tr>
      <w:tr w:rsidR="00603B67" w:rsidRPr="00603B67" w14:paraId="25A7299F" w14:textId="77777777" w:rsidTr="00603B67">
        <w:trPr>
          <w:trHeight w:val="42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7FF31EF4"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Net operating profit</w:t>
            </w:r>
          </w:p>
        </w:tc>
        <w:tc>
          <w:tcPr>
            <w:tcW w:w="1865" w:type="pct"/>
            <w:tcBorders>
              <w:top w:val="nil"/>
              <w:left w:val="nil"/>
              <w:bottom w:val="single" w:sz="4" w:space="0" w:color="auto"/>
              <w:right w:val="single" w:sz="4" w:space="0" w:color="auto"/>
            </w:tcBorders>
            <w:shd w:val="clear" w:color="auto" w:fill="auto"/>
            <w:vAlign w:val="bottom"/>
            <w:hideMark/>
          </w:tcPr>
          <w:p w14:paraId="2CF778DF" w14:textId="24E7F29B"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2CE4C1BA"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805</w:t>
            </w:r>
          </w:p>
        </w:tc>
        <w:tc>
          <w:tcPr>
            <w:tcW w:w="721" w:type="pct"/>
            <w:tcBorders>
              <w:top w:val="nil"/>
              <w:left w:val="nil"/>
              <w:bottom w:val="single" w:sz="4" w:space="0" w:color="auto"/>
              <w:right w:val="single" w:sz="4" w:space="0" w:color="auto"/>
            </w:tcBorders>
            <w:shd w:val="clear" w:color="auto" w:fill="auto"/>
            <w:vAlign w:val="bottom"/>
            <w:hideMark/>
          </w:tcPr>
          <w:p w14:paraId="5EE8D7AE"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699</w:t>
            </w:r>
          </w:p>
        </w:tc>
      </w:tr>
      <w:tr w:rsidR="00603B67" w:rsidRPr="00603B67" w14:paraId="5BB30B20" w14:textId="77777777" w:rsidTr="00603B67">
        <w:trPr>
          <w:trHeight w:val="417"/>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18F47276"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Return on capital employed</w:t>
            </w:r>
          </w:p>
        </w:tc>
        <w:tc>
          <w:tcPr>
            <w:tcW w:w="1865" w:type="pct"/>
            <w:tcBorders>
              <w:top w:val="nil"/>
              <w:left w:val="nil"/>
              <w:bottom w:val="single" w:sz="4" w:space="0" w:color="auto"/>
              <w:right w:val="single" w:sz="4" w:space="0" w:color="auto"/>
            </w:tcBorders>
            <w:shd w:val="clear" w:color="auto" w:fill="auto"/>
            <w:vAlign w:val="bottom"/>
            <w:hideMark/>
          </w:tcPr>
          <w:p w14:paraId="74D7C718" w14:textId="7152F275"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Net operating profit/Employed Capital</w:t>
            </w:r>
          </w:p>
        </w:tc>
        <w:tc>
          <w:tcPr>
            <w:tcW w:w="721" w:type="pct"/>
            <w:tcBorders>
              <w:top w:val="nil"/>
              <w:left w:val="nil"/>
              <w:bottom w:val="single" w:sz="4" w:space="0" w:color="auto"/>
              <w:right w:val="single" w:sz="4" w:space="0" w:color="auto"/>
            </w:tcBorders>
            <w:shd w:val="clear" w:color="auto" w:fill="auto"/>
            <w:vAlign w:val="bottom"/>
            <w:hideMark/>
          </w:tcPr>
          <w:p w14:paraId="14FDE6B2"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11.14%</w:t>
            </w:r>
          </w:p>
        </w:tc>
        <w:tc>
          <w:tcPr>
            <w:tcW w:w="721" w:type="pct"/>
            <w:tcBorders>
              <w:top w:val="nil"/>
              <w:left w:val="nil"/>
              <w:bottom w:val="single" w:sz="4" w:space="0" w:color="auto"/>
              <w:right w:val="single" w:sz="4" w:space="0" w:color="auto"/>
            </w:tcBorders>
            <w:shd w:val="clear" w:color="auto" w:fill="auto"/>
            <w:vAlign w:val="bottom"/>
            <w:hideMark/>
          </w:tcPr>
          <w:p w14:paraId="6B88019E"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9.93%</w:t>
            </w:r>
          </w:p>
        </w:tc>
      </w:tr>
      <w:tr w:rsidR="00603B67" w:rsidRPr="00603B67" w14:paraId="712F144F"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7EBEA6DC"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 </w:t>
            </w:r>
          </w:p>
        </w:tc>
        <w:tc>
          <w:tcPr>
            <w:tcW w:w="1865" w:type="pct"/>
            <w:tcBorders>
              <w:top w:val="nil"/>
              <w:left w:val="nil"/>
              <w:bottom w:val="single" w:sz="4" w:space="0" w:color="auto"/>
              <w:right w:val="single" w:sz="4" w:space="0" w:color="auto"/>
            </w:tcBorders>
            <w:shd w:val="clear" w:color="auto" w:fill="auto"/>
            <w:vAlign w:val="bottom"/>
            <w:hideMark/>
          </w:tcPr>
          <w:p w14:paraId="731436C3" w14:textId="162C5DA7"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6985C5F5" w14:textId="3F119FEB"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4C08303B" w14:textId="2230C274" w:rsidR="00603B67" w:rsidRPr="00603B67" w:rsidRDefault="00603B67" w:rsidP="00114884">
            <w:pPr>
              <w:spacing w:line="240" w:lineRule="auto"/>
              <w:jc w:val="center"/>
              <w:rPr>
                <w:rFonts w:eastAsia="Times New Roman"/>
                <w:color w:val="000000"/>
                <w:szCs w:val="24"/>
                <w:lang w:val="en-IN" w:eastAsia="en-IN"/>
              </w:rPr>
            </w:pPr>
          </w:p>
        </w:tc>
      </w:tr>
      <w:tr w:rsidR="00603B67" w:rsidRPr="00603B67" w14:paraId="3C324433"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362B027A"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Net Income</w:t>
            </w:r>
          </w:p>
        </w:tc>
        <w:tc>
          <w:tcPr>
            <w:tcW w:w="1865" w:type="pct"/>
            <w:tcBorders>
              <w:top w:val="nil"/>
              <w:left w:val="nil"/>
              <w:bottom w:val="single" w:sz="4" w:space="0" w:color="auto"/>
              <w:right w:val="single" w:sz="4" w:space="0" w:color="auto"/>
            </w:tcBorders>
            <w:shd w:val="clear" w:color="auto" w:fill="auto"/>
            <w:vAlign w:val="bottom"/>
            <w:hideMark/>
          </w:tcPr>
          <w:p w14:paraId="2B0ACBD4" w14:textId="43A0ABF0"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583A3EC2"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431</w:t>
            </w:r>
          </w:p>
        </w:tc>
        <w:tc>
          <w:tcPr>
            <w:tcW w:w="721" w:type="pct"/>
            <w:tcBorders>
              <w:top w:val="nil"/>
              <w:left w:val="nil"/>
              <w:bottom w:val="single" w:sz="4" w:space="0" w:color="auto"/>
              <w:right w:val="single" w:sz="4" w:space="0" w:color="auto"/>
            </w:tcBorders>
            <w:shd w:val="clear" w:color="auto" w:fill="auto"/>
            <w:vAlign w:val="bottom"/>
            <w:hideMark/>
          </w:tcPr>
          <w:p w14:paraId="4D8681E6"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366</w:t>
            </w:r>
          </w:p>
        </w:tc>
      </w:tr>
      <w:tr w:rsidR="00603B67" w:rsidRPr="00603B67" w14:paraId="6BC7226E"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6F6F24BA"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Shareholder's Equity</w:t>
            </w:r>
          </w:p>
        </w:tc>
        <w:tc>
          <w:tcPr>
            <w:tcW w:w="1865" w:type="pct"/>
            <w:tcBorders>
              <w:top w:val="nil"/>
              <w:left w:val="nil"/>
              <w:bottom w:val="single" w:sz="4" w:space="0" w:color="auto"/>
              <w:right w:val="single" w:sz="4" w:space="0" w:color="auto"/>
            </w:tcBorders>
            <w:shd w:val="clear" w:color="auto" w:fill="auto"/>
            <w:vAlign w:val="bottom"/>
            <w:hideMark/>
          </w:tcPr>
          <w:p w14:paraId="15E0E95C" w14:textId="05F10130"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70653693"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3088</w:t>
            </w:r>
          </w:p>
        </w:tc>
        <w:tc>
          <w:tcPr>
            <w:tcW w:w="721" w:type="pct"/>
            <w:tcBorders>
              <w:top w:val="nil"/>
              <w:left w:val="nil"/>
              <w:bottom w:val="single" w:sz="4" w:space="0" w:color="auto"/>
              <w:right w:val="single" w:sz="4" w:space="0" w:color="auto"/>
            </w:tcBorders>
            <w:shd w:val="clear" w:color="auto" w:fill="auto"/>
            <w:vAlign w:val="bottom"/>
            <w:hideMark/>
          </w:tcPr>
          <w:p w14:paraId="75EBA288"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2912</w:t>
            </w:r>
          </w:p>
        </w:tc>
      </w:tr>
      <w:tr w:rsidR="00603B67" w:rsidRPr="00603B67" w14:paraId="18520B70" w14:textId="77777777" w:rsidTr="00603B67">
        <w:trPr>
          <w:trHeight w:val="566"/>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5180CCDF"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Return on Equity</w:t>
            </w:r>
          </w:p>
        </w:tc>
        <w:tc>
          <w:tcPr>
            <w:tcW w:w="1865" w:type="pct"/>
            <w:tcBorders>
              <w:top w:val="nil"/>
              <w:left w:val="nil"/>
              <w:bottom w:val="single" w:sz="4" w:space="0" w:color="auto"/>
              <w:right w:val="single" w:sz="4" w:space="0" w:color="auto"/>
            </w:tcBorders>
            <w:shd w:val="clear" w:color="auto" w:fill="auto"/>
            <w:vAlign w:val="bottom"/>
            <w:hideMark/>
          </w:tcPr>
          <w:p w14:paraId="55406B0A"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Net Income / Shareholder's Equity</w:t>
            </w:r>
          </w:p>
        </w:tc>
        <w:tc>
          <w:tcPr>
            <w:tcW w:w="721" w:type="pct"/>
            <w:tcBorders>
              <w:top w:val="nil"/>
              <w:left w:val="nil"/>
              <w:bottom w:val="single" w:sz="4" w:space="0" w:color="auto"/>
              <w:right w:val="single" w:sz="4" w:space="0" w:color="auto"/>
            </w:tcBorders>
            <w:shd w:val="clear" w:color="auto" w:fill="auto"/>
            <w:vAlign w:val="bottom"/>
            <w:hideMark/>
          </w:tcPr>
          <w:p w14:paraId="23574B48"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13.96%</w:t>
            </w:r>
          </w:p>
        </w:tc>
        <w:tc>
          <w:tcPr>
            <w:tcW w:w="721" w:type="pct"/>
            <w:tcBorders>
              <w:top w:val="nil"/>
              <w:left w:val="nil"/>
              <w:bottom w:val="single" w:sz="4" w:space="0" w:color="auto"/>
              <w:right w:val="single" w:sz="4" w:space="0" w:color="auto"/>
            </w:tcBorders>
            <w:shd w:val="clear" w:color="auto" w:fill="auto"/>
            <w:vAlign w:val="bottom"/>
            <w:hideMark/>
          </w:tcPr>
          <w:p w14:paraId="66EFCB2B"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12.57%</w:t>
            </w:r>
          </w:p>
        </w:tc>
      </w:tr>
      <w:tr w:rsidR="00603B67" w:rsidRPr="00603B67" w14:paraId="6063B207"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1E8D80DC"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 </w:t>
            </w:r>
          </w:p>
        </w:tc>
        <w:tc>
          <w:tcPr>
            <w:tcW w:w="1865" w:type="pct"/>
            <w:tcBorders>
              <w:top w:val="nil"/>
              <w:left w:val="nil"/>
              <w:bottom w:val="single" w:sz="4" w:space="0" w:color="auto"/>
              <w:right w:val="single" w:sz="4" w:space="0" w:color="auto"/>
            </w:tcBorders>
            <w:shd w:val="clear" w:color="auto" w:fill="auto"/>
            <w:vAlign w:val="bottom"/>
            <w:hideMark/>
          </w:tcPr>
          <w:p w14:paraId="3595421A" w14:textId="09C7509A"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3A15B28B" w14:textId="3E6BE655"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6D6F42D4" w14:textId="4C70222C" w:rsidR="00603B67" w:rsidRPr="00603B67" w:rsidRDefault="00603B67" w:rsidP="00114884">
            <w:pPr>
              <w:spacing w:line="240" w:lineRule="auto"/>
              <w:jc w:val="center"/>
              <w:rPr>
                <w:rFonts w:eastAsia="Times New Roman"/>
                <w:color w:val="000000"/>
                <w:szCs w:val="24"/>
                <w:lang w:val="en-IN" w:eastAsia="en-IN"/>
              </w:rPr>
            </w:pPr>
          </w:p>
        </w:tc>
      </w:tr>
      <w:tr w:rsidR="00603B67" w:rsidRPr="00603B67" w14:paraId="6BFCD60B" w14:textId="77777777" w:rsidTr="00603B67">
        <w:trPr>
          <w:trHeight w:val="187"/>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49C0FCD7"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Cost of Sales</w:t>
            </w:r>
          </w:p>
        </w:tc>
        <w:tc>
          <w:tcPr>
            <w:tcW w:w="1865" w:type="pct"/>
            <w:tcBorders>
              <w:top w:val="nil"/>
              <w:left w:val="nil"/>
              <w:bottom w:val="single" w:sz="4" w:space="0" w:color="auto"/>
              <w:right w:val="single" w:sz="4" w:space="0" w:color="auto"/>
            </w:tcBorders>
            <w:shd w:val="clear" w:color="auto" w:fill="auto"/>
            <w:vAlign w:val="bottom"/>
            <w:hideMark/>
          </w:tcPr>
          <w:p w14:paraId="0BB0B16E" w14:textId="04DBBCEB"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14937CF7"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3235</w:t>
            </w:r>
          </w:p>
        </w:tc>
        <w:tc>
          <w:tcPr>
            <w:tcW w:w="721" w:type="pct"/>
            <w:tcBorders>
              <w:top w:val="nil"/>
              <w:left w:val="nil"/>
              <w:bottom w:val="single" w:sz="4" w:space="0" w:color="auto"/>
              <w:right w:val="single" w:sz="4" w:space="0" w:color="auto"/>
            </w:tcBorders>
            <w:shd w:val="clear" w:color="auto" w:fill="auto"/>
            <w:vAlign w:val="bottom"/>
            <w:hideMark/>
          </w:tcPr>
          <w:p w14:paraId="792DC573"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3096</w:t>
            </w:r>
          </w:p>
        </w:tc>
      </w:tr>
      <w:tr w:rsidR="00603B67" w:rsidRPr="00603B67" w14:paraId="4629FD42"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5DAC5B35"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Sales</w:t>
            </w:r>
          </w:p>
        </w:tc>
        <w:tc>
          <w:tcPr>
            <w:tcW w:w="1865" w:type="pct"/>
            <w:tcBorders>
              <w:top w:val="nil"/>
              <w:left w:val="nil"/>
              <w:bottom w:val="single" w:sz="4" w:space="0" w:color="auto"/>
              <w:right w:val="single" w:sz="4" w:space="0" w:color="auto"/>
            </w:tcBorders>
            <w:shd w:val="clear" w:color="auto" w:fill="auto"/>
            <w:vAlign w:val="bottom"/>
            <w:hideMark/>
          </w:tcPr>
          <w:p w14:paraId="3833D9CB" w14:textId="7CEB290E"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38371CE9"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6738</w:t>
            </w:r>
          </w:p>
        </w:tc>
        <w:tc>
          <w:tcPr>
            <w:tcW w:w="721" w:type="pct"/>
            <w:tcBorders>
              <w:top w:val="nil"/>
              <w:left w:val="nil"/>
              <w:bottom w:val="single" w:sz="4" w:space="0" w:color="auto"/>
              <w:right w:val="single" w:sz="4" w:space="0" w:color="auto"/>
            </w:tcBorders>
            <w:shd w:val="clear" w:color="auto" w:fill="auto"/>
            <w:vAlign w:val="bottom"/>
            <w:hideMark/>
          </w:tcPr>
          <w:p w14:paraId="355CDA28"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6441</w:t>
            </w:r>
          </w:p>
        </w:tc>
      </w:tr>
      <w:tr w:rsidR="00603B67" w:rsidRPr="00603B67" w14:paraId="5F8F9653" w14:textId="77777777" w:rsidTr="00603B67">
        <w:trPr>
          <w:trHeight w:val="333"/>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53E5A6D1"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 xml:space="preserve">Gross Margin </w:t>
            </w:r>
          </w:p>
        </w:tc>
        <w:tc>
          <w:tcPr>
            <w:tcW w:w="1865" w:type="pct"/>
            <w:tcBorders>
              <w:top w:val="nil"/>
              <w:left w:val="nil"/>
              <w:bottom w:val="single" w:sz="4" w:space="0" w:color="auto"/>
              <w:right w:val="single" w:sz="4" w:space="0" w:color="auto"/>
            </w:tcBorders>
            <w:shd w:val="clear" w:color="auto" w:fill="auto"/>
            <w:vAlign w:val="bottom"/>
            <w:hideMark/>
          </w:tcPr>
          <w:p w14:paraId="2C3D7199"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Total Sales – COGS/Total Sales</w:t>
            </w:r>
          </w:p>
        </w:tc>
        <w:tc>
          <w:tcPr>
            <w:tcW w:w="721" w:type="pct"/>
            <w:tcBorders>
              <w:top w:val="nil"/>
              <w:left w:val="nil"/>
              <w:bottom w:val="single" w:sz="4" w:space="0" w:color="auto"/>
              <w:right w:val="single" w:sz="4" w:space="0" w:color="auto"/>
            </w:tcBorders>
            <w:shd w:val="clear" w:color="auto" w:fill="auto"/>
            <w:vAlign w:val="bottom"/>
            <w:hideMark/>
          </w:tcPr>
          <w:p w14:paraId="4C3BD3F9"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51.99%</w:t>
            </w:r>
          </w:p>
        </w:tc>
        <w:tc>
          <w:tcPr>
            <w:tcW w:w="721" w:type="pct"/>
            <w:tcBorders>
              <w:top w:val="nil"/>
              <w:left w:val="nil"/>
              <w:bottom w:val="single" w:sz="4" w:space="0" w:color="auto"/>
              <w:right w:val="single" w:sz="4" w:space="0" w:color="auto"/>
            </w:tcBorders>
            <w:shd w:val="clear" w:color="auto" w:fill="auto"/>
            <w:vAlign w:val="bottom"/>
            <w:hideMark/>
          </w:tcPr>
          <w:p w14:paraId="2E3FC5AF"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51.93%</w:t>
            </w:r>
          </w:p>
        </w:tc>
      </w:tr>
      <w:tr w:rsidR="00603B67" w:rsidRPr="00603B67" w14:paraId="5107E0CD"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2286E07F"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 </w:t>
            </w:r>
          </w:p>
        </w:tc>
        <w:tc>
          <w:tcPr>
            <w:tcW w:w="1865" w:type="pct"/>
            <w:tcBorders>
              <w:top w:val="nil"/>
              <w:left w:val="nil"/>
              <w:bottom w:val="single" w:sz="4" w:space="0" w:color="auto"/>
              <w:right w:val="single" w:sz="4" w:space="0" w:color="auto"/>
            </w:tcBorders>
            <w:shd w:val="clear" w:color="auto" w:fill="auto"/>
            <w:vAlign w:val="bottom"/>
            <w:hideMark/>
          </w:tcPr>
          <w:p w14:paraId="2B5F22A8" w14:textId="64930C4C"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7BC15B8C" w14:textId="784BB684"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43E205DE" w14:textId="0BA5F046" w:rsidR="00603B67" w:rsidRPr="00603B67" w:rsidRDefault="00603B67" w:rsidP="00114884">
            <w:pPr>
              <w:spacing w:line="240" w:lineRule="auto"/>
              <w:jc w:val="center"/>
              <w:rPr>
                <w:rFonts w:eastAsia="Times New Roman"/>
                <w:color w:val="000000"/>
                <w:szCs w:val="24"/>
                <w:lang w:val="en-IN" w:eastAsia="en-IN"/>
              </w:rPr>
            </w:pPr>
          </w:p>
        </w:tc>
      </w:tr>
      <w:tr w:rsidR="00603B67" w:rsidRPr="00603B67" w14:paraId="7DC802EB"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57AF557A"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 xml:space="preserve">Net profit </w:t>
            </w:r>
          </w:p>
        </w:tc>
        <w:tc>
          <w:tcPr>
            <w:tcW w:w="1865" w:type="pct"/>
            <w:tcBorders>
              <w:top w:val="nil"/>
              <w:left w:val="nil"/>
              <w:bottom w:val="single" w:sz="4" w:space="0" w:color="auto"/>
              <w:right w:val="single" w:sz="4" w:space="0" w:color="auto"/>
            </w:tcBorders>
            <w:shd w:val="clear" w:color="auto" w:fill="auto"/>
            <w:vAlign w:val="bottom"/>
            <w:hideMark/>
          </w:tcPr>
          <w:p w14:paraId="7C6EFD29" w14:textId="77FF6CE4"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48F317EA"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431</w:t>
            </w:r>
          </w:p>
        </w:tc>
        <w:tc>
          <w:tcPr>
            <w:tcW w:w="721" w:type="pct"/>
            <w:tcBorders>
              <w:top w:val="nil"/>
              <w:left w:val="nil"/>
              <w:bottom w:val="single" w:sz="4" w:space="0" w:color="auto"/>
              <w:right w:val="single" w:sz="4" w:space="0" w:color="auto"/>
            </w:tcBorders>
            <w:shd w:val="clear" w:color="auto" w:fill="auto"/>
            <w:vAlign w:val="bottom"/>
            <w:hideMark/>
          </w:tcPr>
          <w:p w14:paraId="30E935F7"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366</w:t>
            </w:r>
          </w:p>
        </w:tc>
      </w:tr>
      <w:tr w:rsidR="00603B67" w:rsidRPr="00603B67" w14:paraId="357BC3C9"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7D24E86E"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Sales</w:t>
            </w:r>
          </w:p>
        </w:tc>
        <w:tc>
          <w:tcPr>
            <w:tcW w:w="1865" w:type="pct"/>
            <w:tcBorders>
              <w:top w:val="nil"/>
              <w:left w:val="nil"/>
              <w:bottom w:val="single" w:sz="4" w:space="0" w:color="auto"/>
              <w:right w:val="single" w:sz="4" w:space="0" w:color="auto"/>
            </w:tcBorders>
            <w:shd w:val="clear" w:color="auto" w:fill="auto"/>
            <w:vAlign w:val="bottom"/>
            <w:hideMark/>
          </w:tcPr>
          <w:p w14:paraId="0BF5B5EE" w14:textId="1D016143"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6C512993"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6738</w:t>
            </w:r>
          </w:p>
        </w:tc>
        <w:tc>
          <w:tcPr>
            <w:tcW w:w="721" w:type="pct"/>
            <w:tcBorders>
              <w:top w:val="nil"/>
              <w:left w:val="nil"/>
              <w:bottom w:val="single" w:sz="4" w:space="0" w:color="auto"/>
              <w:right w:val="single" w:sz="4" w:space="0" w:color="auto"/>
            </w:tcBorders>
            <w:shd w:val="clear" w:color="auto" w:fill="auto"/>
            <w:vAlign w:val="bottom"/>
            <w:hideMark/>
          </w:tcPr>
          <w:p w14:paraId="00B4DC80"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6441</w:t>
            </w:r>
          </w:p>
        </w:tc>
      </w:tr>
      <w:tr w:rsidR="00603B67" w:rsidRPr="00603B67" w14:paraId="4871A132" w14:textId="77777777" w:rsidTr="00603B67">
        <w:trPr>
          <w:trHeight w:val="280"/>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6812D314"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Net profit ratio</w:t>
            </w:r>
          </w:p>
        </w:tc>
        <w:tc>
          <w:tcPr>
            <w:tcW w:w="1865" w:type="pct"/>
            <w:tcBorders>
              <w:top w:val="nil"/>
              <w:left w:val="nil"/>
              <w:bottom w:val="single" w:sz="4" w:space="0" w:color="auto"/>
              <w:right w:val="single" w:sz="4" w:space="0" w:color="auto"/>
            </w:tcBorders>
            <w:shd w:val="clear" w:color="auto" w:fill="auto"/>
            <w:vAlign w:val="bottom"/>
            <w:hideMark/>
          </w:tcPr>
          <w:p w14:paraId="3538A27F"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Operating Income/ Net Sales</w:t>
            </w:r>
          </w:p>
        </w:tc>
        <w:tc>
          <w:tcPr>
            <w:tcW w:w="721" w:type="pct"/>
            <w:tcBorders>
              <w:top w:val="nil"/>
              <w:left w:val="nil"/>
              <w:bottom w:val="single" w:sz="4" w:space="0" w:color="auto"/>
              <w:right w:val="single" w:sz="4" w:space="0" w:color="auto"/>
            </w:tcBorders>
            <w:shd w:val="clear" w:color="auto" w:fill="auto"/>
            <w:vAlign w:val="bottom"/>
            <w:hideMark/>
          </w:tcPr>
          <w:p w14:paraId="58BEC21E"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6.40%</w:t>
            </w:r>
          </w:p>
        </w:tc>
        <w:tc>
          <w:tcPr>
            <w:tcW w:w="721" w:type="pct"/>
            <w:tcBorders>
              <w:top w:val="nil"/>
              <w:left w:val="nil"/>
              <w:bottom w:val="single" w:sz="4" w:space="0" w:color="auto"/>
              <w:right w:val="single" w:sz="4" w:space="0" w:color="auto"/>
            </w:tcBorders>
            <w:shd w:val="clear" w:color="auto" w:fill="auto"/>
            <w:vAlign w:val="bottom"/>
            <w:hideMark/>
          </w:tcPr>
          <w:p w14:paraId="2929ECE4"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5.68%</w:t>
            </w:r>
          </w:p>
        </w:tc>
      </w:tr>
      <w:tr w:rsidR="00603B67" w:rsidRPr="00603B67" w14:paraId="0F9D229D"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4A41E81C"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 </w:t>
            </w:r>
          </w:p>
        </w:tc>
        <w:tc>
          <w:tcPr>
            <w:tcW w:w="1865" w:type="pct"/>
            <w:tcBorders>
              <w:top w:val="nil"/>
              <w:left w:val="nil"/>
              <w:bottom w:val="single" w:sz="4" w:space="0" w:color="auto"/>
              <w:right w:val="single" w:sz="4" w:space="0" w:color="auto"/>
            </w:tcBorders>
            <w:shd w:val="clear" w:color="auto" w:fill="auto"/>
            <w:vAlign w:val="bottom"/>
            <w:hideMark/>
          </w:tcPr>
          <w:p w14:paraId="5D72580E" w14:textId="58FD19AF"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06A901C8" w14:textId="00CF4052"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1CB61054" w14:textId="29E332ED" w:rsidR="00603B67" w:rsidRPr="00603B67" w:rsidRDefault="00603B67" w:rsidP="00114884">
            <w:pPr>
              <w:spacing w:line="240" w:lineRule="auto"/>
              <w:jc w:val="center"/>
              <w:rPr>
                <w:rFonts w:eastAsia="Times New Roman"/>
                <w:color w:val="000000"/>
                <w:szCs w:val="24"/>
                <w:lang w:val="en-IN" w:eastAsia="en-IN"/>
              </w:rPr>
            </w:pPr>
          </w:p>
        </w:tc>
      </w:tr>
      <w:tr w:rsidR="00603B67" w:rsidRPr="00603B67" w14:paraId="78820CBA" w14:textId="77777777" w:rsidTr="00603B67">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000000" w:fill="9BC2E6"/>
            <w:vAlign w:val="bottom"/>
            <w:hideMark/>
          </w:tcPr>
          <w:p w14:paraId="1A458813" w14:textId="77777777" w:rsidR="00603B67" w:rsidRPr="00603B67" w:rsidRDefault="00603B67" w:rsidP="00114884">
            <w:pPr>
              <w:spacing w:line="240" w:lineRule="auto"/>
              <w:jc w:val="center"/>
              <w:rPr>
                <w:rFonts w:eastAsia="Times New Roman"/>
                <w:b/>
                <w:bCs/>
                <w:i/>
                <w:iCs/>
                <w:color w:val="000000"/>
                <w:szCs w:val="24"/>
                <w:u w:val="single"/>
                <w:lang w:val="en-IN" w:eastAsia="en-IN"/>
              </w:rPr>
            </w:pPr>
            <w:r w:rsidRPr="00603B67">
              <w:rPr>
                <w:rFonts w:eastAsia="Times New Roman"/>
                <w:b/>
                <w:bCs/>
                <w:i/>
                <w:iCs/>
                <w:color w:val="000000"/>
                <w:szCs w:val="24"/>
                <w:u w:val="single"/>
                <w:lang w:val="en-IN" w:eastAsia="en-IN"/>
              </w:rPr>
              <w:t>Efficiency Ratios</w:t>
            </w:r>
          </w:p>
        </w:tc>
      </w:tr>
      <w:tr w:rsidR="00603B67" w:rsidRPr="00603B67" w14:paraId="052FAF9B"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302F34E1"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Inventory</w:t>
            </w:r>
          </w:p>
        </w:tc>
        <w:tc>
          <w:tcPr>
            <w:tcW w:w="1865" w:type="pct"/>
            <w:tcBorders>
              <w:top w:val="nil"/>
              <w:left w:val="nil"/>
              <w:bottom w:val="single" w:sz="4" w:space="0" w:color="auto"/>
              <w:right w:val="single" w:sz="4" w:space="0" w:color="auto"/>
            </w:tcBorders>
            <w:shd w:val="clear" w:color="auto" w:fill="auto"/>
            <w:vAlign w:val="bottom"/>
            <w:hideMark/>
          </w:tcPr>
          <w:p w14:paraId="1E0C7894" w14:textId="0C257D3A"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5F7A7B43"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708</w:t>
            </w:r>
          </w:p>
        </w:tc>
        <w:tc>
          <w:tcPr>
            <w:tcW w:w="721" w:type="pct"/>
            <w:tcBorders>
              <w:top w:val="nil"/>
              <w:left w:val="nil"/>
              <w:bottom w:val="single" w:sz="4" w:space="0" w:color="auto"/>
              <w:right w:val="single" w:sz="4" w:space="0" w:color="auto"/>
            </w:tcBorders>
            <w:shd w:val="clear" w:color="auto" w:fill="auto"/>
            <w:vAlign w:val="bottom"/>
            <w:hideMark/>
          </w:tcPr>
          <w:p w14:paraId="78D7ADB3"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659</w:t>
            </w:r>
          </w:p>
        </w:tc>
      </w:tr>
      <w:tr w:rsidR="00603B67" w:rsidRPr="00603B67" w14:paraId="720D7E6A" w14:textId="77777777" w:rsidTr="00603B67">
        <w:trPr>
          <w:trHeight w:val="70"/>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11707F4A"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Trade Receivables</w:t>
            </w:r>
          </w:p>
        </w:tc>
        <w:tc>
          <w:tcPr>
            <w:tcW w:w="1865" w:type="pct"/>
            <w:tcBorders>
              <w:top w:val="nil"/>
              <w:left w:val="nil"/>
              <w:bottom w:val="single" w:sz="4" w:space="0" w:color="auto"/>
              <w:right w:val="single" w:sz="4" w:space="0" w:color="auto"/>
            </w:tcBorders>
            <w:shd w:val="clear" w:color="auto" w:fill="auto"/>
            <w:vAlign w:val="bottom"/>
            <w:hideMark/>
          </w:tcPr>
          <w:p w14:paraId="23CFF348" w14:textId="1541D1DB"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7BB4C9E0"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1249</w:t>
            </w:r>
          </w:p>
        </w:tc>
        <w:tc>
          <w:tcPr>
            <w:tcW w:w="721" w:type="pct"/>
            <w:tcBorders>
              <w:top w:val="nil"/>
              <w:left w:val="nil"/>
              <w:bottom w:val="single" w:sz="4" w:space="0" w:color="auto"/>
              <w:right w:val="single" w:sz="4" w:space="0" w:color="auto"/>
            </w:tcBorders>
            <w:shd w:val="clear" w:color="auto" w:fill="auto"/>
            <w:vAlign w:val="bottom"/>
            <w:hideMark/>
          </w:tcPr>
          <w:p w14:paraId="61B18378"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1287</w:t>
            </w:r>
          </w:p>
        </w:tc>
      </w:tr>
      <w:tr w:rsidR="00603B67" w:rsidRPr="00603B67" w14:paraId="185435B8" w14:textId="77777777" w:rsidTr="00603B67">
        <w:trPr>
          <w:trHeight w:val="303"/>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0AB790F6"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Net Assets</w:t>
            </w:r>
          </w:p>
        </w:tc>
        <w:tc>
          <w:tcPr>
            <w:tcW w:w="1865" w:type="pct"/>
            <w:tcBorders>
              <w:top w:val="nil"/>
              <w:left w:val="nil"/>
              <w:bottom w:val="single" w:sz="4" w:space="0" w:color="auto"/>
              <w:right w:val="single" w:sz="4" w:space="0" w:color="auto"/>
            </w:tcBorders>
            <w:shd w:val="clear" w:color="auto" w:fill="auto"/>
            <w:vAlign w:val="bottom"/>
            <w:hideMark/>
          </w:tcPr>
          <w:p w14:paraId="3F40E8F0" w14:textId="191C8E19"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3835022D"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3088</w:t>
            </w:r>
          </w:p>
        </w:tc>
        <w:tc>
          <w:tcPr>
            <w:tcW w:w="721" w:type="pct"/>
            <w:tcBorders>
              <w:top w:val="nil"/>
              <w:left w:val="nil"/>
              <w:bottom w:val="single" w:sz="4" w:space="0" w:color="auto"/>
              <w:right w:val="single" w:sz="4" w:space="0" w:color="auto"/>
            </w:tcBorders>
            <w:shd w:val="clear" w:color="auto" w:fill="auto"/>
            <w:vAlign w:val="bottom"/>
            <w:hideMark/>
          </w:tcPr>
          <w:p w14:paraId="64A13AA8"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2912</w:t>
            </w:r>
          </w:p>
        </w:tc>
      </w:tr>
      <w:tr w:rsidR="00603B67" w:rsidRPr="00603B67" w14:paraId="6A64325D" w14:textId="77777777" w:rsidTr="00603B67">
        <w:trPr>
          <w:trHeight w:val="26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719DA2E4"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Cost of Sales</w:t>
            </w:r>
          </w:p>
        </w:tc>
        <w:tc>
          <w:tcPr>
            <w:tcW w:w="1865" w:type="pct"/>
            <w:tcBorders>
              <w:top w:val="nil"/>
              <w:left w:val="nil"/>
              <w:bottom w:val="single" w:sz="4" w:space="0" w:color="auto"/>
              <w:right w:val="single" w:sz="4" w:space="0" w:color="auto"/>
            </w:tcBorders>
            <w:shd w:val="clear" w:color="auto" w:fill="auto"/>
            <w:vAlign w:val="bottom"/>
            <w:hideMark/>
          </w:tcPr>
          <w:p w14:paraId="477EF6DE" w14:textId="77841481"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6CD18E2B"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3235</w:t>
            </w:r>
          </w:p>
        </w:tc>
        <w:tc>
          <w:tcPr>
            <w:tcW w:w="721" w:type="pct"/>
            <w:tcBorders>
              <w:top w:val="nil"/>
              <w:left w:val="nil"/>
              <w:bottom w:val="single" w:sz="4" w:space="0" w:color="auto"/>
              <w:right w:val="single" w:sz="4" w:space="0" w:color="auto"/>
            </w:tcBorders>
            <w:shd w:val="clear" w:color="auto" w:fill="auto"/>
            <w:vAlign w:val="bottom"/>
            <w:hideMark/>
          </w:tcPr>
          <w:p w14:paraId="3E47FA90"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3096</w:t>
            </w:r>
          </w:p>
        </w:tc>
      </w:tr>
      <w:tr w:rsidR="00603B67" w:rsidRPr="00603B67" w14:paraId="7349E652"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20ED01A3"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Sales</w:t>
            </w:r>
          </w:p>
        </w:tc>
        <w:tc>
          <w:tcPr>
            <w:tcW w:w="1865" w:type="pct"/>
            <w:tcBorders>
              <w:top w:val="nil"/>
              <w:left w:val="nil"/>
              <w:bottom w:val="single" w:sz="4" w:space="0" w:color="auto"/>
              <w:right w:val="single" w:sz="4" w:space="0" w:color="auto"/>
            </w:tcBorders>
            <w:shd w:val="clear" w:color="auto" w:fill="auto"/>
            <w:vAlign w:val="bottom"/>
            <w:hideMark/>
          </w:tcPr>
          <w:p w14:paraId="3F649A9D" w14:textId="2113A2FF"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118C4F0E"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6738</w:t>
            </w:r>
          </w:p>
        </w:tc>
        <w:tc>
          <w:tcPr>
            <w:tcW w:w="721" w:type="pct"/>
            <w:tcBorders>
              <w:top w:val="nil"/>
              <w:left w:val="nil"/>
              <w:bottom w:val="single" w:sz="4" w:space="0" w:color="auto"/>
              <w:right w:val="single" w:sz="4" w:space="0" w:color="auto"/>
            </w:tcBorders>
            <w:shd w:val="clear" w:color="auto" w:fill="auto"/>
            <w:vAlign w:val="bottom"/>
            <w:hideMark/>
          </w:tcPr>
          <w:p w14:paraId="4EC193A4"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6441</w:t>
            </w:r>
          </w:p>
        </w:tc>
      </w:tr>
      <w:tr w:rsidR="00603B67" w:rsidRPr="00603B67" w14:paraId="657960CB" w14:textId="77777777" w:rsidTr="00603B67">
        <w:trPr>
          <w:trHeight w:val="359"/>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7515DFA2"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Accounts payable</w:t>
            </w:r>
          </w:p>
        </w:tc>
        <w:tc>
          <w:tcPr>
            <w:tcW w:w="1865" w:type="pct"/>
            <w:tcBorders>
              <w:top w:val="nil"/>
              <w:left w:val="nil"/>
              <w:bottom w:val="single" w:sz="4" w:space="0" w:color="auto"/>
              <w:right w:val="single" w:sz="4" w:space="0" w:color="auto"/>
            </w:tcBorders>
            <w:shd w:val="clear" w:color="auto" w:fill="auto"/>
            <w:vAlign w:val="bottom"/>
            <w:hideMark/>
          </w:tcPr>
          <w:p w14:paraId="63312FD4" w14:textId="0960D1C1"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7104BA18"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583</w:t>
            </w:r>
          </w:p>
        </w:tc>
        <w:tc>
          <w:tcPr>
            <w:tcW w:w="721" w:type="pct"/>
            <w:tcBorders>
              <w:top w:val="nil"/>
              <w:left w:val="nil"/>
              <w:bottom w:val="single" w:sz="4" w:space="0" w:color="auto"/>
              <w:right w:val="single" w:sz="4" w:space="0" w:color="auto"/>
            </w:tcBorders>
            <w:shd w:val="clear" w:color="auto" w:fill="auto"/>
            <w:vAlign w:val="bottom"/>
            <w:hideMark/>
          </w:tcPr>
          <w:p w14:paraId="5D642201"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655</w:t>
            </w:r>
          </w:p>
        </w:tc>
      </w:tr>
      <w:tr w:rsidR="00603B67" w:rsidRPr="00603B67" w14:paraId="41B810CE" w14:textId="77777777" w:rsidTr="00603B67">
        <w:trPr>
          <w:trHeight w:val="420"/>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7C83432E"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Asset turnover ratio</w:t>
            </w:r>
          </w:p>
        </w:tc>
        <w:tc>
          <w:tcPr>
            <w:tcW w:w="1865" w:type="pct"/>
            <w:tcBorders>
              <w:top w:val="nil"/>
              <w:left w:val="nil"/>
              <w:bottom w:val="single" w:sz="4" w:space="0" w:color="auto"/>
              <w:right w:val="single" w:sz="4" w:space="0" w:color="auto"/>
            </w:tcBorders>
            <w:shd w:val="clear" w:color="auto" w:fill="auto"/>
            <w:vAlign w:val="bottom"/>
            <w:hideMark/>
          </w:tcPr>
          <w:p w14:paraId="52B52A14"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Sales / Net assets</w:t>
            </w:r>
          </w:p>
        </w:tc>
        <w:tc>
          <w:tcPr>
            <w:tcW w:w="721" w:type="pct"/>
            <w:tcBorders>
              <w:top w:val="nil"/>
              <w:left w:val="nil"/>
              <w:bottom w:val="single" w:sz="4" w:space="0" w:color="auto"/>
              <w:right w:val="single" w:sz="4" w:space="0" w:color="auto"/>
            </w:tcBorders>
            <w:shd w:val="clear" w:color="auto" w:fill="auto"/>
            <w:vAlign w:val="bottom"/>
            <w:hideMark/>
          </w:tcPr>
          <w:p w14:paraId="0B1C308A"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2.18</w:t>
            </w:r>
          </w:p>
        </w:tc>
        <w:tc>
          <w:tcPr>
            <w:tcW w:w="721" w:type="pct"/>
            <w:tcBorders>
              <w:top w:val="nil"/>
              <w:left w:val="nil"/>
              <w:bottom w:val="single" w:sz="4" w:space="0" w:color="auto"/>
              <w:right w:val="single" w:sz="4" w:space="0" w:color="auto"/>
            </w:tcBorders>
            <w:shd w:val="clear" w:color="auto" w:fill="auto"/>
            <w:vAlign w:val="bottom"/>
            <w:hideMark/>
          </w:tcPr>
          <w:p w14:paraId="537EC77E"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2.21</w:t>
            </w:r>
          </w:p>
        </w:tc>
      </w:tr>
      <w:tr w:rsidR="00603B67" w:rsidRPr="00603B67" w14:paraId="2B9EEBB4" w14:textId="77777777" w:rsidTr="00603B67">
        <w:trPr>
          <w:trHeight w:val="412"/>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4D69751E"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Inventory turnover ratio</w:t>
            </w:r>
          </w:p>
        </w:tc>
        <w:tc>
          <w:tcPr>
            <w:tcW w:w="1865" w:type="pct"/>
            <w:tcBorders>
              <w:top w:val="nil"/>
              <w:left w:val="nil"/>
              <w:bottom w:val="single" w:sz="4" w:space="0" w:color="auto"/>
              <w:right w:val="single" w:sz="4" w:space="0" w:color="auto"/>
            </w:tcBorders>
            <w:shd w:val="clear" w:color="auto" w:fill="auto"/>
            <w:vAlign w:val="bottom"/>
            <w:hideMark/>
          </w:tcPr>
          <w:p w14:paraId="61BEE846"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Sales / Inventory</w:t>
            </w:r>
          </w:p>
        </w:tc>
        <w:tc>
          <w:tcPr>
            <w:tcW w:w="721" w:type="pct"/>
            <w:tcBorders>
              <w:top w:val="nil"/>
              <w:left w:val="nil"/>
              <w:bottom w:val="single" w:sz="4" w:space="0" w:color="auto"/>
              <w:right w:val="single" w:sz="4" w:space="0" w:color="auto"/>
            </w:tcBorders>
            <w:shd w:val="clear" w:color="auto" w:fill="auto"/>
            <w:vAlign w:val="bottom"/>
            <w:hideMark/>
          </w:tcPr>
          <w:p w14:paraId="73E1A03D"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4.57</w:t>
            </w:r>
          </w:p>
        </w:tc>
        <w:tc>
          <w:tcPr>
            <w:tcW w:w="721" w:type="pct"/>
            <w:tcBorders>
              <w:top w:val="nil"/>
              <w:left w:val="nil"/>
              <w:bottom w:val="single" w:sz="4" w:space="0" w:color="auto"/>
              <w:right w:val="single" w:sz="4" w:space="0" w:color="auto"/>
            </w:tcBorders>
            <w:shd w:val="clear" w:color="auto" w:fill="auto"/>
            <w:vAlign w:val="bottom"/>
            <w:hideMark/>
          </w:tcPr>
          <w:p w14:paraId="31CD4A0F"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4.70</w:t>
            </w:r>
          </w:p>
        </w:tc>
      </w:tr>
      <w:tr w:rsidR="00603B67" w:rsidRPr="00603B67" w14:paraId="434A93F9" w14:textId="77777777" w:rsidTr="00603B67">
        <w:trPr>
          <w:trHeight w:val="561"/>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0AC53275"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Account receivable turnover ratio</w:t>
            </w:r>
          </w:p>
        </w:tc>
        <w:tc>
          <w:tcPr>
            <w:tcW w:w="1865" w:type="pct"/>
            <w:tcBorders>
              <w:top w:val="nil"/>
              <w:left w:val="nil"/>
              <w:bottom w:val="single" w:sz="4" w:space="0" w:color="auto"/>
              <w:right w:val="single" w:sz="4" w:space="0" w:color="auto"/>
            </w:tcBorders>
            <w:shd w:val="clear" w:color="auto" w:fill="auto"/>
            <w:vAlign w:val="bottom"/>
            <w:hideMark/>
          </w:tcPr>
          <w:p w14:paraId="4A2D72B8"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Sales / Accounts Receivable</w:t>
            </w:r>
          </w:p>
        </w:tc>
        <w:tc>
          <w:tcPr>
            <w:tcW w:w="721" w:type="pct"/>
            <w:tcBorders>
              <w:top w:val="nil"/>
              <w:left w:val="nil"/>
              <w:bottom w:val="single" w:sz="4" w:space="0" w:color="auto"/>
              <w:right w:val="single" w:sz="4" w:space="0" w:color="auto"/>
            </w:tcBorders>
            <w:shd w:val="clear" w:color="auto" w:fill="auto"/>
            <w:vAlign w:val="bottom"/>
            <w:hideMark/>
          </w:tcPr>
          <w:p w14:paraId="4C96C9DF"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5.39</w:t>
            </w:r>
          </w:p>
        </w:tc>
        <w:tc>
          <w:tcPr>
            <w:tcW w:w="721" w:type="pct"/>
            <w:tcBorders>
              <w:top w:val="nil"/>
              <w:left w:val="nil"/>
              <w:bottom w:val="single" w:sz="4" w:space="0" w:color="auto"/>
              <w:right w:val="single" w:sz="4" w:space="0" w:color="auto"/>
            </w:tcBorders>
            <w:shd w:val="clear" w:color="auto" w:fill="auto"/>
            <w:vAlign w:val="bottom"/>
            <w:hideMark/>
          </w:tcPr>
          <w:p w14:paraId="4FCB3F5C"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5.00</w:t>
            </w:r>
          </w:p>
        </w:tc>
      </w:tr>
      <w:tr w:rsidR="00603B67" w:rsidRPr="00603B67" w14:paraId="699A28C7" w14:textId="77777777" w:rsidTr="00603B67">
        <w:trPr>
          <w:trHeight w:val="570"/>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1F1B9259"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Accounts Payable Turnover Ratio</w:t>
            </w:r>
          </w:p>
        </w:tc>
        <w:tc>
          <w:tcPr>
            <w:tcW w:w="1865" w:type="pct"/>
            <w:tcBorders>
              <w:top w:val="nil"/>
              <w:left w:val="nil"/>
              <w:bottom w:val="single" w:sz="4" w:space="0" w:color="auto"/>
              <w:right w:val="single" w:sz="4" w:space="0" w:color="auto"/>
            </w:tcBorders>
            <w:shd w:val="clear" w:color="auto" w:fill="auto"/>
            <w:vAlign w:val="bottom"/>
            <w:hideMark/>
          </w:tcPr>
          <w:p w14:paraId="7FCA2078"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Net credit purchase or COGS / accounts payable</w:t>
            </w:r>
          </w:p>
        </w:tc>
        <w:tc>
          <w:tcPr>
            <w:tcW w:w="721" w:type="pct"/>
            <w:tcBorders>
              <w:top w:val="nil"/>
              <w:left w:val="nil"/>
              <w:bottom w:val="single" w:sz="4" w:space="0" w:color="auto"/>
              <w:right w:val="single" w:sz="4" w:space="0" w:color="auto"/>
            </w:tcBorders>
            <w:shd w:val="clear" w:color="auto" w:fill="auto"/>
            <w:vAlign w:val="bottom"/>
            <w:hideMark/>
          </w:tcPr>
          <w:p w14:paraId="084C8805"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5.55</w:t>
            </w:r>
          </w:p>
        </w:tc>
        <w:tc>
          <w:tcPr>
            <w:tcW w:w="721" w:type="pct"/>
            <w:tcBorders>
              <w:top w:val="nil"/>
              <w:left w:val="nil"/>
              <w:bottom w:val="single" w:sz="4" w:space="0" w:color="auto"/>
              <w:right w:val="single" w:sz="4" w:space="0" w:color="auto"/>
            </w:tcBorders>
            <w:shd w:val="clear" w:color="auto" w:fill="auto"/>
            <w:vAlign w:val="bottom"/>
            <w:hideMark/>
          </w:tcPr>
          <w:p w14:paraId="7B0AD4FF"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4.73</w:t>
            </w:r>
          </w:p>
        </w:tc>
      </w:tr>
      <w:tr w:rsidR="00603B67" w:rsidRPr="00603B67" w14:paraId="5E790455"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5A1B5B18"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 </w:t>
            </w:r>
          </w:p>
        </w:tc>
        <w:tc>
          <w:tcPr>
            <w:tcW w:w="1865" w:type="pct"/>
            <w:tcBorders>
              <w:top w:val="nil"/>
              <w:left w:val="nil"/>
              <w:bottom w:val="single" w:sz="4" w:space="0" w:color="auto"/>
              <w:right w:val="single" w:sz="4" w:space="0" w:color="auto"/>
            </w:tcBorders>
            <w:shd w:val="clear" w:color="auto" w:fill="auto"/>
            <w:vAlign w:val="bottom"/>
            <w:hideMark/>
          </w:tcPr>
          <w:p w14:paraId="66828AC6" w14:textId="625B86AB"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3912ACB7" w14:textId="6C4A38BE"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1C78B9B5" w14:textId="766FBD11" w:rsidR="00603B67" w:rsidRPr="00603B67" w:rsidRDefault="00603B67" w:rsidP="00114884">
            <w:pPr>
              <w:spacing w:line="240" w:lineRule="auto"/>
              <w:jc w:val="center"/>
              <w:rPr>
                <w:rFonts w:eastAsia="Times New Roman"/>
                <w:color w:val="000000"/>
                <w:szCs w:val="24"/>
                <w:lang w:val="en-IN" w:eastAsia="en-IN"/>
              </w:rPr>
            </w:pPr>
          </w:p>
        </w:tc>
      </w:tr>
      <w:tr w:rsidR="00603B67" w:rsidRPr="00603B67" w14:paraId="42A70FE2" w14:textId="77777777" w:rsidTr="00603B67">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000000" w:fill="9BC2E6"/>
            <w:vAlign w:val="bottom"/>
            <w:hideMark/>
          </w:tcPr>
          <w:p w14:paraId="63A817D4" w14:textId="77777777" w:rsidR="00603B67" w:rsidRPr="00603B67" w:rsidRDefault="00603B67" w:rsidP="00114884">
            <w:pPr>
              <w:spacing w:line="240" w:lineRule="auto"/>
              <w:jc w:val="center"/>
              <w:rPr>
                <w:rFonts w:eastAsia="Times New Roman"/>
                <w:b/>
                <w:bCs/>
                <w:i/>
                <w:iCs/>
                <w:color w:val="000000"/>
                <w:szCs w:val="24"/>
                <w:u w:val="single"/>
                <w:lang w:val="en-IN" w:eastAsia="en-IN"/>
              </w:rPr>
            </w:pPr>
            <w:r w:rsidRPr="00603B67">
              <w:rPr>
                <w:rFonts w:eastAsia="Times New Roman"/>
                <w:b/>
                <w:bCs/>
                <w:i/>
                <w:iCs/>
                <w:color w:val="000000"/>
                <w:szCs w:val="24"/>
                <w:u w:val="single"/>
                <w:lang w:val="en-IN" w:eastAsia="en-IN"/>
              </w:rPr>
              <w:t>Leverage ratios</w:t>
            </w:r>
          </w:p>
        </w:tc>
      </w:tr>
      <w:tr w:rsidR="00603B67" w:rsidRPr="00603B67" w14:paraId="44B8EF3F" w14:textId="77777777" w:rsidTr="00603B67">
        <w:trPr>
          <w:trHeight w:val="459"/>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1E193236"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Total assets</w:t>
            </w:r>
          </w:p>
        </w:tc>
        <w:tc>
          <w:tcPr>
            <w:tcW w:w="1865" w:type="pct"/>
            <w:tcBorders>
              <w:top w:val="nil"/>
              <w:left w:val="nil"/>
              <w:bottom w:val="single" w:sz="4" w:space="0" w:color="auto"/>
              <w:right w:val="single" w:sz="4" w:space="0" w:color="auto"/>
            </w:tcBorders>
            <w:shd w:val="clear" w:color="auto" w:fill="auto"/>
            <w:vAlign w:val="bottom"/>
            <w:hideMark/>
          </w:tcPr>
          <w:p w14:paraId="47A804AE" w14:textId="37B532AE"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13C8507E"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9736</w:t>
            </w:r>
          </w:p>
        </w:tc>
        <w:tc>
          <w:tcPr>
            <w:tcW w:w="721" w:type="pct"/>
            <w:tcBorders>
              <w:top w:val="nil"/>
              <w:left w:val="nil"/>
              <w:bottom w:val="single" w:sz="4" w:space="0" w:color="auto"/>
              <w:right w:val="single" w:sz="4" w:space="0" w:color="auto"/>
            </w:tcBorders>
            <w:shd w:val="clear" w:color="auto" w:fill="auto"/>
            <w:vAlign w:val="bottom"/>
            <w:hideMark/>
          </w:tcPr>
          <w:p w14:paraId="06C4BDFB"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10087</w:t>
            </w:r>
          </w:p>
        </w:tc>
      </w:tr>
      <w:tr w:rsidR="00603B67" w:rsidRPr="00603B67" w14:paraId="1E4ADE78" w14:textId="77777777" w:rsidTr="00603B67">
        <w:trPr>
          <w:trHeight w:val="423"/>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05BF0C0C"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Total Equity</w:t>
            </w:r>
          </w:p>
        </w:tc>
        <w:tc>
          <w:tcPr>
            <w:tcW w:w="1865" w:type="pct"/>
            <w:tcBorders>
              <w:top w:val="nil"/>
              <w:left w:val="nil"/>
              <w:bottom w:val="single" w:sz="4" w:space="0" w:color="auto"/>
              <w:right w:val="single" w:sz="4" w:space="0" w:color="auto"/>
            </w:tcBorders>
            <w:shd w:val="clear" w:color="auto" w:fill="auto"/>
            <w:vAlign w:val="bottom"/>
            <w:hideMark/>
          </w:tcPr>
          <w:p w14:paraId="0D3DD8C4" w14:textId="3D6620A4"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18B197B8"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3088</w:t>
            </w:r>
          </w:p>
        </w:tc>
        <w:tc>
          <w:tcPr>
            <w:tcW w:w="721" w:type="pct"/>
            <w:tcBorders>
              <w:top w:val="nil"/>
              <w:left w:val="nil"/>
              <w:bottom w:val="single" w:sz="4" w:space="0" w:color="auto"/>
              <w:right w:val="single" w:sz="4" w:space="0" w:color="auto"/>
            </w:tcBorders>
            <w:shd w:val="clear" w:color="auto" w:fill="auto"/>
            <w:vAlign w:val="bottom"/>
            <w:hideMark/>
          </w:tcPr>
          <w:p w14:paraId="70163061"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2912</w:t>
            </w:r>
          </w:p>
        </w:tc>
      </w:tr>
      <w:tr w:rsidR="00603B67" w:rsidRPr="00603B67" w14:paraId="6A949FAA"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3945645B"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Total debt</w:t>
            </w:r>
          </w:p>
        </w:tc>
        <w:tc>
          <w:tcPr>
            <w:tcW w:w="1865" w:type="pct"/>
            <w:tcBorders>
              <w:top w:val="nil"/>
              <w:left w:val="nil"/>
              <w:bottom w:val="single" w:sz="4" w:space="0" w:color="auto"/>
              <w:right w:val="single" w:sz="4" w:space="0" w:color="auto"/>
            </w:tcBorders>
            <w:shd w:val="clear" w:color="auto" w:fill="auto"/>
            <w:vAlign w:val="bottom"/>
            <w:hideMark/>
          </w:tcPr>
          <w:p w14:paraId="3627CAD4" w14:textId="11FF0ED8"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hideMark/>
          </w:tcPr>
          <w:p w14:paraId="2F9D03B4"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4137</w:t>
            </w:r>
          </w:p>
        </w:tc>
        <w:tc>
          <w:tcPr>
            <w:tcW w:w="721" w:type="pct"/>
            <w:tcBorders>
              <w:top w:val="nil"/>
              <w:left w:val="nil"/>
              <w:bottom w:val="single" w:sz="4" w:space="0" w:color="auto"/>
              <w:right w:val="single" w:sz="4" w:space="0" w:color="auto"/>
            </w:tcBorders>
            <w:shd w:val="clear" w:color="auto" w:fill="auto"/>
            <w:vAlign w:val="bottom"/>
            <w:hideMark/>
          </w:tcPr>
          <w:p w14:paraId="35A3DE51"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4129</w:t>
            </w:r>
          </w:p>
        </w:tc>
      </w:tr>
      <w:tr w:rsidR="00603B67" w:rsidRPr="00603B67" w14:paraId="59E87F73" w14:textId="77777777" w:rsidTr="00603B67">
        <w:trPr>
          <w:trHeight w:val="416"/>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62BE3F95"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Proprietary Ratio</w:t>
            </w:r>
          </w:p>
        </w:tc>
        <w:tc>
          <w:tcPr>
            <w:tcW w:w="1865" w:type="pct"/>
            <w:tcBorders>
              <w:top w:val="nil"/>
              <w:left w:val="nil"/>
              <w:bottom w:val="single" w:sz="4" w:space="0" w:color="auto"/>
              <w:right w:val="single" w:sz="4" w:space="0" w:color="auto"/>
            </w:tcBorders>
            <w:shd w:val="clear" w:color="auto" w:fill="auto"/>
            <w:vAlign w:val="bottom"/>
            <w:hideMark/>
          </w:tcPr>
          <w:p w14:paraId="379A1683"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Total Shareholders' Equity / Total Assets</w:t>
            </w:r>
          </w:p>
        </w:tc>
        <w:tc>
          <w:tcPr>
            <w:tcW w:w="721" w:type="pct"/>
            <w:tcBorders>
              <w:top w:val="nil"/>
              <w:left w:val="nil"/>
              <w:bottom w:val="single" w:sz="4" w:space="0" w:color="auto"/>
              <w:right w:val="single" w:sz="4" w:space="0" w:color="auto"/>
            </w:tcBorders>
            <w:shd w:val="clear" w:color="auto" w:fill="auto"/>
            <w:vAlign w:val="bottom"/>
            <w:hideMark/>
          </w:tcPr>
          <w:p w14:paraId="2D5E8232"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31.72%</w:t>
            </w:r>
          </w:p>
        </w:tc>
        <w:tc>
          <w:tcPr>
            <w:tcW w:w="721" w:type="pct"/>
            <w:tcBorders>
              <w:top w:val="nil"/>
              <w:left w:val="nil"/>
              <w:bottom w:val="single" w:sz="4" w:space="0" w:color="auto"/>
              <w:right w:val="single" w:sz="4" w:space="0" w:color="auto"/>
            </w:tcBorders>
            <w:shd w:val="clear" w:color="auto" w:fill="auto"/>
            <w:vAlign w:val="bottom"/>
            <w:hideMark/>
          </w:tcPr>
          <w:p w14:paraId="1DB59381"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28.87%</w:t>
            </w:r>
          </w:p>
        </w:tc>
      </w:tr>
      <w:tr w:rsidR="00603B67" w:rsidRPr="00603B67" w14:paraId="5D531D6E" w14:textId="77777777" w:rsidTr="00603B67">
        <w:trPr>
          <w:trHeight w:val="274"/>
        </w:trPr>
        <w:tc>
          <w:tcPr>
            <w:tcW w:w="1693" w:type="pct"/>
            <w:tcBorders>
              <w:top w:val="nil"/>
              <w:left w:val="single" w:sz="4" w:space="0" w:color="auto"/>
              <w:bottom w:val="single" w:sz="4" w:space="0" w:color="auto"/>
              <w:right w:val="single" w:sz="4" w:space="0" w:color="auto"/>
            </w:tcBorders>
            <w:shd w:val="clear" w:color="auto" w:fill="auto"/>
            <w:vAlign w:val="bottom"/>
            <w:hideMark/>
          </w:tcPr>
          <w:p w14:paraId="476E3279" w14:textId="77777777" w:rsidR="00603B67" w:rsidRPr="00603B67" w:rsidRDefault="00603B67" w:rsidP="00603B67">
            <w:pPr>
              <w:spacing w:line="240" w:lineRule="auto"/>
              <w:jc w:val="left"/>
              <w:rPr>
                <w:rFonts w:eastAsia="Times New Roman"/>
                <w:b/>
                <w:bCs/>
                <w:color w:val="000000"/>
                <w:szCs w:val="24"/>
                <w:lang w:val="en-IN" w:eastAsia="en-IN"/>
              </w:rPr>
            </w:pPr>
            <w:r w:rsidRPr="00603B67">
              <w:rPr>
                <w:rFonts w:eastAsia="Times New Roman"/>
                <w:b/>
                <w:bCs/>
                <w:color w:val="000000"/>
                <w:szCs w:val="24"/>
                <w:lang w:val="en-IN" w:eastAsia="en-IN"/>
              </w:rPr>
              <w:t>Debt equity ratio</w:t>
            </w:r>
          </w:p>
        </w:tc>
        <w:tc>
          <w:tcPr>
            <w:tcW w:w="1865" w:type="pct"/>
            <w:tcBorders>
              <w:top w:val="nil"/>
              <w:left w:val="nil"/>
              <w:bottom w:val="single" w:sz="4" w:space="0" w:color="auto"/>
              <w:right w:val="single" w:sz="4" w:space="0" w:color="auto"/>
            </w:tcBorders>
            <w:shd w:val="clear" w:color="auto" w:fill="auto"/>
            <w:vAlign w:val="bottom"/>
            <w:hideMark/>
          </w:tcPr>
          <w:p w14:paraId="699321AC" w14:textId="77777777" w:rsidR="00603B67" w:rsidRPr="00603B67" w:rsidRDefault="00603B67" w:rsidP="00114884">
            <w:pPr>
              <w:spacing w:line="240" w:lineRule="auto"/>
              <w:jc w:val="center"/>
              <w:rPr>
                <w:rFonts w:eastAsia="Times New Roman"/>
                <w:color w:val="000000"/>
                <w:szCs w:val="24"/>
                <w:lang w:val="en-IN" w:eastAsia="en-IN"/>
              </w:rPr>
            </w:pPr>
            <w:r w:rsidRPr="00603B67">
              <w:rPr>
                <w:rFonts w:eastAsia="Times New Roman"/>
                <w:color w:val="000000"/>
                <w:szCs w:val="24"/>
                <w:lang w:val="en-IN" w:eastAsia="en-IN"/>
              </w:rPr>
              <w:t>Total debt/total equity</w:t>
            </w:r>
          </w:p>
        </w:tc>
        <w:tc>
          <w:tcPr>
            <w:tcW w:w="721" w:type="pct"/>
            <w:tcBorders>
              <w:top w:val="nil"/>
              <w:left w:val="nil"/>
              <w:bottom w:val="single" w:sz="4" w:space="0" w:color="auto"/>
              <w:right w:val="single" w:sz="4" w:space="0" w:color="auto"/>
            </w:tcBorders>
            <w:shd w:val="clear" w:color="auto" w:fill="auto"/>
            <w:vAlign w:val="bottom"/>
            <w:hideMark/>
          </w:tcPr>
          <w:p w14:paraId="4C7FBBE5"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1.34</w:t>
            </w:r>
          </w:p>
        </w:tc>
        <w:tc>
          <w:tcPr>
            <w:tcW w:w="721" w:type="pct"/>
            <w:tcBorders>
              <w:top w:val="nil"/>
              <w:left w:val="nil"/>
              <w:bottom w:val="single" w:sz="4" w:space="0" w:color="auto"/>
              <w:right w:val="single" w:sz="4" w:space="0" w:color="auto"/>
            </w:tcBorders>
            <w:shd w:val="clear" w:color="auto" w:fill="auto"/>
            <w:vAlign w:val="bottom"/>
            <w:hideMark/>
          </w:tcPr>
          <w:p w14:paraId="5B58160F" w14:textId="77777777" w:rsidR="00603B67" w:rsidRPr="00603B67" w:rsidRDefault="00603B67" w:rsidP="00114884">
            <w:pPr>
              <w:spacing w:line="240" w:lineRule="auto"/>
              <w:jc w:val="center"/>
              <w:rPr>
                <w:rFonts w:eastAsia="Times New Roman"/>
                <w:b/>
                <w:bCs/>
                <w:color w:val="000000"/>
                <w:szCs w:val="24"/>
                <w:lang w:val="en-IN" w:eastAsia="en-IN"/>
              </w:rPr>
            </w:pPr>
            <w:r w:rsidRPr="00603B67">
              <w:rPr>
                <w:rFonts w:eastAsia="Times New Roman"/>
                <w:b/>
                <w:bCs/>
                <w:color w:val="000000"/>
                <w:szCs w:val="24"/>
                <w:lang w:val="en-IN" w:eastAsia="en-IN"/>
              </w:rPr>
              <w:t>1.42</w:t>
            </w:r>
          </w:p>
        </w:tc>
      </w:tr>
      <w:tr w:rsidR="00603B67" w:rsidRPr="00603B67" w14:paraId="17704AD8" w14:textId="77777777" w:rsidTr="00603B67">
        <w:trPr>
          <w:trHeight w:val="315"/>
        </w:trPr>
        <w:tc>
          <w:tcPr>
            <w:tcW w:w="1693" w:type="pct"/>
            <w:tcBorders>
              <w:top w:val="nil"/>
              <w:left w:val="single" w:sz="4" w:space="0" w:color="auto"/>
              <w:bottom w:val="single" w:sz="4" w:space="0" w:color="auto"/>
              <w:right w:val="single" w:sz="4" w:space="0" w:color="auto"/>
            </w:tcBorders>
            <w:shd w:val="clear" w:color="auto" w:fill="auto"/>
            <w:noWrap/>
            <w:vAlign w:val="bottom"/>
            <w:hideMark/>
          </w:tcPr>
          <w:p w14:paraId="589CF8F3" w14:textId="77777777" w:rsidR="00603B67" w:rsidRPr="00603B67" w:rsidRDefault="00603B67" w:rsidP="00603B67">
            <w:pPr>
              <w:spacing w:line="240" w:lineRule="auto"/>
              <w:jc w:val="left"/>
              <w:rPr>
                <w:rFonts w:eastAsia="Times New Roman"/>
                <w:color w:val="000000"/>
                <w:szCs w:val="24"/>
                <w:lang w:val="en-IN" w:eastAsia="en-IN"/>
              </w:rPr>
            </w:pPr>
            <w:r w:rsidRPr="00603B67">
              <w:rPr>
                <w:rFonts w:eastAsia="Times New Roman"/>
                <w:color w:val="000000"/>
                <w:szCs w:val="24"/>
                <w:lang w:val="en-IN" w:eastAsia="en-IN"/>
              </w:rPr>
              <w:t> </w:t>
            </w:r>
          </w:p>
        </w:tc>
        <w:tc>
          <w:tcPr>
            <w:tcW w:w="1865" w:type="pct"/>
            <w:tcBorders>
              <w:top w:val="nil"/>
              <w:left w:val="nil"/>
              <w:bottom w:val="single" w:sz="4" w:space="0" w:color="auto"/>
              <w:right w:val="single" w:sz="4" w:space="0" w:color="auto"/>
            </w:tcBorders>
            <w:shd w:val="clear" w:color="auto" w:fill="auto"/>
            <w:noWrap/>
            <w:vAlign w:val="bottom"/>
            <w:hideMark/>
          </w:tcPr>
          <w:p w14:paraId="19076303" w14:textId="00E93117"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noWrap/>
            <w:vAlign w:val="bottom"/>
            <w:hideMark/>
          </w:tcPr>
          <w:p w14:paraId="4B6E30AC" w14:textId="0D0CF0D0"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noWrap/>
            <w:vAlign w:val="bottom"/>
            <w:hideMark/>
          </w:tcPr>
          <w:p w14:paraId="5D4E145E" w14:textId="447F0A8B" w:rsidR="00603B67" w:rsidRPr="00603B67" w:rsidRDefault="00603B67" w:rsidP="00114884">
            <w:pPr>
              <w:spacing w:line="240" w:lineRule="auto"/>
              <w:jc w:val="center"/>
              <w:rPr>
                <w:rFonts w:eastAsia="Times New Roman"/>
                <w:color w:val="000000"/>
                <w:szCs w:val="24"/>
                <w:lang w:val="en-IN" w:eastAsia="en-IN"/>
              </w:rPr>
            </w:pPr>
          </w:p>
        </w:tc>
      </w:tr>
      <w:tr w:rsidR="00603B67" w:rsidRPr="00603B67" w14:paraId="2FF6502C" w14:textId="77777777" w:rsidTr="00E41AE5">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000000" w:fill="9BC2E6"/>
            <w:vAlign w:val="bottom"/>
          </w:tcPr>
          <w:p w14:paraId="49F3FB23" w14:textId="2E89F3F1" w:rsidR="00603B67" w:rsidRPr="00603B67" w:rsidRDefault="00E41AE5" w:rsidP="00114884">
            <w:pPr>
              <w:spacing w:line="240" w:lineRule="auto"/>
              <w:jc w:val="center"/>
              <w:rPr>
                <w:rFonts w:eastAsia="Times New Roman"/>
                <w:b/>
                <w:bCs/>
                <w:i/>
                <w:iCs/>
                <w:color w:val="000000"/>
                <w:szCs w:val="24"/>
                <w:u w:val="single"/>
                <w:lang w:val="en-IN" w:eastAsia="en-IN"/>
              </w:rPr>
            </w:pPr>
            <w:r w:rsidRPr="00E41AE5">
              <w:rPr>
                <w:rFonts w:eastAsia="Times New Roman"/>
                <w:b/>
                <w:bCs/>
                <w:i/>
                <w:iCs/>
                <w:color w:val="000000"/>
                <w:szCs w:val="24"/>
                <w:u w:val="single"/>
                <w:lang w:val="en-IN" w:eastAsia="en-IN"/>
              </w:rPr>
              <w:t>Market value ratios</w:t>
            </w:r>
          </w:p>
        </w:tc>
      </w:tr>
      <w:tr w:rsidR="00603B67" w:rsidRPr="00603B67" w14:paraId="575C89B5" w14:textId="77777777" w:rsidTr="00E41AE5">
        <w:trPr>
          <w:trHeight w:val="540"/>
        </w:trPr>
        <w:tc>
          <w:tcPr>
            <w:tcW w:w="1693" w:type="pct"/>
            <w:tcBorders>
              <w:top w:val="nil"/>
              <w:left w:val="single" w:sz="4" w:space="0" w:color="auto"/>
              <w:bottom w:val="single" w:sz="4" w:space="0" w:color="auto"/>
              <w:right w:val="single" w:sz="4" w:space="0" w:color="auto"/>
            </w:tcBorders>
            <w:shd w:val="clear" w:color="auto" w:fill="auto"/>
            <w:vAlign w:val="bottom"/>
          </w:tcPr>
          <w:p w14:paraId="176E7563" w14:textId="635A9D95" w:rsidR="00603B67" w:rsidRPr="00603B67" w:rsidRDefault="00E41AE5" w:rsidP="00603B67">
            <w:pPr>
              <w:spacing w:line="240" w:lineRule="auto"/>
              <w:jc w:val="left"/>
              <w:rPr>
                <w:rFonts w:eastAsia="Times New Roman"/>
                <w:color w:val="000000"/>
                <w:szCs w:val="24"/>
                <w:lang w:val="en-IN" w:eastAsia="en-IN"/>
              </w:rPr>
            </w:pPr>
            <w:r w:rsidRPr="00E41AE5">
              <w:rPr>
                <w:rFonts w:eastAsia="Times New Roman"/>
                <w:color w:val="000000"/>
                <w:szCs w:val="24"/>
                <w:lang w:val="en-IN" w:eastAsia="en-IN"/>
              </w:rPr>
              <w:lastRenderedPageBreak/>
              <w:t>Market price per share</w:t>
            </w:r>
          </w:p>
        </w:tc>
        <w:tc>
          <w:tcPr>
            <w:tcW w:w="1865" w:type="pct"/>
            <w:tcBorders>
              <w:top w:val="nil"/>
              <w:left w:val="nil"/>
              <w:bottom w:val="single" w:sz="4" w:space="0" w:color="auto"/>
              <w:right w:val="single" w:sz="4" w:space="0" w:color="auto"/>
            </w:tcBorders>
            <w:shd w:val="clear" w:color="auto" w:fill="auto"/>
            <w:vAlign w:val="bottom"/>
          </w:tcPr>
          <w:p w14:paraId="039A22CC" w14:textId="58C45791"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tcPr>
          <w:p w14:paraId="4B3598B1" w14:textId="2276A457" w:rsidR="00603B67" w:rsidRPr="00603B67" w:rsidRDefault="00E41AE5" w:rsidP="00114884">
            <w:pPr>
              <w:spacing w:line="240" w:lineRule="auto"/>
              <w:jc w:val="center"/>
              <w:rPr>
                <w:rFonts w:eastAsia="Times New Roman"/>
                <w:color w:val="000000"/>
                <w:szCs w:val="24"/>
                <w:lang w:val="en-IN" w:eastAsia="en-IN"/>
              </w:rPr>
            </w:pPr>
            <w:r>
              <w:rPr>
                <w:rFonts w:eastAsia="Times New Roman"/>
                <w:color w:val="000000"/>
                <w:szCs w:val="24"/>
                <w:lang w:val="en-IN" w:eastAsia="en-IN"/>
              </w:rPr>
              <w:t>5.12</w:t>
            </w:r>
          </w:p>
        </w:tc>
        <w:tc>
          <w:tcPr>
            <w:tcW w:w="721" w:type="pct"/>
            <w:tcBorders>
              <w:top w:val="nil"/>
              <w:left w:val="nil"/>
              <w:bottom w:val="single" w:sz="4" w:space="0" w:color="auto"/>
              <w:right w:val="single" w:sz="4" w:space="0" w:color="auto"/>
            </w:tcBorders>
            <w:shd w:val="clear" w:color="auto" w:fill="auto"/>
            <w:vAlign w:val="bottom"/>
          </w:tcPr>
          <w:p w14:paraId="622F9B0F" w14:textId="5B03626E" w:rsidR="00603B67" w:rsidRPr="00603B67" w:rsidRDefault="00E41AE5" w:rsidP="00114884">
            <w:pPr>
              <w:spacing w:line="240" w:lineRule="auto"/>
              <w:jc w:val="center"/>
              <w:rPr>
                <w:rFonts w:eastAsia="Times New Roman"/>
                <w:color w:val="000000"/>
                <w:szCs w:val="24"/>
                <w:lang w:val="en-IN" w:eastAsia="en-IN"/>
              </w:rPr>
            </w:pPr>
            <w:r>
              <w:rPr>
                <w:rFonts w:eastAsia="Times New Roman"/>
                <w:color w:val="000000"/>
                <w:szCs w:val="24"/>
                <w:lang w:val="en-IN" w:eastAsia="en-IN"/>
              </w:rPr>
              <w:t>4.00</w:t>
            </w:r>
          </w:p>
        </w:tc>
      </w:tr>
      <w:tr w:rsidR="00603B67" w:rsidRPr="00603B67" w14:paraId="68F369C8" w14:textId="77777777" w:rsidTr="00E41AE5">
        <w:trPr>
          <w:trHeight w:val="365"/>
        </w:trPr>
        <w:tc>
          <w:tcPr>
            <w:tcW w:w="1693" w:type="pct"/>
            <w:tcBorders>
              <w:top w:val="nil"/>
              <w:left w:val="single" w:sz="4" w:space="0" w:color="auto"/>
              <w:bottom w:val="single" w:sz="4" w:space="0" w:color="auto"/>
              <w:right w:val="single" w:sz="4" w:space="0" w:color="auto"/>
            </w:tcBorders>
            <w:shd w:val="clear" w:color="auto" w:fill="auto"/>
            <w:vAlign w:val="bottom"/>
          </w:tcPr>
          <w:p w14:paraId="141BB6E1" w14:textId="553250F8" w:rsidR="00603B67" w:rsidRPr="00603B67" w:rsidRDefault="00E41AE5" w:rsidP="00603B67">
            <w:pPr>
              <w:spacing w:line="240" w:lineRule="auto"/>
              <w:jc w:val="left"/>
              <w:rPr>
                <w:rFonts w:eastAsia="Times New Roman"/>
                <w:color w:val="000000"/>
                <w:szCs w:val="24"/>
                <w:lang w:val="en-IN" w:eastAsia="en-IN"/>
              </w:rPr>
            </w:pPr>
            <w:r w:rsidRPr="00E41AE5">
              <w:rPr>
                <w:rFonts w:eastAsia="Times New Roman"/>
                <w:color w:val="000000"/>
                <w:szCs w:val="24"/>
                <w:lang w:val="en-IN" w:eastAsia="en-IN"/>
              </w:rPr>
              <w:t>Earnings per share</w:t>
            </w:r>
          </w:p>
        </w:tc>
        <w:tc>
          <w:tcPr>
            <w:tcW w:w="1865" w:type="pct"/>
            <w:tcBorders>
              <w:top w:val="nil"/>
              <w:left w:val="nil"/>
              <w:bottom w:val="single" w:sz="4" w:space="0" w:color="auto"/>
              <w:right w:val="single" w:sz="4" w:space="0" w:color="auto"/>
            </w:tcBorders>
            <w:shd w:val="clear" w:color="auto" w:fill="auto"/>
            <w:vAlign w:val="bottom"/>
          </w:tcPr>
          <w:p w14:paraId="06438C37" w14:textId="37CF92F3" w:rsidR="00603B67" w:rsidRPr="00603B67" w:rsidRDefault="00E41AE5" w:rsidP="00114884">
            <w:pPr>
              <w:spacing w:line="240" w:lineRule="auto"/>
              <w:jc w:val="center"/>
              <w:rPr>
                <w:rFonts w:eastAsia="Times New Roman"/>
                <w:color w:val="000000"/>
                <w:szCs w:val="24"/>
                <w:lang w:val="en-IN" w:eastAsia="en-IN"/>
              </w:rPr>
            </w:pPr>
            <w:r w:rsidRPr="00E41AE5">
              <w:rPr>
                <w:rFonts w:eastAsia="Times New Roman"/>
                <w:color w:val="000000"/>
                <w:szCs w:val="24"/>
                <w:lang w:val="en-IN" w:eastAsia="en-IN"/>
              </w:rPr>
              <w:t>Number of shares = 300/0.5 = 600 shares</w:t>
            </w:r>
          </w:p>
        </w:tc>
        <w:tc>
          <w:tcPr>
            <w:tcW w:w="721" w:type="pct"/>
            <w:tcBorders>
              <w:top w:val="nil"/>
              <w:left w:val="nil"/>
              <w:bottom w:val="single" w:sz="4" w:space="0" w:color="auto"/>
              <w:right w:val="single" w:sz="4" w:space="0" w:color="auto"/>
            </w:tcBorders>
            <w:shd w:val="clear" w:color="auto" w:fill="auto"/>
            <w:vAlign w:val="bottom"/>
          </w:tcPr>
          <w:p w14:paraId="6866CF7A" w14:textId="04E43239" w:rsidR="00603B67" w:rsidRPr="00603B67" w:rsidRDefault="00E41AE5" w:rsidP="00114884">
            <w:pPr>
              <w:spacing w:line="240" w:lineRule="auto"/>
              <w:jc w:val="center"/>
              <w:rPr>
                <w:rFonts w:eastAsia="Times New Roman"/>
                <w:color w:val="000000"/>
                <w:szCs w:val="24"/>
                <w:lang w:val="en-IN" w:eastAsia="en-IN"/>
              </w:rPr>
            </w:pPr>
            <w:r>
              <w:rPr>
                <w:rFonts w:eastAsia="Times New Roman"/>
                <w:color w:val="000000"/>
                <w:szCs w:val="24"/>
                <w:lang w:val="en-IN" w:eastAsia="en-IN"/>
              </w:rPr>
              <w:t>0.72</w:t>
            </w:r>
          </w:p>
        </w:tc>
        <w:tc>
          <w:tcPr>
            <w:tcW w:w="721" w:type="pct"/>
            <w:tcBorders>
              <w:top w:val="nil"/>
              <w:left w:val="nil"/>
              <w:bottom w:val="single" w:sz="4" w:space="0" w:color="auto"/>
              <w:right w:val="single" w:sz="4" w:space="0" w:color="auto"/>
            </w:tcBorders>
            <w:shd w:val="clear" w:color="auto" w:fill="auto"/>
            <w:vAlign w:val="bottom"/>
          </w:tcPr>
          <w:p w14:paraId="4B326FAF" w14:textId="19DA1F4E" w:rsidR="00603B67" w:rsidRPr="00603B67" w:rsidRDefault="00E41AE5" w:rsidP="00114884">
            <w:pPr>
              <w:spacing w:line="240" w:lineRule="auto"/>
              <w:jc w:val="center"/>
              <w:rPr>
                <w:rFonts w:eastAsia="Times New Roman"/>
                <w:color w:val="000000"/>
                <w:szCs w:val="24"/>
                <w:lang w:val="en-IN" w:eastAsia="en-IN"/>
              </w:rPr>
            </w:pPr>
            <w:r>
              <w:rPr>
                <w:rFonts w:eastAsia="Times New Roman"/>
                <w:color w:val="000000"/>
                <w:szCs w:val="24"/>
                <w:lang w:val="en-IN" w:eastAsia="en-IN"/>
              </w:rPr>
              <w:t>0.61</w:t>
            </w:r>
          </w:p>
        </w:tc>
      </w:tr>
      <w:tr w:rsidR="00603B67" w:rsidRPr="00603B67" w14:paraId="05ED5FEF" w14:textId="77777777" w:rsidTr="00E41AE5">
        <w:trPr>
          <w:trHeight w:val="359"/>
        </w:trPr>
        <w:tc>
          <w:tcPr>
            <w:tcW w:w="1693" w:type="pct"/>
            <w:tcBorders>
              <w:top w:val="nil"/>
              <w:left w:val="single" w:sz="4" w:space="0" w:color="auto"/>
              <w:bottom w:val="single" w:sz="4" w:space="0" w:color="auto"/>
              <w:right w:val="single" w:sz="4" w:space="0" w:color="auto"/>
            </w:tcBorders>
            <w:shd w:val="clear" w:color="auto" w:fill="auto"/>
            <w:vAlign w:val="bottom"/>
          </w:tcPr>
          <w:p w14:paraId="5D2E1C5C" w14:textId="5E9BFA47" w:rsidR="00603B67" w:rsidRPr="00603B67" w:rsidRDefault="00E41AE5" w:rsidP="00603B67">
            <w:pPr>
              <w:spacing w:line="240" w:lineRule="auto"/>
              <w:jc w:val="left"/>
              <w:rPr>
                <w:rFonts w:eastAsia="Times New Roman"/>
                <w:color w:val="000000"/>
                <w:szCs w:val="24"/>
                <w:lang w:val="en-IN" w:eastAsia="en-IN"/>
              </w:rPr>
            </w:pPr>
            <w:r w:rsidRPr="00E41AE5">
              <w:rPr>
                <w:rFonts w:eastAsia="Times New Roman"/>
                <w:color w:val="000000"/>
                <w:szCs w:val="24"/>
                <w:lang w:val="en-IN" w:eastAsia="en-IN"/>
              </w:rPr>
              <w:t>Net book value</w:t>
            </w:r>
          </w:p>
        </w:tc>
        <w:tc>
          <w:tcPr>
            <w:tcW w:w="1865" w:type="pct"/>
            <w:tcBorders>
              <w:top w:val="nil"/>
              <w:left w:val="nil"/>
              <w:bottom w:val="single" w:sz="4" w:space="0" w:color="auto"/>
              <w:right w:val="single" w:sz="4" w:space="0" w:color="auto"/>
            </w:tcBorders>
            <w:shd w:val="clear" w:color="auto" w:fill="auto"/>
            <w:vAlign w:val="bottom"/>
          </w:tcPr>
          <w:p w14:paraId="4D02D52E" w14:textId="7F602865"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tcPr>
          <w:p w14:paraId="00B924CD" w14:textId="729E37FB" w:rsidR="00603B67" w:rsidRPr="00603B67" w:rsidRDefault="00E41AE5" w:rsidP="00114884">
            <w:pPr>
              <w:spacing w:line="240" w:lineRule="auto"/>
              <w:jc w:val="center"/>
              <w:rPr>
                <w:rFonts w:eastAsia="Times New Roman"/>
                <w:color w:val="000000"/>
                <w:szCs w:val="24"/>
                <w:lang w:val="en-IN" w:eastAsia="en-IN"/>
              </w:rPr>
            </w:pPr>
            <w:r>
              <w:rPr>
                <w:rFonts w:eastAsia="Times New Roman"/>
                <w:color w:val="000000"/>
                <w:szCs w:val="24"/>
                <w:lang w:val="en-IN" w:eastAsia="en-IN"/>
              </w:rPr>
              <w:t>3088</w:t>
            </w:r>
          </w:p>
        </w:tc>
        <w:tc>
          <w:tcPr>
            <w:tcW w:w="721" w:type="pct"/>
            <w:tcBorders>
              <w:top w:val="nil"/>
              <w:left w:val="nil"/>
              <w:bottom w:val="single" w:sz="4" w:space="0" w:color="auto"/>
              <w:right w:val="single" w:sz="4" w:space="0" w:color="auto"/>
            </w:tcBorders>
            <w:shd w:val="clear" w:color="auto" w:fill="auto"/>
            <w:vAlign w:val="bottom"/>
          </w:tcPr>
          <w:p w14:paraId="59C56CD7" w14:textId="5C6A9868" w:rsidR="00603B67" w:rsidRPr="00603B67" w:rsidRDefault="00E41AE5" w:rsidP="00114884">
            <w:pPr>
              <w:spacing w:line="240" w:lineRule="auto"/>
              <w:jc w:val="center"/>
              <w:rPr>
                <w:rFonts w:eastAsia="Times New Roman"/>
                <w:color w:val="000000"/>
                <w:szCs w:val="24"/>
                <w:lang w:val="en-IN" w:eastAsia="en-IN"/>
              </w:rPr>
            </w:pPr>
            <w:r>
              <w:rPr>
                <w:rFonts w:eastAsia="Times New Roman"/>
                <w:color w:val="000000"/>
                <w:szCs w:val="24"/>
                <w:lang w:val="en-IN" w:eastAsia="en-IN"/>
              </w:rPr>
              <w:t>2912</w:t>
            </w:r>
          </w:p>
        </w:tc>
      </w:tr>
      <w:tr w:rsidR="00603B67" w:rsidRPr="00603B67" w14:paraId="3E55FAC6" w14:textId="77777777" w:rsidTr="00E41AE5">
        <w:trPr>
          <w:trHeight w:val="405"/>
        </w:trPr>
        <w:tc>
          <w:tcPr>
            <w:tcW w:w="1693" w:type="pct"/>
            <w:tcBorders>
              <w:top w:val="nil"/>
              <w:left w:val="single" w:sz="4" w:space="0" w:color="auto"/>
              <w:bottom w:val="single" w:sz="4" w:space="0" w:color="auto"/>
              <w:right w:val="single" w:sz="4" w:space="0" w:color="auto"/>
            </w:tcBorders>
            <w:shd w:val="clear" w:color="auto" w:fill="auto"/>
            <w:vAlign w:val="bottom"/>
          </w:tcPr>
          <w:p w14:paraId="7E85FB02" w14:textId="10A632CA" w:rsidR="00603B67" w:rsidRPr="00603B67" w:rsidRDefault="00E41AE5" w:rsidP="00603B67">
            <w:pPr>
              <w:spacing w:line="240" w:lineRule="auto"/>
              <w:jc w:val="left"/>
              <w:rPr>
                <w:rFonts w:eastAsia="Times New Roman"/>
                <w:b/>
                <w:bCs/>
                <w:color w:val="000000"/>
                <w:szCs w:val="24"/>
                <w:lang w:val="en-IN" w:eastAsia="en-IN"/>
              </w:rPr>
            </w:pPr>
            <w:r w:rsidRPr="00E41AE5">
              <w:rPr>
                <w:rFonts w:eastAsia="Times New Roman"/>
                <w:b/>
                <w:bCs/>
                <w:color w:val="000000"/>
                <w:szCs w:val="24"/>
                <w:lang w:val="en-IN" w:eastAsia="en-IN"/>
              </w:rPr>
              <w:t>Market capitalization</w:t>
            </w:r>
          </w:p>
        </w:tc>
        <w:tc>
          <w:tcPr>
            <w:tcW w:w="1865" w:type="pct"/>
            <w:tcBorders>
              <w:top w:val="nil"/>
              <w:left w:val="nil"/>
              <w:bottom w:val="single" w:sz="4" w:space="0" w:color="auto"/>
              <w:right w:val="single" w:sz="4" w:space="0" w:color="auto"/>
            </w:tcBorders>
            <w:shd w:val="clear" w:color="auto" w:fill="auto"/>
            <w:vAlign w:val="bottom"/>
          </w:tcPr>
          <w:p w14:paraId="74FB7BDA" w14:textId="0CA45E95" w:rsidR="00603B67" w:rsidRPr="00603B67" w:rsidRDefault="00E41AE5" w:rsidP="00114884">
            <w:pPr>
              <w:spacing w:line="240" w:lineRule="auto"/>
              <w:jc w:val="center"/>
              <w:rPr>
                <w:rFonts w:eastAsia="Times New Roman"/>
                <w:color w:val="000000"/>
                <w:szCs w:val="24"/>
                <w:lang w:val="en-IN" w:eastAsia="en-IN"/>
              </w:rPr>
            </w:pPr>
            <w:r w:rsidRPr="00E41AE5">
              <w:rPr>
                <w:rFonts w:eastAsia="Times New Roman"/>
                <w:color w:val="000000"/>
                <w:szCs w:val="24"/>
                <w:lang w:val="en-IN" w:eastAsia="en-IN"/>
              </w:rPr>
              <w:t>600 shares*MPS</w:t>
            </w:r>
          </w:p>
        </w:tc>
        <w:tc>
          <w:tcPr>
            <w:tcW w:w="721" w:type="pct"/>
            <w:tcBorders>
              <w:top w:val="nil"/>
              <w:left w:val="nil"/>
              <w:bottom w:val="single" w:sz="4" w:space="0" w:color="auto"/>
              <w:right w:val="single" w:sz="4" w:space="0" w:color="auto"/>
            </w:tcBorders>
            <w:shd w:val="clear" w:color="auto" w:fill="auto"/>
            <w:vAlign w:val="bottom"/>
          </w:tcPr>
          <w:p w14:paraId="6ECB4B69" w14:textId="748912E3" w:rsidR="00603B67" w:rsidRPr="00603B67" w:rsidRDefault="00E41AE5" w:rsidP="00114884">
            <w:pPr>
              <w:spacing w:line="240" w:lineRule="auto"/>
              <w:jc w:val="center"/>
              <w:rPr>
                <w:rFonts w:eastAsia="Times New Roman"/>
                <w:b/>
                <w:bCs/>
                <w:color w:val="000000"/>
                <w:szCs w:val="24"/>
                <w:lang w:val="en-IN" w:eastAsia="en-IN"/>
              </w:rPr>
            </w:pPr>
            <w:r>
              <w:rPr>
                <w:rFonts w:eastAsia="Times New Roman"/>
                <w:b/>
                <w:bCs/>
                <w:color w:val="000000"/>
                <w:szCs w:val="24"/>
                <w:lang w:val="en-IN" w:eastAsia="en-IN"/>
              </w:rPr>
              <w:t>3072</w:t>
            </w:r>
          </w:p>
        </w:tc>
        <w:tc>
          <w:tcPr>
            <w:tcW w:w="721" w:type="pct"/>
            <w:tcBorders>
              <w:top w:val="nil"/>
              <w:left w:val="nil"/>
              <w:bottom w:val="single" w:sz="4" w:space="0" w:color="auto"/>
              <w:right w:val="single" w:sz="4" w:space="0" w:color="auto"/>
            </w:tcBorders>
            <w:shd w:val="clear" w:color="auto" w:fill="auto"/>
            <w:vAlign w:val="bottom"/>
          </w:tcPr>
          <w:p w14:paraId="0818E6AC" w14:textId="450664C4" w:rsidR="00603B67" w:rsidRPr="00603B67" w:rsidRDefault="00E41AE5" w:rsidP="00114884">
            <w:pPr>
              <w:spacing w:line="240" w:lineRule="auto"/>
              <w:jc w:val="center"/>
              <w:rPr>
                <w:rFonts w:eastAsia="Times New Roman"/>
                <w:b/>
                <w:bCs/>
                <w:color w:val="000000"/>
                <w:szCs w:val="24"/>
                <w:lang w:val="en-IN" w:eastAsia="en-IN"/>
              </w:rPr>
            </w:pPr>
            <w:r>
              <w:rPr>
                <w:rFonts w:eastAsia="Times New Roman"/>
                <w:b/>
                <w:bCs/>
                <w:color w:val="000000"/>
                <w:szCs w:val="24"/>
                <w:lang w:val="en-IN" w:eastAsia="en-IN"/>
              </w:rPr>
              <w:t>2400</w:t>
            </w:r>
          </w:p>
        </w:tc>
      </w:tr>
      <w:tr w:rsidR="00603B67" w:rsidRPr="00603B67" w14:paraId="59BFFC36" w14:textId="77777777" w:rsidTr="00E41AE5">
        <w:trPr>
          <w:trHeight w:val="285"/>
        </w:trPr>
        <w:tc>
          <w:tcPr>
            <w:tcW w:w="1693" w:type="pct"/>
            <w:tcBorders>
              <w:top w:val="nil"/>
              <w:left w:val="single" w:sz="4" w:space="0" w:color="auto"/>
              <w:bottom w:val="single" w:sz="4" w:space="0" w:color="auto"/>
              <w:right w:val="single" w:sz="4" w:space="0" w:color="auto"/>
            </w:tcBorders>
            <w:shd w:val="clear" w:color="auto" w:fill="auto"/>
            <w:vAlign w:val="bottom"/>
          </w:tcPr>
          <w:p w14:paraId="038250CE" w14:textId="1AFA7F52" w:rsidR="00603B67" w:rsidRPr="00603B67" w:rsidRDefault="00E41AE5" w:rsidP="00603B67">
            <w:pPr>
              <w:spacing w:line="240" w:lineRule="auto"/>
              <w:jc w:val="left"/>
              <w:rPr>
                <w:rFonts w:eastAsia="Times New Roman"/>
                <w:b/>
                <w:bCs/>
                <w:color w:val="000000"/>
                <w:szCs w:val="24"/>
                <w:lang w:val="en-IN" w:eastAsia="en-IN"/>
              </w:rPr>
            </w:pPr>
            <w:r w:rsidRPr="00E41AE5">
              <w:rPr>
                <w:rFonts w:eastAsia="Times New Roman"/>
                <w:b/>
                <w:bCs/>
                <w:color w:val="000000"/>
                <w:szCs w:val="24"/>
                <w:lang w:val="en-IN" w:eastAsia="en-IN"/>
              </w:rPr>
              <w:t>Price earnings ratio</w:t>
            </w:r>
          </w:p>
        </w:tc>
        <w:tc>
          <w:tcPr>
            <w:tcW w:w="1865" w:type="pct"/>
            <w:tcBorders>
              <w:top w:val="nil"/>
              <w:left w:val="nil"/>
              <w:bottom w:val="single" w:sz="4" w:space="0" w:color="auto"/>
              <w:right w:val="single" w:sz="4" w:space="0" w:color="auto"/>
            </w:tcBorders>
            <w:shd w:val="clear" w:color="auto" w:fill="auto"/>
            <w:vAlign w:val="bottom"/>
          </w:tcPr>
          <w:p w14:paraId="39629E44" w14:textId="76C903F9"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vAlign w:val="bottom"/>
          </w:tcPr>
          <w:p w14:paraId="175E6FB9" w14:textId="16A10FE8" w:rsidR="00603B67" w:rsidRPr="00603B67" w:rsidRDefault="00E41AE5" w:rsidP="00114884">
            <w:pPr>
              <w:spacing w:line="240" w:lineRule="auto"/>
              <w:jc w:val="center"/>
              <w:rPr>
                <w:rFonts w:eastAsia="Times New Roman"/>
                <w:b/>
                <w:bCs/>
                <w:color w:val="000000"/>
                <w:szCs w:val="24"/>
                <w:lang w:val="en-IN" w:eastAsia="en-IN"/>
              </w:rPr>
            </w:pPr>
            <w:r>
              <w:rPr>
                <w:rFonts w:eastAsia="Times New Roman"/>
                <w:b/>
                <w:bCs/>
                <w:color w:val="000000"/>
                <w:szCs w:val="24"/>
                <w:lang w:val="en-IN" w:eastAsia="en-IN"/>
              </w:rPr>
              <w:t>7.1</w:t>
            </w:r>
          </w:p>
        </w:tc>
        <w:tc>
          <w:tcPr>
            <w:tcW w:w="721" w:type="pct"/>
            <w:tcBorders>
              <w:top w:val="nil"/>
              <w:left w:val="nil"/>
              <w:bottom w:val="single" w:sz="4" w:space="0" w:color="auto"/>
              <w:right w:val="single" w:sz="4" w:space="0" w:color="auto"/>
            </w:tcBorders>
            <w:shd w:val="clear" w:color="auto" w:fill="auto"/>
            <w:vAlign w:val="bottom"/>
          </w:tcPr>
          <w:p w14:paraId="1CF0B798" w14:textId="4DDF3C1A" w:rsidR="00603B67" w:rsidRPr="00603B67" w:rsidRDefault="00E41AE5" w:rsidP="00114884">
            <w:pPr>
              <w:spacing w:line="240" w:lineRule="auto"/>
              <w:jc w:val="center"/>
              <w:rPr>
                <w:rFonts w:eastAsia="Times New Roman"/>
                <w:b/>
                <w:bCs/>
                <w:color w:val="000000"/>
                <w:szCs w:val="24"/>
                <w:lang w:val="en-IN" w:eastAsia="en-IN"/>
              </w:rPr>
            </w:pPr>
            <w:r>
              <w:rPr>
                <w:rFonts w:eastAsia="Times New Roman"/>
                <w:b/>
                <w:bCs/>
                <w:color w:val="000000"/>
                <w:szCs w:val="24"/>
                <w:lang w:val="en-IN" w:eastAsia="en-IN"/>
              </w:rPr>
              <w:t>6.6</w:t>
            </w:r>
          </w:p>
        </w:tc>
      </w:tr>
      <w:tr w:rsidR="00603B67" w:rsidRPr="00603B67" w14:paraId="383DDFA8" w14:textId="77777777" w:rsidTr="00E41AE5">
        <w:trPr>
          <w:trHeight w:val="315"/>
        </w:trPr>
        <w:tc>
          <w:tcPr>
            <w:tcW w:w="1693" w:type="pct"/>
            <w:tcBorders>
              <w:top w:val="nil"/>
              <w:left w:val="single" w:sz="4" w:space="0" w:color="auto"/>
              <w:bottom w:val="single" w:sz="4" w:space="0" w:color="auto"/>
              <w:right w:val="single" w:sz="4" w:space="0" w:color="auto"/>
            </w:tcBorders>
            <w:shd w:val="clear" w:color="auto" w:fill="auto"/>
            <w:noWrap/>
            <w:vAlign w:val="bottom"/>
          </w:tcPr>
          <w:p w14:paraId="353B9416" w14:textId="74F76429" w:rsidR="00603B67" w:rsidRPr="00603B67" w:rsidRDefault="00E41AE5" w:rsidP="00603B67">
            <w:pPr>
              <w:spacing w:line="240" w:lineRule="auto"/>
              <w:jc w:val="left"/>
              <w:rPr>
                <w:rFonts w:eastAsia="Times New Roman"/>
                <w:color w:val="000000"/>
                <w:szCs w:val="24"/>
                <w:lang w:val="en-IN" w:eastAsia="en-IN"/>
              </w:rPr>
            </w:pPr>
            <w:r w:rsidRPr="00E41AE5">
              <w:rPr>
                <w:rFonts w:eastAsia="Times New Roman"/>
                <w:color w:val="000000"/>
                <w:szCs w:val="24"/>
                <w:lang w:val="en-IN" w:eastAsia="en-IN"/>
              </w:rPr>
              <w:t>Market to book value ratio</w:t>
            </w:r>
          </w:p>
        </w:tc>
        <w:tc>
          <w:tcPr>
            <w:tcW w:w="1865" w:type="pct"/>
            <w:tcBorders>
              <w:top w:val="nil"/>
              <w:left w:val="nil"/>
              <w:bottom w:val="single" w:sz="4" w:space="0" w:color="auto"/>
              <w:right w:val="single" w:sz="4" w:space="0" w:color="auto"/>
            </w:tcBorders>
            <w:shd w:val="clear" w:color="auto" w:fill="auto"/>
            <w:noWrap/>
            <w:vAlign w:val="bottom"/>
          </w:tcPr>
          <w:p w14:paraId="49ACDC1E" w14:textId="23F7EC50" w:rsidR="00603B67" w:rsidRPr="00603B67" w:rsidRDefault="00E41AE5" w:rsidP="00114884">
            <w:pPr>
              <w:spacing w:line="240" w:lineRule="auto"/>
              <w:jc w:val="center"/>
              <w:rPr>
                <w:rFonts w:eastAsia="Times New Roman"/>
                <w:color w:val="000000"/>
                <w:szCs w:val="24"/>
                <w:lang w:val="en-IN" w:eastAsia="en-IN"/>
              </w:rPr>
            </w:pPr>
            <w:r w:rsidRPr="00E41AE5">
              <w:rPr>
                <w:rFonts w:eastAsia="Times New Roman"/>
                <w:color w:val="000000"/>
                <w:szCs w:val="24"/>
                <w:lang w:val="en-IN" w:eastAsia="en-IN"/>
              </w:rPr>
              <w:t>Market Capitalization / Net Book Value</w:t>
            </w:r>
          </w:p>
        </w:tc>
        <w:tc>
          <w:tcPr>
            <w:tcW w:w="721" w:type="pct"/>
            <w:tcBorders>
              <w:top w:val="nil"/>
              <w:left w:val="nil"/>
              <w:bottom w:val="single" w:sz="4" w:space="0" w:color="auto"/>
              <w:right w:val="single" w:sz="4" w:space="0" w:color="auto"/>
            </w:tcBorders>
            <w:shd w:val="clear" w:color="auto" w:fill="auto"/>
            <w:noWrap/>
            <w:vAlign w:val="bottom"/>
          </w:tcPr>
          <w:p w14:paraId="078559B9" w14:textId="123416BD" w:rsidR="00603B67" w:rsidRPr="00603B67" w:rsidRDefault="00E41AE5" w:rsidP="00114884">
            <w:pPr>
              <w:spacing w:line="240" w:lineRule="auto"/>
              <w:jc w:val="center"/>
              <w:rPr>
                <w:rFonts w:eastAsia="Times New Roman"/>
                <w:color w:val="000000"/>
                <w:szCs w:val="24"/>
                <w:lang w:val="en-IN" w:eastAsia="en-IN"/>
              </w:rPr>
            </w:pPr>
            <w:r>
              <w:rPr>
                <w:rFonts w:eastAsia="Times New Roman"/>
                <w:color w:val="000000"/>
                <w:szCs w:val="24"/>
                <w:lang w:val="en-IN" w:eastAsia="en-IN"/>
              </w:rPr>
              <w:t>0.99</w:t>
            </w:r>
          </w:p>
        </w:tc>
        <w:tc>
          <w:tcPr>
            <w:tcW w:w="721" w:type="pct"/>
            <w:tcBorders>
              <w:top w:val="nil"/>
              <w:left w:val="nil"/>
              <w:bottom w:val="single" w:sz="4" w:space="0" w:color="auto"/>
              <w:right w:val="single" w:sz="4" w:space="0" w:color="auto"/>
            </w:tcBorders>
            <w:shd w:val="clear" w:color="auto" w:fill="auto"/>
            <w:noWrap/>
            <w:vAlign w:val="bottom"/>
          </w:tcPr>
          <w:p w14:paraId="21CFB41F" w14:textId="79711456" w:rsidR="00603B67" w:rsidRPr="00603B67" w:rsidRDefault="00E41AE5" w:rsidP="00114884">
            <w:pPr>
              <w:spacing w:line="240" w:lineRule="auto"/>
              <w:jc w:val="center"/>
              <w:rPr>
                <w:rFonts w:eastAsia="Times New Roman"/>
                <w:color w:val="000000"/>
                <w:szCs w:val="24"/>
                <w:lang w:val="en-IN" w:eastAsia="en-IN"/>
              </w:rPr>
            </w:pPr>
            <w:r>
              <w:rPr>
                <w:rFonts w:eastAsia="Times New Roman"/>
                <w:color w:val="000000"/>
                <w:szCs w:val="24"/>
                <w:lang w:val="en-IN" w:eastAsia="en-IN"/>
              </w:rPr>
              <w:t>0.82</w:t>
            </w:r>
          </w:p>
        </w:tc>
      </w:tr>
      <w:tr w:rsidR="00603B67" w:rsidRPr="00603B67" w14:paraId="54BA4661" w14:textId="77777777" w:rsidTr="00E41AE5">
        <w:trPr>
          <w:trHeight w:val="315"/>
        </w:trPr>
        <w:tc>
          <w:tcPr>
            <w:tcW w:w="1693" w:type="pct"/>
            <w:tcBorders>
              <w:top w:val="nil"/>
              <w:left w:val="single" w:sz="4" w:space="0" w:color="auto"/>
              <w:bottom w:val="single" w:sz="4" w:space="0" w:color="auto"/>
              <w:right w:val="single" w:sz="4" w:space="0" w:color="auto"/>
            </w:tcBorders>
            <w:shd w:val="clear" w:color="auto" w:fill="auto"/>
            <w:noWrap/>
            <w:vAlign w:val="bottom"/>
          </w:tcPr>
          <w:p w14:paraId="38B9F411" w14:textId="0906CECA" w:rsidR="00603B67" w:rsidRPr="00603B67" w:rsidRDefault="00E41AE5" w:rsidP="00603B67">
            <w:pPr>
              <w:spacing w:line="240" w:lineRule="auto"/>
              <w:jc w:val="left"/>
              <w:rPr>
                <w:rFonts w:eastAsia="Times New Roman"/>
                <w:color w:val="000000"/>
                <w:szCs w:val="24"/>
                <w:lang w:val="en-IN" w:eastAsia="en-IN"/>
              </w:rPr>
            </w:pPr>
            <w:r w:rsidRPr="00E41AE5">
              <w:rPr>
                <w:rFonts w:eastAsia="Times New Roman"/>
                <w:color w:val="000000"/>
                <w:szCs w:val="24"/>
                <w:lang w:val="en-IN" w:eastAsia="en-IN"/>
              </w:rPr>
              <w:t>Dividend paid</w:t>
            </w:r>
          </w:p>
        </w:tc>
        <w:tc>
          <w:tcPr>
            <w:tcW w:w="1865" w:type="pct"/>
            <w:tcBorders>
              <w:top w:val="nil"/>
              <w:left w:val="nil"/>
              <w:bottom w:val="single" w:sz="4" w:space="0" w:color="auto"/>
              <w:right w:val="single" w:sz="4" w:space="0" w:color="auto"/>
            </w:tcBorders>
            <w:shd w:val="clear" w:color="auto" w:fill="auto"/>
            <w:noWrap/>
            <w:vAlign w:val="bottom"/>
          </w:tcPr>
          <w:p w14:paraId="50D50751" w14:textId="58E1489D"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noWrap/>
            <w:vAlign w:val="bottom"/>
          </w:tcPr>
          <w:p w14:paraId="178691C9" w14:textId="27F7EC60" w:rsidR="00603B67" w:rsidRPr="00603B67" w:rsidRDefault="00E41AE5" w:rsidP="00114884">
            <w:pPr>
              <w:spacing w:line="240" w:lineRule="auto"/>
              <w:jc w:val="center"/>
              <w:rPr>
                <w:rFonts w:eastAsia="Times New Roman"/>
                <w:color w:val="000000"/>
                <w:szCs w:val="24"/>
                <w:lang w:val="en-IN" w:eastAsia="en-IN"/>
              </w:rPr>
            </w:pPr>
            <w:r>
              <w:rPr>
                <w:rFonts w:eastAsia="Times New Roman"/>
                <w:color w:val="000000"/>
                <w:szCs w:val="24"/>
                <w:lang w:val="en-IN" w:eastAsia="en-IN"/>
              </w:rPr>
              <w:t>255</w:t>
            </w:r>
          </w:p>
        </w:tc>
        <w:tc>
          <w:tcPr>
            <w:tcW w:w="721" w:type="pct"/>
            <w:tcBorders>
              <w:top w:val="nil"/>
              <w:left w:val="nil"/>
              <w:bottom w:val="single" w:sz="4" w:space="0" w:color="auto"/>
              <w:right w:val="single" w:sz="4" w:space="0" w:color="auto"/>
            </w:tcBorders>
            <w:shd w:val="clear" w:color="auto" w:fill="auto"/>
            <w:noWrap/>
            <w:vAlign w:val="bottom"/>
          </w:tcPr>
          <w:p w14:paraId="209379F4" w14:textId="687C375B" w:rsidR="00603B67" w:rsidRPr="00603B67" w:rsidRDefault="00E41AE5" w:rsidP="00114884">
            <w:pPr>
              <w:spacing w:line="240" w:lineRule="auto"/>
              <w:jc w:val="center"/>
              <w:rPr>
                <w:rFonts w:eastAsia="Times New Roman"/>
                <w:color w:val="000000"/>
                <w:szCs w:val="24"/>
                <w:lang w:val="en-IN" w:eastAsia="en-IN"/>
              </w:rPr>
            </w:pPr>
            <w:r>
              <w:rPr>
                <w:rFonts w:eastAsia="Times New Roman"/>
                <w:color w:val="000000"/>
                <w:szCs w:val="24"/>
                <w:lang w:val="en-IN" w:eastAsia="en-IN"/>
              </w:rPr>
              <w:t>242</w:t>
            </w:r>
          </w:p>
        </w:tc>
      </w:tr>
      <w:tr w:rsidR="00603B67" w:rsidRPr="00603B67" w14:paraId="0ECD2039" w14:textId="77777777" w:rsidTr="00E41AE5">
        <w:trPr>
          <w:trHeight w:val="315"/>
        </w:trPr>
        <w:tc>
          <w:tcPr>
            <w:tcW w:w="1693" w:type="pct"/>
            <w:tcBorders>
              <w:top w:val="nil"/>
              <w:left w:val="single" w:sz="4" w:space="0" w:color="auto"/>
              <w:bottom w:val="single" w:sz="4" w:space="0" w:color="auto"/>
              <w:right w:val="single" w:sz="4" w:space="0" w:color="auto"/>
            </w:tcBorders>
            <w:shd w:val="clear" w:color="auto" w:fill="auto"/>
            <w:noWrap/>
            <w:vAlign w:val="bottom"/>
          </w:tcPr>
          <w:p w14:paraId="092ACEAF" w14:textId="6FB2F899" w:rsidR="00603B67" w:rsidRPr="00603B67" w:rsidRDefault="00E41AE5" w:rsidP="00603B67">
            <w:pPr>
              <w:spacing w:line="240" w:lineRule="auto"/>
              <w:jc w:val="left"/>
              <w:rPr>
                <w:rFonts w:eastAsia="Times New Roman"/>
                <w:color w:val="000000"/>
                <w:szCs w:val="24"/>
                <w:lang w:val="en-IN" w:eastAsia="en-IN"/>
              </w:rPr>
            </w:pPr>
            <w:r w:rsidRPr="00E41AE5">
              <w:rPr>
                <w:rFonts w:eastAsia="Times New Roman"/>
                <w:color w:val="000000"/>
                <w:szCs w:val="24"/>
                <w:lang w:val="en-IN" w:eastAsia="en-IN"/>
              </w:rPr>
              <w:t>Net income</w:t>
            </w:r>
          </w:p>
        </w:tc>
        <w:tc>
          <w:tcPr>
            <w:tcW w:w="1865" w:type="pct"/>
            <w:tcBorders>
              <w:top w:val="nil"/>
              <w:left w:val="nil"/>
              <w:bottom w:val="single" w:sz="4" w:space="0" w:color="auto"/>
              <w:right w:val="single" w:sz="4" w:space="0" w:color="auto"/>
            </w:tcBorders>
            <w:shd w:val="clear" w:color="auto" w:fill="auto"/>
            <w:noWrap/>
            <w:vAlign w:val="bottom"/>
          </w:tcPr>
          <w:p w14:paraId="4A47C213" w14:textId="55AB86DA" w:rsidR="00603B67" w:rsidRPr="00603B67" w:rsidRDefault="00603B67" w:rsidP="00114884">
            <w:pPr>
              <w:spacing w:line="240" w:lineRule="auto"/>
              <w:jc w:val="center"/>
              <w:rPr>
                <w:rFonts w:eastAsia="Times New Roman"/>
                <w:color w:val="000000"/>
                <w:szCs w:val="24"/>
                <w:lang w:val="en-IN" w:eastAsia="en-IN"/>
              </w:rPr>
            </w:pPr>
          </w:p>
        </w:tc>
        <w:tc>
          <w:tcPr>
            <w:tcW w:w="721" w:type="pct"/>
            <w:tcBorders>
              <w:top w:val="nil"/>
              <w:left w:val="nil"/>
              <w:bottom w:val="single" w:sz="4" w:space="0" w:color="auto"/>
              <w:right w:val="single" w:sz="4" w:space="0" w:color="auto"/>
            </w:tcBorders>
            <w:shd w:val="clear" w:color="auto" w:fill="auto"/>
            <w:noWrap/>
            <w:vAlign w:val="bottom"/>
          </w:tcPr>
          <w:p w14:paraId="3DED3D14" w14:textId="17CDD922" w:rsidR="00603B67" w:rsidRPr="00603B67" w:rsidRDefault="00E41AE5" w:rsidP="00114884">
            <w:pPr>
              <w:spacing w:line="240" w:lineRule="auto"/>
              <w:jc w:val="center"/>
              <w:rPr>
                <w:rFonts w:eastAsia="Times New Roman"/>
                <w:color w:val="000000"/>
                <w:szCs w:val="24"/>
                <w:lang w:val="en-IN" w:eastAsia="en-IN"/>
              </w:rPr>
            </w:pPr>
            <w:r>
              <w:rPr>
                <w:rFonts w:eastAsia="Times New Roman"/>
                <w:color w:val="000000"/>
                <w:szCs w:val="24"/>
                <w:lang w:val="en-IN" w:eastAsia="en-IN"/>
              </w:rPr>
              <w:t>431</w:t>
            </w:r>
          </w:p>
        </w:tc>
        <w:tc>
          <w:tcPr>
            <w:tcW w:w="721" w:type="pct"/>
            <w:tcBorders>
              <w:top w:val="nil"/>
              <w:left w:val="nil"/>
              <w:bottom w:val="single" w:sz="4" w:space="0" w:color="auto"/>
              <w:right w:val="single" w:sz="4" w:space="0" w:color="auto"/>
            </w:tcBorders>
            <w:shd w:val="clear" w:color="auto" w:fill="auto"/>
            <w:noWrap/>
            <w:vAlign w:val="bottom"/>
          </w:tcPr>
          <w:p w14:paraId="514CEA80" w14:textId="79F4D90D" w:rsidR="00603B67" w:rsidRPr="00603B67" w:rsidRDefault="00E41AE5" w:rsidP="00114884">
            <w:pPr>
              <w:spacing w:line="240" w:lineRule="auto"/>
              <w:jc w:val="center"/>
              <w:rPr>
                <w:rFonts w:eastAsia="Times New Roman"/>
                <w:color w:val="000000"/>
                <w:szCs w:val="24"/>
                <w:lang w:val="en-IN" w:eastAsia="en-IN"/>
              </w:rPr>
            </w:pPr>
            <w:r>
              <w:rPr>
                <w:rFonts w:eastAsia="Times New Roman"/>
                <w:color w:val="000000"/>
                <w:szCs w:val="24"/>
                <w:lang w:val="en-IN" w:eastAsia="en-IN"/>
              </w:rPr>
              <w:t>366</w:t>
            </w:r>
          </w:p>
        </w:tc>
      </w:tr>
      <w:tr w:rsidR="00603B67" w:rsidRPr="00603B67" w14:paraId="45D3261E" w14:textId="77777777" w:rsidTr="00E41AE5">
        <w:trPr>
          <w:trHeight w:val="315"/>
        </w:trPr>
        <w:tc>
          <w:tcPr>
            <w:tcW w:w="1693" w:type="pct"/>
            <w:tcBorders>
              <w:top w:val="nil"/>
              <w:left w:val="single" w:sz="4" w:space="0" w:color="auto"/>
              <w:bottom w:val="single" w:sz="4" w:space="0" w:color="auto"/>
              <w:right w:val="single" w:sz="4" w:space="0" w:color="auto"/>
            </w:tcBorders>
            <w:shd w:val="clear" w:color="auto" w:fill="auto"/>
            <w:noWrap/>
            <w:vAlign w:val="bottom"/>
          </w:tcPr>
          <w:p w14:paraId="6E59D783" w14:textId="757D2399" w:rsidR="00603B67" w:rsidRPr="00603B67" w:rsidRDefault="00E41AE5" w:rsidP="00603B67">
            <w:pPr>
              <w:spacing w:line="240" w:lineRule="auto"/>
              <w:jc w:val="left"/>
              <w:rPr>
                <w:rFonts w:eastAsia="Times New Roman"/>
                <w:b/>
                <w:bCs/>
                <w:color w:val="000000"/>
                <w:szCs w:val="24"/>
                <w:lang w:val="en-IN" w:eastAsia="en-IN"/>
              </w:rPr>
            </w:pPr>
            <w:r w:rsidRPr="00E41AE5">
              <w:rPr>
                <w:rFonts w:eastAsia="Times New Roman"/>
                <w:b/>
                <w:bCs/>
                <w:color w:val="000000"/>
                <w:szCs w:val="24"/>
                <w:lang w:val="en-IN" w:eastAsia="en-IN"/>
              </w:rPr>
              <w:t>Dividend pay-out ratio</w:t>
            </w:r>
          </w:p>
        </w:tc>
        <w:tc>
          <w:tcPr>
            <w:tcW w:w="1865" w:type="pct"/>
            <w:tcBorders>
              <w:top w:val="nil"/>
              <w:left w:val="nil"/>
              <w:bottom w:val="single" w:sz="4" w:space="0" w:color="auto"/>
              <w:right w:val="single" w:sz="4" w:space="0" w:color="auto"/>
            </w:tcBorders>
            <w:shd w:val="clear" w:color="auto" w:fill="auto"/>
            <w:noWrap/>
            <w:vAlign w:val="bottom"/>
          </w:tcPr>
          <w:p w14:paraId="07ADAE43" w14:textId="62BB3300" w:rsidR="00603B67" w:rsidRPr="00603B67" w:rsidRDefault="00E41AE5" w:rsidP="00114884">
            <w:pPr>
              <w:spacing w:line="240" w:lineRule="auto"/>
              <w:jc w:val="center"/>
              <w:rPr>
                <w:rFonts w:eastAsia="Times New Roman"/>
                <w:color w:val="000000"/>
                <w:szCs w:val="24"/>
                <w:lang w:val="en-IN" w:eastAsia="en-IN"/>
              </w:rPr>
            </w:pPr>
            <w:r w:rsidRPr="00E41AE5">
              <w:rPr>
                <w:rFonts w:eastAsia="Times New Roman"/>
                <w:color w:val="000000"/>
                <w:szCs w:val="24"/>
                <w:lang w:val="en-IN" w:eastAsia="en-IN"/>
              </w:rPr>
              <w:t>Dividend paid/Net income</w:t>
            </w:r>
          </w:p>
        </w:tc>
        <w:tc>
          <w:tcPr>
            <w:tcW w:w="721" w:type="pct"/>
            <w:tcBorders>
              <w:top w:val="nil"/>
              <w:left w:val="nil"/>
              <w:bottom w:val="single" w:sz="4" w:space="0" w:color="auto"/>
              <w:right w:val="single" w:sz="4" w:space="0" w:color="auto"/>
            </w:tcBorders>
            <w:shd w:val="clear" w:color="auto" w:fill="auto"/>
            <w:noWrap/>
            <w:vAlign w:val="bottom"/>
          </w:tcPr>
          <w:p w14:paraId="2D02E295" w14:textId="5BA4AB78" w:rsidR="00603B67" w:rsidRPr="00603B67" w:rsidRDefault="00E41AE5" w:rsidP="00114884">
            <w:pPr>
              <w:spacing w:line="240" w:lineRule="auto"/>
              <w:jc w:val="center"/>
              <w:rPr>
                <w:rFonts w:eastAsia="Times New Roman"/>
                <w:b/>
                <w:bCs/>
                <w:color w:val="000000"/>
                <w:szCs w:val="24"/>
                <w:lang w:val="en-IN" w:eastAsia="en-IN"/>
              </w:rPr>
            </w:pPr>
            <w:r>
              <w:rPr>
                <w:rFonts w:eastAsia="Times New Roman"/>
                <w:b/>
                <w:bCs/>
                <w:color w:val="000000"/>
                <w:szCs w:val="24"/>
                <w:lang w:val="en-IN" w:eastAsia="en-IN"/>
              </w:rPr>
              <w:t>59.16%</w:t>
            </w:r>
          </w:p>
        </w:tc>
        <w:tc>
          <w:tcPr>
            <w:tcW w:w="721" w:type="pct"/>
            <w:tcBorders>
              <w:top w:val="nil"/>
              <w:left w:val="nil"/>
              <w:bottom w:val="single" w:sz="4" w:space="0" w:color="auto"/>
              <w:right w:val="single" w:sz="4" w:space="0" w:color="auto"/>
            </w:tcBorders>
            <w:shd w:val="clear" w:color="auto" w:fill="auto"/>
            <w:noWrap/>
            <w:vAlign w:val="bottom"/>
          </w:tcPr>
          <w:p w14:paraId="62BB4857" w14:textId="75EFE9B9" w:rsidR="00603B67" w:rsidRPr="00603B67" w:rsidRDefault="00E41AE5" w:rsidP="00114884">
            <w:pPr>
              <w:spacing w:line="240" w:lineRule="auto"/>
              <w:jc w:val="center"/>
              <w:rPr>
                <w:rFonts w:eastAsia="Times New Roman"/>
                <w:b/>
                <w:bCs/>
                <w:color w:val="000000"/>
                <w:szCs w:val="24"/>
                <w:lang w:val="en-IN" w:eastAsia="en-IN"/>
              </w:rPr>
            </w:pPr>
            <w:r>
              <w:rPr>
                <w:rFonts w:eastAsia="Times New Roman"/>
                <w:b/>
                <w:bCs/>
                <w:color w:val="000000"/>
                <w:szCs w:val="24"/>
                <w:lang w:val="en-IN" w:eastAsia="en-IN"/>
              </w:rPr>
              <w:t>66.12%</w:t>
            </w:r>
          </w:p>
        </w:tc>
      </w:tr>
    </w:tbl>
    <w:p w14:paraId="3F0A8B17" w14:textId="77777777" w:rsidR="00721320" w:rsidRPr="00721320" w:rsidRDefault="00721320" w:rsidP="00721320">
      <w:pPr>
        <w:rPr>
          <w:lang w:val="en-GB"/>
        </w:rPr>
      </w:pPr>
    </w:p>
    <w:p w14:paraId="47C49DE1" w14:textId="1F5D782F" w:rsidR="00206E9B" w:rsidRDefault="00206E9B" w:rsidP="00206E9B">
      <w:pPr>
        <w:pStyle w:val="Heading2"/>
      </w:pPr>
      <w:bookmarkStart w:id="5" w:name="_Toc55918529"/>
      <w:r>
        <w:t>b) Analysing and interpreting the financial performance and position of Chocco plc</w:t>
      </w:r>
      <w:bookmarkEnd w:id="5"/>
    </w:p>
    <w:p w14:paraId="5FD85619" w14:textId="3D20005E" w:rsidR="00206E9B" w:rsidRDefault="005B5EF5" w:rsidP="005B5EF5">
      <w:pPr>
        <w:ind w:firstLine="851"/>
        <w:rPr>
          <w:lang w:val="en-GB"/>
        </w:rPr>
      </w:pPr>
      <w:r>
        <w:rPr>
          <w:lang w:val="en-GB"/>
        </w:rPr>
        <w:t xml:space="preserve">For the purpose of determining the financial position and performance of the Chocco plc, analysing the financial ratio is very useful and a detailed analysis and interpretation is given below. </w:t>
      </w:r>
    </w:p>
    <w:p w14:paraId="0FBAEF52" w14:textId="6704DEEE" w:rsidR="00B3029F" w:rsidRPr="00A263CD" w:rsidRDefault="00B3029F" w:rsidP="00B3029F">
      <w:pPr>
        <w:rPr>
          <w:b/>
          <w:bCs/>
          <w:lang w:val="en-GB"/>
        </w:rPr>
      </w:pPr>
      <w:r w:rsidRPr="00A263CD">
        <w:rPr>
          <w:b/>
          <w:bCs/>
          <w:lang w:val="en-GB"/>
        </w:rPr>
        <w:t>Liquidity ratios</w:t>
      </w:r>
    </w:p>
    <w:p w14:paraId="13775EA0" w14:textId="4F56B8A9" w:rsidR="00B3029F" w:rsidRPr="00A263CD" w:rsidRDefault="00B3029F" w:rsidP="00B3029F">
      <w:pPr>
        <w:rPr>
          <w:b/>
          <w:bCs/>
          <w:i/>
          <w:iCs/>
          <w:lang w:val="en-GB"/>
        </w:rPr>
      </w:pPr>
      <w:r w:rsidRPr="00A263CD">
        <w:rPr>
          <w:b/>
          <w:bCs/>
          <w:i/>
          <w:iCs/>
          <w:lang w:val="en-GB"/>
        </w:rPr>
        <w:t>Current ratio</w:t>
      </w:r>
    </w:p>
    <w:p w14:paraId="4CF71D96" w14:textId="6439B428" w:rsidR="00F659B9" w:rsidRPr="00B3029F" w:rsidRDefault="006C28CB" w:rsidP="009E46A0">
      <w:pPr>
        <w:ind w:firstLine="851"/>
        <w:rPr>
          <w:lang w:val="en-GB"/>
        </w:rPr>
      </w:pPr>
      <w:r>
        <w:rPr>
          <w:lang w:val="en-GB"/>
        </w:rPr>
        <w:t xml:space="preserve">The current ratio of the Chocco plc is 0.92 times which has increased from 0.77 times in the year 2018. But then too this is very low therefore company requires to implement actions which will help in increasing its </w:t>
      </w:r>
      <w:r w:rsidR="00610C0C">
        <w:rPr>
          <w:lang w:val="en-GB"/>
        </w:rPr>
        <w:t>current assets and in reducing its current obligations as well</w:t>
      </w:r>
      <w:r w:rsidR="002F5047">
        <w:rPr>
          <w:lang w:val="en-GB"/>
        </w:rPr>
        <w:t xml:space="preserve"> (</w:t>
      </w:r>
      <w:r w:rsidR="002F5047" w:rsidRPr="002F5047">
        <w:rPr>
          <w:szCs w:val="24"/>
          <w:shd w:val="clear" w:color="auto" w:fill="FFFFFF"/>
        </w:rPr>
        <w:t>Hantono, 2018</w:t>
      </w:r>
      <w:r w:rsidR="002F5047">
        <w:rPr>
          <w:lang w:val="en-GB"/>
        </w:rPr>
        <w:t>)</w:t>
      </w:r>
      <w:r w:rsidR="00610C0C">
        <w:rPr>
          <w:lang w:val="en-GB"/>
        </w:rPr>
        <w:t xml:space="preserve">. </w:t>
      </w:r>
      <w:r w:rsidR="00BE6179">
        <w:rPr>
          <w:lang w:val="en-GB"/>
        </w:rPr>
        <w:t xml:space="preserve">The current ratio of the company should be more than 1 which will help in ensuring that the </w:t>
      </w:r>
      <w:r w:rsidR="00DF7F6A">
        <w:rPr>
          <w:lang w:val="en-GB"/>
        </w:rPr>
        <w:t>company can easily meet with its current obligations in</w:t>
      </w:r>
      <w:r w:rsidR="00745662">
        <w:rPr>
          <w:lang w:val="en-GB"/>
        </w:rPr>
        <w:t xml:space="preserve"> </w:t>
      </w:r>
      <w:r w:rsidR="00DF7F6A">
        <w:rPr>
          <w:lang w:val="en-GB"/>
        </w:rPr>
        <w:t xml:space="preserve">an effective way without any requirement to </w:t>
      </w:r>
    </w:p>
    <w:p w14:paraId="40E93E75" w14:textId="190387B6" w:rsidR="00B3029F" w:rsidRPr="00A263CD" w:rsidRDefault="00B3029F" w:rsidP="00B3029F">
      <w:pPr>
        <w:rPr>
          <w:b/>
          <w:bCs/>
          <w:i/>
          <w:iCs/>
          <w:lang w:val="en-GB"/>
        </w:rPr>
      </w:pPr>
      <w:r w:rsidRPr="00A263CD">
        <w:rPr>
          <w:b/>
          <w:bCs/>
          <w:i/>
          <w:iCs/>
          <w:lang w:val="en-GB"/>
        </w:rPr>
        <w:t>Quick Ratio</w:t>
      </w:r>
    </w:p>
    <w:p w14:paraId="377A17AA" w14:textId="20438C3E" w:rsidR="00610C0C" w:rsidRDefault="00610C0C" w:rsidP="009E46A0">
      <w:pPr>
        <w:ind w:firstLine="851"/>
        <w:rPr>
          <w:lang w:val="en-GB"/>
        </w:rPr>
      </w:pPr>
      <w:r>
        <w:rPr>
          <w:lang w:val="en-GB"/>
        </w:rPr>
        <w:t>The quick ratio is very low which indicates that the company has invested most of its cash in its inventory which has resulted into reduction in quick assets as inventory is excluded from the list</w:t>
      </w:r>
      <w:r w:rsidR="00AA1E98">
        <w:rPr>
          <w:lang w:val="en-GB"/>
        </w:rPr>
        <w:t xml:space="preserve"> (</w:t>
      </w:r>
      <w:r w:rsidR="00AA1E98" w:rsidRPr="002F5047">
        <w:rPr>
          <w:szCs w:val="24"/>
          <w:shd w:val="clear" w:color="auto" w:fill="FFFFFF"/>
        </w:rPr>
        <w:t>Ravichandran and Subramanian, 2016</w:t>
      </w:r>
      <w:r w:rsidR="00AA1E98">
        <w:rPr>
          <w:lang w:val="en-GB"/>
        </w:rPr>
        <w:t>)</w:t>
      </w:r>
      <w:r>
        <w:rPr>
          <w:lang w:val="en-GB"/>
        </w:rPr>
        <w:t xml:space="preserve">. </w:t>
      </w:r>
      <w:r w:rsidR="00A246AE">
        <w:rPr>
          <w:lang w:val="en-GB"/>
        </w:rPr>
        <w:t xml:space="preserve">Therefore, relevant steps are required to be undertaken which will help in decreasing the contribution of the inventory in its current assets. This will result into effectively managing the short-term liquidity position of the company. </w:t>
      </w:r>
    </w:p>
    <w:p w14:paraId="3E548A45" w14:textId="1F1DC090" w:rsidR="00B3029F" w:rsidRPr="00A263CD" w:rsidRDefault="00B3029F" w:rsidP="00B3029F">
      <w:pPr>
        <w:rPr>
          <w:b/>
          <w:bCs/>
          <w:lang w:val="en-GB"/>
        </w:rPr>
      </w:pPr>
      <w:r w:rsidRPr="00A263CD">
        <w:rPr>
          <w:b/>
          <w:bCs/>
          <w:lang w:val="en-GB"/>
        </w:rPr>
        <w:t>Profitability ratios</w:t>
      </w:r>
    </w:p>
    <w:p w14:paraId="05B90382" w14:textId="1C368F40" w:rsidR="00B3029F" w:rsidRPr="00A263CD" w:rsidRDefault="00B3029F" w:rsidP="00B3029F">
      <w:pPr>
        <w:rPr>
          <w:b/>
          <w:bCs/>
          <w:i/>
          <w:iCs/>
          <w:lang w:val="en-GB"/>
        </w:rPr>
      </w:pPr>
      <w:r w:rsidRPr="00A263CD">
        <w:rPr>
          <w:b/>
          <w:bCs/>
          <w:i/>
          <w:iCs/>
          <w:lang w:val="en-GB"/>
        </w:rPr>
        <w:t>Return on capital employed</w:t>
      </w:r>
    </w:p>
    <w:p w14:paraId="74225C85" w14:textId="415E8AB0" w:rsidR="00A246AE" w:rsidRPr="00B3029F" w:rsidRDefault="00A246AE" w:rsidP="009E46A0">
      <w:pPr>
        <w:ind w:firstLine="851"/>
        <w:rPr>
          <w:lang w:val="en-GB"/>
        </w:rPr>
      </w:pPr>
      <w:r>
        <w:rPr>
          <w:lang w:val="en-GB"/>
        </w:rPr>
        <w:t xml:space="preserve">The ROCE of the company has increased in the year 2019 to 11.14% from the 9.93% which is a good indicator of growth. </w:t>
      </w:r>
      <w:r w:rsidR="004B2A74">
        <w:rPr>
          <w:lang w:val="en-GB"/>
        </w:rPr>
        <w:t xml:space="preserve">This rise in ratio conveys that the company is effectively making use of the capital employed in generating income. </w:t>
      </w:r>
      <w:r w:rsidR="008C5181">
        <w:rPr>
          <w:lang w:val="en-GB"/>
        </w:rPr>
        <w:t xml:space="preserve">Along with that, </w:t>
      </w:r>
      <w:r w:rsidR="009240CF">
        <w:rPr>
          <w:lang w:val="en-GB"/>
        </w:rPr>
        <w:t>the</w:t>
      </w:r>
      <w:r w:rsidR="00B80C7B">
        <w:rPr>
          <w:lang w:val="en-GB"/>
        </w:rPr>
        <w:t xml:space="preserve"> outcomes will </w:t>
      </w:r>
      <w:r w:rsidR="00B80C7B">
        <w:rPr>
          <w:lang w:val="en-GB"/>
        </w:rPr>
        <w:lastRenderedPageBreak/>
        <w:t>attract more investors for the purpose of investment</w:t>
      </w:r>
      <w:r w:rsidR="00676AF8">
        <w:rPr>
          <w:lang w:val="en-GB"/>
        </w:rPr>
        <w:t xml:space="preserve"> (</w:t>
      </w:r>
      <w:r w:rsidR="00676AF8" w:rsidRPr="002F5047">
        <w:rPr>
          <w:szCs w:val="24"/>
          <w:shd w:val="clear" w:color="auto" w:fill="FFFFFF"/>
        </w:rPr>
        <w:t>Ningsih, 2020</w:t>
      </w:r>
      <w:r w:rsidR="00676AF8">
        <w:rPr>
          <w:lang w:val="en-GB"/>
        </w:rPr>
        <w:t>)</w:t>
      </w:r>
      <w:r w:rsidR="00B80C7B">
        <w:rPr>
          <w:lang w:val="en-GB"/>
        </w:rPr>
        <w:t xml:space="preserve">. </w:t>
      </w:r>
      <w:r w:rsidR="009240CF">
        <w:rPr>
          <w:lang w:val="en-GB"/>
        </w:rPr>
        <w:t xml:space="preserve">This ratio presents the long-term profitability of the company in terms of how well the assets of the company is performing. </w:t>
      </w:r>
    </w:p>
    <w:p w14:paraId="25C83E83" w14:textId="5BE3E734" w:rsidR="00B3029F" w:rsidRPr="00A263CD" w:rsidRDefault="00B3029F" w:rsidP="00B3029F">
      <w:pPr>
        <w:rPr>
          <w:b/>
          <w:bCs/>
          <w:i/>
          <w:iCs/>
          <w:lang w:val="en-GB"/>
        </w:rPr>
      </w:pPr>
      <w:r w:rsidRPr="00A263CD">
        <w:rPr>
          <w:b/>
          <w:bCs/>
          <w:i/>
          <w:iCs/>
          <w:lang w:val="en-GB"/>
        </w:rPr>
        <w:t>Return on Equity</w:t>
      </w:r>
    </w:p>
    <w:p w14:paraId="51299CEB" w14:textId="3445AC0A" w:rsidR="009240CF" w:rsidRPr="00B3029F" w:rsidRDefault="009240CF" w:rsidP="009E46A0">
      <w:pPr>
        <w:ind w:firstLine="851"/>
        <w:rPr>
          <w:lang w:val="en-GB"/>
        </w:rPr>
      </w:pPr>
      <w:r>
        <w:rPr>
          <w:lang w:val="en-GB"/>
        </w:rPr>
        <w:t xml:space="preserve">The ROE of the company </w:t>
      </w:r>
      <w:r w:rsidR="00E06DDC">
        <w:rPr>
          <w:lang w:val="en-GB"/>
        </w:rPr>
        <w:t>has</w:t>
      </w:r>
      <w:r>
        <w:rPr>
          <w:lang w:val="en-GB"/>
        </w:rPr>
        <w:t xml:space="preserve"> </w:t>
      </w:r>
      <w:r w:rsidR="00A0589F">
        <w:rPr>
          <w:lang w:val="en-GB"/>
        </w:rPr>
        <w:t>shown an upward trend as it has</w:t>
      </w:r>
      <w:r w:rsidR="00C3219D">
        <w:rPr>
          <w:lang w:val="en-GB"/>
        </w:rPr>
        <w:t xml:space="preserve"> </w:t>
      </w:r>
      <w:r w:rsidR="00A0589F">
        <w:rPr>
          <w:lang w:val="en-GB"/>
        </w:rPr>
        <w:t xml:space="preserve">increased to </w:t>
      </w:r>
      <w:r w:rsidR="00086E79">
        <w:rPr>
          <w:lang w:val="en-GB"/>
        </w:rPr>
        <w:t>13.96</w:t>
      </w:r>
      <w:r w:rsidR="00A0589F">
        <w:rPr>
          <w:lang w:val="en-GB"/>
        </w:rPr>
        <w:t xml:space="preserve">% in contrast to </w:t>
      </w:r>
      <w:r w:rsidR="00086E79">
        <w:rPr>
          <w:lang w:val="en-GB"/>
        </w:rPr>
        <w:t>12.57</w:t>
      </w:r>
      <w:r w:rsidR="00A0589F">
        <w:rPr>
          <w:lang w:val="en-GB"/>
        </w:rPr>
        <w:t xml:space="preserve">% in the year 2018. </w:t>
      </w:r>
      <w:r w:rsidR="00C3219D">
        <w:rPr>
          <w:lang w:val="en-GB"/>
        </w:rPr>
        <w:t>Higher and growing ratio is m</w:t>
      </w:r>
      <w:r w:rsidR="00E06DDC">
        <w:rPr>
          <w:lang w:val="en-GB"/>
        </w:rPr>
        <w:t>o</w:t>
      </w:r>
      <w:r w:rsidR="00C3219D">
        <w:rPr>
          <w:lang w:val="en-GB"/>
        </w:rPr>
        <w:t>r</w:t>
      </w:r>
      <w:r w:rsidR="00E06DDC">
        <w:rPr>
          <w:lang w:val="en-GB"/>
        </w:rPr>
        <w:t>e</w:t>
      </w:r>
      <w:r w:rsidR="00C3219D">
        <w:rPr>
          <w:lang w:val="en-GB"/>
        </w:rPr>
        <w:t xml:space="preserve"> </w:t>
      </w:r>
      <w:r w:rsidR="00E06DDC">
        <w:rPr>
          <w:lang w:val="en-GB"/>
        </w:rPr>
        <w:t>favourable</w:t>
      </w:r>
      <w:r w:rsidR="00C3219D">
        <w:rPr>
          <w:lang w:val="en-GB"/>
        </w:rPr>
        <w:t xml:space="preserve"> from the investor’s point of view</w:t>
      </w:r>
      <w:r w:rsidR="00676AF8">
        <w:rPr>
          <w:lang w:val="en-GB"/>
        </w:rPr>
        <w:t xml:space="preserve"> (</w:t>
      </w:r>
      <w:r w:rsidR="00676AF8" w:rsidRPr="002F5047">
        <w:rPr>
          <w:szCs w:val="24"/>
          <w:shd w:val="clear" w:color="auto" w:fill="FFFFFF"/>
        </w:rPr>
        <w:t>Mahdaleta, Muda</w:t>
      </w:r>
      <w:r w:rsidR="00676AF8">
        <w:rPr>
          <w:szCs w:val="24"/>
          <w:shd w:val="clear" w:color="auto" w:fill="FFFFFF"/>
        </w:rPr>
        <w:t xml:space="preserve"> </w:t>
      </w:r>
      <w:r w:rsidR="00676AF8" w:rsidRPr="002F5047">
        <w:rPr>
          <w:szCs w:val="24"/>
          <w:shd w:val="clear" w:color="auto" w:fill="FFFFFF"/>
        </w:rPr>
        <w:t>and Nasir, 2016</w:t>
      </w:r>
      <w:r w:rsidR="00676AF8">
        <w:rPr>
          <w:lang w:val="en-GB"/>
        </w:rPr>
        <w:t>)</w:t>
      </w:r>
      <w:r w:rsidR="00C3219D">
        <w:rPr>
          <w:lang w:val="en-GB"/>
        </w:rPr>
        <w:t xml:space="preserve">. </w:t>
      </w:r>
      <w:r w:rsidR="00A14F61">
        <w:rPr>
          <w:lang w:val="en-GB"/>
        </w:rPr>
        <w:t xml:space="preserve">This ratio depicts the efficiency and effectiveness of the company in </w:t>
      </w:r>
      <w:r w:rsidR="00C570ED">
        <w:rPr>
          <w:lang w:val="en-GB"/>
        </w:rPr>
        <w:t xml:space="preserve">making use of the </w:t>
      </w:r>
      <w:r w:rsidR="008859B3">
        <w:rPr>
          <w:lang w:val="en-GB"/>
        </w:rPr>
        <w:t>investor’s</w:t>
      </w:r>
      <w:r w:rsidR="00C570ED">
        <w:rPr>
          <w:lang w:val="en-GB"/>
        </w:rPr>
        <w:t xml:space="preserve"> funds</w:t>
      </w:r>
      <w:r w:rsidR="00F70FB3">
        <w:rPr>
          <w:lang w:val="en-GB"/>
        </w:rPr>
        <w:t xml:space="preserve">. </w:t>
      </w:r>
      <w:r w:rsidR="008859B3">
        <w:rPr>
          <w:lang w:val="en-GB"/>
        </w:rPr>
        <w:t xml:space="preserve">Therefore, this increase in percentage makes it favourable for the company. </w:t>
      </w:r>
    </w:p>
    <w:p w14:paraId="0E12E87B" w14:textId="6F178053" w:rsidR="00B3029F" w:rsidRPr="00A263CD" w:rsidRDefault="00B3029F" w:rsidP="00B3029F">
      <w:pPr>
        <w:rPr>
          <w:b/>
          <w:bCs/>
          <w:i/>
          <w:iCs/>
          <w:lang w:val="en-GB"/>
        </w:rPr>
      </w:pPr>
      <w:r w:rsidRPr="00A263CD">
        <w:rPr>
          <w:b/>
          <w:bCs/>
          <w:i/>
          <w:iCs/>
          <w:lang w:val="en-GB"/>
        </w:rPr>
        <w:t>Gross Profit Margin</w:t>
      </w:r>
    </w:p>
    <w:p w14:paraId="73A2E93C" w14:textId="5112F776" w:rsidR="008859B3" w:rsidRPr="00B3029F" w:rsidRDefault="00D55085" w:rsidP="009E46A0">
      <w:pPr>
        <w:ind w:firstLine="851"/>
        <w:rPr>
          <w:lang w:val="en-GB"/>
        </w:rPr>
      </w:pPr>
      <w:r>
        <w:rPr>
          <w:lang w:val="en-GB"/>
        </w:rPr>
        <w:t>The GP margin ratio of Chocco plc has not shown a major change which is because of the reason that there is not such variation in the sales volume in comparison to its cost of sales, which h</w:t>
      </w:r>
      <w:r w:rsidR="00A263CD">
        <w:rPr>
          <w:lang w:val="en-GB"/>
        </w:rPr>
        <w:t>a</w:t>
      </w:r>
      <w:r>
        <w:rPr>
          <w:lang w:val="en-GB"/>
        </w:rPr>
        <w:t xml:space="preserve">s resulted into similar ratio. </w:t>
      </w:r>
      <w:r w:rsidR="007E5B16">
        <w:rPr>
          <w:lang w:val="en-GB"/>
        </w:rPr>
        <w:t xml:space="preserve">In order to improve it further, it advisable for the company to </w:t>
      </w:r>
      <w:r w:rsidR="00603B67">
        <w:rPr>
          <w:lang w:val="en-GB"/>
        </w:rPr>
        <w:t xml:space="preserve">implement strategies which will help in reducing the cost of sales and along with increasing revenue of the business. </w:t>
      </w:r>
    </w:p>
    <w:p w14:paraId="53711E57" w14:textId="5FAC419B" w:rsidR="00B3029F" w:rsidRPr="00C01F67" w:rsidRDefault="00B3029F" w:rsidP="00B3029F">
      <w:pPr>
        <w:rPr>
          <w:b/>
          <w:bCs/>
          <w:i/>
          <w:iCs/>
          <w:lang w:val="en-GB"/>
        </w:rPr>
      </w:pPr>
      <w:r w:rsidRPr="00C01F67">
        <w:rPr>
          <w:b/>
          <w:bCs/>
          <w:i/>
          <w:iCs/>
          <w:lang w:val="en-GB"/>
        </w:rPr>
        <w:t>Net Profit ratio</w:t>
      </w:r>
    </w:p>
    <w:p w14:paraId="6E5DCC0B" w14:textId="4E3B59EB" w:rsidR="00603B67" w:rsidRDefault="00086E79" w:rsidP="009E46A0">
      <w:pPr>
        <w:ind w:firstLine="851"/>
        <w:rPr>
          <w:lang w:val="en-GB"/>
        </w:rPr>
      </w:pPr>
      <w:r>
        <w:rPr>
          <w:lang w:val="en-GB"/>
        </w:rPr>
        <w:t xml:space="preserve">The NP margin of the company has risen </w:t>
      </w:r>
      <w:r w:rsidR="00A4726F">
        <w:rPr>
          <w:lang w:val="en-GB"/>
        </w:rPr>
        <w:t xml:space="preserve">to 6.40% in 2019 </w:t>
      </w:r>
      <w:r>
        <w:rPr>
          <w:lang w:val="en-GB"/>
        </w:rPr>
        <w:t>which means that the company is working effectively which has resulted into the increase in the ratio</w:t>
      </w:r>
      <w:r w:rsidR="00676AF8">
        <w:rPr>
          <w:lang w:val="en-GB"/>
        </w:rPr>
        <w:t xml:space="preserve"> (</w:t>
      </w:r>
      <w:r w:rsidR="00676AF8" w:rsidRPr="002F5047">
        <w:rPr>
          <w:szCs w:val="24"/>
          <w:shd w:val="clear" w:color="auto" w:fill="FFFFFF"/>
        </w:rPr>
        <w:t>Behera and Das, 2019</w:t>
      </w:r>
      <w:r w:rsidR="00676AF8">
        <w:rPr>
          <w:lang w:val="en-GB"/>
        </w:rPr>
        <w:t>)</w:t>
      </w:r>
      <w:r>
        <w:rPr>
          <w:lang w:val="en-GB"/>
        </w:rPr>
        <w:t xml:space="preserve">. This rise is because of the increase in the revenue of the company </w:t>
      </w:r>
      <w:r w:rsidR="00AD36F6">
        <w:rPr>
          <w:lang w:val="en-GB"/>
        </w:rPr>
        <w:t xml:space="preserve">along with its net profit. Therefore, company should work in the similar and make efforts in further reducing its operating and non-operating expenses gaining higher NP. </w:t>
      </w:r>
    </w:p>
    <w:p w14:paraId="7670FD25" w14:textId="7B8C2C5A" w:rsidR="00B3029F" w:rsidRPr="00C01F67" w:rsidRDefault="00B3029F" w:rsidP="00B3029F">
      <w:pPr>
        <w:rPr>
          <w:b/>
          <w:bCs/>
          <w:lang w:val="en-GB"/>
        </w:rPr>
      </w:pPr>
      <w:r w:rsidRPr="00C01F67">
        <w:rPr>
          <w:b/>
          <w:bCs/>
          <w:lang w:val="en-GB"/>
        </w:rPr>
        <w:t>Efficiency ratios</w:t>
      </w:r>
    </w:p>
    <w:p w14:paraId="75181FF3" w14:textId="5F400FFE" w:rsidR="00B3029F" w:rsidRPr="00C01F67" w:rsidRDefault="00B3029F" w:rsidP="00B3029F">
      <w:pPr>
        <w:rPr>
          <w:b/>
          <w:bCs/>
          <w:i/>
          <w:iCs/>
          <w:lang w:val="en-GB"/>
        </w:rPr>
      </w:pPr>
      <w:r w:rsidRPr="00C01F67">
        <w:rPr>
          <w:b/>
          <w:bCs/>
          <w:i/>
          <w:iCs/>
          <w:lang w:val="en-GB"/>
        </w:rPr>
        <w:t>Asset turnover ratio</w:t>
      </w:r>
    </w:p>
    <w:p w14:paraId="37B26535" w14:textId="6E03308B" w:rsidR="00A4726F" w:rsidRPr="00B3029F" w:rsidRDefault="00A4726F" w:rsidP="009E46A0">
      <w:pPr>
        <w:ind w:firstLine="851"/>
        <w:rPr>
          <w:lang w:val="en-GB"/>
        </w:rPr>
      </w:pPr>
      <w:r>
        <w:rPr>
          <w:lang w:val="en-GB"/>
        </w:rPr>
        <w:t>The ATR of Chocco plc is reduced which means that company is lacking behind in terms of effectively making use of its assets in generating greater revenue. Therefore, it becomes important for the firm to impose new strategies which will help in analysing the reason behind</w:t>
      </w:r>
      <w:r w:rsidR="00973044">
        <w:rPr>
          <w:lang w:val="en-GB"/>
        </w:rPr>
        <w:t xml:space="preserve"> the fall in the ATR</w:t>
      </w:r>
      <w:r w:rsidR="00676AF8">
        <w:rPr>
          <w:lang w:val="en-GB"/>
        </w:rPr>
        <w:t xml:space="preserve"> (</w:t>
      </w:r>
      <w:r w:rsidR="00676AF8" w:rsidRPr="002F5047">
        <w:rPr>
          <w:szCs w:val="24"/>
          <w:shd w:val="clear" w:color="auto" w:fill="FFFFFF"/>
        </w:rPr>
        <w:t>Farooq, 2019</w:t>
      </w:r>
      <w:r w:rsidR="00676AF8">
        <w:rPr>
          <w:lang w:val="en-GB"/>
        </w:rPr>
        <w:t>)</w:t>
      </w:r>
      <w:r w:rsidR="00973044">
        <w:rPr>
          <w:lang w:val="en-GB"/>
        </w:rPr>
        <w:t xml:space="preserve">. </w:t>
      </w:r>
      <w:r w:rsidR="00B93843">
        <w:rPr>
          <w:lang w:val="en-GB"/>
        </w:rPr>
        <w:t xml:space="preserve">Along with that efforts are required to implemented for ensuring optimum utilization of resources. </w:t>
      </w:r>
      <w:r>
        <w:rPr>
          <w:lang w:val="en-GB"/>
        </w:rPr>
        <w:t xml:space="preserve"> </w:t>
      </w:r>
    </w:p>
    <w:p w14:paraId="398E991A" w14:textId="48859A7A" w:rsidR="00B3029F" w:rsidRPr="00C01F67" w:rsidRDefault="00B3029F" w:rsidP="00B3029F">
      <w:pPr>
        <w:rPr>
          <w:b/>
          <w:bCs/>
          <w:i/>
          <w:iCs/>
          <w:lang w:val="en-GB"/>
        </w:rPr>
      </w:pPr>
      <w:r w:rsidRPr="00C01F67">
        <w:rPr>
          <w:b/>
          <w:bCs/>
          <w:i/>
          <w:iCs/>
          <w:lang w:val="en-GB"/>
        </w:rPr>
        <w:t>Inventory turnover ratio</w:t>
      </w:r>
    </w:p>
    <w:p w14:paraId="48841CA0" w14:textId="7390F156" w:rsidR="0015697E" w:rsidRPr="00B3029F" w:rsidRDefault="00E31072" w:rsidP="009E46A0">
      <w:pPr>
        <w:ind w:firstLine="851"/>
        <w:rPr>
          <w:lang w:val="en-GB"/>
        </w:rPr>
      </w:pPr>
      <w:r>
        <w:rPr>
          <w:lang w:val="en-GB"/>
        </w:rPr>
        <w:t xml:space="preserve">The ITR of the company has declined which means that the company is facing problem in respect to selling its </w:t>
      </w:r>
      <w:r w:rsidR="008D0C5A">
        <w:rPr>
          <w:lang w:val="en-GB"/>
        </w:rPr>
        <w:t>goods</w:t>
      </w:r>
      <w:r>
        <w:rPr>
          <w:lang w:val="en-GB"/>
        </w:rPr>
        <w:t>.</w:t>
      </w:r>
      <w:r w:rsidR="008D0C5A">
        <w:rPr>
          <w:lang w:val="en-GB"/>
        </w:rPr>
        <w:t xml:space="preserve"> It is desirable to have higher ratio and in case of lower ratio it depicts that the company overspend through the way of purchasing too much stock of goods and is wasting its resources by storing the non-saleable stock items. This highlights that company is not effective</w:t>
      </w:r>
      <w:r w:rsidR="007C30A4">
        <w:rPr>
          <w:lang w:val="en-GB"/>
        </w:rPr>
        <w:t xml:space="preserve"> in</w:t>
      </w:r>
      <w:r w:rsidR="008D0C5A">
        <w:rPr>
          <w:lang w:val="en-GB"/>
        </w:rPr>
        <w:t xml:space="preserve"> quickly selling its inventory.</w:t>
      </w:r>
      <w:r>
        <w:rPr>
          <w:lang w:val="en-GB"/>
        </w:rPr>
        <w:t xml:space="preserve"> </w:t>
      </w:r>
    </w:p>
    <w:p w14:paraId="2E943C9C" w14:textId="7F2A0885" w:rsidR="00B3029F" w:rsidRPr="000A4E76" w:rsidRDefault="00B3029F" w:rsidP="00B3029F">
      <w:pPr>
        <w:rPr>
          <w:b/>
          <w:bCs/>
          <w:i/>
          <w:iCs/>
          <w:lang w:val="en-GB"/>
        </w:rPr>
      </w:pPr>
      <w:r w:rsidRPr="000A4E76">
        <w:rPr>
          <w:b/>
          <w:bCs/>
          <w:i/>
          <w:iCs/>
          <w:lang w:val="en-GB"/>
        </w:rPr>
        <w:lastRenderedPageBreak/>
        <w:t>Account receivable turnover ratio</w:t>
      </w:r>
    </w:p>
    <w:p w14:paraId="0A95C85C" w14:textId="24369C9D" w:rsidR="000748ED" w:rsidRPr="00B3029F" w:rsidRDefault="000748ED" w:rsidP="009E46A0">
      <w:pPr>
        <w:ind w:firstLine="851"/>
        <w:rPr>
          <w:lang w:val="en-GB"/>
        </w:rPr>
      </w:pPr>
      <w:r>
        <w:rPr>
          <w:lang w:val="en-GB"/>
        </w:rPr>
        <w:t xml:space="preserve">This ratio is important in measuring the efficiency of the entity in terms of how many times it is able to </w:t>
      </w:r>
      <w:r w:rsidR="006379B3">
        <w:rPr>
          <w:lang w:val="en-GB"/>
        </w:rPr>
        <w:t xml:space="preserve">convert its accounts receivables in cash. Higher the ratio better it is for the company. </w:t>
      </w:r>
      <w:r w:rsidR="00DC0AF2">
        <w:rPr>
          <w:lang w:val="en-GB"/>
        </w:rPr>
        <w:t>This ratio of the company has shown an increase which is very minor as it has increased to 5.39 times in contrast to the 5 times in 2018</w:t>
      </w:r>
      <w:r w:rsidR="00676AF8">
        <w:rPr>
          <w:lang w:val="en-GB"/>
        </w:rPr>
        <w:t xml:space="preserve"> (</w:t>
      </w:r>
      <w:r w:rsidR="00676AF8" w:rsidRPr="002F5047">
        <w:rPr>
          <w:szCs w:val="24"/>
          <w:shd w:val="clear" w:color="auto" w:fill="FFFFFF"/>
        </w:rPr>
        <w:t>Umniati, Titisari and Chomsatu, 2019</w:t>
      </w:r>
      <w:r w:rsidR="00676AF8">
        <w:rPr>
          <w:lang w:val="en-GB"/>
        </w:rPr>
        <w:t>)</w:t>
      </w:r>
      <w:r w:rsidR="00DC0AF2">
        <w:rPr>
          <w:lang w:val="en-GB"/>
        </w:rPr>
        <w:t xml:space="preserve">. </w:t>
      </w:r>
      <w:r w:rsidR="00B93A28">
        <w:rPr>
          <w:lang w:val="en-GB"/>
        </w:rPr>
        <w:t xml:space="preserve">This depicts that the company is effective in collecting the due amount from its account receivables 5.39 times in a year. </w:t>
      </w:r>
      <w:r w:rsidR="000F5A0A">
        <w:rPr>
          <w:lang w:val="en-GB"/>
        </w:rPr>
        <w:t xml:space="preserve">From the cash flow point of view, the company is able to collect the amount sooner </w:t>
      </w:r>
      <w:r w:rsidR="003004BC">
        <w:rPr>
          <w:lang w:val="en-GB"/>
        </w:rPr>
        <w:t>which can be used making payment</w:t>
      </w:r>
      <w:r w:rsidR="0058039D">
        <w:rPr>
          <w:lang w:val="en-GB"/>
        </w:rPr>
        <w:t xml:space="preserve"> of the obligations.</w:t>
      </w:r>
    </w:p>
    <w:p w14:paraId="4B8E741A" w14:textId="6957DE17" w:rsidR="00B3029F" w:rsidRPr="004B1B15" w:rsidRDefault="00B3029F" w:rsidP="00B3029F">
      <w:pPr>
        <w:rPr>
          <w:b/>
          <w:bCs/>
          <w:i/>
          <w:iCs/>
          <w:lang w:val="en-GB"/>
        </w:rPr>
      </w:pPr>
      <w:r w:rsidRPr="004B1B15">
        <w:rPr>
          <w:b/>
          <w:bCs/>
          <w:i/>
          <w:iCs/>
          <w:lang w:val="en-GB"/>
        </w:rPr>
        <w:t>Accounts Payable Turnover Ratio</w:t>
      </w:r>
    </w:p>
    <w:p w14:paraId="6AF013AF" w14:textId="1CCE30F1" w:rsidR="00750BCD" w:rsidRDefault="00095132" w:rsidP="009E46A0">
      <w:pPr>
        <w:ind w:firstLine="851"/>
        <w:rPr>
          <w:lang w:val="en-GB"/>
        </w:rPr>
      </w:pPr>
      <w:r>
        <w:rPr>
          <w:lang w:val="en-GB"/>
        </w:rPr>
        <w:t xml:space="preserve">This ratio of the Chocco plc has increased which is favourable for the company. This means that the company can make payment to its creditors 5.55 times in a year which </w:t>
      </w:r>
      <w:r w:rsidR="00F4601F">
        <w:rPr>
          <w:lang w:val="en-GB"/>
        </w:rPr>
        <w:t>helps</w:t>
      </w:r>
      <w:r>
        <w:rPr>
          <w:lang w:val="en-GB"/>
        </w:rPr>
        <w:t xml:space="preserve"> in building trust among the supplier’s and the vendors. </w:t>
      </w:r>
      <w:r w:rsidR="00F4601F">
        <w:rPr>
          <w:lang w:val="en-GB"/>
        </w:rPr>
        <w:t>The difference between the a/c receivable and a/c payable turnover ratio is not much, therefore, the company requires to implement strategy which will result into</w:t>
      </w:r>
      <w:r w:rsidR="009F5AEF">
        <w:rPr>
          <w:lang w:val="en-GB"/>
        </w:rPr>
        <w:t xml:space="preserve"> </w:t>
      </w:r>
      <w:r w:rsidR="006C51C1">
        <w:rPr>
          <w:lang w:val="en-GB"/>
        </w:rPr>
        <w:t xml:space="preserve">increasing </w:t>
      </w:r>
      <w:r w:rsidR="00C048A7">
        <w:rPr>
          <w:lang w:val="en-GB"/>
        </w:rPr>
        <w:t>its</w:t>
      </w:r>
      <w:r w:rsidR="006C51C1">
        <w:rPr>
          <w:lang w:val="en-GB"/>
        </w:rPr>
        <w:t xml:space="preserve"> a/c payable turnover ratio so that after receiving cash from its debtors it </w:t>
      </w:r>
      <w:r w:rsidR="00C048A7">
        <w:rPr>
          <w:lang w:val="en-GB"/>
        </w:rPr>
        <w:t>a</w:t>
      </w:r>
      <w:r w:rsidR="006C51C1">
        <w:rPr>
          <w:lang w:val="en-GB"/>
        </w:rPr>
        <w:t xml:space="preserve"> make payment to its creditors </w:t>
      </w:r>
      <w:r w:rsidR="00FF7B03">
        <w:rPr>
          <w:lang w:val="en-GB"/>
        </w:rPr>
        <w:t>efficiently</w:t>
      </w:r>
      <w:r w:rsidR="006C51C1">
        <w:rPr>
          <w:lang w:val="en-GB"/>
        </w:rPr>
        <w:t xml:space="preserve"> without any need for additional funds to be borrowed.</w:t>
      </w:r>
    </w:p>
    <w:p w14:paraId="72E3E8F3" w14:textId="2961C143" w:rsidR="00B3029F" w:rsidRPr="002C0FEB" w:rsidRDefault="00B3029F" w:rsidP="00B3029F">
      <w:pPr>
        <w:rPr>
          <w:b/>
          <w:bCs/>
          <w:lang w:val="en-GB"/>
        </w:rPr>
      </w:pPr>
      <w:r w:rsidRPr="002C0FEB">
        <w:rPr>
          <w:b/>
          <w:bCs/>
          <w:lang w:val="en-GB"/>
        </w:rPr>
        <w:t>Leverage ratios</w:t>
      </w:r>
    </w:p>
    <w:p w14:paraId="13BAAD24" w14:textId="4DE50E5B" w:rsidR="00B3029F" w:rsidRPr="002C0FEB" w:rsidRDefault="00B3029F" w:rsidP="00B3029F">
      <w:pPr>
        <w:rPr>
          <w:b/>
          <w:bCs/>
          <w:i/>
          <w:iCs/>
          <w:lang w:val="en-GB"/>
        </w:rPr>
      </w:pPr>
      <w:r w:rsidRPr="002C0FEB">
        <w:rPr>
          <w:b/>
          <w:bCs/>
          <w:i/>
          <w:iCs/>
          <w:lang w:val="en-GB"/>
        </w:rPr>
        <w:t>Proprietary Ratio</w:t>
      </w:r>
    </w:p>
    <w:p w14:paraId="337834CC" w14:textId="1F6397FC" w:rsidR="009B7330" w:rsidRDefault="007A11A2" w:rsidP="009E46A0">
      <w:pPr>
        <w:ind w:firstLine="851"/>
        <w:rPr>
          <w:lang w:val="en-GB"/>
        </w:rPr>
      </w:pPr>
      <w:r>
        <w:rPr>
          <w:lang w:val="en-GB"/>
        </w:rPr>
        <w:t xml:space="preserve">This ratio highlights the proportion of the shareholder’s equity in against the total assets of the company. </w:t>
      </w:r>
      <w:r w:rsidR="009B7330">
        <w:rPr>
          <w:lang w:val="en-GB"/>
        </w:rPr>
        <w:t xml:space="preserve">This ratio has shown an upward trend which </w:t>
      </w:r>
      <w:r w:rsidR="004B0964">
        <w:rPr>
          <w:lang w:val="en-GB"/>
        </w:rPr>
        <w:t xml:space="preserve">is favourable for the company as it highlights that the entity is </w:t>
      </w:r>
      <w:r w:rsidR="00FA34E7">
        <w:rPr>
          <w:lang w:val="en-GB"/>
        </w:rPr>
        <w:t>making more use of the equity funds instead of debt in the business dealings.</w:t>
      </w:r>
      <w:r w:rsidR="00F63832">
        <w:rPr>
          <w:lang w:val="en-GB"/>
        </w:rPr>
        <w:t xml:space="preserve"> The percentage has increased to 31.72% from 28.87%</w:t>
      </w:r>
      <w:r w:rsidR="00FA34E7">
        <w:rPr>
          <w:lang w:val="en-GB"/>
        </w:rPr>
        <w:t xml:space="preserve"> </w:t>
      </w:r>
      <w:r w:rsidR="00F63832">
        <w:rPr>
          <w:lang w:val="en-GB"/>
        </w:rPr>
        <w:t>and is therefore having additional space for the taking the debt in case of requirement</w:t>
      </w:r>
      <w:r w:rsidR="00676AF8">
        <w:rPr>
          <w:lang w:val="en-GB"/>
        </w:rPr>
        <w:t xml:space="preserve"> (</w:t>
      </w:r>
      <w:r w:rsidR="00676AF8" w:rsidRPr="002F5047">
        <w:rPr>
          <w:szCs w:val="24"/>
          <w:shd w:val="clear" w:color="auto" w:fill="FFFFFF"/>
        </w:rPr>
        <w:t>BRÎNDESCU–OLARIU, 2016</w:t>
      </w:r>
      <w:r w:rsidR="00676AF8">
        <w:rPr>
          <w:lang w:val="en-GB"/>
        </w:rPr>
        <w:t>)</w:t>
      </w:r>
      <w:r w:rsidR="00F63832">
        <w:rPr>
          <w:lang w:val="en-GB"/>
        </w:rPr>
        <w:t>. Along with that, there is a decline in the total assets of the company and an increase in the equity funds which h</w:t>
      </w:r>
      <w:r w:rsidR="00E17445">
        <w:rPr>
          <w:lang w:val="en-GB"/>
        </w:rPr>
        <w:t>a</w:t>
      </w:r>
      <w:r w:rsidR="00F63832">
        <w:rPr>
          <w:lang w:val="en-GB"/>
        </w:rPr>
        <w:t xml:space="preserve">s resulted into higher ratio. </w:t>
      </w:r>
      <w:r w:rsidR="00D12358">
        <w:rPr>
          <w:lang w:val="en-GB"/>
        </w:rPr>
        <w:t xml:space="preserve">It is important to note that the debt component has also increased </w:t>
      </w:r>
      <w:r w:rsidR="00283C2A">
        <w:rPr>
          <w:lang w:val="en-GB"/>
        </w:rPr>
        <w:t>in 2019 therefore, the good percentage is due to the reduction the total assets.</w:t>
      </w:r>
      <w:r w:rsidR="00D12358">
        <w:rPr>
          <w:lang w:val="en-GB"/>
        </w:rPr>
        <w:t xml:space="preserve"> </w:t>
      </w:r>
    </w:p>
    <w:p w14:paraId="26400201" w14:textId="57BE54C0" w:rsidR="00B3029F" w:rsidRPr="009E46A0" w:rsidRDefault="00B3029F" w:rsidP="00B3029F">
      <w:pPr>
        <w:rPr>
          <w:b/>
          <w:bCs/>
          <w:i/>
          <w:iCs/>
          <w:lang w:val="en-GB"/>
        </w:rPr>
      </w:pPr>
      <w:r w:rsidRPr="009E46A0">
        <w:rPr>
          <w:b/>
          <w:bCs/>
          <w:i/>
          <w:iCs/>
          <w:lang w:val="en-GB"/>
        </w:rPr>
        <w:t>Debt equity ratio</w:t>
      </w:r>
    </w:p>
    <w:p w14:paraId="3BC61F9E" w14:textId="7AA6AC5C" w:rsidR="002C0FEB" w:rsidRDefault="00822C7C" w:rsidP="009E46A0">
      <w:pPr>
        <w:ind w:firstLine="851"/>
        <w:rPr>
          <w:lang w:val="en-GB"/>
        </w:rPr>
      </w:pPr>
      <w:r>
        <w:rPr>
          <w:lang w:val="en-GB"/>
        </w:rPr>
        <w:t xml:space="preserve">The debt equity ratio helps in determining the composition of the </w:t>
      </w:r>
      <w:r w:rsidR="00992ED5">
        <w:rPr>
          <w:lang w:val="en-GB"/>
        </w:rPr>
        <w:t xml:space="preserve">debt and equity in the capital structure </w:t>
      </w:r>
      <w:r w:rsidR="008D175E">
        <w:rPr>
          <w:lang w:val="en-GB"/>
        </w:rPr>
        <w:t>o</w:t>
      </w:r>
      <w:r w:rsidR="00992ED5">
        <w:rPr>
          <w:lang w:val="en-GB"/>
        </w:rPr>
        <w:t xml:space="preserve">f the company. </w:t>
      </w:r>
      <w:r w:rsidR="00F17117">
        <w:rPr>
          <w:lang w:val="en-GB"/>
        </w:rPr>
        <w:t xml:space="preserve">It is desirable to have the ratio of 1 but in case of Chocco plc the ratio is 1.34 which has reduced in comparison to the previous year but is not very low. This depicts that the entity is having </w:t>
      </w:r>
      <w:r w:rsidR="00866D1F">
        <w:rPr>
          <w:lang w:val="en-GB"/>
        </w:rPr>
        <w:t xml:space="preserve">more debt as compared to its equity which incur risk for the entity therefore, measures are required to be undertaken which will help in </w:t>
      </w:r>
      <w:r w:rsidR="00EC0740">
        <w:rPr>
          <w:lang w:val="en-GB"/>
        </w:rPr>
        <w:t>attaining the desired ratio.</w:t>
      </w:r>
    </w:p>
    <w:p w14:paraId="59BDE71A" w14:textId="562C914D" w:rsidR="00B3029F" w:rsidRPr="009E46A0" w:rsidRDefault="00B3029F" w:rsidP="00B3029F">
      <w:pPr>
        <w:rPr>
          <w:b/>
          <w:bCs/>
          <w:lang w:val="en-GB"/>
        </w:rPr>
      </w:pPr>
      <w:r w:rsidRPr="009E46A0">
        <w:rPr>
          <w:b/>
          <w:bCs/>
          <w:lang w:val="en-GB"/>
        </w:rPr>
        <w:lastRenderedPageBreak/>
        <w:t>Market value ratios</w:t>
      </w:r>
    </w:p>
    <w:p w14:paraId="292E88DD" w14:textId="672F459F" w:rsidR="00B3029F" w:rsidRPr="009E46A0" w:rsidRDefault="00B3029F" w:rsidP="00B3029F">
      <w:pPr>
        <w:rPr>
          <w:b/>
          <w:bCs/>
          <w:i/>
          <w:iCs/>
          <w:lang w:val="en-GB"/>
        </w:rPr>
      </w:pPr>
      <w:r w:rsidRPr="009E46A0">
        <w:rPr>
          <w:b/>
          <w:bCs/>
          <w:i/>
          <w:iCs/>
          <w:lang w:val="en-GB"/>
        </w:rPr>
        <w:t>Price earnings ratio</w:t>
      </w:r>
    </w:p>
    <w:p w14:paraId="1B8EDCE0" w14:textId="3BFE55B3" w:rsidR="00EC0740" w:rsidRPr="00B3029F" w:rsidRDefault="00EC0740" w:rsidP="009E46A0">
      <w:pPr>
        <w:ind w:firstLine="851"/>
        <w:rPr>
          <w:lang w:val="en-GB"/>
        </w:rPr>
      </w:pPr>
      <w:r>
        <w:rPr>
          <w:lang w:val="en-GB"/>
        </w:rPr>
        <w:t xml:space="preserve">The PER of Chocco plc has shown an increase in trend which highlights the growing stocks of the company. </w:t>
      </w:r>
      <w:r w:rsidR="008C3741">
        <w:rPr>
          <w:lang w:val="en-GB"/>
        </w:rPr>
        <w:t xml:space="preserve">Along with it, the ratio is high which depicts the stronger and positive future performance of the entity and along with the same, the expectations of the investors </w:t>
      </w:r>
      <w:r w:rsidR="001448B5">
        <w:rPr>
          <w:lang w:val="en-GB"/>
        </w:rPr>
        <w:t xml:space="preserve">in regard to the future </w:t>
      </w:r>
      <w:r w:rsidR="00AE5FBF">
        <w:rPr>
          <w:lang w:val="en-GB"/>
        </w:rPr>
        <w:t>earnings</w:t>
      </w:r>
      <w:r w:rsidR="001448B5">
        <w:rPr>
          <w:lang w:val="en-GB"/>
        </w:rPr>
        <w:t xml:space="preserve"> will also increase</w:t>
      </w:r>
      <w:r w:rsidR="003914C6">
        <w:rPr>
          <w:lang w:val="en-GB"/>
        </w:rPr>
        <w:t xml:space="preserve"> and will be willing to pay more</w:t>
      </w:r>
      <w:r w:rsidR="00676AF8">
        <w:rPr>
          <w:lang w:val="en-GB"/>
        </w:rPr>
        <w:t xml:space="preserve"> (</w:t>
      </w:r>
      <w:r w:rsidR="00676AF8" w:rsidRPr="002F5047">
        <w:rPr>
          <w:szCs w:val="24"/>
          <w:shd w:val="clear" w:color="auto" w:fill="FFFFFF"/>
        </w:rPr>
        <w:t>Altahtamouni, Matahen and Qazaq, 2020</w:t>
      </w:r>
      <w:r w:rsidR="00676AF8">
        <w:rPr>
          <w:lang w:val="en-GB"/>
        </w:rPr>
        <w:t>)</w:t>
      </w:r>
      <w:r w:rsidR="003914C6">
        <w:rPr>
          <w:lang w:val="en-GB"/>
        </w:rPr>
        <w:t xml:space="preserve">. But on the other hand, it is important to take a look </w:t>
      </w:r>
      <w:r w:rsidR="006A2A19">
        <w:rPr>
          <w:lang w:val="en-GB"/>
        </w:rPr>
        <w:t xml:space="preserve">at the other side as well, which is, growth stocks are higher volatile in the </w:t>
      </w:r>
      <w:r w:rsidR="00A15F46">
        <w:rPr>
          <w:lang w:val="en-GB"/>
        </w:rPr>
        <w:t>which exerts huge pressure on the entity to put in more efforts to justify with the higher valuation.</w:t>
      </w:r>
    </w:p>
    <w:p w14:paraId="79455E19" w14:textId="1CFF587F" w:rsidR="00B3029F" w:rsidRPr="005720D5" w:rsidRDefault="00B3029F" w:rsidP="00B3029F">
      <w:pPr>
        <w:rPr>
          <w:b/>
          <w:bCs/>
          <w:i/>
          <w:iCs/>
          <w:lang w:val="en-GB"/>
        </w:rPr>
      </w:pPr>
      <w:r w:rsidRPr="005720D5">
        <w:rPr>
          <w:b/>
          <w:bCs/>
          <w:i/>
          <w:iCs/>
          <w:lang w:val="en-GB"/>
        </w:rPr>
        <w:t>Market to book value ratio</w:t>
      </w:r>
    </w:p>
    <w:p w14:paraId="25062963" w14:textId="6A352770" w:rsidR="008E70A6" w:rsidRDefault="008E70A6" w:rsidP="009E46A0">
      <w:pPr>
        <w:ind w:firstLine="851"/>
        <w:rPr>
          <w:lang w:val="en-GB"/>
        </w:rPr>
      </w:pPr>
      <w:r>
        <w:rPr>
          <w:lang w:val="en-GB"/>
        </w:rPr>
        <w:t xml:space="preserve">This ratio is the financial metrics which is utilized for the purpose of evaluating the </w:t>
      </w:r>
      <w:r w:rsidR="00E41AE5">
        <w:rPr>
          <w:lang w:val="en-GB"/>
        </w:rPr>
        <w:t xml:space="preserve">current value of the stock of the company in contrast to its book value. </w:t>
      </w:r>
      <w:r w:rsidR="00775154">
        <w:rPr>
          <w:lang w:val="en-GB"/>
        </w:rPr>
        <w:t xml:space="preserve">The ratio has rise to 0.99 from 0.82 in 2018. </w:t>
      </w:r>
      <w:r w:rsidR="00AA4587">
        <w:rPr>
          <w:lang w:val="en-GB"/>
        </w:rPr>
        <w:t>The ratio lower than 1 indicates that the stock of the company is undervalued</w:t>
      </w:r>
      <w:r w:rsidR="004D630D">
        <w:rPr>
          <w:lang w:val="en-GB"/>
        </w:rPr>
        <w:t xml:space="preserve"> </w:t>
      </w:r>
      <w:r w:rsidR="00BE7ECA">
        <w:rPr>
          <w:lang w:val="en-GB"/>
        </w:rPr>
        <w:t>which is considered as the bad investment</w:t>
      </w:r>
      <w:r w:rsidR="005720D5">
        <w:rPr>
          <w:lang w:val="en-GB"/>
        </w:rPr>
        <w:t xml:space="preserve"> which could mean that there is soe thing wrong with the entity and also depicts that the company will be paying much more than what will be left after entity goes bankrupt. </w:t>
      </w:r>
      <w:r w:rsidR="0058586B">
        <w:rPr>
          <w:lang w:val="en-GB"/>
        </w:rPr>
        <w:t xml:space="preserve">The ratio grater than 1 refers to the overvaluation of the stock conveying that the organization is performing well. </w:t>
      </w:r>
      <w:r w:rsidR="005E13AD">
        <w:rPr>
          <w:lang w:val="en-GB"/>
        </w:rPr>
        <w:t>The 0.99 is approximately 1</w:t>
      </w:r>
      <w:r w:rsidR="001D2B80">
        <w:rPr>
          <w:lang w:val="en-GB"/>
        </w:rPr>
        <w:t>,</w:t>
      </w:r>
      <w:r w:rsidR="005E13AD">
        <w:rPr>
          <w:lang w:val="en-GB"/>
        </w:rPr>
        <w:t xml:space="preserve"> thus, Chocco plc should implement the methods which will help in attaining the ratio of greater than 1. </w:t>
      </w:r>
      <w:r w:rsidR="00E1331C">
        <w:rPr>
          <w:lang w:val="en-GB"/>
        </w:rPr>
        <w:t>Therefore, the stock value of the company is good or accurate.</w:t>
      </w:r>
    </w:p>
    <w:p w14:paraId="2A6BF436" w14:textId="6AD268AA" w:rsidR="00B3029F" w:rsidRPr="009E46A0" w:rsidRDefault="00B3029F" w:rsidP="00B3029F">
      <w:pPr>
        <w:rPr>
          <w:b/>
          <w:bCs/>
          <w:i/>
          <w:iCs/>
          <w:lang w:val="en-GB"/>
        </w:rPr>
      </w:pPr>
      <w:r w:rsidRPr="009E46A0">
        <w:rPr>
          <w:b/>
          <w:bCs/>
          <w:i/>
          <w:iCs/>
          <w:lang w:val="en-GB"/>
        </w:rPr>
        <w:t>Dividend pay-out ratio</w:t>
      </w:r>
    </w:p>
    <w:p w14:paraId="171A56B8" w14:textId="3780BEA7" w:rsidR="00F04FE6" w:rsidRDefault="00F31BB0" w:rsidP="009E46A0">
      <w:pPr>
        <w:ind w:firstLine="851"/>
        <w:rPr>
          <w:lang w:val="en-GB"/>
        </w:rPr>
      </w:pPr>
      <w:r>
        <w:rPr>
          <w:lang w:val="en-GB"/>
        </w:rPr>
        <w:t xml:space="preserve">The DPR of the company has </w:t>
      </w:r>
      <w:r w:rsidR="001D2B80">
        <w:rPr>
          <w:lang w:val="en-GB"/>
        </w:rPr>
        <w:t xml:space="preserve">declined in respect to its previous year which highlights that the entity is reinvesting </w:t>
      </w:r>
      <w:r w:rsidR="00021D8B">
        <w:rPr>
          <w:lang w:val="en-GB"/>
        </w:rPr>
        <w:t xml:space="preserve">its earning into the projects which results into further expansion of the business. </w:t>
      </w:r>
      <w:r w:rsidR="002E1AD8">
        <w:rPr>
          <w:lang w:val="en-GB"/>
        </w:rPr>
        <w:t xml:space="preserve">Through, this company will be able to attain high growth objectives which will consequently result into </w:t>
      </w:r>
      <w:r w:rsidR="00C105D1">
        <w:rPr>
          <w:lang w:val="en-GB"/>
        </w:rPr>
        <w:t>earning high level of capital gains for the investors</w:t>
      </w:r>
      <w:r w:rsidR="00676AF8">
        <w:rPr>
          <w:lang w:val="en-GB"/>
        </w:rPr>
        <w:t xml:space="preserve"> (</w:t>
      </w:r>
      <w:r w:rsidR="00676AF8" w:rsidRPr="002F5047">
        <w:rPr>
          <w:szCs w:val="24"/>
          <w:shd w:val="clear" w:color="auto" w:fill="FFFFFF"/>
        </w:rPr>
        <w:t>Subburaj, 2019</w:t>
      </w:r>
      <w:r w:rsidR="00676AF8">
        <w:rPr>
          <w:lang w:val="en-GB"/>
        </w:rPr>
        <w:t>)</w:t>
      </w:r>
      <w:r w:rsidR="00C105D1">
        <w:rPr>
          <w:lang w:val="en-GB"/>
        </w:rPr>
        <w:t xml:space="preserve">. Therefore, Chocco plc is in the position to attract more investors who are more keen on earning higher potential profits </w:t>
      </w:r>
      <w:r w:rsidR="00930D8F">
        <w:rPr>
          <w:lang w:val="en-GB"/>
        </w:rPr>
        <w:t>from a</w:t>
      </w:r>
      <w:r w:rsidR="00C105D1">
        <w:rPr>
          <w:lang w:val="en-GB"/>
        </w:rPr>
        <w:t xml:space="preserve"> significant </w:t>
      </w:r>
      <w:r w:rsidR="00930D8F">
        <w:rPr>
          <w:lang w:val="en-GB"/>
        </w:rPr>
        <w:t>increase</w:t>
      </w:r>
      <w:r w:rsidR="00C105D1">
        <w:rPr>
          <w:lang w:val="en-GB"/>
        </w:rPr>
        <w:t xml:space="preserve"> in the share price of the company</w:t>
      </w:r>
      <w:r w:rsidR="0039490F">
        <w:rPr>
          <w:lang w:val="en-GB"/>
        </w:rPr>
        <w:t xml:space="preserve"> and least interest in the income generated through dividend. </w:t>
      </w:r>
      <w:r w:rsidR="00BE6179">
        <w:rPr>
          <w:lang w:val="en-GB"/>
        </w:rPr>
        <w:t xml:space="preserve">This is useful in determining what type of return the company is offering to the investors. </w:t>
      </w:r>
    </w:p>
    <w:p w14:paraId="3EA64598" w14:textId="44FE6CF5" w:rsidR="0067166D" w:rsidRDefault="00BE6179" w:rsidP="00B16B71">
      <w:pPr>
        <w:rPr>
          <w:lang w:val="en-GB"/>
        </w:rPr>
      </w:pPr>
      <w:r>
        <w:rPr>
          <w:lang w:val="en-GB"/>
        </w:rPr>
        <w:tab/>
        <w:t>Thus, based on the ratio analysis of th</w:t>
      </w:r>
      <w:r w:rsidR="00740ECB">
        <w:rPr>
          <w:lang w:val="en-GB"/>
        </w:rPr>
        <w:t>e</w:t>
      </w:r>
      <w:r>
        <w:rPr>
          <w:lang w:val="en-GB"/>
        </w:rPr>
        <w:t xml:space="preserve"> financial statements of the Chocco plc, it can be stated that the company is currently having a good financial position and performing very well and sound. </w:t>
      </w:r>
      <w:r w:rsidR="00AE08F1">
        <w:rPr>
          <w:lang w:val="en-GB"/>
        </w:rPr>
        <w:t xml:space="preserve">The most important things that the company requires to work upon is on improving its </w:t>
      </w:r>
      <w:r w:rsidR="00EE4F21">
        <w:rPr>
          <w:lang w:val="en-GB"/>
        </w:rPr>
        <w:t xml:space="preserve">short term </w:t>
      </w:r>
      <w:r w:rsidR="00AE08F1">
        <w:rPr>
          <w:lang w:val="en-GB"/>
        </w:rPr>
        <w:t>liquidity position</w:t>
      </w:r>
      <w:r w:rsidR="009107FB">
        <w:rPr>
          <w:lang w:val="en-GB"/>
        </w:rPr>
        <w:t xml:space="preserve"> along needs to increase the number of time in</w:t>
      </w:r>
      <w:r w:rsidR="00001DA6">
        <w:rPr>
          <w:lang w:val="en-GB"/>
        </w:rPr>
        <w:t xml:space="preserve"> </w:t>
      </w:r>
      <w:r w:rsidR="009107FB">
        <w:rPr>
          <w:lang w:val="en-GB"/>
        </w:rPr>
        <w:t>a year it collect due amount from its debtors as it is very low.</w:t>
      </w:r>
      <w:r w:rsidR="00001DA6">
        <w:rPr>
          <w:lang w:val="en-GB"/>
        </w:rPr>
        <w:t xml:space="preserve"> In terms of solvency ratio, the company </w:t>
      </w:r>
      <w:r w:rsidR="00001DA6">
        <w:rPr>
          <w:lang w:val="en-GB"/>
        </w:rPr>
        <w:lastRenderedPageBreak/>
        <w:t xml:space="preserve">needs to put more efforts in respect to reducing the </w:t>
      </w:r>
      <w:r w:rsidR="00477750">
        <w:rPr>
          <w:lang w:val="en-GB"/>
        </w:rPr>
        <w:t>am</w:t>
      </w:r>
      <w:r w:rsidR="00B4137C">
        <w:rPr>
          <w:lang w:val="en-GB"/>
        </w:rPr>
        <w:t>o</w:t>
      </w:r>
      <w:r w:rsidR="00477750">
        <w:rPr>
          <w:lang w:val="en-GB"/>
        </w:rPr>
        <w:t xml:space="preserve">unt of </w:t>
      </w:r>
      <w:r w:rsidR="00B163C9">
        <w:rPr>
          <w:lang w:val="en-GB"/>
        </w:rPr>
        <w:t>debt component in its capital structure which will help in further reducing the financial burden borne by t</w:t>
      </w:r>
      <w:r w:rsidR="0067166D">
        <w:rPr>
          <w:lang w:val="en-GB"/>
        </w:rPr>
        <w:t>h</w:t>
      </w:r>
      <w:r w:rsidR="00B163C9">
        <w:rPr>
          <w:lang w:val="en-GB"/>
        </w:rPr>
        <w:t xml:space="preserve">e company. </w:t>
      </w:r>
    </w:p>
    <w:p w14:paraId="6FA6C247" w14:textId="77777777" w:rsidR="0067166D" w:rsidRDefault="0067166D">
      <w:pPr>
        <w:rPr>
          <w:lang w:val="en-GB"/>
        </w:rPr>
      </w:pPr>
      <w:r>
        <w:rPr>
          <w:lang w:val="en-GB"/>
        </w:rPr>
        <w:br w:type="page"/>
      </w:r>
    </w:p>
    <w:p w14:paraId="525293D6" w14:textId="0B235137" w:rsidR="00BE6179" w:rsidRDefault="0067166D" w:rsidP="0067166D">
      <w:pPr>
        <w:pStyle w:val="Heading1"/>
      </w:pPr>
      <w:bookmarkStart w:id="6" w:name="_Toc55918530"/>
      <w:r>
        <w:lastRenderedPageBreak/>
        <w:t>REFERENCES</w:t>
      </w:r>
      <w:bookmarkEnd w:id="6"/>
    </w:p>
    <w:p w14:paraId="64EF60DA" w14:textId="2B22D61E" w:rsidR="0067166D" w:rsidRDefault="0067166D" w:rsidP="0067166D">
      <w:pPr>
        <w:rPr>
          <w:u w:val="single"/>
          <w:lang w:val="en-GB"/>
        </w:rPr>
      </w:pPr>
      <w:r w:rsidRPr="0067166D">
        <w:rPr>
          <w:u w:val="single"/>
          <w:lang w:val="en-GB"/>
        </w:rPr>
        <w:t>Books and Journals</w:t>
      </w:r>
    </w:p>
    <w:p w14:paraId="00F91B3F" w14:textId="77777777" w:rsidR="00676AF8" w:rsidRPr="002F5047" w:rsidRDefault="00676AF8" w:rsidP="00676AF8">
      <w:pPr>
        <w:spacing w:line="240" w:lineRule="auto"/>
        <w:ind w:left="851" w:hanging="851"/>
        <w:rPr>
          <w:szCs w:val="24"/>
          <w:shd w:val="clear" w:color="auto" w:fill="FFFFFF"/>
        </w:rPr>
      </w:pPr>
      <w:r w:rsidRPr="002F5047">
        <w:rPr>
          <w:szCs w:val="24"/>
          <w:shd w:val="clear" w:color="auto" w:fill="FFFFFF"/>
        </w:rPr>
        <w:t>Altahtamouni, F., Matahen, R. and Qazaq, A., 2020. The Mediating Role of the Capital Structure, Growth Rate, and Dividend Policy in the Relationship Between Return on Equity and Market to Book Value. </w:t>
      </w:r>
      <w:r w:rsidRPr="002F5047">
        <w:rPr>
          <w:i/>
          <w:iCs/>
          <w:szCs w:val="24"/>
          <w:shd w:val="clear" w:color="auto" w:fill="FFFFFF"/>
        </w:rPr>
        <w:t>International Journal of Financial Research</w:t>
      </w:r>
      <w:r>
        <w:rPr>
          <w:szCs w:val="24"/>
          <w:shd w:val="clear" w:color="auto" w:fill="FFFFFF"/>
        </w:rPr>
        <w:t>.</w:t>
      </w:r>
      <w:r w:rsidRPr="002F5047">
        <w:rPr>
          <w:szCs w:val="24"/>
          <w:shd w:val="clear" w:color="auto" w:fill="FFFFFF"/>
        </w:rPr>
        <w:t> 11(4).</w:t>
      </w:r>
    </w:p>
    <w:p w14:paraId="6F970232" w14:textId="77777777" w:rsidR="00676AF8" w:rsidRPr="002F5047" w:rsidRDefault="00676AF8" w:rsidP="00676AF8">
      <w:pPr>
        <w:spacing w:line="240" w:lineRule="auto"/>
        <w:ind w:left="851" w:hanging="851"/>
        <w:rPr>
          <w:szCs w:val="24"/>
          <w:shd w:val="clear" w:color="auto" w:fill="FFFFFF"/>
        </w:rPr>
      </w:pPr>
      <w:r w:rsidRPr="002F5047">
        <w:rPr>
          <w:szCs w:val="24"/>
          <w:shd w:val="clear" w:color="auto" w:fill="FFFFFF"/>
        </w:rPr>
        <w:t>Behera, B. and Das, A., 2019. Management Efficiency and Profitability: A Case Study of Petrochemical Industry. </w:t>
      </w:r>
      <w:r w:rsidRPr="002F5047">
        <w:rPr>
          <w:i/>
          <w:iCs/>
          <w:szCs w:val="24"/>
          <w:shd w:val="clear" w:color="auto" w:fill="FFFFFF"/>
        </w:rPr>
        <w:t>Splint International Journal of Professionals</w:t>
      </w:r>
      <w:r>
        <w:rPr>
          <w:szCs w:val="24"/>
          <w:shd w:val="clear" w:color="auto" w:fill="FFFFFF"/>
        </w:rPr>
        <w:t>.</w:t>
      </w:r>
      <w:r w:rsidRPr="002F5047">
        <w:rPr>
          <w:szCs w:val="24"/>
          <w:shd w:val="clear" w:color="auto" w:fill="FFFFFF"/>
        </w:rPr>
        <w:t> 6(3)</w:t>
      </w:r>
      <w:r>
        <w:rPr>
          <w:szCs w:val="24"/>
          <w:shd w:val="clear" w:color="auto" w:fill="FFFFFF"/>
        </w:rPr>
        <w:t>.</w:t>
      </w:r>
      <w:r w:rsidRPr="002F5047">
        <w:rPr>
          <w:szCs w:val="24"/>
          <w:shd w:val="clear" w:color="auto" w:fill="FFFFFF"/>
        </w:rPr>
        <w:t xml:space="preserve"> pp.7-15.</w:t>
      </w:r>
    </w:p>
    <w:p w14:paraId="0F3C2EDB" w14:textId="77777777" w:rsidR="00676AF8" w:rsidRPr="002F5047" w:rsidRDefault="00676AF8" w:rsidP="00676AF8">
      <w:pPr>
        <w:spacing w:line="240" w:lineRule="auto"/>
        <w:ind w:left="851" w:hanging="851"/>
        <w:rPr>
          <w:szCs w:val="24"/>
          <w:shd w:val="clear" w:color="auto" w:fill="FFFFFF"/>
        </w:rPr>
      </w:pPr>
      <w:r w:rsidRPr="002F5047">
        <w:rPr>
          <w:szCs w:val="24"/>
          <w:shd w:val="clear" w:color="auto" w:fill="FFFFFF"/>
        </w:rPr>
        <w:t>BRÎNDESCU–OLARIU, D., 2016. Solvency ratio as a tool for bankruptcy prediction. </w:t>
      </w:r>
      <w:r w:rsidRPr="002F5047">
        <w:rPr>
          <w:i/>
          <w:iCs/>
          <w:szCs w:val="24"/>
          <w:shd w:val="clear" w:color="auto" w:fill="FFFFFF"/>
        </w:rPr>
        <w:t>Ecoforum Journal</w:t>
      </w:r>
      <w:r>
        <w:rPr>
          <w:szCs w:val="24"/>
          <w:shd w:val="clear" w:color="auto" w:fill="FFFFFF"/>
        </w:rPr>
        <w:t>.</w:t>
      </w:r>
      <w:r w:rsidRPr="002F5047">
        <w:rPr>
          <w:szCs w:val="24"/>
          <w:shd w:val="clear" w:color="auto" w:fill="FFFFFF"/>
        </w:rPr>
        <w:t> 5(2).</w:t>
      </w:r>
    </w:p>
    <w:p w14:paraId="12DE3BC9" w14:textId="77777777" w:rsidR="00676AF8" w:rsidRPr="002F5047" w:rsidRDefault="00676AF8" w:rsidP="00676AF8">
      <w:pPr>
        <w:spacing w:line="240" w:lineRule="auto"/>
        <w:ind w:left="851" w:hanging="851"/>
        <w:rPr>
          <w:szCs w:val="24"/>
          <w:shd w:val="clear" w:color="auto" w:fill="FFFFFF"/>
        </w:rPr>
      </w:pPr>
      <w:r w:rsidRPr="002F5047">
        <w:rPr>
          <w:szCs w:val="24"/>
          <w:shd w:val="clear" w:color="auto" w:fill="FFFFFF"/>
        </w:rPr>
        <w:t>Daniel, A.</w:t>
      </w:r>
      <w:r>
        <w:rPr>
          <w:szCs w:val="24"/>
          <w:shd w:val="clear" w:color="auto" w:fill="FFFFFF"/>
        </w:rPr>
        <w:t xml:space="preserve"> </w:t>
      </w:r>
      <w:r w:rsidRPr="002F5047">
        <w:rPr>
          <w:szCs w:val="24"/>
          <w:shd w:val="clear" w:color="auto" w:fill="FFFFFF"/>
        </w:rPr>
        <w:t>C., Marioara, A. and Isabela, D., 2017. Annual Financial Statements as a Financial Communication Support. </w:t>
      </w:r>
      <w:r w:rsidRPr="002F5047">
        <w:rPr>
          <w:i/>
          <w:iCs/>
          <w:szCs w:val="24"/>
          <w:shd w:val="clear" w:color="auto" w:fill="FFFFFF"/>
        </w:rPr>
        <w:t>Ovidius University Annals, Economic Sciences Series</w:t>
      </w:r>
      <w:r>
        <w:rPr>
          <w:szCs w:val="24"/>
          <w:shd w:val="clear" w:color="auto" w:fill="FFFFFF"/>
        </w:rPr>
        <w:t>.</w:t>
      </w:r>
      <w:r w:rsidRPr="002F5047">
        <w:rPr>
          <w:szCs w:val="24"/>
          <w:shd w:val="clear" w:color="auto" w:fill="FFFFFF"/>
        </w:rPr>
        <w:t> 17(1)</w:t>
      </w:r>
      <w:r>
        <w:rPr>
          <w:szCs w:val="24"/>
          <w:shd w:val="clear" w:color="auto" w:fill="FFFFFF"/>
        </w:rPr>
        <w:t>.</w:t>
      </w:r>
      <w:r w:rsidRPr="002F5047">
        <w:rPr>
          <w:szCs w:val="24"/>
          <w:shd w:val="clear" w:color="auto" w:fill="FFFFFF"/>
        </w:rPr>
        <w:t xml:space="preserve"> pp.403-406.</w:t>
      </w:r>
    </w:p>
    <w:p w14:paraId="72A858A5" w14:textId="77777777" w:rsidR="00676AF8" w:rsidRPr="002F5047" w:rsidRDefault="00676AF8" w:rsidP="00676AF8">
      <w:pPr>
        <w:spacing w:line="240" w:lineRule="auto"/>
        <w:ind w:left="851" w:hanging="851"/>
        <w:rPr>
          <w:szCs w:val="24"/>
          <w:shd w:val="clear" w:color="auto" w:fill="FFFFFF"/>
        </w:rPr>
      </w:pPr>
      <w:r w:rsidRPr="002F5047">
        <w:rPr>
          <w:szCs w:val="24"/>
          <w:shd w:val="clear" w:color="auto" w:fill="FFFFFF"/>
        </w:rPr>
        <w:t>Farooq, U., 2019. Impact of inventory turnover on the profitability of non-financial sector firms in Pakistan. </w:t>
      </w:r>
      <w:r w:rsidRPr="002F5047">
        <w:rPr>
          <w:i/>
          <w:iCs/>
          <w:szCs w:val="24"/>
          <w:shd w:val="clear" w:color="auto" w:fill="FFFFFF"/>
        </w:rPr>
        <w:t>Journal of Finance and Accounting Research</w:t>
      </w:r>
      <w:r>
        <w:rPr>
          <w:szCs w:val="24"/>
          <w:shd w:val="clear" w:color="auto" w:fill="FFFFFF"/>
        </w:rPr>
        <w:t>.</w:t>
      </w:r>
      <w:r w:rsidRPr="002F5047">
        <w:rPr>
          <w:szCs w:val="24"/>
          <w:shd w:val="clear" w:color="auto" w:fill="FFFFFF"/>
        </w:rPr>
        <w:t> 1(1)</w:t>
      </w:r>
      <w:r>
        <w:rPr>
          <w:szCs w:val="24"/>
          <w:shd w:val="clear" w:color="auto" w:fill="FFFFFF"/>
        </w:rPr>
        <w:t>.</w:t>
      </w:r>
      <w:r w:rsidRPr="002F5047">
        <w:rPr>
          <w:szCs w:val="24"/>
          <w:shd w:val="clear" w:color="auto" w:fill="FFFFFF"/>
        </w:rPr>
        <w:t xml:space="preserve"> pp.34-51.</w:t>
      </w:r>
    </w:p>
    <w:p w14:paraId="3F5DAED9" w14:textId="77777777" w:rsidR="00676AF8" w:rsidRPr="002F5047" w:rsidRDefault="00676AF8" w:rsidP="00676AF8">
      <w:pPr>
        <w:spacing w:line="240" w:lineRule="auto"/>
        <w:ind w:left="851" w:hanging="851"/>
        <w:rPr>
          <w:szCs w:val="24"/>
          <w:shd w:val="clear" w:color="auto" w:fill="FFFFFF"/>
        </w:rPr>
      </w:pPr>
      <w:r w:rsidRPr="002F5047">
        <w:rPr>
          <w:szCs w:val="24"/>
          <w:shd w:val="clear" w:color="auto" w:fill="FFFFFF"/>
        </w:rPr>
        <w:t>Hantono, H., 2018. The Effect of Current Ratio, Debt to Equity Ratio, Toward Return on Assets (Case Study on Consumer Goods Company). </w:t>
      </w:r>
      <w:r w:rsidRPr="002F5047">
        <w:rPr>
          <w:i/>
          <w:iCs/>
          <w:szCs w:val="24"/>
          <w:shd w:val="clear" w:color="auto" w:fill="FFFFFF"/>
        </w:rPr>
        <w:t>ACCOUNTABILITY</w:t>
      </w:r>
      <w:r>
        <w:rPr>
          <w:szCs w:val="24"/>
          <w:shd w:val="clear" w:color="auto" w:fill="FFFFFF"/>
        </w:rPr>
        <w:t>.</w:t>
      </w:r>
      <w:r w:rsidRPr="002F5047">
        <w:rPr>
          <w:szCs w:val="24"/>
          <w:shd w:val="clear" w:color="auto" w:fill="FFFFFF"/>
        </w:rPr>
        <w:t> 7(02)</w:t>
      </w:r>
      <w:r>
        <w:rPr>
          <w:szCs w:val="24"/>
          <w:shd w:val="clear" w:color="auto" w:fill="FFFFFF"/>
        </w:rPr>
        <w:t>.</w:t>
      </w:r>
      <w:r w:rsidRPr="002F5047">
        <w:rPr>
          <w:szCs w:val="24"/>
          <w:shd w:val="clear" w:color="auto" w:fill="FFFFFF"/>
        </w:rPr>
        <w:t xml:space="preserve"> pp.64-73.</w:t>
      </w:r>
    </w:p>
    <w:p w14:paraId="08098CE2" w14:textId="77777777" w:rsidR="00676AF8" w:rsidRPr="002F5047" w:rsidRDefault="00676AF8" w:rsidP="00676AF8">
      <w:pPr>
        <w:spacing w:line="240" w:lineRule="auto"/>
        <w:ind w:left="851" w:hanging="851"/>
        <w:rPr>
          <w:szCs w:val="24"/>
          <w:shd w:val="clear" w:color="auto" w:fill="FFFFFF"/>
        </w:rPr>
      </w:pPr>
      <w:r w:rsidRPr="002F5047">
        <w:rPr>
          <w:szCs w:val="24"/>
          <w:shd w:val="clear" w:color="auto" w:fill="FFFFFF"/>
        </w:rPr>
        <w:t>Mahdaleta, E., Muda, I. and Nasir, G.</w:t>
      </w:r>
      <w:r>
        <w:rPr>
          <w:szCs w:val="24"/>
          <w:shd w:val="clear" w:color="auto" w:fill="FFFFFF"/>
        </w:rPr>
        <w:t xml:space="preserve"> </w:t>
      </w:r>
      <w:r w:rsidRPr="002F5047">
        <w:rPr>
          <w:szCs w:val="24"/>
          <w:shd w:val="clear" w:color="auto" w:fill="FFFFFF"/>
        </w:rPr>
        <w:t>M., 2016. Effects of capital structure and profitability on corporate value with company size as the moderating variable of manufacturing companies listed on Indonesia Stock Exchange. </w:t>
      </w:r>
      <w:r w:rsidRPr="002F5047">
        <w:rPr>
          <w:i/>
          <w:iCs/>
          <w:szCs w:val="24"/>
          <w:shd w:val="clear" w:color="auto" w:fill="FFFFFF"/>
        </w:rPr>
        <w:t>Academic Journal of Economic Studies</w:t>
      </w:r>
      <w:r>
        <w:rPr>
          <w:szCs w:val="24"/>
          <w:shd w:val="clear" w:color="auto" w:fill="FFFFFF"/>
        </w:rPr>
        <w:t>.</w:t>
      </w:r>
      <w:r w:rsidRPr="002F5047">
        <w:rPr>
          <w:szCs w:val="24"/>
          <w:shd w:val="clear" w:color="auto" w:fill="FFFFFF"/>
        </w:rPr>
        <w:t> 2(3)</w:t>
      </w:r>
      <w:r>
        <w:rPr>
          <w:szCs w:val="24"/>
          <w:shd w:val="clear" w:color="auto" w:fill="FFFFFF"/>
        </w:rPr>
        <w:t>.</w:t>
      </w:r>
      <w:r w:rsidRPr="002F5047">
        <w:rPr>
          <w:szCs w:val="24"/>
          <w:shd w:val="clear" w:color="auto" w:fill="FFFFFF"/>
        </w:rPr>
        <w:t xml:space="preserve"> pp.30-43.</w:t>
      </w:r>
    </w:p>
    <w:p w14:paraId="716E699A" w14:textId="77777777" w:rsidR="00676AF8" w:rsidRPr="002F5047" w:rsidRDefault="00676AF8" w:rsidP="00676AF8">
      <w:pPr>
        <w:spacing w:line="240" w:lineRule="auto"/>
        <w:ind w:left="851" w:hanging="851"/>
        <w:rPr>
          <w:szCs w:val="24"/>
          <w:shd w:val="clear" w:color="auto" w:fill="FFFFFF"/>
        </w:rPr>
      </w:pPr>
      <w:r w:rsidRPr="002F5047">
        <w:rPr>
          <w:szCs w:val="24"/>
          <w:shd w:val="clear" w:color="auto" w:fill="FFFFFF"/>
        </w:rPr>
        <w:t>Ningsih, M., 2020. Liquidity and Profitability Ratio Analysis for Measuring The Financial Performance of PT. Bank Bri Syariah 2012-2019 Period. </w:t>
      </w:r>
      <w:r w:rsidRPr="002F5047">
        <w:rPr>
          <w:i/>
          <w:iCs/>
          <w:szCs w:val="24"/>
          <w:shd w:val="clear" w:color="auto" w:fill="FFFFFF"/>
        </w:rPr>
        <w:t>Journal of Research in Business, Economics, and Education</w:t>
      </w:r>
      <w:r>
        <w:rPr>
          <w:szCs w:val="24"/>
          <w:shd w:val="clear" w:color="auto" w:fill="FFFFFF"/>
        </w:rPr>
        <w:t>.</w:t>
      </w:r>
      <w:r w:rsidRPr="002F5047">
        <w:rPr>
          <w:szCs w:val="24"/>
          <w:shd w:val="clear" w:color="auto" w:fill="FFFFFF"/>
        </w:rPr>
        <w:t> 2(4)</w:t>
      </w:r>
      <w:r>
        <w:rPr>
          <w:szCs w:val="24"/>
          <w:shd w:val="clear" w:color="auto" w:fill="FFFFFF"/>
        </w:rPr>
        <w:t>.</w:t>
      </w:r>
      <w:r w:rsidRPr="002F5047">
        <w:rPr>
          <w:szCs w:val="24"/>
          <w:shd w:val="clear" w:color="auto" w:fill="FFFFFF"/>
        </w:rPr>
        <w:t xml:space="preserve"> pp.895-907.</w:t>
      </w:r>
    </w:p>
    <w:p w14:paraId="33D63F4B" w14:textId="77777777" w:rsidR="00676AF8" w:rsidRPr="002F5047" w:rsidRDefault="00676AF8" w:rsidP="00676AF8">
      <w:pPr>
        <w:spacing w:line="240" w:lineRule="auto"/>
        <w:ind w:left="851" w:hanging="851"/>
        <w:rPr>
          <w:szCs w:val="24"/>
          <w:shd w:val="clear" w:color="auto" w:fill="FFFFFF"/>
        </w:rPr>
      </w:pPr>
      <w:r w:rsidRPr="002F5047">
        <w:rPr>
          <w:szCs w:val="24"/>
          <w:shd w:val="clear" w:color="auto" w:fill="FFFFFF"/>
        </w:rPr>
        <w:t>Ravichandran, M. and Subramanian, M.</w:t>
      </w:r>
      <w:r>
        <w:rPr>
          <w:szCs w:val="24"/>
          <w:shd w:val="clear" w:color="auto" w:fill="FFFFFF"/>
        </w:rPr>
        <w:t xml:space="preserve"> </w:t>
      </w:r>
      <w:r w:rsidRPr="002F5047">
        <w:rPr>
          <w:szCs w:val="24"/>
          <w:shd w:val="clear" w:color="auto" w:fill="FFFFFF"/>
        </w:rPr>
        <w:t>V., 2016. A Study on Financial Performance Analysis of Force Motors Limited. </w:t>
      </w:r>
      <w:r w:rsidRPr="002F5047">
        <w:rPr>
          <w:i/>
          <w:iCs/>
          <w:szCs w:val="24"/>
          <w:shd w:val="clear" w:color="auto" w:fill="FFFFFF"/>
        </w:rPr>
        <w:t>International Journal for Innovative Research in Science &amp; Technology</w:t>
      </w:r>
      <w:r>
        <w:rPr>
          <w:szCs w:val="24"/>
          <w:shd w:val="clear" w:color="auto" w:fill="FFFFFF"/>
        </w:rPr>
        <w:t>.</w:t>
      </w:r>
      <w:r w:rsidRPr="002F5047">
        <w:rPr>
          <w:szCs w:val="24"/>
          <w:shd w:val="clear" w:color="auto" w:fill="FFFFFF"/>
        </w:rPr>
        <w:t> 2(11)</w:t>
      </w:r>
      <w:r>
        <w:rPr>
          <w:szCs w:val="24"/>
          <w:shd w:val="clear" w:color="auto" w:fill="FFFFFF"/>
        </w:rPr>
        <w:t>.</w:t>
      </w:r>
      <w:r w:rsidRPr="002F5047">
        <w:rPr>
          <w:szCs w:val="24"/>
          <w:shd w:val="clear" w:color="auto" w:fill="FFFFFF"/>
        </w:rPr>
        <w:t xml:space="preserve"> pp.662-666.</w:t>
      </w:r>
    </w:p>
    <w:p w14:paraId="3D46EDF2" w14:textId="77777777" w:rsidR="00676AF8" w:rsidRPr="002F5047" w:rsidRDefault="00676AF8" w:rsidP="00676AF8">
      <w:pPr>
        <w:spacing w:line="240" w:lineRule="auto"/>
        <w:ind w:left="851" w:hanging="851"/>
        <w:rPr>
          <w:szCs w:val="24"/>
          <w:lang w:val="en-GB"/>
        </w:rPr>
      </w:pPr>
      <w:r w:rsidRPr="002F5047">
        <w:rPr>
          <w:szCs w:val="24"/>
          <w:shd w:val="clear" w:color="auto" w:fill="FFFFFF"/>
        </w:rPr>
        <w:t>Subburaj, L., 2019. IMPACT OF ACCOUNTING RATIO ANALYSIS IN MAKING OF MEANINGFUL BUSINESS DECISIONS. </w:t>
      </w:r>
      <w:r w:rsidRPr="002F5047">
        <w:rPr>
          <w:i/>
          <w:iCs/>
          <w:szCs w:val="24"/>
          <w:shd w:val="clear" w:color="auto" w:fill="FFFFFF"/>
        </w:rPr>
        <w:t>INNOVATIONS IN BUSINESS AND MANAGEMENT</w:t>
      </w:r>
      <w:r>
        <w:rPr>
          <w:szCs w:val="24"/>
          <w:shd w:val="clear" w:color="auto" w:fill="FFFFFF"/>
        </w:rPr>
        <w:t>.</w:t>
      </w:r>
      <w:r w:rsidRPr="002F5047">
        <w:rPr>
          <w:szCs w:val="24"/>
          <w:shd w:val="clear" w:color="auto" w:fill="FFFFFF"/>
        </w:rPr>
        <w:t xml:space="preserve"> p.193.</w:t>
      </w:r>
    </w:p>
    <w:p w14:paraId="6523449D" w14:textId="77777777" w:rsidR="00676AF8" w:rsidRPr="002F5047" w:rsidRDefault="00676AF8" w:rsidP="00676AF8">
      <w:pPr>
        <w:spacing w:line="240" w:lineRule="auto"/>
        <w:ind w:left="851" w:hanging="851"/>
        <w:rPr>
          <w:szCs w:val="24"/>
          <w:shd w:val="clear" w:color="auto" w:fill="FFFFFF"/>
        </w:rPr>
      </w:pPr>
      <w:r w:rsidRPr="002F5047">
        <w:rPr>
          <w:szCs w:val="24"/>
          <w:shd w:val="clear" w:color="auto" w:fill="FFFFFF"/>
        </w:rPr>
        <w:t>Umniati, R., Titisari, K.</w:t>
      </w:r>
      <w:r>
        <w:rPr>
          <w:szCs w:val="24"/>
          <w:shd w:val="clear" w:color="auto" w:fill="FFFFFF"/>
        </w:rPr>
        <w:t xml:space="preserve"> </w:t>
      </w:r>
      <w:r w:rsidRPr="002F5047">
        <w:rPr>
          <w:szCs w:val="24"/>
          <w:shd w:val="clear" w:color="auto" w:fill="FFFFFF"/>
        </w:rPr>
        <w:t>H. and Chomsatu, Y., 2019. The Influence of Current Ratio, Inventory Turnover Ratio, Cash Turnover and Debt To Equity Ratio Against The Return on Investment in The Production of Industrial Companies Listed on The Stock Exchange of Malaysia in 2016. </w:t>
      </w:r>
      <w:r w:rsidRPr="002F5047">
        <w:rPr>
          <w:i/>
          <w:iCs/>
          <w:szCs w:val="24"/>
          <w:shd w:val="clear" w:color="auto" w:fill="FFFFFF"/>
        </w:rPr>
        <w:t>Benefit: Jurnal Manajemen dan Bisnis</w:t>
      </w:r>
      <w:r>
        <w:rPr>
          <w:szCs w:val="24"/>
          <w:shd w:val="clear" w:color="auto" w:fill="FFFFFF"/>
        </w:rPr>
        <w:t>.</w:t>
      </w:r>
      <w:r w:rsidRPr="002F5047">
        <w:rPr>
          <w:szCs w:val="24"/>
          <w:shd w:val="clear" w:color="auto" w:fill="FFFFFF"/>
        </w:rPr>
        <w:t> 3(1)</w:t>
      </w:r>
      <w:r>
        <w:rPr>
          <w:szCs w:val="24"/>
          <w:shd w:val="clear" w:color="auto" w:fill="FFFFFF"/>
        </w:rPr>
        <w:t>.</w:t>
      </w:r>
      <w:r w:rsidRPr="002F5047">
        <w:rPr>
          <w:szCs w:val="24"/>
          <w:shd w:val="clear" w:color="auto" w:fill="FFFFFF"/>
        </w:rPr>
        <w:t xml:space="preserve"> pp.23-30.</w:t>
      </w:r>
    </w:p>
    <w:sectPr w:rsidR="00676AF8" w:rsidRPr="002F50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F9C7F64"/>
    <w:multiLevelType w:val="hybridMultilevel"/>
    <w:tmpl w:val="EEAA944A"/>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33C102E"/>
    <w:multiLevelType w:val="hybridMultilevel"/>
    <w:tmpl w:val="263ADA4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CE6492F"/>
    <w:multiLevelType w:val="hybridMultilevel"/>
    <w:tmpl w:val="0EFAFA0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85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0D8"/>
    <w:rsid w:val="00001DA6"/>
    <w:rsid w:val="00021D8B"/>
    <w:rsid w:val="00061BF2"/>
    <w:rsid w:val="0006384F"/>
    <w:rsid w:val="000748ED"/>
    <w:rsid w:val="000863F9"/>
    <w:rsid w:val="00086E79"/>
    <w:rsid w:val="00095132"/>
    <w:rsid w:val="000A4E76"/>
    <w:rsid w:val="000A5E1F"/>
    <w:rsid w:val="000B319C"/>
    <w:rsid w:val="000F5A0A"/>
    <w:rsid w:val="00114884"/>
    <w:rsid w:val="00116679"/>
    <w:rsid w:val="0012161E"/>
    <w:rsid w:val="00140453"/>
    <w:rsid w:val="001448B5"/>
    <w:rsid w:val="0015697E"/>
    <w:rsid w:val="00172211"/>
    <w:rsid w:val="001D2B80"/>
    <w:rsid w:val="00206E9B"/>
    <w:rsid w:val="00261B96"/>
    <w:rsid w:val="00283C2A"/>
    <w:rsid w:val="002B574A"/>
    <w:rsid w:val="002C0EE1"/>
    <w:rsid w:val="002C0FEB"/>
    <w:rsid w:val="002D1492"/>
    <w:rsid w:val="002E1AD8"/>
    <w:rsid w:val="002F5047"/>
    <w:rsid w:val="003004BC"/>
    <w:rsid w:val="003914C6"/>
    <w:rsid w:val="0039490F"/>
    <w:rsid w:val="00395F25"/>
    <w:rsid w:val="00415E2D"/>
    <w:rsid w:val="00436CB1"/>
    <w:rsid w:val="00477750"/>
    <w:rsid w:val="004B0964"/>
    <w:rsid w:val="004B1B15"/>
    <w:rsid w:val="004B2A74"/>
    <w:rsid w:val="004B3EE4"/>
    <w:rsid w:val="004C6656"/>
    <w:rsid w:val="004D630D"/>
    <w:rsid w:val="005720D5"/>
    <w:rsid w:val="00576258"/>
    <w:rsid w:val="0058039D"/>
    <w:rsid w:val="0058586B"/>
    <w:rsid w:val="005B5EF5"/>
    <w:rsid w:val="005C004F"/>
    <w:rsid w:val="005E13AD"/>
    <w:rsid w:val="00603B55"/>
    <w:rsid w:val="00603B67"/>
    <w:rsid w:val="00610C0C"/>
    <w:rsid w:val="006379B3"/>
    <w:rsid w:val="0065711B"/>
    <w:rsid w:val="0067166D"/>
    <w:rsid w:val="00676AF8"/>
    <w:rsid w:val="00681BCF"/>
    <w:rsid w:val="006934E1"/>
    <w:rsid w:val="006A2A19"/>
    <w:rsid w:val="006C28CB"/>
    <w:rsid w:val="006C51C1"/>
    <w:rsid w:val="006D195A"/>
    <w:rsid w:val="00700569"/>
    <w:rsid w:val="00721320"/>
    <w:rsid w:val="00726E0B"/>
    <w:rsid w:val="00733CBA"/>
    <w:rsid w:val="00740ECB"/>
    <w:rsid w:val="0074514B"/>
    <w:rsid w:val="00745662"/>
    <w:rsid w:val="00745BD6"/>
    <w:rsid w:val="00750BCD"/>
    <w:rsid w:val="00753E7D"/>
    <w:rsid w:val="00775154"/>
    <w:rsid w:val="007A11A2"/>
    <w:rsid w:val="007B37A3"/>
    <w:rsid w:val="007C30A4"/>
    <w:rsid w:val="007D0EBB"/>
    <w:rsid w:val="007E5B16"/>
    <w:rsid w:val="00822C7C"/>
    <w:rsid w:val="00827682"/>
    <w:rsid w:val="00851D16"/>
    <w:rsid w:val="00866D1F"/>
    <w:rsid w:val="008859B3"/>
    <w:rsid w:val="008C3741"/>
    <w:rsid w:val="008C5181"/>
    <w:rsid w:val="008D0C5A"/>
    <w:rsid w:val="008D175E"/>
    <w:rsid w:val="008E1921"/>
    <w:rsid w:val="008E6983"/>
    <w:rsid w:val="008E70A6"/>
    <w:rsid w:val="009107FB"/>
    <w:rsid w:val="009240CF"/>
    <w:rsid w:val="00930D8F"/>
    <w:rsid w:val="009322AE"/>
    <w:rsid w:val="00942A62"/>
    <w:rsid w:val="00973044"/>
    <w:rsid w:val="00992ED5"/>
    <w:rsid w:val="009A131B"/>
    <w:rsid w:val="009B7330"/>
    <w:rsid w:val="009E46A0"/>
    <w:rsid w:val="009F5AEF"/>
    <w:rsid w:val="00A0589F"/>
    <w:rsid w:val="00A14F61"/>
    <w:rsid w:val="00A15F46"/>
    <w:rsid w:val="00A246AE"/>
    <w:rsid w:val="00A263CD"/>
    <w:rsid w:val="00A350D8"/>
    <w:rsid w:val="00A4726F"/>
    <w:rsid w:val="00AA1E98"/>
    <w:rsid w:val="00AA4587"/>
    <w:rsid w:val="00AC4DF4"/>
    <w:rsid w:val="00AD36F6"/>
    <w:rsid w:val="00AE08F1"/>
    <w:rsid w:val="00AE5FBF"/>
    <w:rsid w:val="00AE64E0"/>
    <w:rsid w:val="00AF01BC"/>
    <w:rsid w:val="00B163C9"/>
    <w:rsid w:val="00B16B71"/>
    <w:rsid w:val="00B3029F"/>
    <w:rsid w:val="00B4137C"/>
    <w:rsid w:val="00B556C7"/>
    <w:rsid w:val="00B60E54"/>
    <w:rsid w:val="00B80C7B"/>
    <w:rsid w:val="00B92208"/>
    <w:rsid w:val="00B93843"/>
    <w:rsid w:val="00B93A28"/>
    <w:rsid w:val="00BC7DBF"/>
    <w:rsid w:val="00BE6179"/>
    <w:rsid w:val="00BE7ECA"/>
    <w:rsid w:val="00C01F67"/>
    <w:rsid w:val="00C048A7"/>
    <w:rsid w:val="00C105D1"/>
    <w:rsid w:val="00C3219D"/>
    <w:rsid w:val="00C54F9D"/>
    <w:rsid w:val="00C570ED"/>
    <w:rsid w:val="00CB5F6E"/>
    <w:rsid w:val="00D12358"/>
    <w:rsid w:val="00D41C89"/>
    <w:rsid w:val="00D55085"/>
    <w:rsid w:val="00D9582C"/>
    <w:rsid w:val="00DC0AF2"/>
    <w:rsid w:val="00DC77F6"/>
    <w:rsid w:val="00DE5A48"/>
    <w:rsid w:val="00DF0C17"/>
    <w:rsid w:val="00DF7F6A"/>
    <w:rsid w:val="00E06DDC"/>
    <w:rsid w:val="00E1331C"/>
    <w:rsid w:val="00E17445"/>
    <w:rsid w:val="00E31072"/>
    <w:rsid w:val="00E41AE5"/>
    <w:rsid w:val="00E45EE5"/>
    <w:rsid w:val="00E710D3"/>
    <w:rsid w:val="00E74665"/>
    <w:rsid w:val="00E76DDC"/>
    <w:rsid w:val="00EC0740"/>
    <w:rsid w:val="00EE4F21"/>
    <w:rsid w:val="00EE5C01"/>
    <w:rsid w:val="00F04FE6"/>
    <w:rsid w:val="00F17117"/>
    <w:rsid w:val="00F270D8"/>
    <w:rsid w:val="00F31BB0"/>
    <w:rsid w:val="00F4601F"/>
    <w:rsid w:val="00F63832"/>
    <w:rsid w:val="00F659B9"/>
    <w:rsid w:val="00F70FB3"/>
    <w:rsid w:val="00FA34E7"/>
    <w:rsid w:val="00FC2D7E"/>
    <w:rsid w:val="00FF7B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1D8A0"/>
  <w15:chartTrackingRefBased/>
  <w15:docId w15:val="{4C8D30D0-5BF0-4206-86D0-8528B58DD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EE1"/>
    <w:rPr>
      <w:rFonts w:ascii="Times New Roman" w:hAnsi="Times New Roman" w:cs="Times New Roman"/>
      <w:sz w:val="24"/>
      <w:lang w:val="en-US" w:eastAsia="ar-SA"/>
    </w:rPr>
  </w:style>
  <w:style w:type="paragraph" w:styleId="Heading1">
    <w:name w:val="heading 1"/>
    <w:basedOn w:val="Normal"/>
    <w:next w:val="Normal"/>
    <w:link w:val="Heading1Char"/>
    <w:qFormat/>
    <w:rsid w:val="002C0EE1"/>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link w:val="Heading2Char"/>
    <w:qFormat/>
    <w:rsid w:val="002C0EE1"/>
    <w:pPr>
      <w:keepNext/>
      <w:keepLines/>
      <w:numPr>
        <w:ilvl w:val="1"/>
        <w:numId w:val="1"/>
      </w:numPr>
      <w:outlineLvl w:val="1"/>
    </w:pPr>
    <w:rPr>
      <w:rFonts w:eastAsia="Times New Roman"/>
      <w:bCs/>
      <w:color w:val="000000"/>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normal">
    <w:name w:val="0 normal"/>
    <w:basedOn w:val="Normal"/>
    <w:link w:val="0normalChar"/>
    <w:qFormat/>
    <w:rsid w:val="0006384F"/>
    <w:rPr>
      <w:b/>
      <w:bCs/>
      <w:szCs w:val="56"/>
      <w:shd w:val="clear" w:color="auto" w:fill="FFFFFF"/>
    </w:rPr>
  </w:style>
  <w:style w:type="character" w:customStyle="1" w:styleId="0normalChar">
    <w:name w:val="0 normal Char"/>
    <w:basedOn w:val="DefaultParagraphFont"/>
    <w:link w:val="0normal"/>
    <w:rsid w:val="0006384F"/>
    <w:rPr>
      <w:rFonts w:ascii="Times New Roman" w:hAnsi="Times New Roman"/>
      <w:b/>
      <w:bCs/>
      <w:sz w:val="24"/>
      <w:szCs w:val="56"/>
    </w:rPr>
  </w:style>
  <w:style w:type="character" w:customStyle="1" w:styleId="Heading1Char">
    <w:name w:val="Heading 1 Char"/>
    <w:basedOn w:val="DefaultParagraphFont"/>
    <w:link w:val="Heading1"/>
    <w:rsid w:val="002C0EE1"/>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2C0EE1"/>
    <w:rPr>
      <w:rFonts w:ascii="Times New Roman" w:eastAsia="Times New Roman" w:hAnsi="Times New Roman" w:cs="Times New Roman"/>
      <w:bCs/>
      <w:color w:val="000000"/>
      <w:sz w:val="24"/>
      <w:szCs w:val="26"/>
      <w:u w:val="single"/>
      <w:lang w:val="en-GB" w:eastAsia="ar-SA"/>
    </w:rPr>
  </w:style>
  <w:style w:type="paragraph" w:styleId="ListParagraph">
    <w:name w:val="List Paragraph"/>
    <w:basedOn w:val="Normal"/>
    <w:uiPriority w:val="34"/>
    <w:qFormat/>
    <w:rsid w:val="00726E0B"/>
    <w:pPr>
      <w:ind w:left="720"/>
      <w:contextualSpacing/>
    </w:pPr>
  </w:style>
  <w:style w:type="paragraph" w:styleId="TOCHeading">
    <w:name w:val="TOC Heading"/>
    <w:basedOn w:val="Heading1"/>
    <w:next w:val="Normal"/>
    <w:uiPriority w:val="39"/>
    <w:unhideWhenUsed/>
    <w:qFormat/>
    <w:rsid w:val="00DC77F6"/>
    <w:pPr>
      <w:numPr>
        <w:numId w:val="0"/>
      </w:numPr>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DC77F6"/>
    <w:pPr>
      <w:spacing w:after="100"/>
    </w:pPr>
  </w:style>
  <w:style w:type="paragraph" w:styleId="TOC2">
    <w:name w:val="toc 2"/>
    <w:basedOn w:val="Normal"/>
    <w:next w:val="Normal"/>
    <w:autoRedefine/>
    <w:uiPriority w:val="39"/>
    <w:unhideWhenUsed/>
    <w:rsid w:val="00DC77F6"/>
    <w:pPr>
      <w:spacing w:after="100"/>
      <w:ind w:left="240"/>
    </w:pPr>
  </w:style>
  <w:style w:type="character" w:styleId="Hyperlink">
    <w:name w:val="Hyperlink"/>
    <w:basedOn w:val="DefaultParagraphFont"/>
    <w:uiPriority w:val="99"/>
    <w:unhideWhenUsed/>
    <w:rsid w:val="00DC77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229551">
      <w:bodyDiv w:val="1"/>
      <w:marLeft w:val="0"/>
      <w:marRight w:val="0"/>
      <w:marTop w:val="0"/>
      <w:marBottom w:val="0"/>
      <w:divBdr>
        <w:top w:val="none" w:sz="0" w:space="0" w:color="auto"/>
        <w:left w:val="none" w:sz="0" w:space="0" w:color="auto"/>
        <w:bottom w:val="none" w:sz="0" w:space="0" w:color="auto"/>
        <w:right w:val="none" w:sz="0" w:space="0" w:color="auto"/>
      </w:divBdr>
    </w:div>
    <w:div w:id="202911374">
      <w:bodyDiv w:val="1"/>
      <w:marLeft w:val="0"/>
      <w:marRight w:val="0"/>
      <w:marTop w:val="0"/>
      <w:marBottom w:val="0"/>
      <w:divBdr>
        <w:top w:val="none" w:sz="0" w:space="0" w:color="auto"/>
        <w:left w:val="none" w:sz="0" w:space="0" w:color="auto"/>
        <w:bottom w:val="none" w:sz="0" w:space="0" w:color="auto"/>
        <w:right w:val="none" w:sz="0" w:space="0" w:color="auto"/>
      </w:divBdr>
    </w:div>
    <w:div w:id="534345132">
      <w:bodyDiv w:val="1"/>
      <w:marLeft w:val="0"/>
      <w:marRight w:val="0"/>
      <w:marTop w:val="0"/>
      <w:marBottom w:val="0"/>
      <w:divBdr>
        <w:top w:val="none" w:sz="0" w:space="0" w:color="auto"/>
        <w:left w:val="none" w:sz="0" w:space="0" w:color="auto"/>
        <w:bottom w:val="none" w:sz="0" w:space="0" w:color="auto"/>
        <w:right w:val="none" w:sz="0" w:space="0" w:color="auto"/>
      </w:divBdr>
    </w:div>
    <w:div w:id="810634210">
      <w:bodyDiv w:val="1"/>
      <w:marLeft w:val="0"/>
      <w:marRight w:val="0"/>
      <w:marTop w:val="0"/>
      <w:marBottom w:val="0"/>
      <w:divBdr>
        <w:top w:val="none" w:sz="0" w:space="0" w:color="auto"/>
        <w:left w:val="none" w:sz="0" w:space="0" w:color="auto"/>
        <w:bottom w:val="none" w:sz="0" w:space="0" w:color="auto"/>
        <w:right w:val="none" w:sz="0" w:space="0" w:color="auto"/>
      </w:divBdr>
    </w:div>
    <w:div w:id="1877696108">
      <w:bodyDiv w:val="1"/>
      <w:marLeft w:val="0"/>
      <w:marRight w:val="0"/>
      <w:marTop w:val="0"/>
      <w:marBottom w:val="0"/>
      <w:divBdr>
        <w:top w:val="none" w:sz="0" w:space="0" w:color="auto"/>
        <w:left w:val="none" w:sz="0" w:space="0" w:color="auto"/>
        <w:bottom w:val="none" w:sz="0" w:space="0" w:color="auto"/>
        <w:right w:val="none" w:sz="0" w:space="0" w:color="auto"/>
      </w:divBdr>
    </w:div>
    <w:div w:id="211917774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BD3E8A-3900-4F15-B51D-5C09BC1DA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11</Pages>
  <Words>2567</Words>
  <Characters>14635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17168</CharactersWithSpaces>
  <SharedDoc>false</SharedDoc>
  <HLinks>
    <vt:vector size="42" baseType="variant">
      <vt:variant>
        <vt:i4>1441847</vt:i4>
      </vt:variant>
      <vt:variant>
        <vt:i4>38</vt:i4>
      </vt:variant>
      <vt:variant>
        <vt:i4>0</vt:i4>
      </vt:variant>
      <vt:variant>
        <vt:i4>5</vt:i4>
      </vt:variant>
      <vt:variant>
        <vt:lpwstr/>
      </vt:variant>
      <vt:variant>
        <vt:lpwstr>_Toc55918530</vt:lpwstr>
      </vt:variant>
      <vt:variant>
        <vt:i4>2031670</vt:i4>
      </vt:variant>
      <vt:variant>
        <vt:i4>32</vt:i4>
      </vt:variant>
      <vt:variant>
        <vt:i4>0</vt:i4>
      </vt:variant>
      <vt:variant>
        <vt:i4>5</vt:i4>
      </vt:variant>
      <vt:variant>
        <vt:lpwstr/>
      </vt:variant>
      <vt:variant>
        <vt:lpwstr>_Toc55918529</vt:lpwstr>
      </vt:variant>
      <vt:variant>
        <vt:i4>1966134</vt:i4>
      </vt:variant>
      <vt:variant>
        <vt:i4>26</vt:i4>
      </vt:variant>
      <vt:variant>
        <vt:i4>0</vt:i4>
      </vt:variant>
      <vt:variant>
        <vt:i4>5</vt:i4>
      </vt:variant>
      <vt:variant>
        <vt:lpwstr/>
      </vt:variant>
      <vt:variant>
        <vt:lpwstr>_Toc55918528</vt:lpwstr>
      </vt:variant>
      <vt:variant>
        <vt:i4>1114166</vt:i4>
      </vt:variant>
      <vt:variant>
        <vt:i4>20</vt:i4>
      </vt:variant>
      <vt:variant>
        <vt:i4>0</vt:i4>
      </vt:variant>
      <vt:variant>
        <vt:i4>5</vt:i4>
      </vt:variant>
      <vt:variant>
        <vt:lpwstr/>
      </vt:variant>
      <vt:variant>
        <vt:lpwstr>_Toc55918527</vt:lpwstr>
      </vt:variant>
      <vt:variant>
        <vt:i4>1048630</vt:i4>
      </vt:variant>
      <vt:variant>
        <vt:i4>14</vt:i4>
      </vt:variant>
      <vt:variant>
        <vt:i4>0</vt:i4>
      </vt:variant>
      <vt:variant>
        <vt:i4>5</vt:i4>
      </vt:variant>
      <vt:variant>
        <vt:lpwstr/>
      </vt:variant>
      <vt:variant>
        <vt:lpwstr>_Toc55918526</vt:lpwstr>
      </vt:variant>
      <vt:variant>
        <vt:i4>1245238</vt:i4>
      </vt:variant>
      <vt:variant>
        <vt:i4>8</vt:i4>
      </vt:variant>
      <vt:variant>
        <vt:i4>0</vt:i4>
      </vt:variant>
      <vt:variant>
        <vt:i4>5</vt:i4>
      </vt:variant>
      <vt:variant>
        <vt:lpwstr/>
      </vt:variant>
      <vt:variant>
        <vt:lpwstr>_Toc55918525</vt:lpwstr>
      </vt:variant>
      <vt:variant>
        <vt:i4>1179702</vt:i4>
      </vt:variant>
      <vt:variant>
        <vt:i4>2</vt:i4>
      </vt:variant>
      <vt:variant>
        <vt:i4>0</vt:i4>
      </vt:variant>
      <vt:variant>
        <vt:i4>5</vt:i4>
      </vt:variant>
      <vt:variant>
        <vt:lpwstr/>
      </vt:variant>
      <vt:variant>
        <vt:lpwstr>_Toc55918524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tanushree jawariya</dc:creator>
  <cp:keywords/>
  <dc:description/>
  <cp:lastModifiedBy>Renata Petrova (1921704)</cp:lastModifiedBy>
  <cp:revision>20</cp:revision>
  <dcterms:created xsi:type="dcterms:W3CDTF">2020-11-13T17:05:00Z</dcterms:created>
  <dcterms:modified xsi:type="dcterms:W3CDTF">2020-11-13T18:00:00Z</dcterms:modified>
</cp:coreProperties>
</file>