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8C4697" w14:textId="4C308A96" w:rsidR="00E90FF1" w:rsidRPr="00915A8E" w:rsidRDefault="00E90FF1" w:rsidP="00E90FF1">
      <w:pPr>
        <w:rPr>
          <w:rFonts w:ascii="Arial" w:hAnsi="Arial" w:cs="Arial"/>
        </w:rPr>
      </w:pPr>
      <w:r w:rsidRPr="00915A8E">
        <w:rPr>
          <w:rFonts w:ascii="Arial" w:hAnsi="Arial" w:cs="Arial"/>
          <w:b/>
          <w:noProof/>
          <w:lang w:eastAsia="en-GB"/>
        </w:rPr>
        <w:drawing>
          <wp:inline distT="0" distB="0" distL="0" distR="0" wp14:anchorId="5E729D33" wp14:editId="6E05A077">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F7CDFC7" w14:textId="77777777" w:rsidR="00E90FF1" w:rsidRPr="00915A8E" w:rsidRDefault="00E90FF1" w:rsidP="00E90FF1">
      <w:pPr>
        <w:spacing w:after="165" w:line="360" w:lineRule="auto"/>
        <w:jc w:val="center"/>
        <w:rPr>
          <w:rFonts w:ascii="Arial" w:hAnsi="Arial" w:cs="Arial"/>
          <w:color w:val="000000"/>
          <w:sz w:val="40"/>
          <w:szCs w:val="40"/>
        </w:rPr>
      </w:pPr>
      <w:r w:rsidRPr="00915A8E">
        <w:rPr>
          <w:rFonts w:ascii="Arial" w:hAnsi="Arial" w:cs="Arial"/>
          <w:color w:val="000000"/>
          <w:sz w:val="40"/>
          <w:szCs w:val="40"/>
        </w:rPr>
        <w:t xml:space="preserve">Module Assignment Submission </w:t>
      </w:r>
      <w:r w:rsidRPr="00915A8E">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90FF1" w:rsidRPr="00915A8E" w14:paraId="63A58EF2" w14:textId="77777777" w:rsidTr="00E33EDF">
        <w:tc>
          <w:tcPr>
            <w:tcW w:w="3438" w:type="dxa"/>
            <w:shd w:val="clear" w:color="auto" w:fill="D9D9D9"/>
          </w:tcPr>
          <w:p w14:paraId="54A1B5BA" w14:textId="77777777" w:rsidR="00E90FF1" w:rsidRPr="00915A8E" w:rsidRDefault="00E90FF1" w:rsidP="00E33EDF">
            <w:pPr>
              <w:spacing w:before="120" w:after="120" w:line="360" w:lineRule="auto"/>
              <w:rPr>
                <w:rFonts w:ascii="Arial" w:hAnsi="Arial" w:cs="Arial"/>
                <w:sz w:val="32"/>
                <w:szCs w:val="32"/>
              </w:rPr>
            </w:pPr>
            <w:r w:rsidRPr="00915A8E">
              <w:rPr>
                <w:rFonts w:ascii="Arial" w:hAnsi="Arial" w:cs="Arial"/>
                <w:sz w:val="32"/>
                <w:szCs w:val="32"/>
              </w:rPr>
              <w:t>Student Name:</w:t>
            </w:r>
          </w:p>
        </w:tc>
        <w:tc>
          <w:tcPr>
            <w:tcW w:w="6055" w:type="dxa"/>
          </w:tcPr>
          <w:p w14:paraId="5AC571A4" w14:textId="77777777" w:rsidR="00E90FF1" w:rsidRPr="00915A8E" w:rsidRDefault="00E90FF1" w:rsidP="00E33EDF">
            <w:pPr>
              <w:spacing w:before="120" w:after="120" w:line="360" w:lineRule="auto"/>
              <w:rPr>
                <w:rFonts w:ascii="Arial" w:hAnsi="Arial" w:cs="Arial"/>
                <w:sz w:val="32"/>
                <w:szCs w:val="32"/>
              </w:rPr>
            </w:pPr>
            <w:r w:rsidRPr="00915A8E">
              <w:rPr>
                <w:rFonts w:ascii="Arial" w:hAnsi="Arial" w:cs="Arial"/>
                <w:sz w:val="32"/>
                <w:szCs w:val="32"/>
              </w:rPr>
              <w:t>Christopher Rees</w:t>
            </w:r>
          </w:p>
        </w:tc>
      </w:tr>
      <w:tr w:rsidR="00E90FF1" w:rsidRPr="00915A8E" w14:paraId="01EB0F41" w14:textId="77777777" w:rsidTr="00E33EDF">
        <w:tc>
          <w:tcPr>
            <w:tcW w:w="3438" w:type="dxa"/>
            <w:shd w:val="clear" w:color="auto" w:fill="D9D9D9"/>
          </w:tcPr>
          <w:p w14:paraId="6169C91B" w14:textId="77777777" w:rsidR="00E90FF1" w:rsidRPr="00915A8E" w:rsidRDefault="00E90FF1" w:rsidP="00E33EDF">
            <w:pPr>
              <w:spacing w:before="120" w:after="120" w:line="360" w:lineRule="auto"/>
              <w:rPr>
                <w:rFonts w:ascii="Arial" w:hAnsi="Arial" w:cs="Arial"/>
                <w:sz w:val="32"/>
                <w:szCs w:val="32"/>
              </w:rPr>
            </w:pPr>
            <w:r w:rsidRPr="00915A8E">
              <w:rPr>
                <w:rFonts w:ascii="Arial" w:hAnsi="Arial" w:cs="Arial"/>
                <w:sz w:val="32"/>
                <w:szCs w:val="32"/>
              </w:rPr>
              <w:t>Student Number:</w:t>
            </w:r>
          </w:p>
        </w:tc>
        <w:tc>
          <w:tcPr>
            <w:tcW w:w="6055" w:type="dxa"/>
          </w:tcPr>
          <w:p w14:paraId="3254FFEE" w14:textId="77777777" w:rsidR="00E90FF1" w:rsidRPr="00915A8E" w:rsidRDefault="00E90FF1" w:rsidP="00E33EDF">
            <w:pPr>
              <w:spacing w:before="120" w:after="120" w:line="360" w:lineRule="auto"/>
              <w:rPr>
                <w:rFonts w:ascii="Arial" w:hAnsi="Arial" w:cs="Arial"/>
                <w:sz w:val="32"/>
                <w:szCs w:val="32"/>
              </w:rPr>
            </w:pPr>
            <w:r w:rsidRPr="00915A8E">
              <w:rPr>
                <w:rFonts w:ascii="Arial" w:hAnsi="Arial" w:cs="Arial"/>
                <w:sz w:val="32"/>
                <w:szCs w:val="32"/>
              </w:rPr>
              <w:t>1708875</w:t>
            </w:r>
          </w:p>
        </w:tc>
      </w:tr>
      <w:tr w:rsidR="00E90FF1" w:rsidRPr="00915A8E" w14:paraId="743FAE04" w14:textId="77777777" w:rsidTr="00E33EDF">
        <w:tc>
          <w:tcPr>
            <w:tcW w:w="3438" w:type="dxa"/>
            <w:shd w:val="clear" w:color="auto" w:fill="D9D9D9"/>
          </w:tcPr>
          <w:p w14:paraId="31B4D029" w14:textId="77777777" w:rsidR="00E90FF1" w:rsidRPr="00915A8E" w:rsidRDefault="00E90FF1" w:rsidP="00E33EDF">
            <w:pPr>
              <w:spacing w:before="120" w:after="120" w:line="360" w:lineRule="auto"/>
              <w:rPr>
                <w:rFonts w:ascii="Arial" w:hAnsi="Arial" w:cs="Arial"/>
                <w:sz w:val="32"/>
                <w:szCs w:val="32"/>
              </w:rPr>
            </w:pPr>
            <w:r w:rsidRPr="00915A8E">
              <w:rPr>
                <w:rFonts w:ascii="Arial" w:hAnsi="Arial" w:cs="Arial"/>
                <w:sz w:val="32"/>
                <w:szCs w:val="32"/>
              </w:rPr>
              <w:t>Module Code:</w:t>
            </w:r>
          </w:p>
        </w:tc>
        <w:tc>
          <w:tcPr>
            <w:tcW w:w="6055" w:type="dxa"/>
          </w:tcPr>
          <w:p w14:paraId="00A27A6F" w14:textId="77777777" w:rsidR="00E90FF1" w:rsidRPr="00915A8E" w:rsidRDefault="00E90FF1" w:rsidP="00E33EDF">
            <w:pPr>
              <w:spacing w:before="120" w:after="120" w:line="360" w:lineRule="auto"/>
              <w:rPr>
                <w:rFonts w:ascii="Arial" w:hAnsi="Arial" w:cs="Arial"/>
                <w:sz w:val="32"/>
                <w:szCs w:val="32"/>
              </w:rPr>
            </w:pPr>
            <w:r w:rsidRPr="00915A8E">
              <w:rPr>
                <w:rFonts w:ascii="Arial" w:hAnsi="Arial" w:cs="Arial"/>
                <w:sz w:val="32"/>
                <w:szCs w:val="32"/>
              </w:rPr>
              <w:t>BMSK6008</w:t>
            </w:r>
          </w:p>
        </w:tc>
      </w:tr>
      <w:tr w:rsidR="00E90FF1" w:rsidRPr="00915A8E" w14:paraId="53F077A5" w14:textId="77777777" w:rsidTr="00E33EDF">
        <w:trPr>
          <w:trHeight w:val="413"/>
        </w:trPr>
        <w:tc>
          <w:tcPr>
            <w:tcW w:w="3438" w:type="dxa"/>
            <w:shd w:val="clear" w:color="auto" w:fill="D9D9D9"/>
          </w:tcPr>
          <w:p w14:paraId="4A03CA69" w14:textId="77777777" w:rsidR="00E90FF1" w:rsidRPr="00915A8E" w:rsidRDefault="00E90FF1" w:rsidP="00E33EDF">
            <w:pPr>
              <w:spacing w:before="120" w:after="120" w:line="360" w:lineRule="auto"/>
              <w:rPr>
                <w:rFonts w:ascii="Arial" w:hAnsi="Arial" w:cs="Arial"/>
                <w:sz w:val="32"/>
                <w:szCs w:val="32"/>
              </w:rPr>
            </w:pPr>
            <w:r w:rsidRPr="00915A8E">
              <w:rPr>
                <w:rFonts w:ascii="Arial" w:hAnsi="Arial" w:cs="Arial"/>
                <w:sz w:val="32"/>
                <w:szCs w:val="32"/>
              </w:rPr>
              <w:t>Module Title:</w:t>
            </w:r>
          </w:p>
        </w:tc>
        <w:tc>
          <w:tcPr>
            <w:tcW w:w="6055" w:type="dxa"/>
          </w:tcPr>
          <w:p w14:paraId="0E790639" w14:textId="77777777" w:rsidR="00E90FF1" w:rsidRPr="00915A8E" w:rsidRDefault="00E90FF1" w:rsidP="00E33EDF">
            <w:pPr>
              <w:spacing w:before="120" w:after="120" w:line="360" w:lineRule="auto"/>
              <w:rPr>
                <w:rFonts w:ascii="Arial" w:hAnsi="Arial" w:cs="Arial"/>
                <w:sz w:val="32"/>
                <w:szCs w:val="32"/>
              </w:rPr>
            </w:pPr>
            <w:r w:rsidRPr="00915A8E">
              <w:rPr>
                <w:rFonts w:ascii="Arial" w:hAnsi="Arial" w:cs="Arial"/>
                <w:sz w:val="32"/>
                <w:szCs w:val="32"/>
              </w:rPr>
              <w:t>Coaching and Mentoring</w:t>
            </w:r>
          </w:p>
        </w:tc>
      </w:tr>
    </w:tbl>
    <w:p w14:paraId="4B2AE4F5" w14:textId="77777777" w:rsidR="00E90FF1" w:rsidRPr="00915A8E" w:rsidRDefault="00E90FF1" w:rsidP="00E90FF1">
      <w:pPr>
        <w:spacing w:before="120" w:after="120" w:line="360" w:lineRule="auto"/>
        <w:rPr>
          <w:rFonts w:ascii="Arial" w:hAnsi="Arial" w:cs="Arial"/>
          <w:color w:val="FF0000"/>
        </w:rPr>
      </w:pPr>
    </w:p>
    <w:p w14:paraId="479E7A0C" w14:textId="77777777" w:rsidR="00E90FF1" w:rsidRPr="00915A8E" w:rsidRDefault="00E90FF1" w:rsidP="00E90FF1">
      <w:pPr>
        <w:spacing w:before="120" w:after="120" w:line="360" w:lineRule="auto"/>
        <w:rPr>
          <w:rFonts w:ascii="Arial" w:hAnsi="Arial" w:cs="Arial"/>
          <w:b/>
          <w:color w:val="000000"/>
        </w:rPr>
      </w:pPr>
      <w:r w:rsidRPr="00915A8E">
        <w:rPr>
          <w:rFonts w:ascii="Arial" w:hAnsi="Arial" w:cs="Arial"/>
          <w:b/>
          <w:color w:val="000000"/>
        </w:rPr>
        <w:t>Statement of Confirmation of Authenticity</w:t>
      </w:r>
    </w:p>
    <w:p w14:paraId="25BCFF8B" w14:textId="77777777" w:rsidR="00E90FF1" w:rsidRPr="00915A8E" w:rsidRDefault="00E90FF1" w:rsidP="00E90FF1">
      <w:pPr>
        <w:spacing w:before="120" w:after="120" w:line="360" w:lineRule="auto"/>
        <w:rPr>
          <w:rFonts w:ascii="Arial" w:hAnsi="Arial" w:cs="Arial"/>
          <w:color w:val="000000"/>
        </w:rPr>
      </w:pPr>
      <w:r w:rsidRPr="00915A8E">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EA44186" w14:textId="77777777" w:rsidR="00E90FF1" w:rsidRPr="00915A8E" w:rsidRDefault="00E90FF1" w:rsidP="00E90FF1">
      <w:pPr>
        <w:spacing w:before="120" w:after="120" w:line="360" w:lineRule="auto"/>
        <w:rPr>
          <w:rFonts w:ascii="Arial" w:hAnsi="Arial" w:cs="Arial"/>
          <w:color w:val="000000"/>
        </w:rPr>
      </w:pPr>
      <w:r w:rsidRPr="00915A8E">
        <w:rPr>
          <w:rFonts w:ascii="Arial" w:hAnsi="Arial" w:cs="Arial"/>
          <w:color w:val="000000"/>
        </w:rPr>
        <w:t xml:space="preserve">Attention is drawn to the plagiarism and unfair practice policies of the University. </w:t>
      </w:r>
    </w:p>
    <w:p w14:paraId="742CE35E" w14:textId="77777777" w:rsidR="00E90FF1" w:rsidRPr="00915A8E" w:rsidRDefault="00E90FF1" w:rsidP="00E90FF1">
      <w:pPr>
        <w:spacing w:before="120" w:after="120" w:line="360" w:lineRule="auto"/>
        <w:rPr>
          <w:rFonts w:ascii="Arial" w:hAnsi="Arial" w:cs="Arial"/>
          <w:color w:val="000000"/>
        </w:rPr>
      </w:pPr>
    </w:p>
    <w:p w14:paraId="122D0079" w14:textId="77777777" w:rsidR="00E90FF1" w:rsidRPr="00915A8E" w:rsidRDefault="00E90FF1" w:rsidP="00E90FF1">
      <w:pPr>
        <w:spacing w:before="120" w:after="120" w:line="360" w:lineRule="auto"/>
        <w:rPr>
          <w:rFonts w:ascii="Arial" w:hAnsi="Arial" w:cs="Arial"/>
          <w:color w:val="000000"/>
        </w:rPr>
      </w:pPr>
    </w:p>
    <w:p w14:paraId="0AA22E34" w14:textId="77777777" w:rsidR="00E90FF1" w:rsidRPr="00915A8E" w:rsidRDefault="00E90FF1" w:rsidP="00E90FF1">
      <w:pPr>
        <w:spacing w:before="120" w:after="120" w:line="360" w:lineRule="auto"/>
        <w:rPr>
          <w:rFonts w:ascii="Arial" w:hAnsi="Arial" w:cs="Arial"/>
          <w:color w:val="000000"/>
        </w:rPr>
      </w:pPr>
    </w:p>
    <w:p w14:paraId="622E1B99" w14:textId="77777777" w:rsidR="00E90FF1" w:rsidRPr="00915A8E" w:rsidRDefault="00E90FF1" w:rsidP="00E90FF1">
      <w:pPr>
        <w:spacing w:before="120" w:after="120" w:line="360" w:lineRule="auto"/>
        <w:rPr>
          <w:rFonts w:ascii="Arial" w:hAnsi="Arial" w:cs="Arial"/>
          <w:color w:val="000000"/>
        </w:rPr>
      </w:pPr>
    </w:p>
    <w:p w14:paraId="0C5278B4" w14:textId="77777777" w:rsidR="00E90FF1" w:rsidRPr="00915A8E" w:rsidRDefault="00E90FF1" w:rsidP="00E90FF1">
      <w:pPr>
        <w:spacing w:before="120" w:after="120" w:line="360" w:lineRule="auto"/>
        <w:rPr>
          <w:rFonts w:ascii="Arial" w:hAnsi="Arial" w:cs="Arial"/>
          <w:color w:val="000000"/>
        </w:rPr>
      </w:pPr>
    </w:p>
    <w:bookmarkStart w:id="0" w:name="_Toc235837159" w:displacedByCustomXml="next"/>
    <w:sdt>
      <w:sdtPr>
        <w:rPr>
          <w:rFonts w:ascii="Arial" w:eastAsia="Arial" w:hAnsi="Arial" w:cs="Arial"/>
          <w:b/>
          <w:bCs/>
          <w:color w:val="auto"/>
          <w:sz w:val="22"/>
          <w:szCs w:val="22"/>
        </w:rPr>
        <w:id w:val="-43370959"/>
        <w:docPartObj>
          <w:docPartGallery w:val="Table of Contents"/>
          <w:docPartUnique/>
        </w:docPartObj>
      </w:sdtPr>
      <w:sdtEndPr>
        <w:rPr>
          <w:rFonts w:eastAsiaTheme="minorHAnsi"/>
          <w:b w:val="0"/>
          <w:bCs w:val="0"/>
          <w:noProof/>
          <w:sz w:val="24"/>
          <w:szCs w:val="24"/>
        </w:rPr>
      </w:sdtEndPr>
      <w:sdtContent>
        <w:p w14:paraId="3CD3E247" w14:textId="77777777" w:rsidR="00E90FF1" w:rsidRPr="00915A8E" w:rsidRDefault="00E90FF1" w:rsidP="00E90FF1">
          <w:pPr>
            <w:pStyle w:val="Heading1"/>
            <w:rPr>
              <w:rFonts w:ascii="Arial" w:hAnsi="Arial" w:cs="Arial"/>
            </w:rPr>
          </w:pPr>
          <w:r w:rsidRPr="00915A8E">
            <w:rPr>
              <w:rFonts w:ascii="Arial" w:hAnsi="Arial" w:cs="Arial"/>
            </w:rPr>
            <w:t>Table of Contents</w:t>
          </w:r>
          <w:bookmarkEnd w:id="0"/>
        </w:p>
        <w:p w14:paraId="61C89ED6" w14:textId="0FA967E0" w:rsidR="00DD4268" w:rsidRPr="00915A8E" w:rsidRDefault="00E90FF1">
          <w:pPr>
            <w:pStyle w:val="TOC1"/>
            <w:tabs>
              <w:tab w:val="right" w:leader="dot" w:pos="9016"/>
            </w:tabs>
            <w:rPr>
              <w:rFonts w:ascii="Arial" w:eastAsiaTheme="minorEastAsia" w:hAnsi="Arial" w:cs="Arial"/>
              <w:b w:val="0"/>
              <w:bCs w:val="0"/>
              <w:i w:val="0"/>
              <w:iCs w:val="0"/>
              <w:noProof/>
              <w:kern w:val="2"/>
              <w:lang w:val="en-GB" w:eastAsia="en-GB"/>
              <w14:ligatures w14:val="standardContextual"/>
            </w:rPr>
          </w:pPr>
          <w:r w:rsidRPr="00915A8E">
            <w:rPr>
              <w:rFonts w:ascii="Arial" w:hAnsi="Arial" w:cs="Arial"/>
              <w:b w:val="0"/>
              <w:i w:val="0"/>
              <w:iCs w:val="0"/>
            </w:rPr>
            <w:fldChar w:fldCharType="begin"/>
          </w:r>
          <w:r w:rsidRPr="00915A8E">
            <w:rPr>
              <w:rFonts w:ascii="Arial" w:hAnsi="Arial" w:cs="Arial"/>
              <w:b w:val="0"/>
              <w:i w:val="0"/>
              <w:iCs w:val="0"/>
            </w:rPr>
            <w:instrText xml:space="preserve"> TOC \o "1-3" \h \z \u </w:instrText>
          </w:r>
          <w:r w:rsidRPr="00915A8E">
            <w:rPr>
              <w:rFonts w:ascii="Arial" w:hAnsi="Arial" w:cs="Arial"/>
              <w:b w:val="0"/>
              <w:i w:val="0"/>
              <w:iCs w:val="0"/>
            </w:rPr>
            <w:fldChar w:fldCharType="separate"/>
          </w:r>
          <w:hyperlink w:anchor="_Toc235837159" w:history="1">
            <w:r w:rsidR="00DD4268" w:rsidRPr="00915A8E">
              <w:rPr>
                <w:rStyle w:val="Hyperlink"/>
                <w:rFonts w:ascii="Arial" w:hAnsi="Arial" w:cs="Arial"/>
                <w:i w:val="0"/>
                <w:iCs w:val="0"/>
                <w:noProof/>
              </w:rPr>
              <w:t>Table of Contents</w:t>
            </w:r>
            <w:r w:rsidR="00DD4268" w:rsidRPr="00915A8E">
              <w:rPr>
                <w:rFonts w:ascii="Arial" w:hAnsi="Arial" w:cs="Arial"/>
                <w:i w:val="0"/>
                <w:iCs w:val="0"/>
                <w:noProof/>
                <w:webHidden/>
              </w:rPr>
              <w:tab/>
            </w:r>
            <w:r w:rsidR="00DD4268" w:rsidRPr="00915A8E">
              <w:rPr>
                <w:rFonts w:ascii="Arial" w:hAnsi="Arial" w:cs="Arial"/>
                <w:i w:val="0"/>
                <w:iCs w:val="0"/>
                <w:noProof/>
                <w:webHidden/>
              </w:rPr>
              <w:fldChar w:fldCharType="begin"/>
            </w:r>
            <w:r w:rsidR="00DD4268" w:rsidRPr="00915A8E">
              <w:rPr>
                <w:rFonts w:ascii="Arial" w:hAnsi="Arial" w:cs="Arial"/>
                <w:i w:val="0"/>
                <w:iCs w:val="0"/>
                <w:noProof/>
                <w:webHidden/>
              </w:rPr>
              <w:instrText xml:space="preserve"> PAGEREF _Toc235837159 \h </w:instrText>
            </w:r>
            <w:r w:rsidR="00DD4268" w:rsidRPr="00915A8E">
              <w:rPr>
                <w:rFonts w:ascii="Arial" w:hAnsi="Arial" w:cs="Arial"/>
                <w:i w:val="0"/>
                <w:iCs w:val="0"/>
                <w:noProof/>
                <w:webHidden/>
              </w:rPr>
            </w:r>
            <w:r w:rsidR="00DD4268" w:rsidRPr="00915A8E">
              <w:rPr>
                <w:rFonts w:ascii="Arial" w:hAnsi="Arial" w:cs="Arial"/>
                <w:i w:val="0"/>
                <w:iCs w:val="0"/>
                <w:noProof/>
                <w:webHidden/>
              </w:rPr>
              <w:fldChar w:fldCharType="separate"/>
            </w:r>
            <w:r w:rsidR="00DD4268" w:rsidRPr="00915A8E">
              <w:rPr>
                <w:rFonts w:ascii="Arial" w:hAnsi="Arial" w:cs="Arial"/>
                <w:i w:val="0"/>
                <w:iCs w:val="0"/>
                <w:noProof/>
                <w:webHidden/>
              </w:rPr>
              <w:t>2</w:t>
            </w:r>
            <w:r w:rsidR="00DD4268" w:rsidRPr="00915A8E">
              <w:rPr>
                <w:rFonts w:ascii="Arial" w:hAnsi="Arial" w:cs="Arial"/>
                <w:i w:val="0"/>
                <w:iCs w:val="0"/>
                <w:noProof/>
                <w:webHidden/>
              </w:rPr>
              <w:fldChar w:fldCharType="end"/>
            </w:r>
          </w:hyperlink>
        </w:p>
        <w:p w14:paraId="688267C2" w14:textId="12CFE574" w:rsidR="00DD4268" w:rsidRPr="00915A8E" w:rsidRDefault="00DD4268">
          <w:pPr>
            <w:pStyle w:val="TOC1"/>
            <w:tabs>
              <w:tab w:val="right" w:leader="dot" w:pos="9016"/>
            </w:tabs>
            <w:rPr>
              <w:rFonts w:ascii="Arial" w:eastAsiaTheme="minorEastAsia" w:hAnsi="Arial" w:cs="Arial"/>
              <w:b w:val="0"/>
              <w:bCs w:val="0"/>
              <w:i w:val="0"/>
              <w:iCs w:val="0"/>
              <w:noProof/>
              <w:kern w:val="2"/>
              <w:lang w:val="en-GB" w:eastAsia="en-GB"/>
              <w14:ligatures w14:val="standardContextual"/>
            </w:rPr>
          </w:pPr>
          <w:hyperlink w:anchor="_Toc235837160" w:history="1">
            <w:r w:rsidRPr="00915A8E">
              <w:rPr>
                <w:rStyle w:val="Hyperlink"/>
                <w:rFonts w:ascii="Arial" w:hAnsi="Arial" w:cs="Arial"/>
                <w:i w:val="0"/>
                <w:iCs w:val="0"/>
                <w:noProof/>
              </w:rPr>
              <w:t>1.0 Introduction</w:t>
            </w:r>
            <w:r w:rsidRPr="00915A8E">
              <w:rPr>
                <w:rFonts w:ascii="Arial" w:hAnsi="Arial" w:cs="Arial"/>
                <w:i w:val="0"/>
                <w:iCs w:val="0"/>
                <w:noProof/>
                <w:webHidden/>
              </w:rPr>
              <w:tab/>
            </w:r>
            <w:r w:rsidRPr="00915A8E">
              <w:rPr>
                <w:rFonts w:ascii="Arial" w:hAnsi="Arial" w:cs="Arial"/>
                <w:i w:val="0"/>
                <w:iCs w:val="0"/>
                <w:noProof/>
                <w:webHidden/>
              </w:rPr>
              <w:fldChar w:fldCharType="begin"/>
            </w:r>
            <w:r w:rsidRPr="00915A8E">
              <w:rPr>
                <w:rFonts w:ascii="Arial" w:hAnsi="Arial" w:cs="Arial"/>
                <w:i w:val="0"/>
                <w:iCs w:val="0"/>
                <w:noProof/>
                <w:webHidden/>
              </w:rPr>
              <w:instrText xml:space="preserve"> PAGEREF _Toc235837160 \h </w:instrText>
            </w:r>
            <w:r w:rsidRPr="00915A8E">
              <w:rPr>
                <w:rFonts w:ascii="Arial" w:hAnsi="Arial" w:cs="Arial"/>
                <w:i w:val="0"/>
                <w:iCs w:val="0"/>
                <w:noProof/>
                <w:webHidden/>
              </w:rPr>
            </w:r>
            <w:r w:rsidRPr="00915A8E">
              <w:rPr>
                <w:rFonts w:ascii="Arial" w:hAnsi="Arial" w:cs="Arial"/>
                <w:i w:val="0"/>
                <w:iCs w:val="0"/>
                <w:noProof/>
                <w:webHidden/>
              </w:rPr>
              <w:fldChar w:fldCharType="separate"/>
            </w:r>
            <w:r w:rsidRPr="00915A8E">
              <w:rPr>
                <w:rFonts w:ascii="Arial" w:hAnsi="Arial" w:cs="Arial"/>
                <w:i w:val="0"/>
                <w:iCs w:val="0"/>
                <w:noProof/>
                <w:webHidden/>
              </w:rPr>
              <w:t>3</w:t>
            </w:r>
            <w:r w:rsidRPr="00915A8E">
              <w:rPr>
                <w:rFonts w:ascii="Arial" w:hAnsi="Arial" w:cs="Arial"/>
                <w:i w:val="0"/>
                <w:iCs w:val="0"/>
                <w:noProof/>
                <w:webHidden/>
              </w:rPr>
              <w:fldChar w:fldCharType="end"/>
            </w:r>
          </w:hyperlink>
        </w:p>
        <w:p w14:paraId="6DD36C85" w14:textId="0711BD5E" w:rsidR="00DD4268" w:rsidRPr="00915A8E" w:rsidRDefault="00DD4268">
          <w:pPr>
            <w:pStyle w:val="TOC1"/>
            <w:tabs>
              <w:tab w:val="right" w:leader="dot" w:pos="9016"/>
            </w:tabs>
            <w:rPr>
              <w:rFonts w:ascii="Arial" w:eastAsiaTheme="minorEastAsia" w:hAnsi="Arial" w:cs="Arial"/>
              <w:b w:val="0"/>
              <w:bCs w:val="0"/>
              <w:i w:val="0"/>
              <w:iCs w:val="0"/>
              <w:noProof/>
              <w:kern w:val="2"/>
              <w:lang w:val="en-GB" w:eastAsia="en-GB"/>
              <w14:ligatures w14:val="standardContextual"/>
            </w:rPr>
          </w:pPr>
          <w:hyperlink w:anchor="_Toc235837161" w:history="1">
            <w:r w:rsidRPr="00915A8E">
              <w:rPr>
                <w:rStyle w:val="Hyperlink"/>
                <w:rFonts w:ascii="Arial" w:hAnsi="Arial" w:cs="Arial"/>
                <w:i w:val="0"/>
                <w:iCs w:val="0"/>
                <w:noProof/>
              </w:rPr>
              <w:t>2.0 Similarities and differences between coaching and mentoring</w:t>
            </w:r>
            <w:r w:rsidRPr="00915A8E">
              <w:rPr>
                <w:rFonts w:ascii="Arial" w:hAnsi="Arial" w:cs="Arial"/>
                <w:i w:val="0"/>
                <w:iCs w:val="0"/>
                <w:noProof/>
                <w:webHidden/>
              </w:rPr>
              <w:tab/>
            </w:r>
            <w:r w:rsidRPr="00915A8E">
              <w:rPr>
                <w:rFonts w:ascii="Arial" w:hAnsi="Arial" w:cs="Arial"/>
                <w:i w:val="0"/>
                <w:iCs w:val="0"/>
                <w:noProof/>
                <w:webHidden/>
              </w:rPr>
              <w:fldChar w:fldCharType="begin"/>
            </w:r>
            <w:r w:rsidRPr="00915A8E">
              <w:rPr>
                <w:rFonts w:ascii="Arial" w:hAnsi="Arial" w:cs="Arial"/>
                <w:i w:val="0"/>
                <w:iCs w:val="0"/>
                <w:noProof/>
                <w:webHidden/>
              </w:rPr>
              <w:instrText xml:space="preserve"> PAGEREF _Toc235837161 \h </w:instrText>
            </w:r>
            <w:r w:rsidRPr="00915A8E">
              <w:rPr>
                <w:rFonts w:ascii="Arial" w:hAnsi="Arial" w:cs="Arial"/>
                <w:i w:val="0"/>
                <w:iCs w:val="0"/>
                <w:noProof/>
                <w:webHidden/>
              </w:rPr>
            </w:r>
            <w:r w:rsidRPr="00915A8E">
              <w:rPr>
                <w:rFonts w:ascii="Arial" w:hAnsi="Arial" w:cs="Arial"/>
                <w:i w:val="0"/>
                <w:iCs w:val="0"/>
                <w:noProof/>
                <w:webHidden/>
              </w:rPr>
              <w:fldChar w:fldCharType="separate"/>
            </w:r>
            <w:r w:rsidRPr="00915A8E">
              <w:rPr>
                <w:rFonts w:ascii="Arial" w:hAnsi="Arial" w:cs="Arial"/>
                <w:i w:val="0"/>
                <w:iCs w:val="0"/>
                <w:noProof/>
                <w:webHidden/>
              </w:rPr>
              <w:t>4</w:t>
            </w:r>
            <w:r w:rsidRPr="00915A8E">
              <w:rPr>
                <w:rFonts w:ascii="Arial" w:hAnsi="Arial" w:cs="Arial"/>
                <w:i w:val="0"/>
                <w:iCs w:val="0"/>
                <w:noProof/>
                <w:webHidden/>
              </w:rPr>
              <w:fldChar w:fldCharType="end"/>
            </w:r>
          </w:hyperlink>
        </w:p>
        <w:p w14:paraId="62F70B7F" w14:textId="192E9324"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62" w:history="1">
            <w:r w:rsidRPr="00915A8E">
              <w:rPr>
                <w:rStyle w:val="Hyperlink"/>
                <w:rFonts w:ascii="Arial" w:hAnsi="Arial" w:cs="Arial"/>
                <w:noProof/>
              </w:rPr>
              <w:t>2.1 Common humanistic roots and relational Overlaps</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_Toc235837162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4</w:t>
            </w:r>
            <w:r w:rsidRPr="00915A8E">
              <w:rPr>
                <w:rFonts w:ascii="Arial" w:hAnsi="Arial" w:cs="Arial"/>
                <w:noProof/>
                <w:webHidden/>
              </w:rPr>
              <w:fldChar w:fldCharType="end"/>
            </w:r>
          </w:hyperlink>
        </w:p>
        <w:p w14:paraId="3A80F79B" w14:textId="76826F10"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63" w:history="1">
            <w:r w:rsidRPr="00915A8E">
              <w:rPr>
                <w:rStyle w:val="Hyperlink"/>
                <w:rFonts w:ascii="Arial" w:hAnsi="Arial" w:cs="Arial"/>
                <w:noProof/>
              </w:rPr>
              <w:t>2.2 The spectrum of directiveness and expertise</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_Toc235837163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5</w:t>
            </w:r>
            <w:r w:rsidRPr="00915A8E">
              <w:rPr>
                <w:rFonts w:ascii="Arial" w:hAnsi="Arial" w:cs="Arial"/>
                <w:noProof/>
                <w:webHidden/>
              </w:rPr>
              <w:fldChar w:fldCharType="end"/>
            </w:r>
          </w:hyperlink>
        </w:p>
        <w:p w14:paraId="00A7C171" w14:textId="62539E21"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64" w:history="1">
            <w:r w:rsidRPr="00915A8E">
              <w:rPr>
                <w:rStyle w:val="Hyperlink"/>
                <w:rFonts w:ascii="Arial" w:hAnsi="Arial" w:cs="Arial"/>
                <w:noProof/>
              </w:rPr>
              <w:t>2.3 Power relations, time boundaries and structural context</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_Toc235837164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6</w:t>
            </w:r>
            <w:r w:rsidRPr="00915A8E">
              <w:rPr>
                <w:rFonts w:ascii="Arial" w:hAnsi="Arial" w:cs="Arial"/>
                <w:noProof/>
                <w:webHidden/>
              </w:rPr>
              <w:fldChar w:fldCharType="end"/>
            </w:r>
          </w:hyperlink>
        </w:p>
        <w:p w14:paraId="3EB4AE25" w14:textId="68AA65D0"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65" w:history="1">
            <w:r w:rsidRPr="00915A8E">
              <w:rPr>
                <w:rStyle w:val="Hyperlink"/>
                <w:rFonts w:ascii="Arial" w:hAnsi="Arial" w:cs="Arial"/>
                <w:noProof/>
              </w:rPr>
              <w:t>2.4 The critical border with psycho-therapy</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_Toc235837165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7</w:t>
            </w:r>
            <w:r w:rsidRPr="00915A8E">
              <w:rPr>
                <w:rFonts w:ascii="Arial" w:hAnsi="Arial" w:cs="Arial"/>
                <w:noProof/>
                <w:webHidden/>
              </w:rPr>
              <w:fldChar w:fldCharType="end"/>
            </w:r>
          </w:hyperlink>
        </w:p>
        <w:p w14:paraId="34898DB8" w14:textId="59323394" w:rsidR="00DD4268" w:rsidRPr="00915A8E" w:rsidRDefault="00DD4268">
          <w:pPr>
            <w:pStyle w:val="TOC1"/>
            <w:tabs>
              <w:tab w:val="right" w:leader="dot" w:pos="9016"/>
            </w:tabs>
            <w:rPr>
              <w:rFonts w:ascii="Arial" w:eastAsiaTheme="minorEastAsia" w:hAnsi="Arial" w:cs="Arial"/>
              <w:b w:val="0"/>
              <w:bCs w:val="0"/>
              <w:i w:val="0"/>
              <w:iCs w:val="0"/>
              <w:noProof/>
              <w:kern w:val="2"/>
              <w:lang w:val="en-GB" w:eastAsia="en-GB"/>
              <w14:ligatures w14:val="standardContextual"/>
            </w:rPr>
          </w:pPr>
          <w:hyperlink w:anchor="_Toc235837166" w:history="1">
            <w:r w:rsidRPr="00915A8E">
              <w:rPr>
                <w:rStyle w:val="Hyperlink"/>
                <w:rFonts w:ascii="Arial" w:hAnsi="Arial" w:cs="Arial"/>
                <w:i w:val="0"/>
                <w:iCs w:val="0"/>
                <w:noProof/>
              </w:rPr>
              <w:t>3.0 Knowledge, Skills, Attitudes and Behaviors of a good workplace coach</w:t>
            </w:r>
            <w:r w:rsidRPr="00915A8E">
              <w:rPr>
                <w:rFonts w:ascii="Arial" w:hAnsi="Arial" w:cs="Arial"/>
                <w:i w:val="0"/>
                <w:iCs w:val="0"/>
                <w:noProof/>
                <w:webHidden/>
              </w:rPr>
              <w:tab/>
            </w:r>
            <w:r w:rsidRPr="00915A8E">
              <w:rPr>
                <w:rFonts w:ascii="Arial" w:hAnsi="Arial" w:cs="Arial"/>
                <w:i w:val="0"/>
                <w:iCs w:val="0"/>
                <w:noProof/>
                <w:webHidden/>
              </w:rPr>
              <w:fldChar w:fldCharType="begin"/>
            </w:r>
            <w:r w:rsidRPr="00915A8E">
              <w:rPr>
                <w:rFonts w:ascii="Arial" w:hAnsi="Arial" w:cs="Arial"/>
                <w:i w:val="0"/>
                <w:iCs w:val="0"/>
                <w:noProof/>
                <w:webHidden/>
              </w:rPr>
              <w:instrText xml:space="preserve"> PAGEREF _Toc235837166 \h </w:instrText>
            </w:r>
            <w:r w:rsidRPr="00915A8E">
              <w:rPr>
                <w:rFonts w:ascii="Arial" w:hAnsi="Arial" w:cs="Arial"/>
                <w:i w:val="0"/>
                <w:iCs w:val="0"/>
                <w:noProof/>
                <w:webHidden/>
              </w:rPr>
            </w:r>
            <w:r w:rsidRPr="00915A8E">
              <w:rPr>
                <w:rFonts w:ascii="Arial" w:hAnsi="Arial" w:cs="Arial"/>
                <w:i w:val="0"/>
                <w:iCs w:val="0"/>
                <w:noProof/>
                <w:webHidden/>
              </w:rPr>
              <w:fldChar w:fldCharType="separate"/>
            </w:r>
            <w:r w:rsidRPr="00915A8E">
              <w:rPr>
                <w:rFonts w:ascii="Arial" w:hAnsi="Arial" w:cs="Arial"/>
                <w:i w:val="0"/>
                <w:iCs w:val="0"/>
                <w:noProof/>
                <w:webHidden/>
              </w:rPr>
              <w:t>8</w:t>
            </w:r>
            <w:r w:rsidRPr="00915A8E">
              <w:rPr>
                <w:rFonts w:ascii="Arial" w:hAnsi="Arial" w:cs="Arial"/>
                <w:i w:val="0"/>
                <w:iCs w:val="0"/>
                <w:noProof/>
                <w:webHidden/>
              </w:rPr>
              <w:fldChar w:fldCharType="end"/>
            </w:r>
          </w:hyperlink>
        </w:p>
        <w:p w14:paraId="1C0EADB4" w14:textId="51710587"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67" w:history="1">
            <w:r w:rsidRPr="00915A8E">
              <w:rPr>
                <w:rStyle w:val="Hyperlink"/>
                <w:rFonts w:ascii="Arial" w:hAnsi="Arial" w:cs="Arial"/>
                <w:noProof/>
              </w:rPr>
              <w:t>3.1 Foundational attitudes: unconditional positive regard and resourcefulness belief</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_Toc235837167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8</w:t>
            </w:r>
            <w:r w:rsidRPr="00915A8E">
              <w:rPr>
                <w:rFonts w:ascii="Arial" w:hAnsi="Arial" w:cs="Arial"/>
                <w:noProof/>
                <w:webHidden/>
              </w:rPr>
              <w:fldChar w:fldCharType="end"/>
            </w:r>
          </w:hyperlink>
        </w:p>
        <w:p w14:paraId="7A2A8E68" w14:textId="7EA4093C"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68" w:history="1">
            <w:r w:rsidRPr="00915A8E">
              <w:rPr>
                <w:rStyle w:val="Hyperlink"/>
                <w:rFonts w:ascii="Arial" w:hAnsi="Arial" w:cs="Arial"/>
                <w:noProof/>
              </w:rPr>
              <w:t>3.2 Central non-directive skills: active listening and powerful questioning</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_Toc235837168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9</w:t>
            </w:r>
            <w:r w:rsidRPr="00915A8E">
              <w:rPr>
                <w:rFonts w:ascii="Arial" w:hAnsi="Arial" w:cs="Arial"/>
                <w:noProof/>
                <w:webHidden/>
              </w:rPr>
              <w:fldChar w:fldCharType="end"/>
            </w:r>
          </w:hyperlink>
        </w:p>
        <w:p w14:paraId="4DA61894" w14:textId="72F24DFD"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69" w:history="1">
            <w:r w:rsidRPr="00915A8E">
              <w:rPr>
                <w:rStyle w:val="Hyperlink"/>
                <w:rFonts w:ascii="Arial" w:hAnsi="Arial" w:cs="Arial"/>
                <w:noProof/>
              </w:rPr>
              <w:t>3.3 Application of frameworks and theoretical knowledge</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_Toc235837169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10</w:t>
            </w:r>
            <w:r w:rsidRPr="00915A8E">
              <w:rPr>
                <w:rFonts w:ascii="Arial" w:hAnsi="Arial" w:cs="Arial"/>
                <w:noProof/>
                <w:webHidden/>
              </w:rPr>
              <w:fldChar w:fldCharType="end"/>
            </w:r>
          </w:hyperlink>
        </w:p>
        <w:p w14:paraId="7809B5B6" w14:textId="22049A0B"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70" w:history="1">
            <w:r w:rsidRPr="00915A8E">
              <w:rPr>
                <w:rStyle w:val="Hyperlink"/>
                <w:rFonts w:ascii="Arial" w:hAnsi="Arial" w:cs="Arial"/>
                <w:noProof/>
              </w:rPr>
              <w:t>3.4 Ethical behaviors, boundaries and dependency management</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_Toc235837170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11</w:t>
            </w:r>
            <w:r w:rsidRPr="00915A8E">
              <w:rPr>
                <w:rFonts w:ascii="Arial" w:hAnsi="Arial" w:cs="Arial"/>
                <w:noProof/>
                <w:webHidden/>
              </w:rPr>
              <w:fldChar w:fldCharType="end"/>
            </w:r>
          </w:hyperlink>
        </w:p>
        <w:p w14:paraId="278D000E" w14:textId="12BD486A" w:rsidR="00DD4268" w:rsidRPr="00915A8E" w:rsidRDefault="00DD4268">
          <w:pPr>
            <w:pStyle w:val="TOC1"/>
            <w:tabs>
              <w:tab w:val="right" w:leader="dot" w:pos="9016"/>
            </w:tabs>
            <w:rPr>
              <w:rFonts w:ascii="Arial" w:eastAsiaTheme="minorEastAsia" w:hAnsi="Arial" w:cs="Arial"/>
              <w:b w:val="0"/>
              <w:bCs w:val="0"/>
              <w:i w:val="0"/>
              <w:iCs w:val="0"/>
              <w:noProof/>
              <w:kern w:val="2"/>
              <w:lang w:val="en-GB" w:eastAsia="en-GB"/>
              <w14:ligatures w14:val="standardContextual"/>
            </w:rPr>
          </w:pPr>
          <w:hyperlink w:anchor="_Toc235837171" w:history="1">
            <w:r w:rsidRPr="00915A8E">
              <w:rPr>
                <w:rStyle w:val="Hyperlink"/>
                <w:rFonts w:ascii="Arial" w:hAnsi="Arial" w:cs="Arial"/>
                <w:i w:val="0"/>
                <w:iCs w:val="0"/>
                <w:noProof/>
              </w:rPr>
              <w:t>4.0 A Critical Evaluation of the formal coaching models and processes</w:t>
            </w:r>
            <w:r w:rsidRPr="00915A8E">
              <w:rPr>
                <w:rFonts w:ascii="Arial" w:hAnsi="Arial" w:cs="Arial"/>
                <w:i w:val="0"/>
                <w:iCs w:val="0"/>
                <w:noProof/>
                <w:webHidden/>
              </w:rPr>
              <w:tab/>
            </w:r>
            <w:r w:rsidRPr="00915A8E">
              <w:rPr>
                <w:rFonts w:ascii="Arial" w:hAnsi="Arial" w:cs="Arial"/>
                <w:i w:val="0"/>
                <w:iCs w:val="0"/>
                <w:noProof/>
                <w:webHidden/>
              </w:rPr>
              <w:fldChar w:fldCharType="begin"/>
            </w:r>
            <w:r w:rsidRPr="00915A8E">
              <w:rPr>
                <w:rFonts w:ascii="Arial" w:hAnsi="Arial" w:cs="Arial"/>
                <w:i w:val="0"/>
                <w:iCs w:val="0"/>
                <w:noProof/>
                <w:webHidden/>
              </w:rPr>
              <w:instrText xml:space="preserve"> PAGEREF _Toc235837171 \h </w:instrText>
            </w:r>
            <w:r w:rsidRPr="00915A8E">
              <w:rPr>
                <w:rFonts w:ascii="Arial" w:hAnsi="Arial" w:cs="Arial"/>
                <w:i w:val="0"/>
                <w:iCs w:val="0"/>
                <w:noProof/>
                <w:webHidden/>
              </w:rPr>
            </w:r>
            <w:r w:rsidRPr="00915A8E">
              <w:rPr>
                <w:rFonts w:ascii="Arial" w:hAnsi="Arial" w:cs="Arial"/>
                <w:i w:val="0"/>
                <w:iCs w:val="0"/>
                <w:noProof/>
                <w:webHidden/>
              </w:rPr>
              <w:fldChar w:fldCharType="separate"/>
            </w:r>
            <w:r w:rsidRPr="00915A8E">
              <w:rPr>
                <w:rFonts w:ascii="Arial" w:hAnsi="Arial" w:cs="Arial"/>
                <w:i w:val="0"/>
                <w:iCs w:val="0"/>
                <w:noProof/>
                <w:webHidden/>
              </w:rPr>
              <w:t>12</w:t>
            </w:r>
            <w:r w:rsidRPr="00915A8E">
              <w:rPr>
                <w:rFonts w:ascii="Arial" w:hAnsi="Arial" w:cs="Arial"/>
                <w:i w:val="0"/>
                <w:iCs w:val="0"/>
                <w:noProof/>
                <w:webHidden/>
              </w:rPr>
              <w:fldChar w:fldCharType="end"/>
            </w:r>
          </w:hyperlink>
        </w:p>
        <w:p w14:paraId="6747D301" w14:textId="625AFCFB"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72" w:history="1">
            <w:r w:rsidRPr="00915A8E">
              <w:rPr>
                <w:rStyle w:val="Hyperlink"/>
                <w:rFonts w:ascii="Arial" w:hAnsi="Arial" w:cs="Arial"/>
                <w:noProof/>
              </w:rPr>
              <w:t>4.1 Critical assessment of the GROW model</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_Toc235837172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12</w:t>
            </w:r>
            <w:r w:rsidRPr="00915A8E">
              <w:rPr>
                <w:rFonts w:ascii="Arial" w:hAnsi="Arial" w:cs="Arial"/>
                <w:noProof/>
                <w:webHidden/>
              </w:rPr>
              <w:fldChar w:fldCharType="end"/>
            </w:r>
          </w:hyperlink>
        </w:p>
        <w:p w14:paraId="4976B6DD" w14:textId="65B96CA2"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73" w:history="1">
            <w:r w:rsidRPr="00915A8E">
              <w:rPr>
                <w:rStyle w:val="Hyperlink"/>
                <w:rFonts w:ascii="Arial" w:hAnsi="Arial" w:cs="Arial"/>
                <w:noProof/>
              </w:rPr>
              <w:t>4.2 Comparative analysis of GROW with CLEAR and ACHIEVE</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_Toc235837173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13</w:t>
            </w:r>
            <w:r w:rsidRPr="00915A8E">
              <w:rPr>
                <w:rFonts w:ascii="Arial" w:hAnsi="Arial" w:cs="Arial"/>
                <w:noProof/>
                <w:webHidden/>
              </w:rPr>
              <w:fldChar w:fldCharType="end"/>
            </w:r>
          </w:hyperlink>
        </w:p>
        <w:p w14:paraId="6A520C88" w14:textId="56560EB0"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74" w:history="1">
            <w:r w:rsidRPr="00915A8E">
              <w:rPr>
                <w:rStyle w:val="Hyperlink"/>
                <w:rFonts w:ascii="Arial" w:hAnsi="Arial" w:cs="Arial"/>
                <w:noProof/>
              </w:rPr>
              <w:t>4.3 Macro Process: Multi-Stakeholder Contracting</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_Toc235837174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14</w:t>
            </w:r>
            <w:r w:rsidRPr="00915A8E">
              <w:rPr>
                <w:rFonts w:ascii="Arial" w:hAnsi="Arial" w:cs="Arial"/>
                <w:noProof/>
                <w:webHidden/>
              </w:rPr>
              <w:fldChar w:fldCharType="end"/>
            </w:r>
          </w:hyperlink>
        </w:p>
        <w:p w14:paraId="68B7ABD9" w14:textId="12FA669A"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75" w:history="1">
            <w:r w:rsidRPr="00915A8E">
              <w:rPr>
                <w:rStyle w:val="Hyperlink"/>
                <w:rFonts w:ascii="Arial" w:hAnsi="Arial" w:cs="Arial"/>
                <w:noProof/>
              </w:rPr>
              <w:t>4.4 The macro process: boundary management and supervision</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_Toc235837175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15</w:t>
            </w:r>
            <w:r w:rsidRPr="00915A8E">
              <w:rPr>
                <w:rFonts w:ascii="Arial" w:hAnsi="Arial" w:cs="Arial"/>
                <w:noProof/>
                <w:webHidden/>
              </w:rPr>
              <w:fldChar w:fldCharType="end"/>
            </w:r>
          </w:hyperlink>
        </w:p>
        <w:p w14:paraId="694899FE" w14:textId="237A6E53" w:rsidR="00DD4268" w:rsidRPr="00915A8E" w:rsidRDefault="00DD4268">
          <w:pPr>
            <w:pStyle w:val="TOC2"/>
            <w:tabs>
              <w:tab w:val="right" w:leader="dot" w:pos="9016"/>
            </w:tabs>
            <w:rPr>
              <w:rFonts w:ascii="Arial" w:eastAsiaTheme="minorEastAsia" w:hAnsi="Arial" w:cs="Arial"/>
              <w:b w:val="0"/>
              <w:bCs w:val="0"/>
              <w:noProof/>
              <w:kern w:val="2"/>
              <w:sz w:val="24"/>
              <w:szCs w:val="24"/>
              <w:lang w:val="en-GB" w:eastAsia="en-GB"/>
              <w14:ligatures w14:val="standardContextual"/>
            </w:rPr>
          </w:pPr>
          <w:hyperlink w:anchor="_Toc235837176" w:history="1">
            <w:r w:rsidRPr="00915A8E">
              <w:rPr>
                <w:rStyle w:val="Hyperlink"/>
                <w:rFonts w:ascii="Arial" w:hAnsi="Arial" w:cs="Arial"/>
                <w:noProof/>
              </w:rPr>
              <w:t>4.5 Gaps in programme evaluation and empirical Evidence</w:t>
            </w:r>
            <w:r w:rsidRPr="00915A8E">
              <w:rPr>
                <w:rFonts w:ascii="Arial" w:hAnsi="Arial" w:cs="Arial"/>
                <w:noProof/>
                <w:webHidden/>
              </w:rPr>
              <w:tab/>
            </w:r>
            <w:r w:rsidRPr="00915A8E">
              <w:rPr>
                <w:rFonts w:ascii="Arial" w:hAnsi="Arial" w:cs="Arial"/>
                <w:noProof/>
                <w:webHidden/>
              </w:rPr>
              <w:fldChar w:fldCharType="begin"/>
            </w:r>
            <w:r w:rsidRPr="00915A8E">
              <w:rPr>
                <w:rFonts w:ascii="Arial" w:hAnsi="Arial" w:cs="Arial"/>
                <w:noProof/>
                <w:webHidden/>
              </w:rPr>
              <w:instrText xml:space="preserve"> PAGEREF _Toc235837176 \h </w:instrText>
            </w:r>
            <w:r w:rsidRPr="00915A8E">
              <w:rPr>
                <w:rFonts w:ascii="Arial" w:hAnsi="Arial" w:cs="Arial"/>
                <w:noProof/>
                <w:webHidden/>
              </w:rPr>
            </w:r>
            <w:r w:rsidRPr="00915A8E">
              <w:rPr>
                <w:rFonts w:ascii="Arial" w:hAnsi="Arial" w:cs="Arial"/>
                <w:noProof/>
                <w:webHidden/>
              </w:rPr>
              <w:fldChar w:fldCharType="separate"/>
            </w:r>
            <w:r w:rsidRPr="00915A8E">
              <w:rPr>
                <w:rFonts w:ascii="Arial" w:hAnsi="Arial" w:cs="Arial"/>
                <w:noProof/>
                <w:webHidden/>
              </w:rPr>
              <w:t>16</w:t>
            </w:r>
            <w:r w:rsidRPr="00915A8E">
              <w:rPr>
                <w:rFonts w:ascii="Arial" w:hAnsi="Arial" w:cs="Arial"/>
                <w:noProof/>
                <w:webHidden/>
              </w:rPr>
              <w:fldChar w:fldCharType="end"/>
            </w:r>
          </w:hyperlink>
        </w:p>
        <w:p w14:paraId="21489046" w14:textId="0089B340" w:rsidR="00DD4268" w:rsidRPr="00915A8E" w:rsidRDefault="00DD4268">
          <w:pPr>
            <w:pStyle w:val="TOC1"/>
            <w:tabs>
              <w:tab w:val="right" w:leader="dot" w:pos="9016"/>
            </w:tabs>
            <w:rPr>
              <w:rFonts w:ascii="Arial" w:eastAsiaTheme="minorEastAsia" w:hAnsi="Arial" w:cs="Arial"/>
              <w:b w:val="0"/>
              <w:bCs w:val="0"/>
              <w:i w:val="0"/>
              <w:iCs w:val="0"/>
              <w:noProof/>
              <w:kern w:val="2"/>
              <w:lang w:val="en-GB" w:eastAsia="en-GB"/>
              <w14:ligatures w14:val="standardContextual"/>
            </w:rPr>
          </w:pPr>
          <w:hyperlink w:anchor="_Toc235837177" w:history="1">
            <w:r w:rsidRPr="00915A8E">
              <w:rPr>
                <w:rStyle w:val="Hyperlink"/>
                <w:rFonts w:ascii="Arial" w:hAnsi="Arial" w:cs="Arial"/>
                <w:i w:val="0"/>
                <w:iCs w:val="0"/>
                <w:noProof/>
              </w:rPr>
              <w:t>5.0 Conclusion</w:t>
            </w:r>
            <w:r w:rsidRPr="00915A8E">
              <w:rPr>
                <w:rFonts w:ascii="Arial" w:hAnsi="Arial" w:cs="Arial"/>
                <w:i w:val="0"/>
                <w:iCs w:val="0"/>
                <w:noProof/>
                <w:webHidden/>
              </w:rPr>
              <w:tab/>
            </w:r>
            <w:r w:rsidRPr="00915A8E">
              <w:rPr>
                <w:rFonts w:ascii="Arial" w:hAnsi="Arial" w:cs="Arial"/>
                <w:i w:val="0"/>
                <w:iCs w:val="0"/>
                <w:noProof/>
                <w:webHidden/>
              </w:rPr>
              <w:fldChar w:fldCharType="begin"/>
            </w:r>
            <w:r w:rsidRPr="00915A8E">
              <w:rPr>
                <w:rFonts w:ascii="Arial" w:hAnsi="Arial" w:cs="Arial"/>
                <w:i w:val="0"/>
                <w:iCs w:val="0"/>
                <w:noProof/>
                <w:webHidden/>
              </w:rPr>
              <w:instrText xml:space="preserve"> PAGEREF _Toc235837177 \h </w:instrText>
            </w:r>
            <w:r w:rsidRPr="00915A8E">
              <w:rPr>
                <w:rFonts w:ascii="Arial" w:hAnsi="Arial" w:cs="Arial"/>
                <w:i w:val="0"/>
                <w:iCs w:val="0"/>
                <w:noProof/>
                <w:webHidden/>
              </w:rPr>
            </w:r>
            <w:r w:rsidRPr="00915A8E">
              <w:rPr>
                <w:rFonts w:ascii="Arial" w:hAnsi="Arial" w:cs="Arial"/>
                <w:i w:val="0"/>
                <w:iCs w:val="0"/>
                <w:noProof/>
                <w:webHidden/>
              </w:rPr>
              <w:fldChar w:fldCharType="separate"/>
            </w:r>
            <w:r w:rsidRPr="00915A8E">
              <w:rPr>
                <w:rFonts w:ascii="Arial" w:hAnsi="Arial" w:cs="Arial"/>
                <w:i w:val="0"/>
                <w:iCs w:val="0"/>
                <w:noProof/>
                <w:webHidden/>
              </w:rPr>
              <w:t>17</w:t>
            </w:r>
            <w:r w:rsidRPr="00915A8E">
              <w:rPr>
                <w:rFonts w:ascii="Arial" w:hAnsi="Arial" w:cs="Arial"/>
                <w:i w:val="0"/>
                <w:iCs w:val="0"/>
                <w:noProof/>
                <w:webHidden/>
              </w:rPr>
              <w:fldChar w:fldCharType="end"/>
            </w:r>
          </w:hyperlink>
        </w:p>
        <w:p w14:paraId="77D38F97" w14:textId="6051C2F8" w:rsidR="00DD4268" w:rsidRPr="00915A8E" w:rsidRDefault="00DD4268">
          <w:pPr>
            <w:pStyle w:val="TOC1"/>
            <w:tabs>
              <w:tab w:val="right" w:leader="dot" w:pos="9016"/>
            </w:tabs>
            <w:rPr>
              <w:rFonts w:ascii="Arial" w:eastAsiaTheme="minorEastAsia" w:hAnsi="Arial" w:cs="Arial"/>
              <w:b w:val="0"/>
              <w:bCs w:val="0"/>
              <w:i w:val="0"/>
              <w:iCs w:val="0"/>
              <w:noProof/>
              <w:kern w:val="2"/>
              <w:lang w:val="en-GB" w:eastAsia="en-GB"/>
              <w14:ligatures w14:val="standardContextual"/>
            </w:rPr>
          </w:pPr>
          <w:hyperlink w:anchor="_Toc235837178" w:history="1">
            <w:r w:rsidRPr="00915A8E">
              <w:rPr>
                <w:rStyle w:val="Hyperlink"/>
                <w:rFonts w:ascii="Arial" w:hAnsi="Arial" w:cs="Arial"/>
                <w:i w:val="0"/>
                <w:iCs w:val="0"/>
                <w:noProof/>
              </w:rPr>
              <w:t>References</w:t>
            </w:r>
            <w:r w:rsidRPr="00915A8E">
              <w:rPr>
                <w:rFonts w:ascii="Arial" w:hAnsi="Arial" w:cs="Arial"/>
                <w:i w:val="0"/>
                <w:iCs w:val="0"/>
                <w:noProof/>
                <w:webHidden/>
              </w:rPr>
              <w:tab/>
            </w:r>
            <w:r w:rsidRPr="00915A8E">
              <w:rPr>
                <w:rFonts w:ascii="Arial" w:hAnsi="Arial" w:cs="Arial"/>
                <w:i w:val="0"/>
                <w:iCs w:val="0"/>
                <w:noProof/>
                <w:webHidden/>
              </w:rPr>
              <w:fldChar w:fldCharType="begin"/>
            </w:r>
            <w:r w:rsidRPr="00915A8E">
              <w:rPr>
                <w:rFonts w:ascii="Arial" w:hAnsi="Arial" w:cs="Arial"/>
                <w:i w:val="0"/>
                <w:iCs w:val="0"/>
                <w:noProof/>
                <w:webHidden/>
              </w:rPr>
              <w:instrText xml:space="preserve"> PAGEREF _Toc235837178 \h </w:instrText>
            </w:r>
            <w:r w:rsidRPr="00915A8E">
              <w:rPr>
                <w:rFonts w:ascii="Arial" w:hAnsi="Arial" w:cs="Arial"/>
                <w:i w:val="0"/>
                <w:iCs w:val="0"/>
                <w:noProof/>
                <w:webHidden/>
              </w:rPr>
            </w:r>
            <w:r w:rsidRPr="00915A8E">
              <w:rPr>
                <w:rFonts w:ascii="Arial" w:hAnsi="Arial" w:cs="Arial"/>
                <w:i w:val="0"/>
                <w:iCs w:val="0"/>
                <w:noProof/>
                <w:webHidden/>
              </w:rPr>
              <w:fldChar w:fldCharType="separate"/>
            </w:r>
            <w:r w:rsidRPr="00915A8E">
              <w:rPr>
                <w:rFonts w:ascii="Arial" w:hAnsi="Arial" w:cs="Arial"/>
                <w:i w:val="0"/>
                <w:iCs w:val="0"/>
                <w:noProof/>
                <w:webHidden/>
              </w:rPr>
              <w:t>19</w:t>
            </w:r>
            <w:r w:rsidRPr="00915A8E">
              <w:rPr>
                <w:rFonts w:ascii="Arial" w:hAnsi="Arial" w:cs="Arial"/>
                <w:i w:val="0"/>
                <w:iCs w:val="0"/>
                <w:noProof/>
                <w:webHidden/>
              </w:rPr>
              <w:fldChar w:fldCharType="end"/>
            </w:r>
          </w:hyperlink>
        </w:p>
        <w:p w14:paraId="4DF15EA3" w14:textId="0A387C9C" w:rsidR="00E90FF1" w:rsidRPr="00915A8E" w:rsidRDefault="00E90FF1" w:rsidP="00E90FF1">
          <w:pPr>
            <w:rPr>
              <w:rFonts w:ascii="Arial" w:hAnsi="Arial" w:cs="Arial"/>
              <w:bCs/>
            </w:rPr>
          </w:pPr>
          <w:r w:rsidRPr="00915A8E">
            <w:rPr>
              <w:rFonts w:ascii="Arial" w:hAnsi="Arial" w:cs="Arial"/>
              <w:bCs/>
              <w:noProof/>
            </w:rPr>
            <w:fldChar w:fldCharType="end"/>
          </w:r>
        </w:p>
      </w:sdtContent>
    </w:sdt>
    <w:p w14:paraId="3FC86DA7" w14:textId="2C7685CD" w:rsidR="00E90FF1" w:rsidRPr="00915A8E" w:rsidRDefault="00E90FF1" w:rsidP="00E90FF1">
      <w:pPr>
        <w:rPr>
          <w:rFonts w:ascii="Arial" w:hAnsi="Arial" w:cs="Arial"/>
          <w:bCs/>
        </w:rPr>
      </w:pPr>
      <w:r w:rsidRPr="00915A8E">
        <w:rPr>
          <w:rFonts w:ascii="Arial" w:hAnsi="Arial" w:cs="Arial"/>
          <w:bCs/>
        </w:rPr>
        <w:br w:type="page"/>
      </w:r>
    </w:p>
    <w:p w14:paraId="049CB415" w14:textId="2C7685CD" w:rsidR="00E90FF1" w:rsidRPr="00915A8E" w:rsidRDefault="00E90FF1" w:rsidP="00E90FF1">
      <w:pPr>
        <w:pStyle w:val="Heading1"/>
        <w:rPr>
          <w:rFonts w:ascii="Arial" w:hAnsi="Arial" w:cs="Arial"/>
          <w:b/>
        </w:rPr>
      </w:pPr>
      <w:bookmarkStart w:id="1" w:name="_Toc235837160"/>
      <w:r w:rsidRPr="00915A8E">
        <w:rPr>
          <w:rFonts w:ascii="Arial" w:hAnsi="Arial" w:cs="Arial"/>
        </w:rPr>
        <w:lastRenderedPageBreak/>
        <w:t>1.0 Introduction</w:t>
      </w:r>
      <w:bookmarkEnd w:id="1"/>
    </w:p>
    <w:p w14:paraId="0AB54A38" w14:textId="77777777" w:rsidR="00E90FF1" w:rsidRPr="00915A8E" w:rsidRDefault="00E90FF1" w:rsidP="00E90FF1">
      <w:pPr>
        <w:jc w:val="both"/>
        <w:rPr>
          <w:rFonts w:ascii="Arial" w:hAnsi="Arial" w:cs="Arial"/>
          <w:bCs/>
        </w:rPr>
      </w:pPr>
      <w:r w:rsidRPr="00915A8E">
        <w:rPr>
          <w:rFonts w:ascii="Arial" w:hAnsi="Arial" w:cs="Arial"/>
          <w:bCs/>
        </w:rPr>
        <w:t xml:space="preserve">Organisations today are increasingly turning away from traditional training to create long-term behavioural change. With this shift, coaching has emerged as an important strategic tool in the development of leaders (Passmore &amp; Fillery-Travis, 2011) and mentoring continues to be an important broad career support (Garvey et al., 2017). Both approaches employ person-centred communication techniques but generally have different aims and structures. In the workplace, coaching can be broadly defined as a structured, non-directive process that allows for self-directed learning and assists individuals in achieving specific goals (Whitmore, 2017). Importantly, the coach does not need to have formal authority or technical knowledge of the </w:t>
      </w:r>
      <w:proofErr w:type="spellStart"/>
      <w:r w:rsidRPr="00915A8E">
        <w:rPr>
          <w:rFonts w:ascii="Arial" w:hAnsi="Arial" w:cs="Arial"/>
          <w:bCs/>
        </w:rPr>
        <w:t>coachee’s</w:t>
      </w:r>
      <w:proofErr w:type="spellEnd"/>
      <w:r w:rsidRPr="00915A8E">
        <w:rPr>
          <w:rFonts w:ascii="Arial" w:hAnsi="Arial" w:cs="Arial"/>
          <w:bCs/>
        </w:rPr>
        <w:t xml:space="preserve"> job role (Feldman &amp; </w:t>
      </w:r>
      <w:proofErr w:type="spellStart"/>
      <w:r w:rsidRPr="00915A8E">
        <w:rPr>
          <w:rFonts w:ascii="Arial" w:hAnsi="Arial" w:cs="Arial"/>
          <w:bCs/>
        </w:rPr>
        <w:t>Lankau</w:t>
      </w:r>
      <w:proofErr w:type="spellEnd"/>
      <w:r w:rsidRPr="00915A8E">
        <w:rPr>
          <w:rFonts w:ascii="Arial" w:hAnsi="Arial" w:cs="Arial"/>
          <w:bCs/>
        </w:rPr>
        <w:t xml:space="preserve">, 2005). Mentoring, however, is a generally longer-term relationship in which a more experienced person gives specific advice and guidance to help a colleague navigate his or her career (Garvey et al., 2017). But these two practices are not entirely independent. There is a lot of overlap in fact and practitioners often use a combination of both approaches depending upon the needs of the learner. </w:t>
      </w:r>
      <w:proofErr w:type="gramStart"/>
      <w:r w:rsidRPr="00915A8E">
        <w:rPr>
          <w:rFonts w:ascii="Arial" w:hAnsi="Arial" w:cs="Arial"/>
          <w:bCs/>
        </w:rPr>
        <w:t>But in reality,</w:t>
      </w:r>
      <w:proofErr w:type="gramEnd"/>
      <w:r w:rsidRPr="00915A8E">
        <w:rPr>
          <w:rFonts w:ascii="Arial" w:hAnsi="Arial" w:cs="Arial"/>
          <w:bCs/>
        </w:rPr>
        <w:t xml:space="preserve"> businesses tend to confuse the two terms and use them interchangeably as generic labels. Before the disciplines can be used to improve workplace performance, it is important to establish where the disciplines differ in theory, and how they blend in practice.</w:t>
      </w:r>
    </w:p>
    <w:p w14:paraId="67ED0FD9" w14:textId="77777777" w:rsidR="00E90FF1" w:rsidRPr="00915A8E" w:rsidRDefault="00E90FF1" w:rsidP="00E90FF1">
      <w:pPr>
        <w:rPr>
          <w:rFonts w:ascii="Arial" w:hAnsi="Arial" w:cs="Arial"/>
          <w:bCs/>
        </w:rPr>
      </w:pPr>
    </w:p>
    <w:p w14:paraId="58AEACF2" w14:textId="77777777" w:rsidR="0066745D" w:rsidRPr="00915A8E" w:rsidRDefault="00E90FF1" w:rsidP="00E90FF1">
      <w:pPr>
        <w:jc w:val="both"/>
        <w:rPr>
          <w:rFonts w:ascii="Arial" w:hAnsi="Arial" w:cs="Arial"/>
          <w:bCs/>
        </w:rPr>
      </w:pPr>
      <w:r w:rsidRPr="00915A8E">
        <w:rPr>
          <w:rFonts w:ascii="Arial" w:hAnsi="Arial" w:cs="Arial"/>
          <w:bCs/>
        </w:rPr>
        <w:t xml:space="preserve">This report will critically review the application of coaching and mentoring in the modern workplace </w:t>
      </w:r>
      <w:proofErr w:type="gramStart"/>
      <w:r w:rsidRPr="00915A8E">
        <w:rPr>
          <w:rFonts w:ascii="Arial" w:hAnsi="Arial" w:cs="Arial"/>
          <w:bCs/>
        </w:rPr>
        <w:t>in order to</w:t>
      </w:r>
      <w:proofErr w:type="gramEnd"/>
      <w:r w:rsidRPr="00915A8E">
        <w:rPr>
          <w:rFonts w:ascii="Arial" w:hAnsi="Arial" w:cs="Arial"/>
          <w:bCs/>
        </w:rPr>
        <w:t xml:space="preserve"> address this. </w:t>
      </w:r>
    </w:p>
    <w:p w14:paraId="348F4353" w14:textId="77777777" w:rsidR="0066745D" w:rsidRPr="00915A8E" w:rsidRDefault="00B27D34" w:rsidP="00E90FF1">
      <w:pPr>
        <w:jc w:val="both"/>
        <w:rPr>
          <w:rFonts w:ascii="Arial" w:hAnsi="Arial" w:cs="Arial"/>
          <w:bCs/>
        </w:rPr>
      </w:pPr>
      <w:r w:rsidRPr="00915A8E">
        <w:rPr>
          <w:rFonts w:ascii="Arial" w:hAnsi="Arial" w:cs="Arial"/>
          <w:bCs/>
        </w:rPr>
        <w:t>Initially</w:t>
      </w:r>
      <w:r w:rsidR="00E90FF1" w:rsidRPr="00915A8E">
        <w:rPr>
          <w:rFonts w:ascii="Arial" w:hAnsi="Arial" w:cs="Arial"/>
          <w:bCs/>
        </w:rPr>
        <w:t xml:space="preserve">, it will </w:t>
      </w:r>
      <w:r w:rsidRPr="00915A8E">
        <w:rPr>
          <w:rFonts w:ascii="Arial" w:hAnsi="Arial" w:cs="Arial"/>
          <w:bCs/>
        </w:rPr>
        <w:t>explain the</w:t>
      </w:r>
      <w:r w:rsidR="00E90FF1" w:rsidRPr="00915A8E">
        <w:rPr>
          <w:rFonts w:ascii="Arial" w:hAnsi="Arial" w:cs="Arial"/>
          <w:bCs/>
        </w:rPr>
        <w:t xml:space="preserve"> similarities and differences between the two interventions, studying their theoretical boundaries and practical overlaps. </w:t>
      </w:r>
    </w:p>
    <w:p w14:paraId="697C3399" w14:textId="402DB541" w:rsidR="0066745D" w:rsidRPr="00915A8E" w:rsidRDefault="0066745D" w:rsidP="00E90FF1">
      <w:pPr>
        <w:jc w:val="both"/>
        <w:rPr>
          <w:rFonts w:ascii="Arial" w:hAnsi="Arial" w:cs="Arial"/>
          <w:bCs/>
        </w:rPr>
      </w:pPr>
      <w:r w:rsidRPr="00915A8E">
        <w:rPr>
          <w:rFonts w:ascii="Arial" w:hAnsi="Arial" w:cs="Arial"/>
          <w:bCs/>
        </w:rPr>
        <w:t>Next</w:t>
      </w:r>
      <w:r w:rsidR="00E90FF1" w:rsidRPr="00915A8E">
        <w:rPr>
          <w:rFonts w:ascii="Arial" w:hAnsi="Arial" w:cs="Arial"/>
          <w:bCs/>
        </w:rPr>
        <w:t xml:space="preserve">, the report will critically discuss the essential knowledge, skills, attitudes and </w:t>
      </w:r>
      <w:proofErr w:type="spellStart"/>
      <w:r w:rsidR="00E90FF1" w:rsidRPr="00915A8E">
        <w:rPr>
          <w:rFonts w:ascii="Arial" w:hAnsi="Arial" w:cs="Arial"/>
          <w:bCs/>
        </w:rPr>
        <w:t>behaviors</w:t>
      </w:r>
      <w:proofErr w:type="spellEnd"/>
      <w:r w:rsidR="00E90FF1" w:rsidRPr="00915A8E">
        <w:rPr>
          <w:rFonts w:ascii="Arial" w:hAnsi="Arial" w:cs="Arial"/>
          <w:bCs/>
        </w:rPr>
        <w:t xml:space="preserve"> required to be an effective workplace coach. </w:t>
      </w:r>
    </w:p>
    <w:p w14:paraId="0C85D8F1" w14:textId="07086E4D" w:rsidR="00E90FF1" w:rsidRPr="00915A8E" w:rsidRDefault="0066745D" w:rsidP="00E90FF1">
      <w:pPr>
        <w:jc w:val="both"/>
        <w:rPr>
          <w:rFonts w:ascii="Arial" w:hAnsi="Arial" w:cs="Arial"/>
          <w:bCs/>
        </w:rPr>
      </w:pPr>
      <w:r w:rsidRPr="00915A8E">
        <w:rPr>
          <w:rFonts w:ascii="Arial" w:hAnsi="Arial" w:cs="Arial"/>
          <w:bCs/>
        </w:rPr>
        <w:t>Lastly</w:t>
      </w:r>
      <w:r w:rsidR="00E90FF1" w:rsidRPr="00915A8E">
        <w:rPr>
          <w:rFonts w:ascii="Arial" w:hAnsi="Arial" w:cs="Arial"/>
          <w:bCs/>
        </w:rPr>
        <w:t>, the analysis will critically examine the GROW model as a key framework for formal coaching sessions. To provide a balanced evaluation the GROW model is compared with alternative models such as CLEAR and ACHIEVE. The report will also demonstrate that the success of any session model is heavily dependent on wider organisational processes, particularly clear contracting, regular supervision and systematic evaluation.</w:t>
      </w:r>
    </w:p>
    <w:p w14:paraId="0147F1FC" w14:textId="77777777" w:rsidR="00915A8E" w:rsidRPr="00915A8E" w:rsidRDefault="00915A8E">
      <w:pPr>
        <w:rPr>
          <w:rFonts w:ascii="Arial" w:eastAsiaTheme="majorEastAsia" w:hAnsi="Arial" w:cs="Arial"/>
          <w:color w:val="0F4761" w:themeColor="accent1" w:themeShade="BF"/>
          <w:sz w:val="40"/>
          <w:szCs w:val="40"/>
        </w:rPr>
      </w:pPr>
      <w:bookmarkStart w:id="2" w:name="_Toc235837161"/>
      <w:r w:rsidRPr="00915A8E">
        <w:rPr>
          <w:rFonts w:ascii="Arial" w:hAnsi="Arial" w:cs="Arial"/>
        </w:rPr>
        <w:br w:type="page"/>
      </w:r>
    </w:p>
    <w:p w14:paraId="05E0589E" w14:textId="7927A73E" w:rsidR="00E90FF1" w:rsidRPr="00915A8E" w:rsidRDefault="00E90FF1" w:rsidP="00E90FF1">
      <w:pPr>
        <w:pStyle w:val="Heading1"/>
        <w:rPr>
          <w:rFonts w:ascii="Arial" w:hAnsi="Arial" w:cs="Arial"/>
          <w:b/>
        </w:rPr>
      </w:pPr>
      <w:r w:rsidRPr="00915A8E">
        <w:rPr>
          <w:rFonts w:ascii="Arial" w:hAnsi="Arial" w:cs="Arial"/>
        </w:rPr>
        <w:lastRenderedPageBreak/>
        <w:t>2.0 Similarities and differences between coaching and mentoring</w:t>
      </w:r>
      <w:bookmarkEnd w:id="2"/>
    </w:p>
    <w:p w14:paraId="0AB44852" w14:textId="28280D0A" w:rsidR="00E90FF1" w:rsidRPr="00915A8E" w:rsidRDefault="00E90FF1" w:rsidP="00E90FF1">
      <w:pPr>
        <w:pStyle w:val="Heading2"/>
        <w:rPr>
          <w:rFonts w:ascii="Arial" w:hAnsi="Arial" w:cs="Arial"/>
          <w:b/>
        </w:rPr>
      </w:pPr>
      <w:bookmarkStart w:id="3" w:name="_Toc235837162"/>
      <w:r w:rsidRPr="00915A8E">
        <w:rPr>
          <w:rFonts w:ascii="Arial" w:hAnsi="Arial" w:cs="Arial"/>
        </w:rPr>
        <w:t>2.1 Common humanistic roots and relational Overlaps</w:t>
      </w:r>
      <w:bookmarkEnd w:id="3"/>
    </w:p>
    <w:p w14:paraId="414717A1" w14:textId="77777777" w:rsidR="00E90FF1" w:rsidRPr="00915A8E" w:rsidRDefault="00E90FF1" w:rsidP="00E90FF1">
      <w:pPr>
        <w:rPr>
          <w:rFonts w:ascii="Arial" w:hAnsi="Arial" w:cs="Arial"/>
          <w:bCs/>
        </w:rPr>
      </w:pPr>
    </w:p>
    <w:p w14:paraId="5F624AE9" w14:textId="0B39EEC4" w:rsidR="00E90FF1" w:rsidRPr="00915A8E" w:rsidRDefault="00E90FF1" w:rsidP="00E90FF1">
      <w:pPr>
        <w:jc w:val="both"/>
        <w:rPr>
          <w:rFonts w:ascii="Arial" w:hAnsi="Arial" w:cs="Arial"/>
          <w:bCs/>
        </w:rPr>
      </w:pPr>
      <w:r w:rsidRPr="00915A8E">
        <w:rPr>
          <w:rFonts w:ascii="Arial" w:hAnsi="Arial" w:cs="Arial"/>
          <w:bCs/>
        </w:rPr>
        <w:t xml:space="preserve">It is useful to think of coaching and mentoring in an organisational context not as entirely </w:t>
      </w:r>
      <w:proofErr w:type="gramStart"/>
      <w:r w:rsidRPr="00915A8E">
        <w:rPr>
          <w:rFonts w:ascii="Arial" w:hAnsi="Arial" w:cs="Arial"/>
          <w:bCs/>
        </w:rPr>
        <w:t>polar opposites</w:t>
      </w:r>
      <w:proofErr w:type="gramEnd"/>
      <w:r w:rsidRPr="00915A8E">
        <w:rPr>
          <w:rFonts w:ascii="Arial" w:hAnsi="Arial" w:cs="Arial"/>
          <w:bCs/>
        </w:rPr>
        <w:t>. Rather, both disciplines are based on a common person-centred approach and use similar core communication skills</w:t>
      </w:r>
      <w:r w:rsidR="00410252" w:rsidRPr="00915A8E">
        <w:rPr>
          <w:rFonts w:ascii="Arial" w:hAnsi="Arial" w:cs="Arial"/>
          <w:bCs/>
        </w:rPr>
        <w:t xml:space="preserve"> (</w:t>
      </w:r>
      <w:r w:rsidR="00410252" w:rsidRPr="00915A8E">
        <w:rPr>
          <w:rFonts w:ascii="Arial" w:hAnsi="Arial" w:cs="Arial"/>
        </w:rPr>
        <w:t xml:space="preserve">Garvey et al., 2017). </w:t>
      </w:r>
      <w:r w:rsidRPr="00915A8E">
        <w:rPr>
          <w:rFonts w:ascii="Arial" w:hAnsi="Arial" w:cs="Arial"/>
          <w:bCs/>
        </w:rPr>
        <w:t xml:space="preserve">Both interventions are relationship-based, one-to-one developmental conversations that aim to support learning, build self-awareness and help people to reach their potential at work. Practitioners need to establish a trusting and collaborative working alliance with the individual </w:t>
      </w:r>
      <w:proofErr w:type="gramStart"/>
      <w:r w:rsidRPr="00915A8E">
        <w:rPr>
          <w:rFonts w:ascii="Arial" w:hAnsi="Arial" w:cs="Arial"/>
          <w:bCs/>
        </w:rPr>
        <w:t>in order to</w:t>
      </w:r>
      <w:proofErr w:type="gramEnd"/>
      <w:r w:rsidRPr="00915A8E">
        <w:rPr>
          <w:rFonts w:ascii="Arial" w:hAnsi="Arial" w:cs="Arial"/>
          <w:bCs/>
        </w:rPr>
        <w:t xml:space="preserve"> make either relationship work well (Garvey et al., 2017; </w:t>
      </w:r>
      <w:proofErr w:type="spellStart"/>
      <w:r w:rsidRPr="00915A8E">
        <w:rPr>
          <w:rFonts w:ascii="Arial" w:hAnsi="Arial" w:cs="Arial"/>
          <w:bCs/>
        </w:rPr>
        <w:t>Graßmann</w:t>
      </w:r>
      <w:proofErr w:type="spellEnd"/>
      <w:r w:rsidRPr="00915A8E">
        <w:rPr>
          <w:rFonts w:ascii="Arial" w:hAnsi="Arial" w:cs="Arial"/>
          <w:bCs/>
        </w:rPr>
        <w:t xml:space="preserve"> et al., 2020). </w:t>
      </w:r>
      <w:proofErr w:type="gramStart"/>
      <w:r w:rsidRPr="00915A8E">
        <w:rPr>
          <w:rFonts w:ascii="Arial" w:hAnsi="Arial" w:cs="Arial"/>
          <w:bCs/>
        </w:rPr>
        <w:t>In order to</w:t>
      </w:r>
      <w:proofErr w:type="gramEnd"/>
      <w:r w:rsidRPr="00915A8E">
        <w:rPr>
          <w:rFonts w:ascii="Arial" w:hAnsi="Arial" w:cs="Arial"/>
          <w:bCs/>
        </w:rPr>
        <w:t xml:space="preserve"> maintain this developmental alliance coaches and mentors regularly employ person-centred skills like active listening, pausing, clarifying, reframing and asking open-ended questions to promote reflection (Garvey et al., 2017). Both practices have an important theoretical similarity: the burden of learning is placed on the learner - the </w:t>
      </w:r>
      <w:proofErr w:type="spellStart"/>
      <w:r w:rsidRPr="00915A8E">
        <w:rPr>
          <w:rFonts w:ascii="Arial" w:hAnsi="Arial" w:cs="Arial"/>
          <w:bCs/>
        </w:rPr>
        <w:t>coachee</w:t>
      </w:r>
      <w:proofErr w:type="spellEnd"/>
      <w:r w:rsidRPr="00915A8E">
        <w:rPr>
          <w:rFonts w:ascii="Arial" w:hAnsi="Arial" w:cs="Arial"/>
          <w:bCs/>
        </w:rPr>
        <w:t xml:space="preserve"> or mentee - not the facilitator. The literature on mentoring highlights the responsibility of the mentee for their own development (Garvey et al., 2017), and core coaching theory suggests that </w:t>
      </w:r>
      <w:proofErr w:type="spellStart"/>
      <w:r w:rsidRPr="00915A8E">
        <w:rPr>
          <w:rFonts w:ascii="Arial" w:hAnsi="Arial" w:cs="Arial"/>
          <w:bCs/>
        </w:rPr>
        <w:t>coachees</w:t>
      </w:r>
      <w:proofErr w:type="spellEnd"/>
      <w:r w:rsidRPr="00915A8E">
        <w:rPr>
          <w:rFonts w:ascii="Arial" w:hAnsi="Arial" w:cs="Arial"/>
          <w:bCs/>
        </w:rPr>
        <w:t xml:space="preserve"> should be self-responsible and own their performance (Whitmore, 2017). In both cases the practitioner acts as a facilitator of growth rather than a directive teacher and respects the autonomy and ability of the learner to direct their own development.</w:t>
      </w:r>
    </w:p>
    <w:p w14:paraId="58E0BB2A" w14:textId="77777777" w:rsidR="00E90FF1" w:rsidRPr="00915A8E" w:rsidRDefault="00E90FF1" w:rsidP="00E90FF1">
      <w:pPr>
        <w:rPr>
          <w:rFonts w:ascii="Arial" w:hAnsi="Arial" w:cs="Arial"/>
          <w:bCs/>
        </w:rPr>
      </w:pPr>
    </w:p>
    <w:p w14:paraId="40791106" w14:textId="77777777" w:rsidR="00E90FF1" w:rsidRPr="00915A8E" w:rsidRDefault="00E90FF1" w:rsidP="00E90FF1">
      <w:pPr>
        <w:jc w:val="both"/>
        <w:rPr>
          <w:rFonts w:ascii="Arial" w:hAnsi="Arial" w:cs="Arial"/>
          <w:bCs/>
        </w:rPr>
      </w:pPr>
      <w:r w:rsidRPr="00915A8E">
        <w:rPr>
          <w:rFonts w:ascii="Arial" w:hAnsi="Arial" w:cs="Arial"/>
          <w:bCs/>
        </w:rPr>
        <w:t>Because these conversational tools and relational principles are so closely aligned, there is a lot of overlap in day-to-day workplace practice. For example, a mentor will often use a non-directive coaching style of questioning, to help a junior colleague think through an operational problem, rather than simply providing a direct answer. This functional fluidity can result in organisations confusing the terms, so that coaching and mentoring become interchangeable labels for almost any developmental conversation. However, although the communication techniques used in a conversation may be similar at first sight, the underlying intention, level of directiveness, need for domain expertise and structural boundaries are different depending on whether the intervention is formally designed as coaching or mentoring.</w:t>
      </w:r>
    </w:p>
    <w:p w14:paraId="7F8EFA0D" w14:textId="77777777" w:rsidR="00E90FF1" w:rsidRPr="00915A8E" w:rsidRDefault="00E90FF1" w:rsidP="00E90FF1">
      <w:pPr>
        <w:rPr>
          <w:rFonts w:ascii="Arial" w:hAnsi="Arial" w:cs="Arial"/>
          <w:bCs/>
        </w:rPr>
      </w:pPr>
    </w:p>
    <w:p w14:paraId="3146BF88" w14:textId="77777777" w:rsidR="00E90FF1" w:rsidRPr="00915A8E" w:rsidRDefault="00E90FF1">
      <w:pPr>
        <w:rPr>
          <w:rFonts w:ascii="Arial" w:eastAsiaTheme="majorEastAsia" w:hAnsi="Arial" w:cs="Arial"/>
          <w:color w:val="0F4761" w:themeColor="accent1" w:themeShade="BF"/>
          <w:sz w:val="32"/>
          <w:szCs w:val="32"/>
        </w:rPr>
      </w:pPr>
      <w:r w:rsidRPr="00915A8E">
        <w:rPr>
          <w:rFonts w:ascii="Arial" w:hAnsi="Arial" w:cs="Arial"/>
        </w:rPr>
        <w:br w:type="page"/>
      </w:r>
    </w:p>
    <w:p w14:paraId="2B1BD3FD" w14:textId="0B6809A5" w:rsidR="00E90FF1" w:rsidRPr="00915A8E" w:rsidRDefault="00E90FF1" w:rsidP="00E90FF1">
      <w:pPr>
        <w:pStyle w:val="Heading2"/>
        <w:rPr>
          <w:rFonts w:ascii="Arial" w:hAnsi="Arial" w:cs="Arial"/>
          <w:b/>
        </w:rPr>
      </w:pPr>
      <w:bookmarkStart w:id="4" w:name="_Toc235837163"/>
      <w:r w:rsidRPr="00915A8E">
        <w:rPr>
          <w:rFonts w:ascii="Arial" w:hAnsi="Arial" w:cs="Arial"/>
        </w:rPr>
        <w:lastRenderedPageBreak/>
        <w:t>2.2 The spectrum of directiveness and expertise</w:t>
      </w:r>
      <w:bookmarkEnd w:id="4"/>
    </w:p>
    <w:p w14:paraId="65A04FC6" w14:textId="77777777" w:rsidR="00E90FF1" w:rsidRPr="00915A8E" w:rsidRDefault="00E90FF1" w:rsidP="00E90FF1">
      <w:pPr>
        <w:rPr>
          <w:rFonts w:ascii="Arial" w:hAnsi="Arial" w:cs="Arial"/>
          <w:bCs/>
        </w:rPr>
      </w:pPr>
    </w:p>
    <w:p w14:paraId="522147FA" w14:textId="77777777" w:rsidR="00E90FF1" w:rsidRPr="00915A8E" w:rsidRDefault="00E90FF1" w:rsidP="00E90FF1">
      <w:pPr>
        <w:jc w:val="both"/>
        <w:rPr>
          <w:rFonts w:ascii="Arial" w:hAnsi="Arial" w:cs="Arial"/>
          <w:bCs/>
        </w:rPr>
      </w:pPr>
      <w:r w:rsidRPr="00915A8E">
        <w:rPr>
          <w:rFonts w:ascii="Arial" w:hAnsi="Arial" w:cs="Arial"/>
          <w:bCs/>
        </w:rPr>
        <w:t xml:space="preserve">One important difference between coaching and mentoring relates to where they sit on the directiveness continuum and </w:t>
      </w:r>
      <w:proofErr w:type="gramStart"/>
      <w:r w:rsidRPr="00915A8E">
        <w:rPr>
          <w:rFonts w:ascii="Arial" w:hAnsi="Arial" w:cs="Arial"/>
          <w:bCs/>
        </w:rPr>
        <w:t>whether or not</w:t>
      </w:r>
      <w:proofErr w:type="gramEnd"/>
      <w:r w:rsidRPr="00915A8E">
        <w:rPr>
          <w:rFonts w:ascii="Arial" w:hAnsi="Arial" w:cs="Arial"/>
          <w:bCs/>
        </w:rPr>
        <w:t xml:space="preserve"> they require domain-specific expertise. Miles Downey’s (2002) directive-non-directive spectrum provides a convenient continuum on which to observe these differences. Mentoring tends to be more directive on this spectrum </w:t>
      </w:r>
      <w:proofErr w:type="gramStart"/>
      <w:r w:rsidRPr="00915A8E">
        <w:rPr>
          <w:rFonts w:ascii="Arial" w:hAnsi="Arial" w:cs="Arial"/>
          <w:bCs/>
        </w:rPr>
        <w:t>where</w:t>
      </w:r>
      <w:proofErr w:type="gramEnd"/>
      <w:r w:rsidRPr="00915A8E">
        <w:rPr>
          <w:rFonts w:ascii="Arial" w:hAnsi="Arial" w:cs="Arial"/>
          <w:bCs/>
        </w:rPr>
        <w:t xml:space="preserve"> sharing advice, giving career insights and practical guidance are expected and appropriate parts of the role. Mentors are usually selected based on their domain knowledge, technical background and seniority in the organization, </w:t>
      </w:r>
      <w:proofErr w:type="gramStart"/>
      <w:r w:rsidRPr="00915A8E">
        <w:rPr>
          <w:rFonts w:ascii="Arial" w:hAnsi="Arial" w:cs="Arial"/>
          <w:bCs/>
        </w:rPr>
        <w:t>so as to</w:t>
      </w:r>
      <w:proofErr w:type="gramEnd"/>
      <w:r w:rsidRPr="00915A8E">
        <w:rPr>
          <w:rFonts w:ascii="Arial" w:hAnsi="Arial" w:cs="Arial"/>
          <w:bCs/>
        </w:rPr>
        <w:t xml:space="preserve"> transfer their accumulated knowledge to a less experienced colleague (Feldman &amp; </w:t>
      </w:r>
      <w:proofErr w:type="spellStart"/>
      <w:r w:rsidRPr="00915A8E">
        <w:rPr>
          <w:rFonts w:ascii="Arial" w:hAnsi="Arial" w:cs="Arial"/>
          <w:bCs/>
        </w:rPr>
        <w:t>Lankau</w:t>
      </w:r>
      <w:proofErr w:type="spellEnd"/>
      <w:r w:rsidRPr="00915A8E">
        <w:rPr>
          <w:rFonts w:ascii="Arial" w:hAnsi="Arial" w:cs="Arial"/>
          <w:bCs/>
        </w:rPr>
        <w:t>, 2005). Formal workplace coaching, on the other hand, is very much at the non-directive end of the spectrum, employing Socratic questioning and structured reflection to enable self-discovery, without advising or instructing the client (Downey, 2002; Passmore &amp; Fillery-Travis, 2011).</w:t>
      </w:r>
    </w:p>
    <w:p w14:paraId="61D334FC" w14:textId="77777777" w:rsidR="00E90FF1" w:rsidRPr="00915A8E" w:rsidRDefault="00E90FF1" w:rsidP="00E90FF1">
      <w:pPr>
        <w:rPr>
          <w:rFonts w:ascii="Arial" w:hAnsi="Arial" w:cs="Arial"/>
          <w:bCs/>
        </w:rPr>
      </w:pPr>
    </w:p>
    <w:p w14:paraId="01C6C6A7" w14:textId="77777777" w:rsidR="00C766BD" w:rsidRPr="00915A8E" w:rsidRDefault="00E90FF1" w:rsidP="00E90FF1">
      <w:pPr>
        <w:jc w:val="both"/>
        <w:rPr>
          <w:rFonts w:ascii="Arial" w:hAnsi="Arial" w:cs="Arial"/>
          <w:bCs/>
        </w:rPr>
      </w:pPr>
      <w:r w:rsidRPr="00915A8E">
        <w:rPr>
          <w:rFonts w:ascii="Arial" w:hAnsi="Arial" w:cs="Arial"/>
          <w:bCs/>
        </w:rPr>
        <w:t xml:space="preserve">Therefore, a successful workplace coach is primarily a specialist in the coaching process instead of a subject matter expert in the technical knowledge of the </w:t>
      </w:r>
      <w:proofErr w:type="spellStart"/>
      <w:r w:rsidRPr="00915A8E">
        <w:rPr>
          <w:rFonts w:ascii="Arial" w:hAnsi="Arial" w:cs="Arial"/>
          <w:bCs/>
        </w:rPr>
        <w:t>coachee’s</w:t>
      </w:r>
      <w:proofErr w:type="spellEnd"/>
      <w:r w:rsidRPr="00915A8E">
        <w:rPr>
          <w:rFonts w:ascii="Arial" w:hAnsi="Arial" w:cs="Arial"/>
          <w:bCs/>
        </w:rPr>
        <w:t xml:space="preserve"> job (Jones et al., 2016). In fact, authors argue that the absence of domain expertise may be a benefit for a coach in that it prevents him from giving advice, judging technicalities or imposing his own views on the </w:t>
      </w:r>
      <w:proofErr w:type="spellStart"/>
      <w:r w:rsidRPr="00915A8E">
        <w:rPr>
          <w:rFonts w:ascii="Arial" w:hAnsi="Arial" w:cs="Arial"/>
          <w:bCs/>
        </w:rPr>
        <w:t>coachee</w:t>
      </w:r>
      <w:proofErr w:type="spellEnd"/>
      <w:r w:rsidRPr="00915A8E">
        <w:rPr>
          <w:rFonts w:ascii="Arial" w:hAnsi="Arial" w:cs="Arial"/>
          <w:bCs/>
        </w:rPr>
        <w:t xml:space="preserve"> (Garvey et al., 2017). </w:t>
      </w:r>
    </w:p>
    <w:p w14:paraId="103B361F" w14:textId="467C38D1" w:rsidR="00915A8E" w:rsidRPr="00915A8E" w:rsidRDefault="00915A8E" w:rsidP="00E90FF1">
      <w:pPr>
        <w:jc w:val="both"/>
        <w:rPr>
          <w:rFonts w:ascii="Arial" w:hAnsi="Arial" w:cs="Arial"/>
        </w:rPr>
      </w:pPr>
      <w:r w:rsidRPr="00915A8E">
        <w:rPr>
          <w:rFonts w:ascii="Arial" w:hAnsi="Arial" w:cs="Arial"/>
        </w:rPr>
        <w:t>To observe this distinction in practice, an informal workplace support scenario can be examined where a colleague sought assistance from the author in securing funding to qualify as a security guard and transition into this new career.</w:t>
      </w:r>
    </w:p>
    <w:p w14:paraId="7EEE12F1" w14:textId="77777777" w:rsidR="00915A8E" w:rsidRPr="00915A8E" w:rsidRDefault="00915A8E" w:rsidP="00E90FF1">
      <w:pPr>
        <w:jc w:val="both"/>
        <w:rPr>
          <w:rFonts w:ascii="Arial" w:hAnsi="Arial" w:cs="Arial"/>
        </w:rPr>
      </w:pPr>
      <w:r w:rsidRPr="00915A8E">
        <w:rPr>
          <w:rFonts w:ascii="Arial" w:hAnsi="Arial" w:cs="Arial"/>
        </w:rPr>
        <w:t>Rather than administering the process on their behalf, a non-directive approach was adopted using open questions regarding licensing requirements and administrative obstacles.</w:t>
      </w:r>
    </w:p>
    <w:p w14:paraId="7EA4885A" w14:textId="0E59A249" w:rsidR="00E90FF1" w:rsidRPr="00915A8E" w:rsidRDefault="00915A8E" w:rsidP="00E90FF1">
      <w:pPr>
        <w:jc w:val="both"/>
        <w:rPr>
          <w:rFonts w:ascii="Arial" w:hAnsi="Arial" w:cs="Arial"/>
          <w:bCs/>
        </w:rPr>
      </w:pPr>
      <w:r w:rsidRPr="00915A8E">
        <w:rPr>
          <w:rFonts w:ascii="Arial" w:hAnsi="Arial" w:cs="Arial"/>
        </w:rPr>
        <w:t>T</w:t>
      </w:r>
      <w:r w:rsidR="00E90FF1" w:rsidRPr="00915A8E">
        <w:rPr>
          <w:rFonts w:ascii="Arial" w:hAnsi="Arial" w:cs="Arial"/>
          <w:bCs/>
        </w:rPr>
        <w:t>he individual was able to work through the Jobcentre funding process themselves, submit the paperwork</w:t>
      </w:r>
      <w:r w:rsidRPr="00915A8E">
        <w:rPr>
          <w:rFonts w:ascii="Arial" w:hAnsi="Arial" w:cs="Arial"/>
          <w:bCs/>
        </w:rPr>
        <w:t>, qualify</w:t>
      </w:r>
      <w:r w:rsidR="00E90FF1" w:rsidRPr="00915A8E">
        <w:rPr>
          <w:rFonts w:ascii="Arial" w:hAnsi="Arial" w:cs="Arial"/>
          <w:bCs/>
        </w:rPr>
        <w:t xml:space="preserve"> and secure employment by using non-directive questions. This demonstrates how non-directive facilitation can help personal ownership and problem solving, without the need for subject expertise.</w:t>
      </w:r>
    </w:p>
    <w:p w14:paraId="090FD89D" w14:textId="77777777" w:rsidR="00E90FF1" w:rsidRPr="00915A8E" w:rsidRDefault="00E90FF1" w:rsidP="00E90FF1">
      <w:pPr>
        <w:rPr>
          <w:rFonts w:ascii="Arial" w:hAnsi="Arial" w:cs="Arial"/>
          <w:bCs/>
        </w:rPr>
      </w:pPr>
    </w:p>
    <w:p w14:paraId="3FF5B283" w14:textId="77777777" w:rsidR="00E90FF1" w:rsidRPr="00915A8E" w:rsidRDefault="00E90FF1" w:rsidP="00E90FF1">
      <w:pPr>
        <w:spacing w:after="200" w:line="276" w:lineRule="auto"/>
        <w:rPr>
          <w:rFonts w:ascii="Arial" w:eastAsiaTheme="majorEastAsia" w:hAnsi="Arial" w:cs="Arial"/>
          <w:bCs/>
          <w:color w:val="156082" w:themeColor="accent1"/>
          <w:szCs w:val="26"/>
        </w:rPr>
      </w:pPr>
      <w:r w:rsidRPr="00915A8E">
        <w:rPr>
          <w:rFonts w:ascii="Arial" w:hAnsi="Arial" w:cs="Arial"/>
          <w:b/>
        </w:rPr>
        <w:br w:type="page"/>
      </w:r>
    </w:p>
    <w:p w14:paraId="4FCE1D43" w14:textId="77777777" w:rsidR="00E90FF1" w:rsidRPr="00915A8E" w:rsidRDefault="00E90FF1" w:rsidP="00E90FF1">
      <w:pPr>
        <w:pStyle w:val="Heading2"/>
        <w:rPr>
          <w:rFonts w:ascii="Arial" w:hAnsi="Arial" w:cs="Arial"/>
          <w:b/>
        </w:rPr>
      </w:pPr>
      <w:bookmarkStart w:id="5" w:name="_Toc235837164"/>
      <w:r w:rsidRPr="00915A8E">
        <w:rPr>
          <w:rFonts w:ascii="Arial" w:hAnsi="Arial" w:cs="Arial"/>
        </w:rPr>
        <w:lastRenderedPageBreak/>
        <w:t>2.3 Power relations, time boundaries and structural context</w:t>
      </w:r>
      <w:bookmarkEnd w:id="5"/>
    </w:p>
    <w:p w14:paraId="31456CBB" w14:textId="77777777" w:rsidR="00E90FF1" w:rsidRPr="00915A8E" w:rsidRDefault="00E90FF1" w:rsidP="00E90FF1">
      <w:pPr>
        <w:rPr>
          <w:rFonts w:ascii="Arial" w:hAnsi="Arial" w:cs="Arial"/>
          <w:bCs/>
        </w:rPr>
      </w:pPr>
    </w:p>
    <w:p w14:paraId="4F691028" w14:textId="77777777" w:rsidR="00E90FF1" w:rsidRPr="00915A8E" w:rsidRDefault="00E90FF1" w:rsidP="00E90FF1">
      <w:pPr>
        <w:jc w:val="both"/>
        <w:rPr>
          <w:rFonts w:ascii="Arial" w:hAnsi="Arial" w:cs="Arial"/>
          <w:bCs/>
        </w:rPr>
      </w:pPr>
      <w:r w:rsidRPr="00915A8E">
        <w:rPr>
          <w:rFonts w:ascii="Arial" w:hAnsi="Arial" w:cs="Arial"/>
          <w:bCs/>
        </w:rPr>
        <w:t xml:space="preserve">Beyond communication styles and expertise, coaching and mentoring differ in terms of structural power dynamics, timeframes and organisational boundaries. Mentoring relationships are generally longer term and more open-ended, which allows for broader career socialisation, professional identity and organisational navigation (Feldman &amp; </w:t>
      </w:r>
      <w:proofErr w:type="spellStart"/>
      <w:r w:rsidRPr="00915A8E">
        <w:rPr>
          <w:rFonts w:ascii="Arial" w:hAnsi="Arial" w:cs="Arial"/>
          <w:bCs/>
        </w:rPr>
        <w:t>Lankau</w:t>
      </w:r>
      <w:proofErr w:type="spellEnd"/>
      <w:r w:rsidRPr="00915A8E">
        <w:rPr>
          <w:rFonts w:ascii="Arial" w:hAnsi="Arial" w:cs="Arial"/>
          <w:bCs/>
        </w:rPr>
        <w:t>, 2005; Jones et al., 2016). Traditional mentoring typically involves a senior experienced person and a less experienced employee and therefore, it may have a hierarchical power dynamic. However, effective mentoring is supposed to develop mutual trust over time (Garvey et al., 2017). In contrast, formal workplace coaching is normally designed as a shorter-term, bounded intervention with specific performance goals, behavioural changes or personal development targets (Jones et al., 2016).</w:t>
      </w:r>
    </w:p>
    <w:p w14:paraId="0C9DC0A7" w14:textId="77777777" w:rsidR="00E90FF1" w:rsidRPr="00915A8E" w:rsidRDefault="00E90FF1" w:rsidP="00E90FF1">
      <w:pPr>
        <w:rPr>
          <w:rFonts w:ascii="Arial" w:hAnsi="Arial" w:cs="Arial"/>
          <w:bCs/>
        </w:rPr>
      </w:pPr>
    </w:p>
    <w:p w14:paraId="1AF46C49" w14:textId="77777777" w:rsidR="00E90FF1" w:rsidRPr="00915A8E" w:rsidRDefault="00E90FF1" w:rsidP="00E90FF1">
      <w:pPr>
        <w:jc w:val="both"/>
        <w:rPr>
          <w:rFonts w:ascii="Arial" w:hAnsi="Arial" w:cs="Arial"/>
          <w:bCs/>
        </w:rPr>
      </w:pPr>
      <w:r w:rsidRPr="00915A8E">
        <w:rPr>
          <w:rFonts w:ascii="Arial" w:hAnsi="Arial" w:cs="Arial"/>
          <w:bCs/>
        </w:rPr>
        <w:t xml:space="preserve">Structurally, formal coaching within the workplace focuses on establishing a collaborative working alliance and psychological safety so the </w:t>
      </w:r>
      <w:proofErr w:type="spellStart"/>
      <w:r w:rsidRPr="00915A8E">
        <w:rPr>
          <w:rFonts w:ascii="Arial" w:hAnsi="Arial" w:cs="Arial"/>
          <w:bCs/>
        </w:rPr>
        <w:t>coachee</w:t>
      </w:r>
      <w:proofErr w:type="spellEnd"/>
      <w:r w:rsidRPr="00915A8E">
        <w:rPr>
          <w:rFonts w:ascii="Arial" w:hAnsi="Arial" w:cs="Arial"/>
          <w:bCs/>
        </w:rPr>
        <w:t xml:space="preserve"> can talk about challenges without feeling judged (</w:t>
      </w:r>
      <w:proofErr w:type="spellStart"/>
      <w:r w:rsidRPr="00915A8E">
        <w:rPr>
          <w:rFonts w:ascii="Arial" w:hAnsi="Arial" w:cs="Arial"/>
          <w:bCs/>
        </w:rPr>
        <w:t>Graßmann</w:t>
      </w:r>
      <w:proofErr w:type="spellEnd"/>
      <w:r w:rsidRPr="00915A8E">
        <w:rPr>
          <w:rFonts w:ascii="Arial" w:hAnsi="Arial" w:cs="Arial"/>
          <w:bCs/>
        </w:rPr>
        <w:t xml:space="preserve"> et al., 2020). However, in practice these boundaries can become blurred through the ‘manager-as-coach’ approach where line managers coach their direct reports. The manager still has formal authority, is responsible for performance reviews and can influence pay or progression decisions. This dual role can lead to role conflict and power tensions unless the manager clearly articulates role shifts and sets appropriate expectations (Downey, 2002; Riddle &amp; Ting, 2006).</w:t>
      </w:r>
    </w:p>
    <w:p w14:paraId="2DEAE70A" w14:textId="77777777" w:rsidR="00E90FF1" w:rsidRPr="00915A8E" w:rsidRDefault="00E90FF1" w:rsidP="00E90FF1">
      <w:pPr>
        <w:rPr>
          <w:rFonts w:ascii="Arial" w:hAnsi="Arial" w:cs="Arial"/>
          <w:bCs/>
        </w:rPr>
      </w:pPr>
    </w:p>
    <w:p w14:paraId="27AE3F27" w14:textId="77777777" w:rsidR="00E90FF1" w:rsidRPr="00915A8E" w:rsidRDefault="00E90FF1" w:rsidP="00E90FF1">
      <w:pPr>
        <w:spacing w:after="200" w:line="276" w:lineRule="auto"/>
        <w:rPr>
          <w:rFonts w:ascii="Arial" w:eastAsiaTheme="majorEastAsia" w:hAnsi="Arial" w:cs="Arial"/>
          <w:bCs/>
          <w:color w:val="156082" w:themeColor="accent1"/>
          <w:szCs w:val="26"/>
        </w:rPr>
      </w:pPr>
      <w:r w:rsidRPr="00915A8E">
        <w:rPr>
          <w:rFonts w:ascii="Arial" w:hAnsi="Arial" w:cs="Arial"/>
          <w:b/>
        </w:rPr>
        <w:br w:type="page"/>
      </w:r>
    </w:p>
    <w:p w14:paraId="62B990CF" w14:textId="77777777" w:rsidR="00E90FF1" w:rsidRPr="00915A8E" w:rsidRDefault="00E90FF1" w:rsidP="00E90FF1">
      <w:pPr>
        <w:pStyle w:val="Heading2"/>
        <w:rPr>
          <w:rFonts w:ascii="Arial" w:hAnsi="Arial" w:cs="Arial"/>
          <w:b/>
        </w:rPr>
      </w:pPr>
      <w:bookmarkStart w:id="6" w:name="_Toc235837165"/>
      <w:r w:rsidRPr="00915A8E">
        <w:rPr>
          <w:rFonts w:ascii="Arial" w:hAnsi="Arial" w:cs="Arial"/>
        </w:rPr>
        <w:lastRenderedPageBreak/>
        <w:t xml:space="preserve">2.4 The critical border with </w:t>
      </w:r>
      <w:proofErr w:type="gramStart"/>
      <w:r w:rsidRPr="00915A8E">
        <w:rPr>
          <w:rFonts w:ascii="Arial" w:hAnsi="Arial" w:cs="Arial"/>
        </w:rPr>
        <w:t>psycho-therapy</w:t>
      </w:r>
      <w:bookmarkEnd w:id="6"/>
      <w:proofErr w:type="gramEnd"/>
    </w:p>
    <w:p w14:paraId="46268713" w14:textId="77777777" w:rsidR="0029365F" w:rsidRPr="00915A8E" w:rsidRDefault="0029365F" w:rsidP="00E90FF1">
      <w:pPr>
        <w:jc w:val="both"/>
        <w:rPr>
          <w:rFonts w:ascii="Arial" w:hAnsi="Arial" w:cs="Arial"/>
          <w:bCs/>
        </w:rPr>
      </w:pPr>
      <w:r w:rsidRPr="00915A8E">
        <w:rPr>
          <w:rFonts w:ascii="Arial" w:hAnsi="Arial" w:cs="Arial"/>
        </w:rPr>
        <w:t>Beyond internal workplace dynamics, coaching and mentoring also share a strict ethical border with therapeutic interventions like counselling and psychotherapy</w:t>
      </w:r>
      <w:r w:rsidR="00E90FF1" w:rsidRPr="00915A8E">
        <w:rPr>
          <w:rFonts w:ascii="Arial" w:hAnsi="Arial" w:cs="Arial"/>
          <w:bCs/>
        </w:rPr>
        <w:t>.</w:t>
      </w:r>
    </w:p>
    <w:p w14:paraId="03F546A5" w14:textId="4F18AFA7" w:rsidR="00E90FF1" w:rsidRPr="00915A8E" w:rsidRDefault="00E90FF1" w:rsidP="00E90FF1">
      <w:pPr>
        <w:jc w:val="both"/>
        <w:rPr>
          <w:rFonts w:ascii="Arial" w:hAnsi="Arial" w:cs="Arial"/>
          <w:bCs/>
        </w:rPr>
      </w:pPr>
      <w:r w:rsidRPr="00915A8E">
        <w:rPr>
          <w:rFonts w:ascii="Arial" w:hAnsi="Arial" w:cs="Arial"/>
          <w:bCs/>
        </w:rPr>
        <w:t>Coaching and mentoring are generally focused on development and workplace objectives while psychotherapy is concerned with psychological distress and clinical issues. However, this is not always a simple past versus future distinction, and practitioners need to be aware of when an issue is beyond their competence (</w:t>
      </w:r>
      <w:proofErr w:type="spellStart"/>
      <w:r w:rsidRPr="00915A8E">
        <w:rPr>
          <w:rFonts w:ascii="Arial" w:hAnsi="Arial" w:cs="Arial"/>
          <w:bCs/>
        </w:rPr>
        <w:t>Bluckert</w:t>
      </w:r>
      <w:proofErr w:type="spellEnd"/>
      <w:r w:rsidRPr="00915A8E">
        <w:rPr>
          <w:rFonts w:ascii="Arial" w:hAnsi="Arial" w:cs="Arial"/>
          <w:bCs/>
        </w:rPr>
        <w:t>, 2005b). It is an essential ethical requirement of the practice of work to recognise this boundary. If the developmental discussion uncovers more profound psychological trauma or mental health problems that fall outside the scope of workplace development, the practitioner is expected to maintain boundaries and refer the individual to an appropriately qualified healthcare professional (</w:t>
      </w:r>
      <w:proofErr w:type="spellStart"/>
      <w:r w:rsidRPr="00915A8E">
        <w:rPr>
          <w:rFonts w:ascii="Arial" w:hAnsi="Arial" w:cs="Arial"/>
          <w:bCs/>
        </w:rPr>
        <w:t>Bluckert</w:t>
      </w:r>
      <w:proofErr w:type="spellEnd"/>
      <w:r w:rsidRPr="00915A8E">
        <w:rPr>
          <w:rFonts w:ascii="Arial" w:hAnsi="Arial" w:cs="Arial"/>
          <w:bCs/>
        </w:rPr>
        <w:t>, 2005b).</w:t>
      </w:r>
    </w:p>
    <w:p w14:paraId="73A3DB90" w14:textId="77777777" w:rsidR="00E90FF1" w:rsidRPr="00915A8E" w:rsidRDefault="00E90FF1" w:rsidP="00E90FF1">
      <w:pPr>
        <w:rPr>
          <w:rFonts w:ascii="Arial" w:hAnsi="Arial" w:cs="Arial"/>
          <w:bCs/>
        </w:rPr>
      </w:pPr>
    </w:p>
    <w:p w14:paraId="702B2948" w14:textId="77777777" w:rsidR="00E90FF1" w:rsidRPr="00915A8E" w:rsidRDefault="00E90FF1" w:rsidP="00E90FF1">
      <w:pPr>
        <w:rPr>
          <w:rFonts w:ascii="Arial" w:hAnsi="Arial" w:cs="Arial"/>
          <w:bCs/>
        </w:rPr>
      </w:pPr>
    </w:p>
    <w:p w14:paraId="42DBA6AB" w14:textId="77777777" w:rsidR="00E90FF1" w:rsidRPr="00915A8E" w:rsidRDefault="00E90FF1" w:rsidP="00E90FF1">
      <w:pPr>
        <w:rPr>
          <w:rFonts w:ascii="Arial" w:hAnsi="Arial" w:cs="Arial"/>
          <w:bCs/>
        </w:rPr>
      </w:pPr>
    </w:p>
    <w:p w14:paraId="7F95BD2B" w14:textId="77777777" w:rsidR="00E90FF1" w:rsidRPr="00915A8E" w:rsidRDefault="00E90FF1" w:rsidP="00E90FF1">
      <w:pPr>
        <w:spacing w:after="200" w:line="276" w:lineRule="auto"/>
        <w:rPr>
          <w:rFonts w:ascii="Arial" w:eastAsiaTheme="majorEastAsia" w:hAnsi="Arial" w:cs="Arial"/>
          <w:bCs/>
          <w:color w:val="0F4761" w:themeColor="accent1" w:themeShade="BF"/>
          <w:sz w:val="28"/>
          <w:szCs w:val="28"/>
        </w:rPr>
      </w:pPr>
      <w:r w:rsidRPr="00915A8E">
        <w:rPr>
          <w:rFonts w:ascii="Arial" w:hAnsi="Arial" w:cs="Arial"/>
          <w:b/>
        </w:rPr>
        <w:br w:type="page"/>
      </w:r>
    </w:p>
    <w:p w14:paraId="2E870CAA" w14:textId="77777777" w:rsidR="00E90FF1" w:rsidRPr="00915A8E" w:rsidRDefault="00E90FF1" w:rsidP="00E90FF1">
      <w:pPr>
        <w:pStyle w:val="Heading1"/>
        <w:rPr>
          <w:rFonts w:ascii="Arial" w:hAnsi="Arial" w:cs="Arial"/>
          <w:b/>
        </w:rPr>
      </w:pPr>
      <w:bookmarkStart w:id="7" w:name="_Toc235837166"/>
      <w:r w:rsidRPr="00915A8E">
        <w:rPr>
          <w:rFonts w:ascii="Arial" w:hAnsi="Arial" w:cs="Arial"/>
        </w:rPr>
        <w:lastRenderedPageBreak/>
        <w:t xml:space="preserve">3.0 Knowledge, Skills, Attitudes and </w:t>
      </w:r>
      <w:proofErr w:type="spellStart"/>
      <w:r w:rsidRPr="00915A8E">
        <w:rPr>
          <w:rFonts w:ascii="Arial" w:hAnsi="Arial" w:cs="Arial"/>
        </w:rPr>
        <w:t>Behaviors</w:t>
      </w:r>
      <w:proofErr w:type="spellEnd"/>
      <w:r w:rsidRPr="00915A8E">
        <w:rPr>
          <w:rFonts w:ascii="Arial" w:hAnsi="Arial" w:cs="Arial"/>
        </w:rPr>
        <w:t xml:space="preserve"> of a good workplace coach</w:t>
      </w:r>
      <w:bookmarkEnd w:id="7"/>
    </w:p>
    <w:p w14:paraId="0DFD9AC5" w14:textId="77777777" w:rsidR="00E90FF1" w:rsidRPr="00915A8E" w:rsidRDefault="00E90FF1" w:rsidP="00E90FF1">
      <w:pPr>
        <w:pStyle w:val="Heading2"/>
        <w:rPr>
          <w:rFonts w:ascii="Arial" w:hAnsi="Arial" w:cs="Arial"/>
          <w:b/>
        </w:rPr>
      </w:pPr>
      <w:bookmarkStart w:id="8" w:name="_Toc235837167"/>
      <w:r w:rsidRPr="00915A8E">
        <w:rPr>
          <w:rFonts w:ascii="Arial" w:hAnsi="Arial" w:cs="Arial"/>
        </w:rPr>
        <w:t>3.1 Foundational attitudes: unconditional positive regard and resourcefulness belief</w:t>
      </w:r>
      <w:bookmarkEnd w:id="8"/>
    </w:p>
    <w:p w14:paraId="55273635" w14:textId="77777777" w:rsidR="00E90FF1" w:rsidRPr="00915A8E" w:rsidRDefault="00E90FF1" w:rsidP="00E90FF1">
      <w:pPr>
        <w:jc w:val="both"/>
        <w:rPr>
          <w:rFonts w:ascii="Arial" w:hAnsi="Arial" w:cs="Arial"/>
          <w:bCs/>
        </w:rPr>
      </w:pPr>
      <w:r w:rsidRPr="00915A8E">
        <w:rPr>
          <w:rFonts w:ascii="Arial" w:hAnsi="Arial" w:cs="Arial"/>
          <w:bCs/>
        </w:rPr>
        <w:t xml:space="preserve">If you are going to be an effective coach in a workplace setting, the practitioner needs to have a solid foundation of person-centred attitudes underpinning their technical tools and questioning frameworks. Unconditional positive regard and belief in the </w:t>
      </w:r>
      <w:proofErr w:type="spellStart"/>
      <w:r w:rsidRPr="00915A8E">
        <w:rPr>
          <w:rFonts w:ascii="Arial" w:hAnsi="Arial" w:cs="Arial"/>
          <w:bCs/>
        </w:rPr>
        <w:t>coachee’s</w:t>
      </w:r>
      <w:proofErr w:type="spellEnd"/>
      <w:r w:rsidRPr="00915A8E">
        <w:rPr>
          <w:rFonts w:ascii="Arial" w:hAnsi="Arial" w:cs="Arial"/>
          <w:bCs/>
        </w:rPr>
        <w:t xml:space="preserve"> potential for growth, as conceptualised by Carl Rogers (1957), are central to effective workplace coaching. Rather than treating the </w:t>
      </w:r>
      <w:proofErr w:type="spellStart"/>
      <w:r w:rsidRPr="00915A8E">
        <w:rPr>
          <w:rFonts w:ascii="Arial" w:hAnsi="Arial" w:cs="Arial"/>
          <w:bCs/>
        </w:rPr>
        <w:t>coachee</w:t>
      </w:r>
      <w:proofErr w:type="spellEnd"/>
      <w:r w:rsidRPr="00915A8E">
        <w:rPr>
          <w:rFonts w:ascii="Arial" w:hAnsi="Arial" w:cs="Arial"/>
          <w:bCs/>
        </w:rPr>
        <w:t xml:space="preserve"> as someone who needs fixing, an accomplished coach will bring empathy, non-judgment and respect for the autonomy of the client to the conversation (Bluckert, 2005a). This way of thinking is closely associated with Transactional Analysis, where the coach attempts to work from an Adult-to-Adult ego state (Berne, 1964). The coach avoids a directive Parent-Child dynamic to establish an egalitarian relationship to build genuine psychological safety (Berne, 1964; Rogers, 1957). Safety is important in organisations because </w:t>
      </w:r>
      <w:proofErr w:type="spellStart"/>
      <w:r w:rsidRPr="00915A8E">
        <w:rPr>
          <w:rFonts w:ascii="Arial" w:hAnsi="Arial" w:cs="Arial"/>
          <w:bCs/>
        </w:rPr>
        <w:t>coachees</w:t>
      </w:r>
      <w:proofErr w:type="spellEnd"/>
      <w:r w:rsidRPr="00915A8E">
        <w:rPr>
          <w:rFonts w:ascii="Arial" w:hAnsi="Arial" w:cs="Arial"/>
          <w:bCs/>
        </w:rPr>
        <w:t xml:space="preserve"> will not admit to making mistakes or challenge assumptions if they feel judged (Bluckert, 2005a; Garvey et al., 2017).</w:t>
      </w:r>
    </w:p>
    <w:p w14:paraId="5C576366" w14:textId="77777777" w:rsidR="00E90FF1" w:rsidRPr="00915A8E" w:rsidRDefault="00E90FF1" w:rsidP="00E90FF1">
      <w:pPr>
        <w:rPr>
          <w:rFonts w:ascii="Arial" w:hAnsi="Arial" w:cs="Arial"/>
          <w:bCs/>
        </w:rPr>
      </w:pPr>
    </w:p>
    <w:p w14:paraId="1F8D1939" w14:textId="77777777" w:rsidR="00E90FF1" w:rsidRPr="00915A8E" w:rsidRDefault="00E90FF1" w:rsidP="00E90FF1">
      <w:pPr>
        <w:jc w:val="both"/>
        <w:rPr>
          <w:rFonts w:ascii="Arial" w:hAnsi="Arial" w:cs="Arial"/>
          <w:bCs/>
        </w:rPr>
      </w:pPr>
      <w:r w:rsidRPr="00915A8E">
        <w:rPr>
          <w:rFonts w:ascii="Arial" w:hAnsi="Arial" w:cs="Arial"/>
          <w:bCs/>
        </w:rPr>
        <w:t xml:space="preserve">But maintaining that attitude in a corporate environment can be </w:t>
      </w:r>
      <w:proofErr w:type="gramStart"/>
      <w:r w:rsidRPr="00915A8E">
        <w:rPr>
          <w:rFonts w:ascii="Arial" w:hAnsi="Arial" w:cs="Arial"/>
          <w:bCs/>
        </w:rPr>
        <w:t>really tough</w:t>
      </w:r>
      <w:proofErr w:type="gramEnd"/>
      <w:r w:rsidRPr="00915A8E">
        <w:rPr>
          <w:rFonts w:ascii="Arial" w:hAnsi="Arial" w:cs="Arial"/>
          <w:bCs/>
        </w:rPr>
        <w:t xml:space="preserve">. Managers who take on the role of internal coaches often find it difficult to break old patterns of problem solving, because traditional management cultures tend to reward quick answers and direct instruction (Downey, 2002; Riddle &amp; Ting, 2006). Line managers who coach without suspending judgement easily fall back into telling employees what to do. This removes ownership of the solution from the individual and reduces their commitment to action (Whitmore, 2017). In addition, if the </w:t>
      </w:r>
      <w:proofErr w:type="spellStart"/>
      <w:r w:rsidRPr="00915A8E">
        <w:rPr>
          <w:rFonts w:ascii="Arial" w:hAnsi="Arial" w:cs="Arial"/>
          <w:bCs/>
        </w:rPr>
        <w:t>coachee</w:t>
      </w:r>
      <w:proofErr w:type="spellEnd"/>
      <w:r w:rsidRPr="00915A8E">
        <w:rPr>
          <w:rFonts w:ascii="Arial" w:hAnsi="Arial" w:cs="Arial"/>
          <w:bCs/>
        </w:rPr>
        <w:t xml:space="preserve"> perceives the coach to be unsure of their ability, the talk may appear more directive or manipulative than empowering (Gallwey, 2000; Whitmore, 2017). An effective workplace coach therefore needs the self-discipline to manage their own ego, avoid jumping in with premature answers and let the </w:t>
      </w:r>
      <w:proofErr w:type="spellStart"/>
      <w:r w:rsidRPr="00915A8E">
        <w:rPr>
          <w:rFonts w:ascii="Arial" w:hAnsi="Arial" w:cs="Arial"/>
          <w:bCs/>
        </w:rPr>
        <w:t>coachee</w:t>
      </w:r>
      <w:proofErr w:type="spellEnd"/>
      <w:r w:rsidRPr="00915A8E">
        <w:rPr>
          <w:rFonts w:ascii="Arial" w:hAnsi="Arial" w:cs="Arial"/>
          <w:bCs/>
        </w:rPr>
        <w:t xml:space="preserve"> lead their own learning (Downey, 2002; Whitmore, 2017).</w:t>
      </w:r>
    </w:p>
    <w:p w14:paraId="030D5908" w14:textId="77777777" w:rsidR="00E90FF1" w:rsidRPr="00915A8E" w:rsidRDefault="00E90FF1" w:rsidP="00E90FF1">
      <w:pPr>
        <w:rPr>
          <w:rFonts w:ascii="Arial" w:hAnsi="Arial" w:cs="Arial"/>
          <w:bCs/>
        </w:rPr>
      </w:pPr>
    </w:p>
    <w:p w14:paraId="321D39A9" w14:textId="77777777" w:rsidR="00E90FF1" w:rsidRPr="00915A8E" w:rsidRDefault="00E90FF1" w:rsidP="00E90FF1">
      <w:pPr>
        <w:spacing w:after="200" w:line="276" w:lineRule="auto"/>
        <w:rPr>
          <w:rFonts w:ascii="Arial" w:eastAsiaTheme="majorEastAsia" w:hAnsi="Arial" w:cs="Arial"/>
          <w:bCs/>
          <w:color w:val="156082" w:themeColor="accent1"/>
          <w:szCs w:val="26"/>
        </w:rPr>
      </w:pPr>
      <w:r w:rsidRPr="00915A8E">
        <w:rPr>
          <w:rFonts w:ascii="Arial" w:hAnsi="Arial" w:cs="Arial"/>
          <w:b/>
        </w:rPr>
        <w:br w:type="page"/>
      </w:r>
    </w:p>
    <w:p w14:paraId="2639D341" w14:textId="77777777" w:rsidR="00E90FF1" w:rsidRPr="00915A8E" w:rsidRDefault="00E90FF1" w:rsidP="00E90FF1">
      <w:pPr>
        <w:pStyle w:val="Heading2"/>
        <w:rPr>
          <w:rFonts w:ascii="Arial" w:hAnsi="Arial" w:cs="Arial"/>
          <w:b/>
        </w:rPr>
      </w:pPr>
      <w:bookmarkStart w:id="9" w:name="_Toc235837168"/>
      <w:r w:rsidRPr="00915A8E">
        <w:rPr>
          <w:rFonts w:ascii="Arial" w:hAnsi="Arial" w:cs="Arial"/>
        </w:rPr>
        <w:lastRenderedPageBreak/>
        <w:t>3.2 Central non-directive skills: active listening and powerful questioning</w:t>
      </w:r>
      <w:bookmarkEnd w:id="9"/>
    </w:p>
    <w:p w14:paraId="136A1A57" w14:textId="77777777" w:rsidR="00E90FF1" w:rsidRPr="00915A8E" w:rsidRDefault="00E90FF1" w:rsidP="00E90FF1">
      <w:pPr>
        <w:rPr>
          <w:rFonts w:ascii="Arial" w:hAnsi="Arial" w:cs="Arial"/>
          <w:bCs/>
        </w:rPr>
      </w:pPr>
    </w:p>
    <w:p w14:paraId="68813825" w14:textId="43C9363E" w:rsidR="00E90FF1" w:rsidRPr="00915A8E" w:rsidRDefault="00E90FF1" w:rsidP="00E90FF1">
      <w:pPr>
        <w:jc w:val="both"/>
        <w:rPr>
          <w:rFonts w:ascii="Arial" w:hAnsi="Arial" w:cs="Arial"/>
          <w:bCs/>
        </w:rPr>
      </w:pPr>
      <w:r w:rsidRPr="00915A8E">
        <w:rPr>
          <w:rFonts w:ascii="Arial" w:hAnsi="Arial" w:cs="Arial"/>
          <w:bCs/>
        </w:rPr>
        <w:t xml:space="preserve">Skilled non-directive communication techniques are essential for the operational work of coaching, besides basic attitudes. </w:t>
      </w:r>
      <w:proofErr w:type="spellStart"/>
      <w:r w:rsidRPr="00915A8E">
        <w:rPr>
          <w:rFonts w:ascii="Arial" w:hAnsi="Arial" w:cs="Arial"/>
          <w:bCs/>
        </w:rPr>
        <w:t>Birknerová</w:t>
      </w:r>
      <w:proofErr w:type="spellEnd"/>
      <w:r w:rsidRPr="00915A8E">
        <w:rPr>
          <w:rFonts w:ascii="Arial" w:hAnsi="Arial" w:cs="Arial"/>
          <w:bCs/>
        </w:rPr>
        <w:t xml:space="preserve"> et al. (2023) studied the validation of coach competencies and found that effective communication, relationship building, and active listening are the main factors underlying coaching capability. </w:t>
      </w:r>
      <w:r w:rsidR="00410252" w:rsidRPr="00915A8E">
        <w:rPr>
          <w:rFonts w:ascii="Arial" w:hAnsi="Arial" w:cs="Arial"/>
        </w:rPr>
        <w:t xml:space="preserve">Active listening includes listening to ignite the </w:t>
      </w:r>
      <w:proofErr w:type="spellStart"/>
      <w:r w:rsidR="00410252" w:rsidRPr="00915A8E">
        <w:rPr>
          <w:rFonts w:ascii="Arial" w:hAnsi="Arial" w:cs="Arial"/>
        </w:rPr>
        <w:t>coachee’s</w:t>
      </w:r>
      <w:proofErr w:type="spellEnd"/>
      <w:r w:rsidR="00410252" w:rsidRPr="00915A8E">
        <w:rPr>
          <w:rFonts w:ascii="Arial" w:hAnsi="Arial" w:cs="Arial"/>
        </w:rPr>
        <w:t xml:space="preserve"> mind within the Thinking Environment framework described by Nancy Kline (2016), rather than listening merely to reply or interrupt. </w:t>
      </w:r>
      <w:r w:rsidRPr="00915A8E">
        <w:rPr>
          <w:rFonts w:ascii="Arial" w:hAnsi="Arial" w:cs="Arial"/>
          <w:bCs/>
        </w:rPr>
        <w:t xml:space="preserve">This requires the coach to be alert to both verbal and non-verbal signals and make use of comfortable silence to give the </w:t>
      </w:r>
      <w:proofErr w:type="spellStart"/>
      <w:r w:rsidRPr="00915A8E">
        <w:rPr>
          <w:rFonts w:ascii="Arial" w:hAnsi="Arial" w:cs="Arial"/>
          <w:bCs/>
        </w:rPr>
        <w:t>coachee</w:t>
      </w:r>
      <w:proofErr w:type="spellEnd"/>
      <w:r w:rsidRPr="00915A8E">
        <w:rPr>
          <w:rFonts w:ascii="Arial" w:hAnsi="Arial" w:cs="Arial"/>
          <w:bCs/>
        </w:rPr>
        <w:t xml:space="preserve"> mental space to work through complex thoughts (Kline, 2016; Whitmore, 2017). By not jumping in at the pauses, the coach supports the </w:t>
      </w:r>
      <w:proofErr w:type="spellStart"/>
      <w:r w:rsidRPr="00915A8E">
        <w:rPr>
          <w:rFonts w:ascii="Arial" w:hAnsi="Arial" w:cs="Arial"/>
          <w:bCs/>
        </w:rPr>
        <w:t>coachee</w:t>
      </w:r>
      <w:proofErr w:type="spellEnd"/>
      <w:r w:rsidRPr="00915A8E">
        <w:rPr>
          <w:rFonts w:ascii="Arial" w:hAnsi="Arial" w:cs="Arial"/>
          <w:bCs/>
        </w:rPr>
        <w:t xml:space="preserve"> to move beyond the initial reactions to deeper self-awareness (Kline, 2016).</w:t>
      </w:r>
    </w:p>
    <w:p w14:paraId="4053DAA7" w14:textId="77777777" w:rsidR="00E90FF1" w:rsidRPr="00915A8E" w:rsidRDefault="00E90FF1" w:rsidP="00E90FF1">
      <w:pPr>
        <w:rPr>
          <w:rFonts w:ascii="Arial" w:hAnsi="Arial" w:cs="Arial"/>
          <w:bCs/>
        </w:rPr>
      </w:pPr>
    </w:p>
    <w:p w14:paraId="6ECAC5C5" w14:textId="77777777" w:rsidR="00915A8E" w:rsidRDefault="00E90FF1" w:rsidP="00E90FF1">
      <w:pPr>
        <w:jc w:val="both"/>
        <w:rPr>
          <w:rFonts w:ascii="Arial" w:hAnsi="Arial" w:cs="Arial"/>
          <w:bCs/>
        </w:rPr>
      </w:pPr>
      <w:r w:rsidRPr="00915A8E">
        <w:rPr>
          <w:rFonts w:ascii="Arial" w:hAnsi="Arial" w:cs="Arial"/>
          <w:bCs/>
        </w:rPr>
        <w:t xml:space="preserve">Powerful open-ended questions, in addition to listening, are also critical for raising awareness and building personal responsibility (Whitmore, 2017). Good coaches challenge assumptions and explore new options through Socratic questioning, which is concise rather than leading, pushing the client towards a pre-determined answer (Megginson &amp; Clutterbuck, 2009; Passmore &amp; Fillery-Travis, 2011). These open-ended questions may also be useful in surfacing blind spots. </w:t>
      </w:r>
    </w:p>
    <w:p w14:paraId="66AF5D22" w14:textId="26CA2789" w:rsidR="009F1A27" w:rsidRDefault="009F1A27" w:rsidP="00E90FF1">
      <w:pPr>
        <w:spacing w:after="200" w:line="276" w:lineRule="auto"/>
        <w:rPr>
          <w:rFonts w:ascii="Arial" w:hAnsi="Arial" w:cs="Arial"/>
          <w:bCs/>
        </w:rPr>
      </w:pPr>
      <w:r w:rsidRPr="009F1A27">
        <w:rPr>
          <w:rFonts w:ascii="Arial" w:hAnsi="Arial" w:cs="Arial"/>
          <w:bCs/>
        </w:rPr>
        <w:t xml:space="preserve">The author witnessed the practical application of these non-directive skills through their own experience </w:t>
      </w:r>
      <w:r>
        <w:rPr>
          <w:rFonts w:ascii="Arial" w:hAnsi="Arial" w:cs="Arial"/>
          <w:bCs/>
        </w:rPr>
        <w:t>when accessing</w:t>
      </w:r>
      <w:r w:rsidRPr="009F1A27">
        <w:rPr>
          <w:rFonts w:ascii="Arial" w:hAnsi="Arial" w:cs="Arial"/>
          <w:bCs/>
        </w:rPr>
        <w:t xml:space="preserve"> professional </w:t>
      </w:r>
      <w:r>
        <w:rPr>
          <w:rFonts w:ascii="Arial" w:hAnsi="Arial" w:cs="Arial"/>
          <w:bCs/>
        </w:rPr>
        <w:t>support</w:t>
      </w:r>
      <w:r w:rsidRPr="009F1A27">
        <w:rPr>
          <w:rFonts w:ascii="Arial" w:hAnsi="Arial" w:cs="Arial"/>
          <w:bCs/>
        </w:rPr>
        <w:t xml:space="preserve"> services </w:t>
      </w:r>
      <w:r>
        <w:rPr>
          <w:rFonts w:ascii="Arial" w:hAnsi="Arial" w:cs="Arial"/>
          <w:bCs/>
        </w:rPr>
        <w:t>whilst</w:t>
      </w:r>
      <w:r w:rsidRPr="009F1A27">
        <w:rPr>
          <w:rFonts w:ascii="Arial" w:hAnsi="Arial" w:cs="Arial"/>
          <w:bCs/>
        </w:rPr>
        <w:t xml:space="preserve"> </w:t>
      </w:r>
      <w:r>
        <w:rPr>
          <w:rFonts w:ascii="Arial" w:hAnsi="Arial" w:cs="Arial"/>
          <w:bCs/>
        </w:rPr>
        <w:t>caring for</w:t>
      </w:r>
      <w:r w:rsidRPr="009F1A27">
        <w:rPr>
          <w:rFonts w:ascii="Arial" w:hAnsi="Arial" w:cs="Arial"/>
          <w:bCs/>
        </w:rPr>
        <w:t xml:space="preserve"> a </w:t>
      </w:r>
      <w:r>
        <w:rPr>
          <w:rFonts w:ascii="Arial" w:hAnsi="Arial" w:cs="Arial"/>
          <w:bCs/>
        </w:rPr>
        <w:t>sick</w:t>
      </w:r>
      <w:r w:rsidRPr="009F1A27">
        <w:rPr>
          <w:rFonts w:ascii="Arial" w:hAnsi="Arial" w:cs="Arial"/>
          <w:bCs/>
        </w:rPr>
        <w:t xml:space="preserve"> family member. </w:t>
      </w:r>
    </w:p>
    <w:p w14:paraId="26DC778C" w14:textId="4A4C2835" w:rsidR="00E90FF1" w:rsidRPr="00915A8E" w:rsidRDefault="009F1A27" w:rsidP="00E90FF1">
      <w:pPr>
        <w:spacing w:after="200" w:line="276" w:lineRule="auto"/>
        <w:rPr>
          <w:rFonts w:ascii="Arial" w:eastAsiaTheme="majorEastAsia" w:hAnsi="Arial" w:cs="Arial"/>
          <w:bCs/>
          <w:color w:val="156082" w:themeColor="accent1"/>
          <w:szCs w:val="26"/>
        </w:rPr>
      </w:pPr>
      <w:r w:rsidRPr="009F1A27">
        <w:rPr>
          <w:rFonts w:ascii="Arial" w:hAnsi="Arial" w:cs="Arial"/>
          <w:bCs/>
        </w:rPr>
        <w:t xml:space="preserve">Using open questions and a visual Wheel of Life tool, the practitioner helped the author explore personal circumstances and support structures. The author thought this through in a structured way and identified that there was an established family support network and decided to pursue a police career. This case is an example of how effective listening and questioning can encourage client autonomy and confidence, without practitioner instruction.  </w:t>
      </w:r>
      <w:r w:rsidR="00E90FF1" w:rsidRPr="00915A8E">
        <w:rPr>
          <w:rFonts w:ascii="Arial" w:hAnsi="Arial" w:cs="Arial"/>
          <w:b/>
        </w:rPr>
        <w:br w:type="page"/>
      </w:r>
    </w:p>
    <w:p w14:paraId="72E2FD90" w14:textId="34ED6BF7" w:rsidR="00E90FF1" w:rsidRPr="00915A8E" w:rsidRDefault="00E90FF1" w:rsidP="00E90FF1">
      <w:pPr>
        <w:pStyle w:val="Heading2"/>
        <w:rPr>
          <w:rFonts w:ascii="Arial" w:hAnsi="Arial" w:cs="Arial"/>
          <w:b/>
        </w:rPr>
      </w:pPr>
      <w:bookmarkStart w:id="10" w:name="_Toc235837169"/>
      <w:r w:rsidRPr="00915A8E">
        <w:rPr>
          <w:rFonts w:ascii="Arial" w:hAnsi="Arial" w:cs="Arial"/>
        </w:rPr>
        <w:lastRenderedPageBreak/>
        <w:t>3.3 Application of frameworks and theoretical knowledge</w:t>
      </w:r>
      <w:bookmarkEnd w:id="10"/>
    </w:p>
    <w:p w14:paraId="09267700" w14:textId="77777777" w:rsidR="00E90FF1" w:rsidRPr="00915A8E" w:rsidRDefault="00E90FF1" w:rsidP="00E90FF1">
      <w:pPr>
        <w:rPr>
          <w:rFonts w:ascii="Arial" w:hAnsi="Arial" w:cs="Arial"/>
          <w:bCs/>
        </w:rPr>
      </w:pPr>
    </w:p>
    <w:p w14:paraId="23AFEDE1" w14:textId="77777777" w:rsidR="00E90FF1" w:rsidRPr="00915A8E" w:rsidRDefault="00E90FF1" w:rsidP="00E90FF1">
      <w:pPr>
        <w:jc w:val="both"/>
        <w:rPr>
          <w:rFonts w:ascii="Arial" w:hAnsi="Arial" w:cs="Arial"/>
          <w:bCs/>
        </w:rPr>
      </w:pPr>
      <w:r w:rsidRPr="00915A8E">
        <w:rPr>
          <w:rFonts w:ascii="Arial" w:hAnsi="Arial" w:cs="Arial"/>
          <w:bCs/>
        </w:rPr>
        <w:t xml:space="preserve">Workplace coaching requires the coach to be well versed in adult learning theory, psychological change and cognitive frameworks, to ensure that coaching conversations are structured rather than informal chats. For example, knowledge of Mezirow’s (1997) Transformative Learning Theory helps coaches support clients through disorienting dilemmas during times of significant organisational change. This is supported by qualitative research in public-sector executive contexts by </w:t>
      </w:r>
      <w:proofErr w:type="spellStart"/>
      <w:r w:rsidRPr="00915A8E">
        <w:rPr>
          <w:rFonts w:ascii="Arial" w:hAnsi="Arial" w:cs="Arial"/>
          <w:bCs/>
        </w:rPr>
        <w:t>Mbokota</w:t>
      </w:r>
      <w:proofErr w:type="spellEnd"/>
      <w:r w:rsidRPr="00915A8E">
        <w:rPr>
          <w:rFonts w:ascii="Arial" w:hAnsi="Arial" w:cs="Arial"/>
          <w:bCs/>
        </w:rPr>
        <w:t xml:space="preserve"> and Myres (2026) who suggest that coaches need </w:t>
      </w:r>
      <w:proofErr w:type="gramStart"/>
      <w:r w:rsidRPr="00915A8E">
        <w:rPr>
          <w:rFonts w:ascii="Arial" w:hAnsi="Arial" w:cs="Arial"/>
          <w:bCs/>
        </w:rPr>
        <w:t>particular competencies</w:t>
      </w:r>
      <w:proofErr w:type="gramEnd"/>
      <w:r w:rsidRPr="00915A8E">
        <w:rPr>
          <w:rFonts w:ascii="Arial" w:hAnsi="Arial" w:cs="Arial"/>
          <w:bCs/>
        </w:rPr>
        <w:t xml:space="preserve"> to enable transformative learning and assist clients to reframe deeply held assumptions. Coaches need to understand adult learning cycles (Kolb, 1984) and cognitive behavioural principles </w:t>
      </w:r>
      <w:proofErr w:type="gramStart"/>
      <w:r w:rsidRPr="00915A8E">
        <w:rPr>
          <w:rFonts w:ascii="Arial" w:hAnsi="Arial" w:cs="Arial"/>
          <w:bCs/>
        </w:rPr>
        <w:t>in order to</w:t>
      </w:r>
      <w:proofErr w:type="gramEnd"/>
      <w:r w:rsidRPr="00915A8E">
        <w:rPr>
          <w:rFonts w:ascii="Arial" w:hAnsi="Arial" w:cs="Arial"/>
          <w:bCs/>
        </w:rPr>
        <w:t xml:space="preserve"> identify how negative self-talk and underlying assumptions can inhibit performance and progress towards goals (Megginson &amp; Clutterbuck, 2009).</w:t>
      </w:r>
    </w:p>
    <w:p w14:paraId="2F459107" w14:textId="77777777" w:rsidR="00E90FF1" w:rsidRPr="00915A8E" w:rsidRDefault="00E90FF1" w:rsidP="00E90FF1">
      <w:pPr>
        <w:rPr>
          <w:rFonts w:ascii="Arial" w:hAnsi="Arial" w:cs="Arial"/>
          <w:bCs/>
        </w:rPr>
      </w:pPr>
    </w:p>
    <w:p w14:paraId="1AD98D8A" w14:textId="77777777" w:rsidR="00E90FF1" w:rsidRPr="00915A8E" w:rsidRDefault="00E90FF1" w:rsidP="00E90FF1">
      <w:pPr>
        <w:jc w:val="both"/>
        <w:rPr>
          <w:rFonts w:ascii="Arial" w:hAnsi="Arial" w:cs="Arial"/>
          <w:bCs/>
        </w:rPr>
      </w:pPr>
      <w:r w:rsidRPr="00915A8E">
        <w:rPr>
          <w:rFonts w:ascii="Arial" w:hAnsi="Arial" w:cs="Arial"/>
          <w:bCs/>
        </w:rPr>
        <w:t xml:space="preserve">Meanwhile the critical literature cautions against a rigid, formulaic deployment of theoretical models. Garvey et al. (2017) state that strict </w:t>
      </w:r>
      <w:proofErr w:type="gramStart"/>
      <w:r w:rsidRPr="00915A8E">
        <w:rPr>
          <w:rFonts w:ascii="Arial" w:hAnsi="Arial" w:cs="Arial"/>
          <w:bCs/>
        </w:rPr>
        <w:t>check-lists</w:t>
      </w:r>
      <w:proofErr w:type="gramEnd"/>
      <w:r w:rsidRPr="00915A8E">
        <w:rPr>
          <w:rFonts w:ascii="Arial" w:hAnsi="Arial" w:cs="Arial"/>
          <w:bCs/>
        </w:rPr>
        <w:t xml:space="preserve"> of psychological tools can hamper the natural flow of conversation and reduce warmth in the relationship. When a coach is too fixated on perfecting the tool, they may overlook the client's needs in the moment (Garvey et al., 2017). Effective workplace coaching therefore requires managed eclecticism and reflective practice (Schön, 1983) where the coach employs theory flexibly adapting frameworks to fit the </w:t>
      </w:r>
      <w:proofErr w:type="spellStart"/>
      <w:r w:rsidRPr="00915A8E">
        <w:rPr>
          <w:rFonts w:ascii="Arial" w:hAnsi="Arial" w:cs="Arial"/>
          <w:bCs/>
        </w:rPr>
        <w:t>coachee’s</w:t>
      </w:r>
      <w:proofErr w:type="spellEnd"/>
      <w:r w:rsidRPr="00915A8E">
        <w:rPr>
          <w:rFonts w:ascii="Arial" w:hAnsi="Arial" w:cs="Arial"/>
          <w:bCs/>
        </w:rPr>
        <w:t xml:space="preserve"> </w:t>
      </w:r>
      <w:proofErr w:type="gramStart"/>
      <w:r w:rsidRPr="00915A8E">
        <w:rPr>
          <w:rFonts w:ascii="Arial" w:hAnsi="Arial" w:cs="Arial"/>
          <w:bCs/>
        </w:rPr>
        <w:t>particular situation</w:t>
      </w:r>
      <w:proofErr w:type="gramEnd"/>
      <w:r w:rsidRPr="00915A8E">
        <w:rPr>
          <w:rFonts w:ascii="Arial" w:hAnsi="Arial" w:cs="Arial"/>
          <w:bCs/>
        </w:rPr>
        <w:t xml:space="preserve"> whilst keeping the human relationship central.</w:t>
      </w:r>
    </w:p>
    <w:p w14:paraId="2717B25D" w14:textId="77777777" w:rsidR="00E90FF1" w:rsidRPr="00915A8E" w:rsidRDefault="00E90FF1" w:rsidP="00E90FF1">
      <w:pPr>
        <w:rPr>
          <w:rFonts w:ascii="Arial" w:hAnsi="Arial" w:cs="Arial"/>
          <w:bCs/>
        </w:rPr>
      </w:pPr>
    </w:p>
    <w:p w14:paraId="53225B59" w14:textId="77777777" w:rsidR="00E90FF1" w:rsidRPr="00915A8E" w:rsidRDefault="00E90FF1" w:rsidP="00E90FF1">
      <w:pPr>
        <w:spacing w:after="200" w:line="276" w:lineRule="auto"/>
        <w:rPr>
          <w:rFonts w:ascii="Arial" w:eastAsiaTheme="majorEastAsia" w:hAnsi="Arial" w:cs="Arial"/>
          <w:bCs/>
          <w:color w:val="156082" w:themeColor="accent1"/>
          <w:szCs w:val="26"/>
        </w:rPr>
      </w:pPr>
      <w:r w:rsidRPr="00915A8E">
        <w:rPr>
          <w:rFonts w:ascii="Arial" w:hAnsi="Arial" w:cs="Arial"/>
          <w:b/>
        </w:rPr>
        <w:br w:type="page"/>
      </w:r>
    </w:p>
    <w:p w14:paraId="68173CB2" w14:textId="77777777" w:rsidR="00E90FF1" w:rsidRPr="00915A8E" w:rsidRDefault="00E90FF1" w:rsidP="00E90FF1">
      <w:pPr>
        <w:pStyle w:val="Heading2"/>
        <w:rPr>
          <w:rFonts w:ascii="Arial" w:hAnsi="Arial" w:cs="Arial"/>
          <w:b/>
        </w:rPr>
      </w:pPr>
      <w:bookmarkStart w:id="11" w:name="_Toc235837170"/>
      <w:r w:rsidRPr="00915A8E">
        <w:rPr>
          <w:rFonts w:ascii="Arial" w:hAnsi="Arial" w:cs="Arial"/>
        </w:rPr>
        <w:lastRenderedPageBreak/>
        <w:t xml:space="preserve">3.4 Ethical </w:t>
      </w:r>
      <w:proofErr w:type="spellStart"/>
      <w:r w:rsidRPr="00915A8E">
        <w:rPr>
          <w:rFonts w:ascii="Arial" w:hAnsi="Arial" w:cs="Arial"/>
        </w:rPr>
        <w:t>behaviors</w:t>
      </w:r>
      <w:proofErr w:type="spellEnd"/>
      <w:r w:rsidRPr="00915A8E">
        <w:rPr>
          <w:rFonts w:ascii="Arial" w:hAnsi="Arial" w:cs="Arial"/>
        </w:rPr>
        <w:t>, boundaries and dependency management</w:t>
      </w:r>
      <w:bookmarkEnd w:id="11"/>
    </w:p>
    <w:p w14:paraId="5E8070EC" w14:textId="77777777" w:rsidR="00E90FF1" w:rsidRPr="00915A8E" w:rsidRDefault="00E90FF1" w:rsidP="00E90FF1">
      <w:pPr>
        <w:rPr>
          <w:rFonts w:ascii="Arial" w:hAnsi="Arial" w:cs="Arial"/>
          <w:bCs/>
        </w:rPr>
      </w:pPr>
    </w:p>
    <w:p w14:paraId="0078FC08" w14:textId="77777777" w:rsidR="00E90FF1" w:rsidRPr="00915A8E" w:rsidRDefault="00E90FF1" w:rsidP="00E90FF1">
      <w:pPr>
        <w:jc w:val="both"/>
        <w:rPr>
          <w:rFonts w:ascii="Arial" w:hAnsi="Arial" w:cs="Arial"/>
          <w:bCs/>
        </w:rPr>
      </w:pPr>
      <w:r w:rsidRPr="00915A8E">
        <w:rPr>
          <w:rFonts w:ascii="Arial" w:hAnsi="Arial" w:cs="Arial"/>
          <w:bCs/>
        </w:rPr>
        <w:t xml:space="preserve">Finally, coaching competence involves the maintenance of high ethical standards, clear boundaries of operation and management of the ending of relationships. The International Coaching Federation (ICF, 2020) identify confidentiality, role clarity and professional boundaries as core ethical requirements. Karpman’s (1968) Drama Triangle describes a common trap in workplace coaching in which the over-helpful coach falls into the role of a Rescuer. The coach’s problem-solving or taking over responsibility may inadvertently create dependency and push the </w:t>
      </w:r>
      <w:proofErr w:type="spellStart"/>
      <w:r w:rsidRPr="00915A8E">
        <w:rPr>
          <w:rFonts w:ascii="Arial" w:hAnsi="Arial" w:cs="Arial"/>
          <w:bCs/>
        </w:rPr>
        <w:t>coachee</w:t>
      </w:r>
      <w:proofErr w:type="spellEnd"/>
      <w:r w:rsidRPr="00915A8E">
        <w:rPr>
          <w:rFonts w:ascii="Arial" w:hAnsi="Arial" w:cs="Arial"/>
          <w:bCs/>
        </w:rPr>
        <w:t xml:space="preserve"> into a passive Victim role (Karpman, 1968). To avoid this, the coach needs to set clear boundaries that keep action planning and problem solving the </w:t>
      </w:r>
      <w:proofErr w:type="spellStart"/>
      <w:r w:rsidRPr="00915A8E">
        <w:rPr>
          <w:rFonts w:ascii="Arial" w:hAnsi="Arial" w:cs="Arial"/>
          <w:bCs/>
        </w:rPr>
        <w:t>coachee’s</w:t>
      </w:r>
      <w:proofErr w:type="spellEnd"/>
      <w:r w:rsidRPr="00915A8E">
        <w:rPr>
          <w:rFonts w:ascii="Arial" w:hAnsi="Arial" w:cs="Arial"/>
          <w:bCs/>
        </w:rPr>
        <w:t xml:space="preserve"> responsibility (Downey, 2002; Whitmore, 2017).</w:t>
      </w:r>
    </w:p>
    <w:p w14:paraId="3C6980C5" w14:textId="77777777" w:rsidR="00E90FF1" w:rsidRPr="00915A8E" w:rsidRDefault="00E90FF1" w:rsidP="00E90FF1">
      <w:pPr>
        <w:rPr>
          <w:rFonts w:ascii="Arial" w:hAnsi="Arial" w:cs="Arial"/>
          <w:bCs/>
        </w:rPr>
      </w:pPr>
    </w:p>
    <w:p w14:paraId="367DD272" w14:textId="77777777" w:rsidR="00E90FF1" w:rsidRPr="00915A8E" w:rsidRDefault="00E90FF1" w:rsidP="00E90FF1">
      <w:pPr>
        <w:jc w:val="both"/>
        <w:rPr>
          <w:rFonts w:ascii="Arial" w:hAnsi="Arial" w:cs="Arial"/>
          <w:bCs/>
        </w:rPr>
      </w:pPr>
      <w:r w:rsidRPr="00915A8E">
        <w:rPr>
          <w:rFonts w:ascii="Arial" w:hAnsi="Arial" w:cs="Arial"/>
          <w:bCs/>
        </w:rPr>
        <w:t>Being ethical also means knowing when you are beyond your professional competence and referring clients on when necessary (</w:t>
      </w:r>
      <w:proofErr w:type="spellStart"/>
      <w:r w:rsidRPr="00915A8E">
        <w:rPr>
          <w:rFonts w:ascii="Arial" w:hAnsi="Arial" w:cs="Arial"/>
          <w:bCs/>
        </w:rPr>
        <w:t>Bluckert</w:t>
      </w:r>
      <w:proofErr w:type="spellEnd"/>
      <w:r w:rsidRPr="00915A8E">
        <w:rPr>
          <w:rFonts w:ascii="Arial" w:hAnsi="Arial" w:cs="Arial"/>
          <w:bCs/>
        </w:rPr>
        <w:t>, 2005b). Where a coaching conversation delves into serious psychological distress, mental health issues or past trauma the coach needs to step back from coaching and refer the individual to qualified healthcare professionals or employee support services (</w:t>
      </w:r>
      <w:proofErr w:type="spellStart"/>
      <w:r w:rsidRPr="00915A8E">
        <w:rPr>
          <w:rFonts w:ascii="Arial" w:hAnsi="Arial" w:cs="Arial"/>
          <w:bCs/>
        </w:rPr>
        <w:t>Bluckert</w:t>
      </w:r>
      <w:proofErr w:type="spellEnd"/>
      <w:r w:rsidRPr="00915A8E">
        <w:rPr>
          <w:rFonts w:ascii="Arial" w:hAnsi="Arial" w:cs="Arial"/>
          <w:bCs/>
        </w:rPr>
        <w:t xml:space="preserve">, 2005b). Finally, coaching relationships should be terminated on a good footing through a structured closure that helps the </w:t>
      </w:r>
      <w:proofErr w:type="spellStart"/>
      <w:r w:rsidRPr="00915A8E">
        <w:rPr>
          <w:rFonts w:ascii="Arial" w:hAnsi="Arial" w:cs="Arial"/>
          <w:bCs/>
        </w:rPr>
        <w:t>coachee</w:t>
      </w:r>
      <w:proofErr w:type="spellEnd"/>
      <w:r w:rsidRPr="00915A8E">
        <w:rPr>
          <w:rFonts w:ascii="Arial" w:hAnsi="Arial" w:cs="Arial"/>
          <w:bCs/>
        </w:rPr>
        <w:t xml:space="preserve"> develop internal self-regulation and sustain independent performance once support ends (Whitmore, 2017). The coach sets clear time limits on the intervention and focuses on building capability not dependence to ensure the intervention achieves sustainable results in the workplace.</w:t>
      </w:r>
    </w:p>
    <w:p w14:paraId="13FF2C4B" w14:textId="77777777" w:rsidR="00E90FF1" w:rsidRPr="00915A8E" w:rsidRDefault="00E90FF1" w:rsidP="00E90FF1">
      <w:pPr>
        <w:rPr>
          <w:rFonts w:ascii="Arial" w:hAnsi="Arial" w:cs="Arial"/>
          <w:bCs/>
        </w:rPr>
      </w:pPr>
    </w:p>
    <w:p w14:paraId="3F52FAA9" w14:textId="77777777" w:rsidR="00E90FF1" w:rsidRPr="00915A8E" w:rsidRDefault="00E90FF1" w:rsidP="00E90FF1">
      <w:pPr>
        <w:rPr>
          <w:rFonts w:ascii="Arial" w:hAnsi="Arial" w:cs="Arial"/>
          <w:bCs/>
        </w:rPr>
      </w:pPr>
    </w:p>
    <w:p w14:paraId="6D66EED2" w14:textId="77777777" w:rsidR="00E90FF1" w:rsidRPr="00915A8E" w:rsidRDefault="00E90FF1" w:rsidP="00E90FF1">
      <w:pPr>
        <w:rPr>
          <w:rFonts w:ascii="Arial" w:hAnsi="Arial" w:cs="Arial"/>
          <w:bCs/>
        </w:rPr>
      </w:pPr>
    </w:p>
    <w:p w14:paraId="20E4EECB" w14:textId="77777777" w:rsidR="00E90FF1" w:rsidRPr="00915A8E" w:rsidRDefault="00E90FF1" w:rsidP="00E90FF1">
      <w:pPr>
        <w:spacing w:after="200" w:line="276" w:lineRule="auto"/>
        <w:rPr>
          <w:rFonts w:ascii="Arial" w:eastAsiaTheme="majorEastAsia" w:hAnsi="Arial" w:cs="Arial"/>
          <w:bCs/>
          <w:color w:val="0F4761" w:themeColor="accent1" w:themeShade="BF"/>
          <w:sz w:val="28"/>
          <w:szCs w:val="28"/>
        </w:rPr>
      </w:pPr>
      <w:r w:rsidRPr="00915A8E">
        <w:rPr>
          <w:rFonts w:ascii="Arial" w:hAnsi="Arial" w:cs="Arial"/>
          <w:b/>
        </w:rPr>
        <w:br w:type="page"/>
      </w:r>
    </w:p>
    <w:p w14:paraId="09A9A902" w14:textId="5BD53D40" w:rsidR="00E90FF1" w:rsidRPr="00915A8E" w:rsidRDefault="00E90FF1" w:rsidP="00E90FF1">
      <w:pPr>
        <w:pStyle w:val="Heading1"/>
        <w:rPr>
          <w:rFonts w:ascii="Arial" w:hAnsi="Arial" w:cs="Arial"/>
          <w:b/>
        </w:rPr>
      </w:pPr>
      <w:bookmarkStart w:id="12" w:name="_Toc235837171"/>
      <w:r w:rsidRPr="00915A8E">
        <w:rPr>
          <w:rFonts w:ascii="Arial" w:hAnsi="Arial" w:cs="Arial"/>
        </w:rPr>
        <w:lastRenderedPageBreak/>
        <w:t>4.0 A Critical Evaluation of the formal coaching models and processes</w:t>
      </w:r>
      <w:bookmarkEnd w:id="12"/>
    </w:p>
    <w:p w14:paraId="4CC55B3D" w14:textId="04E40463" w:rsidR="00E90FF1" w:rsidRPr="00915A8E" w:rsidRDefault="00E90FF1" w:rsidP="00E90FF1">
      <w:pPr>
        <w:pStyle w:val="Heading2"/>
        <w:rPr>
          <w:rFonts w:ascii="Arial" w:hAnsi="Arial" w:cs="Arial"/>
        </w:rPr>
      </w:pPr>
      <w:bookmarkStart w:id="13" w:name="_Toc235837172"/>
      <w:r w:rsidRPr="00915A8E">
        <w:rPr>
          <w:rFonts w:ascii="Arial" w:hAnsi="Arial" w:cs="Arial"/>
        </w:rPr>
        <w:t>4.1 Critical assessment of the GROW model</w:t>
      </w:r>
      <w:bookmarkEnd w:id="13"/>
    </w:p>
    <w:p w14:paraId="4A49FEC3" w14:textId="194BA0B2" w:rsidR="00E90FF1" w:rsidRPr="00915A8E" w:rsidRDefault="00B27D34" w:rsidP="00E90FF1">
      <w:pPr>
        <w:jc w:val="both"/>
        <w:rPr>
          <w:rFonts w:ascii="Arial" w:hAnsi="Arial" w:cs="Arial"/>
          <w:bCs/>
        </w:rPr>
      </w:pPr>
      <w:r w:rsidRPr="00915A8E">
        <w:rPr>
          <w:rFonts w:ascii="Arial" w:hAnsi="Arial" w:cs="Arial"/>
          <w:bCs/>
        </w:rPr>
        <w:t>Within the workplace context, the use of</w:t>
      </w:r>
      <w:r w:rsidR="00E90FF1" w:rsidRPr="00915A8E">
        <w:rPr>
          <w:rFonts w:ascii="Arial" w:hAnsi="Arial" w:cs="Arial"/>
          <w:bCs/>
        </w:rPr>
        <w:t xml:space="preserve"> formal coaching typically relies on a session-level framework to structure the conversation. The most widely recognised micro-process model for workplace coaching is Sir John Whitmore’s (2017) GROW model (Goal, Reality, Options, Will). GROW is based on the Inner Game principles of Timothy Gallwey (Gallwey, 2000; Whitmore, 2017) and offers a simple four-stage structure for coaching sessions. The conversation starts by agreeing a goal for the session (Goal), then explores the </w:t>
      </w:r>
      <w:proofErr w:type="spellStart"/>
      <w:r w:rsidR="00E90FF1" w:rsidRPr="00915A8E">
        <w:rPr>
          <w:rFonts w:ascii="Arial" w:hAnsi="Arial" w:cs="Arial"/>
          <w:bCs/>
        </w:rPr>
        <w:t>coachee’s</w:t>
      </w:r>
      <w:proofErr w:type="spellEnd"/>
      <w:r w:rsidR="00E90FF1" w:rsidRPr="00915A8E">
        <w:rPr>
          <w:rFonts w:ascii="Arial" w:hAnsi="Arial" w:cs="Arial"/>
          <w:bCs/>
        </w:rPr>
        <w:t xml:space="preserve"> current situation, and any obstacles they have (Reality). It then moves to generating possible options without immediate judgement (Options) and ends by agreeing specific action steps and commitment (Will) (Whitmore, 2017). Empirical research in executive and managerial settings has demonstrated that goal-</w:t>
      </w:r>
      <w:proofErr w:type="spellStart"/>
      <w:r w:rsidR="00E90FF1" w:rsidRPr="00915A8E">
        <w:rPr>
          <w:rFonts w:ascii="Arial" w:hAnsi="Arial" w:cs="Arial"/>
          <w:bCs/>
        </w:rPr>
        <w:t>centered</w:t>
      </w:r>
      <w:proofErr w:type="spellEnd"/>
      <w:r w:rsidR="00E90FF1" w:rsidRPr="00915A8E">
        <w:rPr>
          <w:rFonts w:ascii="Arial" w:hAnsi="Arial" w:cs="Arial"/>
          <w:bCs/>
        </w:rPr>
        <w:t xml:space="preserve"> coaching based on the GROW model can enhance self-efficacy, workplace resilience and goal achievement (Grant et al., 2009; Moen &amp; Federici, 2012). The major benefit of GROW is the clarity of logic and the forward motion it offers, allowing </w:t>
      </w:r>
      <w:proofErr w:type="spellStart"/>
      <w:r w:rsidR="00E90FF1" w:rsidRPr="00915A8E">
        <w:rPr>
          <w:rFonts w:ascii="Arial" w:hAnsi="Arial" w:cs="Arial"/>
          <w:bCs/>
        </w:rPr>
        <w:t>coachees</w:t>
      </w:r>
      <w:proofErr w:type="spellEnd"/>
      <w:r w:rsidR="00E90FF1" w:rsidRPr="00915A8E">
        <w:rPr>
          <w:rFonts w:ascii="Arial" w:hAnsi="Arial" w:cs="Arial"/>
          <w:bCs/>
        </w:rPr>
        <w:t xml:space="preserve"> to convert unstructured thoughts into practical work goals (Whitmore, 2017).</w:t>
      </w:r>
    </w:p>
    <w:p w14:paraId="13BF633F" w14:textId="77777777" w:rsidR="00E90FF1" w:rsidRPr="00915A8E" w:rsidRDefault="00E90FF1" w:rsidP="00E90FF1">
      <w:pPr>
        <w:rPr>
          <w:rFonts w:ascii="Arial" w:hAnsi="Arial" w:cs="Arial"/>
          <w:bCs/>
        </w:rPr>
      </w:pPr>
    </w:p>
    <w:p w14:paraId="304F2AA6" w14:textId="77777777" w:rsidR="00E90FF1" w:rsidRPr="00915A8E" w:rsidRDefault="00E90FF1" w:rsidP="00E90FF1">
      <w:pPr>
        <w:jc w:val="both"/>
        <w:rPr>
          <w:rFonts w:ascii="Arial" w:hAnsi="Arial" w:cs="Arial"/>
          <w:bCs/>
        </w:rPr>
      </w:pPr>
      <w:r w:rsidRPr="00915A8E">
        <w:rPr>
          <w:rFonts w:ascii="Arial" w:hAnsi="Arial" w:cs="Arial"/>
          <w:bCs/>
        </w:rPr>
        <w:t xml:space="preserve">But a critical analysis shows significant limitations if GROW is followed too rigidly. A major criticism is that GROW assumes a neat step-by-step progress which rarely matches the messy nature of human behavioural change (Megginson &amp; Clutterbuck, 2009). </w:t>
      </w:r>
      <w:proofErr w:type="gramStart"/>
      <w:r w:rsidRPr="00915A8E">
        <w:rPr>
          <w:rFonts w:ascii="Arial" w:hAnsi="Arial" w:cs="Arial"/>
          <w:bCs/>
        </w:rPr>
        <w:t>In reality, asking</w:t>
      </w:r>
      <w:proofErr w:type="gramEnd"/>
      <w:r w:rsidRPr="00915A8E">
        <w:rPr>
          <w:rFonts w:ascii="Arial" w:hAnsi="Arial" w:cs="Arial"/>
          <w:bCs/>
        </w:rPr>
        <w:t xml:space="preserve"> a </w:t>
      </w:r>
      <w:proofErr w:type="spellStart"/>
      <w:r w:rsidRPr="00915A8E">
        <w:rPr>
          <w:rFonts w:ascii="Arial" w:hAnsi="Arial" w:cs="Arial"/>
          <w:bCs/>
        </w:rPr>
        <w:t>coachee</w:t>
      </w:r>
      <w:proofErr w:type="spellEnd"/>
      <w:r w:rsidRPr="00915A8E">
        <w:rPr>
          <w:rFonts w:ascii="Arial" w:hAnsi="Arial" w:cs="Arial"/>
          <w:bCs/>
        </w:rPr>
        <w:t xml:space="preserve"> to set a firm goal (G) right at the start of a session can be unhelpful as people often don’t really know what their real challenge is until they’ve explored their current reality (R) (Downey, 2002; Megginson &amp; Clutterbuck, 2009). Moreover, early goal setting can result in organisation-driven goals being imposed on the </w:t>
      </w:r>
      <w:proofErr w:type="spellStart"/>
      <w:r w:rsidRPr="00915A8E">
        <w:rPr>
          <w:rFonts w:ascii="Arial" w:hAnsi="Arial" w:cs="Arial"/>
          <w:bCs/>
        </w:rPr>
        <w:t>coachee</w:t>
      </w:r>
      <w:proofErr w:type="spellEnd"/>
      <w:r w:rsidRPr="00915A8E">
        <w:rPr>
          <w:rFonts w:ascii="Arial" w:hAnsi="Arial" w:cs="Arial"/>
          <w:bCs/>
        </w:rPr>
        <w:t xml:space="preserve">, which can reduce their personal ownership and motivation (Whitmore, 2017). When used by inexperienced coaches, GROW can easily look like a checklist-driven questionnaire rather than a supportive conversation (Garvey et al., 2017). </w:t>
      </w:r>
      <w:proofErr w:type="gramStart"/>
      <w:r w:rsidRPr="00915A8E">
        <w:rPr>
          <w:rFonts w:ascii="Arial" w:hAnsi="Arial" w:cs="Arial"/>
          <w:bCs/>
        </w:rPr>
        <w:t>Thus</w:t>
      </w:r>
      <w:proofErr w:type="gramEnd"/>
      <w:r w:rsidRPr="00915A8E">
        <w:rPr>
          <w:rFonts w:ascii="Arial" w:hAnsi="Arial" w:cs="Arial"/>
          <w:bCs/>
        </w:rPr>
        <w:t xml:space="preserve"> GROW is best understood as a flexible cycle rather than a prescribed formula, with the coach moving between stages as new insights emerge (Downey, 2002; Whitmore, 2017).</w:t>
      </w:r>
    </w:p>
    <w:p w14:paraId="6823F613" w14:textId="77777777" w:rsidR="00E90FF1" w:rsidRPr="00915A8E" w:rsidRDefault="00E90FF1" w:rsidP="00E90FF1">
      <w:pPr>
        <w:rPr>
          <w:rFonts w:ascii="Arial" w:hAnsi="Arial" w:cs="Arial"/>
          <w:bCs/>
        </w:rPr>
      </w:pPr>
    </w:p>
    <w:p w14:paraId="46A41397" w14:textId="77777777" w:rsidR="00E90FF1" w:rsidRPr="00915A8E" w:rsidRDefault="00E90FF1" w:rsidP="00E90FF1">
      <w:pPr>
        <w:spacing w:after="200" w:line="276" w:lineRule="auto"/>
        <w:rPr>
          <w:rFonts w:ascii="Arial" w:eastAsiaTheme="majorEastAsia" w:hAnsi="Arial" w:cs="Arial"/>
          <w:bCs/>
          <w:color w:val="156082" w:themeColor="accent1"/>
          <w:szCs w:val="26"/>
        </w:rPr>
      </w:pPr>
      <w:r w:rsidRPr="00915A8E">
        <w:rPr>
          <w:rFonts w:ascii="Arial" w:hAnsi="Arial" w:cs="Arial"/>
          <w:b/>
        </w:rPr>
        <w:br w:type="page"/>
      </w:r>
    </w:p>
    <w:p w14:paraId="1F9055C8" w14:textId="77777777" w:rsidR="00E90FF1" w:rsidRPr="00915A8E" w:rsidRDefault="00E90FF1" w:rsidP="00E90FF1">
      <w:pPr>
        <w:pStyle w:val="Heading2"/>
        <w:rPr>
          <w:rFonts w:ascii="Arial" w:hAnsi="Arial" w:cs="Arial"/>
          <w:b/>
        </w:rPr>
      </w:pPr>
      <w:bookmarkStart w:id="14" w:name="_Toc235837173"/>
      <w:r w:rsidRPr="00915A8E">
        <w:rPr>
          <w:rFonts w:ascii="Arial" w:hAnsi="Arial" w:cs="Arial"/>
        </w:rPr>
        <w:lastRenderedPageBreak/>
        <w:t>4.2 Comparative analysis of GROW with CLEAR and ACHIEVE</w:t>
      </w:r>
      <w:bookmarkEnd w:id="14"/>
    </w:p>
    <w:p w14:paraId="7F37AFE5" w14:textId="77777777" w:rsidR="00E90FF1" w:rsidRPr="00915A8E" w:rsidRDefault="00E90FF1" w:rsidP="00E90FF1">
      <w:pPr>
        <w:rPr>
          <w:rFonts w:ascii="Arial" w:hAnsi="Arial" w:cs="Arial"/>
          <w:bCs/>
        </w:rPr>
      </w:pPr>
    </w:p>
    <w:p w14:paraId="1663E705" w14:textId="77777777" w:rsidR="00E90FF1" w:rsidRPr="00915A8E" w:rsidRDefault="00E90FF1" w:rsidP="00E90FF1">
      <w:pPr>
        <w:jc w:val="both"/>
        <w:rPr>
          <w:rFonts w:ascii="Arial" w:hAnsi="Arial" w:cs="Arial"/>
          <w:bCs/>
        </w:rPr>
      </w:pPr>
      <w:r w:rsidRPr="00915A8E">
        <w:rPr>
          <w:rFonts w:ascii="Arial" w:hAnsi="Arial" w:cs="Arial"/>
          <w:bCs/>
        </w:rPr>
        <w:t xml:space="preserve">A more complete assessment of the GROW model is made by comparing it with alternative session frameworks, such as Peter Hawkins’ CLEAR model and </w:t>
      </w:r>
      <w:proofErr w:type="spellStart"/>
      <w:r w:rsidRPr="00915A8E">
        <w:rPr>
          <w:rFonts w:ascii="Arial" w:hAnsi="Arial" w:cs="Arial"/>
          <w:bCs/>
        </w:rPr>
        <w:t>Dembkowski</w:t>
      </w:r>
      <w:proofErr w:type="spellEnd"/>
      <w:r w:rsidRPr="00915A8E">
        <w:rPr>
          <w:rFonts w:ascii="Arial" w:hAnsi="Arial" w:cs="Arial"/>
          <w:bCs/>
        </w:rPr>
        <w:t xml:space="preserve"> and Eldridge’s ACHIEVE model. Hawkins’ CLEAR model (Contracting, Listening, Exploring, Action, and Review) highlights the importance of contracting at the beginning of each session and reflective review at the end (Hawkins &amp; Smith, 2006). GROW rapidly moves to task-oriented goal setting. CLEAR ensures that coach and </w:t>
      </w:r>
      <w:proofErr w:type="spellStart"/>
      <w:r w:rsidRPr="00915A8E">
        <w:rPr>
          <w:rFonts w:ascii="Arial" w:hAnsi="Arial" w:cs="Arial"/>
          <w:bCs/>
        </w:rPr>
        <w:t>coachee</w:t>
      </w:r>
      <w:proofErr w:type="spellEnd"/>
      <w:r w:rsidRPr="00915A8E">
        <w:rPr>
          <w:rFonts w:ascii="Arial" w:hAnsi="Arial" w:cs="Arial"/>
          <w:bCs/>
        </w:rPr>
        <w:t xml:space="preserve"> agree on what is included and excluded before they explore solutions (Hawkins &amp; Smith, 2006). The last Review phase in CLEAR also promotes the </w:t>
      </w:r>
      <w:proofErr w:type="spellStart"/>
      <w:r w:rsidRPr="00915A8E">
        <w:rPr>
          <w:rFonts w:ascii="Arial" w:hAnsi="Arial" w:cs="Arial"/>
          <w:bCs/>
        </w:rPr>
        <w:t>coachee</w:t>
      </w:r>
      <w:proofErr w:type="spellEnd"/>
      <w:r w:rsidRPr="00915A8E">
        <w:rPr>
          <w:rFonts w:ascii="Arial" w:hAnsi="Arial" w:cs="Arial"/>
          <w:bCs/>
        </w:rPr>
        <w:t xml:space="preserve"> to reflect on what they learned in the session, thereby establishing a systematic habit for reflection that GROW does not explicitly include (Hawkins &amp; Smith, 2006).</w:t>
      </w:r>
    </w:p>
    <w:p w14:paraId="11A263D7" w14:textId="77777777" w:rsidR="00E90FF1" w:rsidRPr="00915A8E" w:rsidRDefault="00E90FF1" w:rsidP="00E90FF1">
      <w:pPr>
        <w:rPr>
          <w:rFonts w:ascii="Arial" w:hAnsi="Arial" w:cs="Arial"/>
          <w:bCs/>
        </w:rPr>
      </w:pPr>
    </w:p>
    <w:p w14:paraId="1DDCEB5A" w14:textId="77777777" w:rsidR="00E90FF1" w:rsidRPr="00915A8E" w:rsidRDefault="00E90FF1" w:rsidP="00E90FF1">
      <w:pPr>
        <w:jc w:val="both"/>
        <w:rPr>
          <w:rFonts w:ascii="Arial" w:hAnsi="Arial" w:cs="Arial"/>
          <w:bCs/>
        </w:rPr>
      </w:pPr>
      <w:r w:rsidRPr="00915A8E">
        <w:rPr>
          <w:rFonts w:ascii="Arial" w:hAnsi="Arial" w:cs="Arial"/>
          <w:bCs/>
        </w:rPr>
        <w:t xml:space="preserve">On the other hand, the ACHIEVE model developed by </w:t>
      </w:r>
      <w:proofErr w:type="spellStart"/>
      <w:r w:rsidRPr="00915A8E">
        <w:rPr>
          <w:rFonts w:ascii="Arial" w:hAnsi="Arial" w:cs="Arial"/>
          <w:bCs/>
        </w:rPr>
        <w:t>Dembkowski</w:t>
      </w:r>
      <w:proofErr w:type="spellEnd"/>
      <w:r w:rsidRPr="00915A8E">
        <w:rPr>
          <w:rFonts w:ascii="Arial" w:hAnsi="Arial" w:cs="Arial"/>
          <w:bCs/>
        </w:rPr>
        <w:t xml:space="preserve"> and Eldridge has a seven-stage structure. They are Assess current situation, Creative brainstorming, Hone goals, Initiate action options, </w:t>
      </w:r>
      <w:proofErr w:type="gramStart"/>
      <w:r w:rsidRPr="00915A8E">
        <w:rPr>
          <w:rFonts w:ascii="Arial" w:hAnsi="Arial" w:cs="Arial"/>
          <w:bCs/>
        </w:rPr>
        <w:t>Evaluate</w:t>
      </w:r>
      <w:proofErr w:type="gramEnd"/>
      <w:r w:rsidRPr="00915A8E">
        <w:rPr>
          <w:rFonts w:ascii="Arial" w:hAnsi="Arial" w:cs="Arial"/>
          <w:bCs/>
        </w:rPr>
        <w:t xml:space="preserve"> options, Validated action plan, and Encourage momentum (</w:t>
      </w:r>
      <w:proofErr w:type="spellStart"/>
      <w:r w:rsidRPr="00915A8E">
        <w:rPr>
          <w:rFonts w:ascii="Arial" w:hAnsi="Arial" w:cs="Arial"/>
          <w:bCs/>
        </w:rPr>
        <w:t>Dembkowski</w:t>
      </w:r>
      <w:proofErr w:type="spellEnd"/>
      <w:r w:rsidRPr="00915A8E">
        <w:rPr>
          <w:rFonts w:ascii="Arial" w:hAnsi="Arial" w:cs="Arial"/>
          <w:bCs/>
        </w:rPr>
        <w:t xml:space="preserve"> &amp; Eldridge, 2003; Megginson &amp; Clutterbuck, 2009). ACHIEVE also corrects a major flaw in GROW – it puts situation assessment before goal setting, which ensures that goals fit the </w:t>
      </w:r>
      <w:proofErr w:type="spellStart"/>
      <w:r w:rsidRPr="00915A8E">
        <w:rPr>
          <w:rFonts w:ascii="Arial" w:hAnsi="Arial" w:cs="Arial"/>
          <w:bCs/>
        </w:rPr>
        <w:t>coachee’s</w:t>
      </w:r>
      <w:proofErr w:type="spellEnd"/>
      <w:r w:rsidRPr="00915A8E">
        <w:rPr>
          <w:rFonts w:ascii="Arial" w:hAnsi="Arial" w:cs="Arial"/>
          <w:bCs/>
        </w:rPr>
        <w:t xml:space="preserve"> real situation (</w:t>
      </w:r>
      <w:proofErr w:type="spellStart"/>
      <w:r w:rsidRPr="00915A8E">
        <w:rPr>
          <w:rFonts w:ascii="Arial" w:hAnsi="Arial" w:cs="Arial"/>
          <w:bCs/>
        </w:rPr>
        <w:t>Dembkowski</w:t>
      </w:r>
      <w:proofErr w:type="spellEnd"/>
      <w:r w:rsidRPr="00915A8E">
        <w:rPr>
          <w:rFonts w:ascii="Arial" w:hAnsi="Arial" w:cs="Arial"/>
          <w:bCs/>
        </w:rPr>
        <w:t xml:space="preserve"> &amp; Eldridge, 2003). The final phase—Encourage Momentum—also explicitly highlights the development of long-term autonomy and the continuation of progress (</w:t>
      </w:r>
      <w:proofErr w:type="spellStart"/>
      <w:r w:rsidRPr="00915A8E">
        <w:rPr>
          <w:rFonts w:ascii="Arial" w:hAnsi="Arial" w:cs="Arial"/>
          <w:bCs/>
        </w:rPr>
        <w:t>Dembkowski</w:t>
      </w:r>
      <w:proofErr w:type="spellEnd"/>
      <w:r w:rsidRPr="00915A8E">
        <w:rPr>
          <w:rFonts w:ascii="Arial" w:hAnsi="Arial" w:cs="Arial"/>
          <w:bCs/>
        </w:rPr>
        <w:t xml:space="preserve"> &amp; Eldridge, 2003). However, the detailed structure has its disadvantages: seven stages can be over-complicated in short, day-to-day workplace conversations (Megginson &amp; Clutterbuck, 2009). There is a clear trade-off between simplicity of structure and thoroughness in comparing these models. Models like ACHIEVE are good starting points for newer coaches, but mature practice is based on managed eclecticism (Megginson &amp; Clutterbuck, 2009) – drawing flexibly on different frameworks, rather than following one acronym.</w:t>
      </w:r>
    </w:p>
    <w:p w14:paraId="3F3D90AC" w14:textId="77777777" w:rsidR="00E90FF1" w:rsidRPr="00915A8E" w:rsidRDefault="00E90FF1" w:rsidP="00E90FF1">
      <w:pPr>
        <w:rPr>
          <w:rFonts w:ascii="Arial" w:hAnsi="Arial" w:cs="Arial"/>
          <w:bCs/>
        </w:rPr>
      </w:pPr>
    </w:p>
    <w:p w14:paraId="37E3DA12" w14:textId="77777777" w:rsidR="00E90FF1" w:rsidRPr="00915A8E" w:rsidRDefault="00E90FF1" w:rsidP="00E90FF1">
      <w:pPr>
        <w:spacing w:after="200" w:line="276" w:lineRule="auto"/>
        <w:rPr>
          <w:rFonts w:ascii="Arial" w:eastAsiaTheme="majorEastAsia" w:hAnsi="Arial" w:cs="Arial"/>
          <w:bCs/>
          <w:color w:val="156082" w:themeColor="accent1"/>
          <w:szCs w:val="26"/>
        </w:rPr>
      </w:pPr>
      <w:r w:rsidRPr="00915A8E">
        <w:rPr>
          <w:rFonts w:ascii="Arial" w:hAnsi="Arial" w:cs="Arial"/>
          <w:b/>
        </w:rPr>
        <w:br w:type="page"/>
      </w:r>
    </w:p>
    <w:p w14:paraId="3B31B83C" w14:textId="77777777" w:rsidR="00E90FF1" w:rsidRPr="00915A8E" w:rsidRDefault="00E90FF1" w:rsidP="00E90FF1">
      <w:pPr>
        <w:pStyle w:val="Heading2"/>
        <w:rPr>
          <w:rFonts w:ascii="Arial" w:hAnsi="Arial" w:cs="Arial"/>
          <w:b/>
        </w:rPr>
      </w:pPr>
      <w:bookmarkStart w:id="15" w:name="_Toc235837174"/>
      <w:r w:rsidRPr="00915A8E">
        <w:rPr>
          <w:rFonts w:ascii="Arial" w:hAnsi="Arial" w:cs="Arial"/>
        </w:rPr>
        <w:lastRenderedPageBreak/>
        <w:t>4.3 Macro Process: Multi-Stakeholder Contracting</w:t>
      </w:r>
      <w:bookmarkEnd w:id="15"/>
    </w:p>
    <w:p w14:paraId="7D75AB83" w14:textId="77777777" w:rsidR="00E90FF1" w:rsidRPr="00915A8E" w:rsidRDefault="00E90FF1" w:rsidP="00E90FF1">
      <w:pPr>
        <w:rPr>
          <w:rFonts w:ascii="Arial" w:hAnsi="Arial" w:cs="Arial"/>
          <w:bCs/>
        </w:rPr>
      </w:pPr>
    </w:p>
    <w:p w14:paraId="2641B900" w14:textId="77777777" w:rsidR="00E90FF1" w:rsidRPr="00915A8E" w:rsidRDefault="00E90FF1" w:rsidP="00E90FF1">
      <w:pPr>
        <w:jc w:val="both"/>
        <w:rPr>
          <w:rFonts w:ascii="Arial" w:hAnsi="Arial" w:cs="Arial"/>
          <w:bCs/>
        </w:rPr>
      </w:pPr>
      <w:r w:rsidRPr="00915A8E">
        <w:rPr>
          <w:rFonts w:ascii="Arial" w:hAnsi="Arial" w:cs="Arial"/>
          <w:bCs/>
        </w:rPr>
        <w:t xml:space="preserve">A session level model such as GROW cannot work well in an organisation on its own. For formal workplace coaching to be effective, it must be integrated into a larger organisational process, beginning with the formal contracting with multiple stakeholders before the sessions start (Burger &amp; van Coller-Peter, 2019). In contrast to private coaching, formal workplace coaching is a dual-client relationship as the coach supports both the individual </w:t>
      </w:r>
      <w:proofErr w:type="spellStart"/>
      <w:r w:rsidRPr="00915A8E">
        <w:rPr>
          <w:rFonts w:ascii="Arial" w:hAnsi="Arial" w:cs="Arial"/>
          <w:bCs/>
        </w:rPr>
        <w:t>coachee</w:t>
      </w:r>
      <w:proofErr w:type="spellEnd"/>
      <w:r w:rsidRPr="00915A8E">
        <w:rPr>
          <w:rFonts w:ascii="Arial" w:hAnsi="Arial" w:cs="Arial"/>
          <w:bCs/>
        </w:rPr>
        <w:t xml:space="preserve"> and the sponsoring organisation (Burger &amp; van Coller-Peter, 2019). Clear agreement among all parties is not present, which may result in difficult ethical issues concerning expectations, performance goals, and organisational accountability (Burger &amp; van Coller-Peter, 2019).</w:t>
      </w:r>
    </w:p>
    <w:p w14:paraId="42630AF1" w14:textId="77777777" w:rsidR="00E90FF1" w:rsidRPr="00915A8E" w:rsidRDefault="00E90FF1" w:rsidP="00E90FF1">
      <w:pPr>
        <w:rPr>
          <w:rFonts w:ascii="Arial" w:hAnsi="Arial" w:cs="Arial"/>
          <w:bCs/>
        </w:rPr>
      </w:pPr>
    </w:p>
    <w:p w14:paraId="6CA7A680" w14:textId="77777777" w:rsidR="00E90FF1" w:rsidRPr="00915A8E" w:rsidRDefault="00E90FF1" w:rsidP="00E90FF1">
      <w:pPr>
        <w:jc w:val="both"/>
        <w:rPr>
          <w:rFonts w:ascii="Arial" w:hAnsi="Arial" w:cs="Arial"/>
          <w:bCs/>
        </w:rPr>
      </w:pPr>
      <w:r w:rsidRPr="00915A8E">
        <w:rPr>
          <w:rFonts w:ascii="Arial" w:hAnsi="Arial" w:cs="Arial"/>
          <w:bCs/>
        </w:rPr>
        <w:t xml:space="preserve">Effective coaching programmes to overcome these challenges involve the use of structured contracting meetings between the coach, </w:t>
      </w:r>
      <w:proofErr w:type="spellStart"/>
      <w:r w:rsidRPr="00915A8E">
        <w:rPr>
          <w:rFonts w:ascii="Arial" w:hAnsi="Arial" w:cs="Arial"/>
          <w:bCs/>
        </w:rPr>
        <w:t>coachee</w:t>
      </w:r>
      <w:proofErr w:type="spellEnd"/>
      <w:r w:rsidRPr="00915A8E">
        <w:rPr>
          <w:rFonts w:ascii="Arial" w:hAnsi="Arial" w:cs="Arial"/>
          <w:bCs/>
        </w:rPr>
        <w:t>, line manager and HR sponsor (Burger &amp; van Coller-Peter, 2019). These formal agreements clearly define ground rules on coaching topics, expected development and confidentiality boundaries (</w:t>
      </w:r>
      <w:proofErr w:type="spellStart"/>
      <w:r w:rsidRPr="00915A8E">
        <w:rPr>
          <w:rFonts w:ascii="Arial" w:hAnsi="Arial" w:cs="Arial"/>
          <w:bCs/>
        </w:rPr>
        <w:t>Bluckert</w:t>
      </w:r>
      <w:proofErr w:type="spellEnd"/>
      <w:r w:rsidRPr="00915A8E">
        <w:rPr>
          <w:rFonts w:ascii="Arial" w:hAnsi="Arial" w:cs="Arial"/>
          <w:bCs/>
        </w:rPr>
        <w:t xml:space="preserve">, 2005a; Burger &amp; van Coller-Peter, 2019; Garvey et al., 2017). Upfront confidentiality rules protect </w:t>
      </w:r>
      <w:proofErr w:type="spellStart"/>
      <w:r w:rsidRPr="00915A8E">
        <w:rPr>
          <w:rFonts w:ascii="Arial" w:hAnsi="Arial" w:cs="Arial"/>
          <w:bCs/>
        </w:rPr>
        <w:t>coachee</w:t>
      </w:r>
      <w:proofErr w:type="spellEnd"/>
      <w:r w:rsidRPr="00915A8E">
        <w:rPr>
          <w:rFonts w:ascii="Arial" w:hAnsi="Arial" w:cs="Arial"/>
          <w:bCs/>
        </w:rPr>
        <w:t xml:space="preserve"> psychological safety to speak openly and give the organisation confidence that coaching aligns with business priorities (Burger &amp; van Coller-Peter, 2019; </w:t>
      </w:r>
      <w:proofErr w:type="spellStart"/>
      <w:r w:rsidRPr="00915A8E">
        <w:rPr>
          <w:rFonts w:ascii="Arial" w:hAnsi="Arial" w:cs="Arial"/>
          <w:bCs/>
        </w:rPr>
        <w:t>Graßmann</w:t>
      </w:r>
      <w:proofErr w:type="spellEnd"/>
      <w:r w:rsidRPr="00915A8E">
        <w:rPr>
          <w:rFonts w:ascii="Arial" w:hAnsi="Arial" w:cs="Arial"/>
          <w:bCs/>
        </w:rPr>
        <w:t xml:space="preserve"> et al., 2020). Well-drafted contracts also help to avoid the coach becoming involved in performance management problems or being used as an informal reporter for management (Burger &amp; van Coller-Peter, 2019).</w:t>
      </w:r>
    </w:p>
    <w:p w14:paraId="76AB6C5D" w14:textId="77777777" w:rsidR="00E90FF1" w:rsidRPr="00915A8E" w:rsidRDefault="00E90FF1" w:rsidP="00E90FF1">
      <w:pPr>
        <w:rPr>
          <w:rFonts w:ascii="Arial" w:hAnsi="Arial" w:cs="Arial"/>
          <w:bCs/>
        </w:rPr>
      </w:pPr>
    </w:p>
    <w:p w14:paraId="29693355" w14:textId="4C59EFD1" w:rsidR="00E90FF1" w:rsidRPr="00915A8E" w:rsidRDefault="00E90FF1" w:rsidP="00E90FF1">
      <w:pPr>
        <w:spacing w:after="200" w:line="276" w:lineRule="auto"/>
        <w:rPr>
          <w:rFonts w:ascii="Arial" w:eastAsiaTheme="majorEastAsia" w:hAnsi="Arial" w:cs="Arial"/>
          <w:bCs/>
          <w:color w:val="156082" w:themeColor="accent1"/>
          <w:szCs w:val="26"/>
        </w:rPr>
      </w:pPr>
      <w:r w:rsidRPr="00915A8E">
        <w:rPr>
          <w:rFonts w:ascii="Arial" w:hAnsi="Arial" w:cs="Arial"/>
          <w:b/>
        </w:rPr>
        <w:br w:type="page"/>
      </w:r>
    </w:p>
    <w:p w14:paraId="43E30DFC" w14:textId="12C1C71F" w:rsidR="00E90FF1" w:rsidRPr="00915A8E" w:rsidRDefault="00E90FF1" w:rsidP="00E90FF1">
      <w:pPr>
        <w:pStyle w:val="Heading2"/>
        <w:rPr>
          <w:rFonts w:ascii="Arial" w:hAnsi="Arial" w:cs="Arial"/>
          <w:b/>
        </w:rPr>
      </w:pPr>
      <w:bookmarkStart w:id="16" w:name="_Toc235837175"/>
      <w:r w:rsidRPr="00915A8E">
        <w:rPr>
          <w:rFonts w:ascii="Arial" w:hAnsi="Arial" w:cs="Arial"/>
        </w:rPr>
        <w:lastRenderedPageBreak/>
        <w:t>4.4 The macro process: boundary management and supervision</w:t>
      </w:r>
      <w:bookmarkEnd w:id="16"/>
    </w:p>
    <w:p w14:paraId="789C48AC" w14:textId="77777777" w:rsidR="00E90FF1" w:rsidRPr="00915A8E" w:rsidRDefault="00E90FF1" w:rsidP="00E90FF1">
      <w:pPr>
        <w:rPr>
          <w:rFonts w:ascii="Arial" w:hAnsi="Arial" w:cs="Arial"/>
          <w:bCs/>
        </w:rPr>
      </w:pPr>
    </w:p>
    <w:p w14:paraId="02E2C5B1" w14:textId="5BF1326D" w:rsidR="00E90FF1" w:rsidRPr="00915A8E" w:rsidRDefault="00E90FF1" w:rsidP="00E46D57">
      <w:pPr>
        <w:jc w:val="both"/>
        <w:rPr>
          <w:rFonts w:ascii="Arial" w:hAnsi="Arial" w:cs="Arial"/>
          <w:bCs/>
        </w:rPr>
      </w:pPr>
      <w:r w:rsidRPr="00915A8E">
        <w:rPr>
          <w:rFonts w:ascii="Arial" w:hAnsi="Arial" w:cs="Arial"/>
          <w:bCs/>
        </w:rPr>
        <w:t xml:space="preserve">Regular coaching supervision is a key requirement for formal workplace coaching, besides the initial contracting. Supervision offers a formal reflective space for coaches to review their practice with an experienced supervisor, reflect on relationship dynamics and maintain professional standards (Hawkins &amp; Smith, 2006; Lawrence &amp; Whyte, 2014b). A key function of supervision is to help coaches become aware of countertransference unconscious emotional reactions to the </w:t>
      </w:r>
      <w:proofErr w:type="spellStart"/>
      <w:r w:rsidRPr="00915A8E">
        <w:rPr>
          <w:rFonts w:ascii="Arial" w:hAnsi="Arial" w:cs="Arial"/>
          <w:bCs/>
        </w:rPr>
        <w:t>coachee</w:t>
      </w:r>
      <w:proofErr w:type="spellEnd"/>
      <w:r w:rsidRPr="00915A8E">
        <w:rPr>
          <w:rFonts w:ascii="Arial" w:hAnsi="Arial" w:cs="Arial"/>
          <w:bCs/>
        </w:rPr>
        <w:t>, and to avoid falling into Karpman’s (1968) Rescuer role (Hawkins &amp; Smith, 2006). Supervision also protects professional boundaries, ensuring that coaches do not attempt to address clinical distress or deep trauma that is beyond the realm of workplace coaching (Bluckert, 2005b).</w:t>
      </w:r>
    </w:p>
    <w:p w14:paraId="341372F5" w14:textId="77777777" w:rsidR="00DE3709" w:rsidRDefault="0029365F" w:rsidP="00DE3709">
      <w:pPr>
        <w:jc w:val="both"/>
        <w:rPr>
          <w:rFonts w:ascii="Arial" w:hAnsi="Arial" w:cs="Arial"/>
        </w:rPr>
      </w:pPr>
      <w:r w:rsidRPr="00915A8E">
        <w:rPr>
          <w:rFonts w:ascii="Arial" w:hAnsi="Arial" w:cs="Arial"/>
        </w:rPr>
        <w:t>T</w:t>
      </w:r>
      <w:r w:rsidR="00DE3709" w:rsidRPr="00DE3709">
        <w:rPr>
          <w:rFonts w:ascii="Arial" w:hAnsi="Arial" w:cs="Arial"/>
        </w:rPr>
        <w:t xml:space="preserve">he importance of managing these boundaries is clearly demonstrated in a formal support worker scenario where the author guided a service user through preparation for a driving theory test. The author recognised that within the organisations structured mechanisms within health, career and housing the service user lacked confidence and was easily overwhelmed; the theory content had to be broken down into small manageable learning steps. </w:t>
      </w:r>
    </w:p>
    <w:p w14:paraId="2222B77B" w14:textId="77777777" w:rsidR="00DE3709" w:rsidRDefault="00DE3709" w:rsidP="00DE3709">
      <w:pPr>
        <w:jc w:val="both"/>
        <w:rPr>
          <w:rFonts w:ascii="Arial" w:hAnsi="Arial" w:cs="Arial"/>
        </w:rPr>
      </w:pPr>
      <w:r w:rsidRPr="00DE3709">
        <w:rPr>
          <w:rFonts w:ascii="Arial" w:hAnsi="Arial" w:cs="Arial"/>
        </w:rPr>
        <w:t xml:space="preserve">In sessions the service user disclosed a history of personal trauma from a previous coercive relationship with persistent verbal put downs which directly underpinned their low self-confidence. </w:t>
      </w:r>
    </w:p>
    <w:p w14:paraId="4514954E" w14:textId="692DEE7A" w:rsidR="00DE3709" w:rsidRDefault="00DE3709" w:rsidP="00DE3709">
      <w:pPr>
        <w:jc w:val="both"/>
        <w:rPr>
          <w:rFonts w:ascii="Arial" w:hAnsi="Arial" w:cs="Arial"/>
        </w:rPr>
      </w:pPr>
      <w:r w:rsidRPr="00DE3709">
        <w:rPr>
          <w:rFonts w:ascii="Arial" w:hAnsi="Arial" w:cs="Arial"/>
        </w:rPr>
        <w:t xml:space="preserve">The author did not engage in counselling or therapeutic exploration, in keeping with support worker role boundaries. The author encouraged the individual to seek support from their GP, but kept the session firmly focused on practical steps for the theory test. </w:t>
      </w:r>
    </w:p>
    <w:p w14:paraId="06EFEB73" w14:textId="063BF437" w:rsidR="00DE3709" w:rsidRDefault="00DE3709" w:rsidP="00DE3709">
      <w:pPr>
        <w:jc w:val="both"/>
        <w:rPr>
          <w:rFonts w:ascii="Arial" w:hAnsi="Arial" w:cs="Arial"/>
        </w:rPr>
      </w:pPr>
      <w:r w:rsidRPr="00DE3709">
        <w:rPr>
          <w:rFonts w:ascii="Arial" w:hAnsi="Arial" w:cs="Arial"/>
        </w:rPr>
        <w:t xml:space="preserve">Ultimately the service user was able to pass the driving theory test. This case study illustrates how structured goal setting, clear professional boundaries and appropriate external referral can protect client well-being without exceeding practitioner competence.  </w:t>
      </w:r>
    </w:p>
    <w:p w14:paraId="720535FB" w14:textId="73CFD373" w:rsidR="00E90FF1" w:rsidRPr="00915A8E" w:rsidRDefault="00E90FF1" w:rsidP="00DE3709">
      <w:pPr>
        <w:jc w:val="both"/>
        <w:rPr>
          <w:rFonts w:ascii="Arial" w:hAnsi="Arial" w:cs="Arial"/>
          <w:bCs/>
        </w:rPr>
      </w:pPr>
      <w:r w:rsidRPr="00915A8E">
        <w:rPr>
          <w:rFonts w:ascii="Arial" w:hAnsi="Arial" w:cs="Arial"/>
          <w:bCs/>
        </w:rPr>
        <w:t xml:space="preserve">Supervision also helps coaches manage planned relationship endings, encouraging </w:t>
      </w:r>
      <w:proofErr w:type="spellStart"/>
      <w:r w:rsidRPr="00915A8E">
        <w:rPr>
          <w:rFonts w:ascii="Arial" w:hAnsi="Arial" w:cs="Arial"/>
          <w:bCs/>
        </w:rPr>
        <w:t>coachees</w:t>
      </w:r>
      <w:proofErr w:type="spellEnd"/>
      <w:r w:rsidRPr="00915A8E">
        <w:rPr>
          <w:rFonts w:ascii="Arial" w:hAnsi="Arial" w:cs="Arial"/>
          <w:bCs/>
        </w:rPr>
        <w:t xml:space="preserve"> to develop internal self-regulation instead of depending on the coach permanently (Lawrence &amp; Whyte, 2014b; Whitmore, 2017). The coach sets clear time boundaries from the start and addresses closure in supervision which ensures the intervention is about developing lasting, independent capability (Passmore &amp; Fillery-Travis, 2011; Whitmore, 2017).</w:t>
      </w:r>
    </w:p>
    <w:p w14:paraId="4CF4DB63" w14:textId="77777777" w:rsidR="00E90FF1" w:rsidRPr="00915A8E" w:rsidRDefault="00E90FF1" w:rsidP="00E90FF1">
      <w:pPr>
        <w:rPr>
          <w:rFonts w:ascii="Arial" w:hAnsi="Arial" w:cs="Arial"/>
          <w:bCs/>
        </w:rPr>
      </w:pPr>
    </w:p>
    <w:p w14:paraId="41313693" w14:textId="77777777" w:rsidR="00E46D57" w:rsidRPr="00915A8E" w:rsidRDefault="00E46D57" w:rsidP="00E90FF1">
      <w:pPr>
        <w:rPr>
          <w:rFonts w:ascii="Arial" w:hAnsi="Arial" w:cs="Arial"/>
          <w:bCs/>
        </w:rPr>
      </w:pPr>
    </w:p>
    <w:p w14:paraId="2C7F3E03" w14:textId="77777777" w:rsidR="00E46D57" w:rsidRPr="00915A8E" w:rsidRDefault="00E46D57" w:rsidP="00E90FF1">
      <w:pPr>
        <w:pStyle w:val="Heading2"/>
        <w:rPr>
          <w:rFonts w:ascii="Arial" w:hAnsi="Arial" w:cs="Arial"/>
        </w:rPr>
      </w:pPr>
    </w:p>
    <w:p w14:paraId="6ADEF3CD" w14:textId="77777777" w:rsidR="00DE3709" w:rsidRDefault="00DE3709" w:rsidP="00E90FF1">
      <w:pPr>
        <w:pStyle w:val="Heading2"/>
        <w:rPr>
          <w:rFonts w:ascii="Arial" w:hAnsi="Arial" w:cs="Arial"/>
        </w:rPr>
      </w:pPr>
      <w:bookmarkStart w:id="17" w:name="_Toc235837176"/>
    </w:p>
    <w:p w14:paraId="689152E2" w14:textId="205EAB51" w:rsidR="00E90FF1" w:rsidRPr="00915A8E" w:rsidRDefault="00E90FF1" w:rsidP="00E90FF1">
      <w:pPr>
        <w:pStyle w:val="Heading2"/>
        <w:rPr>
          <w:rFonts w:ascii="Arial" w:hAnsi="Arial" w:cs="Arial"/>
          <w:b/>
        </w:rPr>
      </w:pPr>
      <w:r w:rsidRPr="00915A8E">
        <w:rPr>
          <w:rFonts w:ascii="Arial" w:hAnsi="Arial" w:cs="Arial"/>
        </w:rPr>
        <w:t>4.5 Gaps in programme evaluation and empirical Evidence</w:t>
      </w:r>
      <w:bookmarkEnd w:id="17"/>
    </w:p>
    <w:p w14:paraId="2A2593DA" w14:textId="77777777" w:rsidR="00E90FF1" w:rsidRPr="00915A8E" w:rsidRDefault="00E90FF1" w:rsidP="00E90FF1">
      <w:pPr>
        <w:rPr>
          <w:rFonts w:ascii="Arial" w:hAnsi="Arial" w:cs="Arial"/>
          <w:bCs/>
        </w:rPr>
      </w:pPr>
    </w:p>
    <w:p w14:paraId="7EA5CD4F" w14:textId="77777777" w:rsidR="00E90FF1" w:rsidRPr="00915A8E" w:rsidRDefault="00E90FF1" w:rsidP="00E90FF1">
      <w:pPr>
        <w:jc w:val="both"/>
        <w:rPr>
          <w:rFonts w:ascii="Arial" w:hAnsi="Arial" w:cs="Arial"/>
          <w:bCs/>
        </w:rPr>
      </w:pPr>
      <w:r w:rsidRPr="00915A8E">
        <w:rPr>
          <w:rFonts w:ascii="Arial" w:hAnsi="Arial" w:cs="Arial"/>
          <w:bCs/>
        </w:rPr>
        <w:t>The last component of an effective formal coaching process is a systematic programme evaluation. Organisations that want clear proof of impact often fund formal coaching programmes and ask for direct financial figures for Return on Investment (ROI). Nevertheless, coaching literature indicates that the sole evaluation of coaching success in terms of financial ROI is methodologically flawed (Grant, 2012). The financial results of businesses are influenced by many external factors such as market changes, leadership turnover, team dynamics, etc. It is almost impossible to isolate the exact financial impact of coaching (Grant, 2012).</w:t>
      </w:r>
    </w:p>
    <w:p w14:paraId="39C25BF7" w14:textId="77777777" w:rsidR="00E90FF1" w:rsidRPr="00915A8E" w:rsidRDefault="00E90FF1" w:rsidP="00E90FF1">
      <w:pPr>
        <w:rPr>
          <w:rFonts w:ascii="Arial" w:hAnsi="Arial" w:cs="Arial"/>
          <w:bCs/>
        </w:rPr>
      </w:pPr>
    </w:p>
    <w:p w14:paraId="704EEDC4" w14:textId="77777777" w:rsidR="00E90FF1" w:rsidRPr="00915A8E" w:rsidRDefault="00E90FF1" w:rsidP="00E90FF1">
      <w:pPr>
        <w:jc w:val="both"/>
        <w:rPr>
          <w:rFonts w:ascii="Arial" w:hAnsi="Arial" w:cs="Arial"/>
          <w:bCs/>
        </w:rPr>
      </w:pPr>
      <w:r w:rsidRPr="00915A8E">
        <w:rPr>
          <w:rFonts w:ascii="Arial" w:hAnsi="Arial" w:cs="Arial"/>
          <w:bCs/>
        </w:rPr>
        <w:t xml:space="preserve">The evidence points instead to the use of broader evaluation frameworks that can capture a wider array of development outcomes. These include Kirkpatrick’s (1996) four-level evaluation model and Jarosz and </w:t>
      </w:r>
      <w:proofErr w:type="spellStart"/>
      <w:r w:rsidRPr="00915A8E">
        <w:rPr>
          <w:rFonts w:ascii="Arial" w:hAnsi="Arial" w:cs="Arial"/>
          <w:bCs/>
        </w:rPr>
        <w:t>Cartor’s</w:t>
      </w:r>
      <w:proofErr w:type="spellEnd"/>
      <w:r w:rsidRPr="00915A8E">
        <w:rPr>
          <w:rFonts w:ascii="Arial" w:hAnsi="Arial" w:cs="Arial"/>
          <w:bCs/>
        </w:rPr>
        <w:t xml:space="preserve"> (2025) Coaching Effectiveness Framework, which consider participant feedback, learning, behaviour change and organisational outcomes. In their meta-analysis, Jones et al. (2016) found positive effects of workplace coaching on affective outcomes such as self-efficacy and job satisfaction (d = 0.51) and individual performance (d = 1.24). However, there is a significant research gap in that there are no peer-reviewed studies comparing different branded coaching models against each other to demonstrate that a particular acronym produces better results (Athanasopoulou &amp; Dopson, 2018). This suggests that success in coaching is less dependent on the </w:t>
      </w:r>
      <w:proofErr w:type="gramStart"/>
      <w:r w:rsidRPr="00915A8E">
        <w:rPr>
          <w:rFonts w:ascii="Arial" w:hAnsi="Arial" w:cs="Arial"/>
          <w:bCs/>
        </w:rPr>
        <w:t>particular model</w:t>
      </w:r>
      <w:proofErr w:type="gramEnd"/>
      <w:r w:rsidRPr="00915A8E">
        <w:rPr>
          <w:rFonts w:ascii="Arial" w:hAnsi="Arial" w:cs="Arial"/>
          <w:bCs/>
        </w:rPr>
        <w:t xml:space="preserve"> of the session, e.g. GROW, CLEAR or ACHIEVE, but rather common factors, i.e. the quality of the working alliance, coach empathy, </w:t>
      </w:r>
      <w:proofErr w:type="spellStart"/>
      <w:r w:rsidRPr="00915A8E">
        <w:rPr>
          <w:rFonts w:ascii="Arial" w:hAnsi="Arial" w:cs="Arial"/>
          <w:bCs/>
        </w:rPr>
        <w:t>coachee</w:t>
      </w:r>
      <w:proofErr w:type="spellEnd"/>
      <w:r w:rsidRPr="00915A8E">
        <w:rPr>
          <w:rFonts w:ascii="Arial" w:hAnsi="Arial" w:cs="Arial"/>
          <w:bCs/>
        </w:rPr>
        <w:t xml:space="preserve"> motivation and organisational support (</w:t>
      </w:r>
      <w:proofErr w:type="spellStart"/>
      <w:r w:rsidRPr="00915A8E">
        <w:rPr>
          <w:rFonts w:ascii="Arial" w:hAnsi="Arial" w:cs="Arial"/>
          <w:bCs/>
        </w:rPr>
        <w:t>Graßmann</w:t>
      </w:r>
      <w:proofErr w:type="spellEnd"/>
      <w:r w:rsidRPr="00915A8E">
        <w:rPr>
          <w:rFonts w:ascii="Arial" w:hAnsi="Arial" w:cs="Arial"/>
          <w:bCs/>
        </w:rPr>
        <w:t xml:space="preserve"> et al., 2020; Jones et al., 2016). The challenge of isolating one financial return also supports the use of a broader range of evaluation measures (Grant, 2012; Lawrence &amp; Whyte, 2014a).</w:t>
      </w:r>
    </w:p>
    <w:p w14:paraId="1F046CA5" w14:textId="77777777" w:rsidR="00E90FF1" w:rsidRPr="00915A8E" w:rsidRDefault="00E90FF1" w:rsidP="00E90FF1">
      <w:pPr>
        <w:rPr>
          <w:rFonts w:ascii="Arial" w:hAnsi="Arial" w:cs="Arial"/>
          <w:bCs/>
        </w:rPr>
      </w:pPr>
    </w:p>
    <w:p w14:paraId="07C8B3C3" w14:textId="77777777" w:rsidR="00E90FF1" w:rsidRPr="00915A8E" w:rsidRDefault="00E90FF1" w:rsidP="00E90FF1">
      <w:pPr>
        <w:rPr>
          <w:rFonts w:ascii="Arial" w:hAnsi="Arial" w:cs="Arial"/>
          <w:bCs/>
        </w:rPr>
      </w:pPr>
    </w:p>
    <w:p w14:paraId="39A4EDB2" w14:textId="77777777" w:rsidR="00E90FF1" w:rsidRPr="00915A8E" w:rsidRDefault="00E90FF1" w:rsidP="00E90FF1">
      <w:pPr>
        <w:rPr>
          <w:rFonts w:ascii="Arial" w:hAnsi="Arial" w:cs="Arial"/>
          <w:bCs/>
        </w:rPr>
      </w:pPr>
    </w:p>
    <w:p w14:paraId="073FA5CD" w14:textId="77777777" w:rsidR="00E90FF1" w:rsidRPr="00915A8E" w:rsidRDefault="00E90FF1" w:rsidP="00E90FF1">
      <w:pPr>
        <w:pStyle w:val="Heading1"/>
        <w:rPr>
          <w:rFonts w:ascii="Arial" w:hAnsi="Arial" w:cs="Arial"/>
          <w:b/>
        </w:rPr>
      </w:pPr>
    </w:p>
    <w:p w14:paraId="2FC85EAC" w14:textId="77777777" w:rsidR="00E90FF1" w:rsidRPr="00915A8E" w:rsidRDefault="00E90FF1" w:rsidP="00E90FF1">
      <w:pPr>
        <w:rPr>
          <w:rFonts w:ascii="Arial" w:hAnsi="Arial" w:cs="Arial"/>
          <w:bCs/>
        </w:rPr>
      </w:pPr>
    </w:p>
    <w:p w14:paraId="10F112B9" w14:textId="77777777" w:rsidR="00E90FF1" w:rsidRPr="00915A8E" w:rsidRDefault="00E90FF1">
      <w:pPr>
        <w:rPr>
          <w:rFonts w:ascii="Arial" w:eastAsiaTheme="majorEastAsia" w:hAnsi="Arial" w:cs="Arial"/>
          <w:color w:val="0F4761" w:themeColor="accent1" w:themeShade="BF"/>
          <w:sz w:val="40"/>
          <w:szCs w:val="40"/>
        </w:rPr>
      </w:pPr>
      <w:r w:rsidRPr="00915A8E">
        <w:rPr>
          <w:rFonts w:ascii="Arial" w:hAnsi="Arial" w:cs="Arial"/>
        </w:rPr>
        <w:br w:type="page"/>
      </w:r>
    </w:p>
    <w:p w14:paraId="34E4C4FA" w14:textId="02945E44" w:rsidR="00E90FF1" w:rsidRPr="00915A8E" w:rsidRDefault="00E90FF1" w:rsidP="00E90FF1">
      <w:pPr>
        <w:pStyle w:val="Heading1"/>
        <w:rPr>
          <w:rFonts w:ascii="Arial" w:hAnsi="Arial" w:cs="Arial"/>
          <w:b/>
        </w:rPr>
      </w:pPr>
      <w:bookmarkStart w:id="18" w:name="_Toc235837177"/>
      <w:r w:rsidRPr="00915A8E">
        <w:rPr>
          <w:rFonts w:ascii="Arial" w:hAnsi="Arial" w:cs="Arial"/>
        </w:rPr>
        <w:lastRenderedPageBreak/>
        <w:t>5.0 Conclusion</w:t>
      </w:r>
      <w:bookmarkEnd w:id="18"/>
    </w:p>
    <w:p w14:paraId="47657227" w14:textId="77777777" w:rsidR="00E90FF1" w:rsidRPr="00915A8E" w:rsidRDefault="00E90FF1" w:rsidP="00E90FF1">
      <w:pPr>
        <w:rPr>
          <w:rFonts w:ascii="Arial" w:hAnsi="Arial" w:cs="Arial"/>
          <w:bCs/>
        </w:rPr>
      </w:pPr>
    </w:p>
    <w:p w14:paraId="19D91903" w14:textId="77777777" w:rsidR="00E90FF1" w:rsidRPr="00915A8E" w:rsidRDefault="00E90FF1" w:rsidP="00E90FF1">
      <w:pPr>
        <w:jc w:val="both"/>
        <w:rPr>
          <w:rFonts w:ascii="Arial" w:hAnsi="Arial" w:cs="Arial"/>
          <w:bCs/>
        </w:rPr>
      </w:pPr>
      <w:r w:rsidRPr="00915A8E">
        <w:rPr>
          <w:rFonts w:ascii="Arial" w:hAnsi="Arial" w:cs="Arial"/>
          <w:bCs/>
        </w:rPr>
        <w:t>This report has critically reviewed the strategic application, core competencies and programme management of coaching and mentoring in modern workplace settings. Section 2.0 confirmed that coaching and mentoring are based on humanistic, person-</w:t>
      </w:r>
      <w:proofErr w:type="spellStart"/>
      <w:r w:rsidRPr="00915A8E">
        <w:rPr>
          <w:rFonts w:ascii="Arial" w:hAnsi="Arial" w:cs="Arial"/>
          <w:bCs/>
        </w:rPr>
        <w:t>centered</w:t>
      </w:r>
      <w:proofErr w:type="spellEnd"/>
      <w:r w:rsidRPr="00915A8E">
        <w:rPr>
          <w:rFonts w:ascii="Arial" w:hAnsi="Arial" w:cs="Arial"/>
          <w:bCs/>
        </w:rPr>
        <w:t xml:space="preserve"> principles and use a common communication toolkit of listening and questioning, but are conceptually distinct along a continuum of directiveness, need for domain expertise, relationship timeframes and organisational power dynamics (Garvey et al., 2017). In practice, however, these theoretical boundaries are fluid, with mentors often using non-directive coaching questions to promote mentee independence.</w:t>
      </w:r>
    </w:p>
    <w:p w14:paraId="38A14F92" w14:textId="77777777" w:rsidR="00E90FF1" w:rsidRPr="00915A8E" w:rsidRDefault="00E90FF1" w:rsidP="00E90FF1">
      <w:pPr>
        <w:rPr>
          <w:rFonts w:ascii="Arial" w:hAnsi="Arial" w:cs="Arial"/>
          <w:bCs/>
        </w:rPr>
      </w:pPr>
      <w:r w:rsidRPr="00915A8E">
        <w:rPr>
          <w:rFonts w:ascii="Arial" w:hAnsi="Arial" w:cs="Arial"/>
          <w:bCs/>
        </w:rPr>
        <w:t xml:space="preserve">Section 3.0 critically examined the knowledge, skills, attitudes, and behaviours required of an effective workplace coach, demonstrating that technical tools are ineffective without the foundational person-centred attitudes of unconditional positive regard, Adult-to-Adult ego states, and active listening designed to ignite reflection (Berne, 1964; Kline, 2016; Rogers, 1957). To be effective professionally, coaches need to have high emotional self-awareness and the ability to manage countertransference and maintain ethical boundaries </w:t>
      </w:r>
      <w:proofErr w:type="gramStart"/>
      <w:r w:rsidRPr="00915A8E">
        <w:rPr>
          <w:rFonts w:ascii="Arial" w:hAnsi="Arial" w:cs="Arial"/>
          <w:bCs/>
        </w:rPr>
        <w:t>in order to</w:t>
      </w:r>
      <w:proofErr w:type="gramEnd"/>
      <w:r w:rsidRPr="00915A8E">
        <w:rPr>
          <w:rFonts w:ascii="Arial" w:hAnsi="Arial" w:cs="Arial"/>
          <w:bCs/>
        </w:rPr>
        <w:t xml:space="preserve"> avoid falling into the ‘Rescuer’ trap and creating client dependency (</w:t>
      </w:r>
      <w:proofErr w:type="spellStart"/>
      <w:r w:rsidRPr="00915A8E">
        <w:rPr>
          <w:rFonts w:ascii="Arial" w:hAnsi="Arial" w:cs="Arial"/>
          <w:bCs/>
        </w:rPr>
        <w:t>Bluckert</w:t>
      </w:r>
      <w:proofErr w:type="spellEnd"/>
      <w:r w:rsidRPr="00915A8E">
        <w:rPr>
          <w:rFonts w:ascii="Arial" w:hAnsi="Arial" w:cs="Arial"/>
          <w:bCs/>
        </w:rPr>
        <w:t>, 2005a; Karpman, 1968).</w:t>
      </w:r>
    </w:p>
    <w:p w14:paraId="1F7678D2" w14:textId="77777777" w:rsidR="00E90FF1" w:rsidRPr="00915A8E" w:rsidRDefault="00E90FF1" w:rsidP="00E90FF1">
      <w:pPr>
        <w:rPr>
          <w:rFonts w:ascii="Arial" w:hAnsi="Arial" w:cs="Arial"/>
          <w:bCs/>
        </w:rPr>
      </w:pPr>
      <w:r w:rsidRPr="00915A8E">
        <w:rPr>
          <w:rFonts w:ascii="Arial" w:hAnsi="Arial" w:cs="Arial"/>
          <w:bCs/>
        </w:rPr>
        <w:t>Section 4.0 evaluated formal coaching models and processes, assessing the GROW model as a structured framework for coaching conversations due to its goal-oriented sequence. The GROW model’s value is, however, entirely dependent on the flexible use of the model and the embedding of the model in wider organisational systems (Downey, 2002; Whitmore, 2017). This report concludes that, in making a final academic judgement, while session-level micro-models such as GROW provide vital scaffolding for developmental conversations, the ultimate success of formal workplace coaching depends on the wider formal coaching process. A session model alone cannot guarantee sustainable results when used in isolation or implemented as a rigid checklist.</w:t>
      </w:r>
    </w:p>
    <w:p w14:paraId="1F05CF88" w14:textId="77777777" w:rsidR="00E90FF1" w:rsidRPr="00915A8E" w:rsidRDefault="00E90FF1" w:rsidP="00E90FF1">
      <w:pPr>
        <w:jc w:val="both"/>
        <w:rPr>
          <w:rFonts w:ascii="Arial" w:hAnsi="Arial" w:cs="Arial"/>
          <w:bCs/>
        </w:rPr>
      </w:pPr>
      <w:r w:rsidRPr="00915A8E">
        <w:rPr>
          <w:rFonts w:ascii="Arial" w:hAnsi="Arial" w:cs="Arial"/>
          <w:bCs/>
        </w:rPr>
        <w:t xml:space="preserve">For formal workplace coaching to be effective, organisations need to implement comprehensive up-front multi-stakeholder contracting between coach, </w:t>
      </w:r>
      <w:proofErr w:type="spellStart"/>
      <w:r w:rsidRPr="00915A8E">
        <w:rPr>
          <w:rFonts w:ascii="Arial" w:hAnsi="Arial" w:cs="Arial"/>
          <w:bCs/>
        </w:rPr>
        <w:t>coachee</w:t>
      </w:r>
      <w:proofErr w:type="spellEnd"/>
      <w:r w:rsidRPr="00915A8E">
        <w:rPr>
          <w:rFonts w:ascii="Arial" w:hAnsi="Arial" w:cs="Arial"/>
          <w:bCs/>
        </w:rPr>
        <w:t xml:space="preserve">, line manager and HR sponsor to align developmental expectations, delineate dual-client roles and ensure strict confidentiality boundaries (Burger &amp; van Coller-Peter, 2019). In addition, ongoing coaching supervision is important to provide practitioners with a reflective space to explore relational dynamics, navigate ethical issues, and facilitate planned relationship closure that fosters long-term self-regulation in </w:t>
      </w:r>
      <w:proofErr w:type="spellStart"/>
      <w:r w:rsidRPr="00915A8E">
        <w:rPr>
          <w:rFonts w:ascii="Arial" w:hAnsi="Arial" w:cs="Arial"/>
          <w:bCs/>
        </w:rPr>
        <w:t>coachees</w:t>
      </w:r>
      <w:proofErr w:type="spellEnd"/>
      <w:r w:rsidRPr="00915A8E">
        <w:rPr>
          <w:rFonts w:ascii="Arial" w:hAnsi="Arial" w:cs="Arial"/>
          <w:bCs/>
        </w:rPr>
        <w:t xml:space="preserve"> (Hawkins &amp; Smith, 2006; Lawrence &amp; Whyte, 2014b). Organisations also need to measure coaching programmes using a range of evaluation measures that measure learning, behaviour change and goal attainment rather than flawed single-figure financial Return on Investment metrics (Grant, 2012; Jarosz &amp; </w:t>
      </w:r>
      <w:proofErr w:type="spellStart"/>
      <w:r w:rsidRPr="00915A8E">
        <w:rPr>
          <w:rFonts w:ascii="Arial" w:hAnsi="Arial" w:cs="Arial"/>
          <w:bCs/>
        </w:rPr>
        <w:t>Cartor</w:t>
      </w:r>
      <w:proofErr w:type="spellEnd"/>
      <w:r w:rsidRPr="00915A8E">
        <w:rPr>
          <w:rFonts w:ascii="Arial" w:hAnsi="Arial" w:cs="Arial"/>
          <w:bCs/>
        </w:rPr>
        <w:t>, 2025).</w:t>
      </w:r>
    </w:p>
    <w:p w14:paraId="3CF75392" w14:textId="77777777" w:rsidR="00E90FF1" w:rsidRPr="00915A8E" w:rsidRDefault="00E90FF1" w:rsidP="00E90FF1">
      <w:pPr>
        <w:rPr>
          <w:rFonts w:ascii="Arial" w:hAnsi="Arial" w:cs="Arial"/>
          <w:bCs/>
        </w:rPr>
      </w:pPr>
    </w:p>
    <w:p w14:paraId="774DE698" w14:textId="49F1F295" w:rsidR="00E90FF1" w:rsidRPr="00915A8E" w:rsidRDefault="00E90FF1" w:rsidP="00E90FF1">
      <w:pPr>
        <w:jc w:val="both"/>
        <w:rPr>
          <w:rFonts w:ascii="Arial" w:hAnsi="Arial" w:cs="Arial"/>
          <w:bCs/>
        </w:rPr>
      </w:pPr>
      <w:r w:rsidRPr="00915A8E">
        <w:rPr>
          <w:rFonts w:ascii="Arial" w:hAnsi="Arial" w:cs="Arial"/>
          <w:bCs/>
        </w:rPr>
        <w:t>From these synthesised conclusions three practical recommendations are proposed for organisations. Firstly, organisations should hold formal three-way or four-way contracting meetings before coaching to set role clarity and psychological safety. Secondly, to combat practitioner dependency and to maintain high ethical standards, mandatory coaching supervision should be institutionalised for internal and external coaches. Finally, internal manager-coaches should be trained to use models such as GROW as flexible non-linear frameworks via a managed amalgamation rather than as mechanical interrogations.</w:t>
      </w:r>
    </w:p>
    <w:p w14:paraId="61F41292" w14:textId="5006B5BA" w:rsidR="00E90FF1" w:rsidRPr="00915A8E" w:rsidRDefault="00E90FF1">
      <w:pPr>
        <w:rPr>
          <w:rFonts w:ascii="Arial" w:hAnsi="Arial" w:cs="Arial"/>
          <w:bCs/>
        </w:rPr>
      </w:pPr>
      <w:r w:rsidRPr="00915A8E">
        <w:rPr>
          <w:rFonts w:ascii="Arial" w:hAnsi="Arial" w:cs="Arial"/>
          <w:bCs/>
        </w:rPr>
        <w:br w:type="page"/>
      </w:r>
    </w:p>
    <w:p w14:paraId="72809571" w14:textId="04602C0A" w:rsidR="00E90FF1" w:rsidRPr="00915A8E" w:rsidRDefault="00E90FF1" w:rsidP="00E90FF1">
      <w:pPr>
        <w:pStyle w:val="Heading1"/>
        <w:rPr>
          <w:rFonts w:ascii="Arial" w:hAnsi="Arial" w:cs="Arial"/>
        </w:rPr>
      </w:pPr>
      <w:bookmarkStart w:id="19" w:name="_Toc235837178"/>
      <w:r w:rsidRPr="00915A8E">
        <w:rPr>
          <w:rFonts w:ascii="Arial" w:hAnsi="Arial" w:cs="Arial"/>
        </w:rPr>
        <w:lastRenderedPageBreak/>
        <w:t>References</w:t>
      </w:r>
      <w:bookmarkEnd w:id="19"/>
    </w:p>
    <w:p w14:paraId="7E206BC8" w14:textId="77777777" w:rsidR="00E90FF1" w:rsidRPr="00915A8E" w:rsidRDefault="00E90FF1">
      <w:pPr>
        <w:rPr>
          <w:rFonts w:ascii="Arial" w:hAnsi="Arial" w:cs="Arial"/>
        </w:rPr>
      </w:pPr>
    </w:p>
    <w:p w14:paraId="34989B81"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Athanasopoulou, A., &amp; Dopson, S. (2018). A systematic review of executive coaching outcomes: Is it the journey or the destination that matters the most? </w:t>
      </w:r>
      <w:r w:rsidRPr="00915A8E">
        <w:rPr>
          <w:rFonts w:ascii="Arial" w:hAnsi="Arial" w:cs="Arial"/>
          <w:i/>
          <w:color w:val="333333"/>
        </w:rPr>
        <w:t>The Leadership Quarterly</w:t>
      </w:r>
      <w:r w:rsidRPr="00915A8E">
        <w:rPr>
          <w:rFonts w:ascii="Arial" w:hAnsi="Arial" w:cs="Arial"/>
          <w:color w:val="333333"/>
        </w:rPr>
        <w:t>, 29(1), 70–88. https://doi.org/10.1016/j.leaqua.2017.11.004</w:t>
      </w:r>
    </w:p>
    <w:p w14:paraId="5D928232"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Berne, E. (1964). </w:t>
      </w:r>
      <w:r w:rsidRPr="00915A8E">
        <w:rPr>
          <w:rFonts w:ascii="Arial" w:hAnsi="Arial" w:cs="Arial"/>
          <w:i/>
          <w:color w:val="333333"/>
        </w:rPr>
        <w:t>Games people play: The psychology of human relationships</w:t>
      </w:r>
      <w:r w:rsidRPr="00915A8E">
        <w:rPr>
          <w:rFonts w:ascii="Arial" w:hAnsi="Arial" w:cs="Arial"/>
          <w:color w:val="333333"/>
        </w:rPr>
        <w:t>. Grove Press.</w:t>
      </w:r>
    </w:p>
    <w:p w14:paraId="5899AC4D" w14:textId="77777777" w:rsidR="00E90FF1" w:rsidRPr="00915A8E" w:rsidRDefault="00E90FF1" w:rsidP="00E90FF1">
      <w:pPr>
        <w:ind w:left="720" w:hanging="720"/>
        <w:rPr>
          <w:rFonts w:ascii="Arial" w:hAnsi="Arial" w:cs="Arial"/>
        </w:rPr>
      </w:pPr>
      <w:proofErr w:type="spellStart"/>
      <w:r w:rsidRPr="00915A8E">
        <w:rPr>
          <w:rFonts w:ascii="Arial" w:hAnsi="Arial" w:cs="Arial"/>
          <w:color w:val="333333"/>
        </w:rPr>
        <w:t>Birknerová</w:t>
      </w:r>
      <w:proofErr w:type="spellEnd"/>
      <w:r w:rsidRPr="00915A8E">
        <w:rPr>
          <w:rFonts w:ascii="Arial" w:hAnsi="Arial" w:cs="Arial"/>
          <w:color w:val="333333"/>
        </w:rPr>
        <w:t xml:space="preserve">, Z., Miško, D., &amp; </w:t>
      </w:r>
      <w:proofErr w:type="spellStart"/>
      <w:r w:rsidRPr="00915A8E">
        <w:rPr>
          <w:rFonts w:ascii="Arial" w:hAnsi="Arial" w:cs="Arial"/>
          <w:color w:val="333333"/>
        </w:rPr>
        <w:t>Zbihlejová</w:t>
      </w:r>
      <w:proofErr w:type="spellEnd"/>
      <w:r w:rsidRPr="00915A8E">
        <w:rPr>
          <w:rFonts w:ascii="Arial" w:hAnsi="Arial" w:cs="Arial"/>
          <w:color w:val="333333"/>
        </w:rPr>
        <w:t xml:space="preserve">, L. (2023). Determining the core competencies of a coach: Design and validation of a new methodology. </w:t>
      </w:r>
      <w:proofErr w:type="spellStart"/>
      <w:r w:rsidRPr="00915A8E">
        <w:rPr>
          <w:rFonts w:ascii="Arial" w:hAnsi="Arial" w:cs="Arial"/>
          <w:i/>
          <w:color w:val="333333"/>
        </w:rPr>
        <w:t>Behavioral</w:t>
      </w:r>
      <w:proofErr w:type="spellEnd"/>
      <w:r w:rsidRPr="00915A8E">
        <w:rPr>
          <w:rFonts w:ascii="Arial" w:hAnsi="Arial" w:cs="Arial"/>
          <w:i/>
          <w:color w:val="333333"/>
        </w:rPr>
        <w:t xml:space="preserve"> Sciences</w:t>
      </w:r>
      <w:r w:rsidRPr="00915A8E">
        <w:rPr>
          <w:rFonts w:ascii="Arial" w:hAnsi="Arial" w:cs="Arial"/>
          <w:color w:val="333333"/>
        </w:rPr>
        <w:t>, 13(1), Article 18. https://doi.org/10.3390/bs13010018</w:t>
      </w:r>
    </w:p>
    <w:p w14:paraId="1A73F4A5" w14:textId="60603D1B" w:rsidR="00E90FF1" w:rsidRPr="00915A8E" w:rsidRDefault="00E90FF1" w:rsidP="00E90FF1">
      <w:pPr>
        <w:ind w:left="720" w:hanging="720"/>
        <w:rPr>
          <w:rFonts w:ascii="Arial" w:hAnsi="Arial" w:cs="Arial"/>
        </w:rPr>
      </w:pPr>
      <w:r w:rsidRPr="00915A8E">
        <w:rPr>
          <w:rFonts w:ascii="Arial" w:hAnsi="Arial" w:cs="Arial"/>
          <w:color w:val="333333"/>
        </w:rPr>
        <w:t>Bluckert, P. (2005a). Critical factors in executive coaching</w:t>
      </w:r>
      <w:r w:rsidR="00BA07EE" w:rsidRPr="00915A8E">
        <w:rPr>
          <w:rFonts w:ascii="Arial" w:hAnsi="Arial" w:cs="Arial"/>
          <w:color w:val="333333"/>
        </w:rPr>
        <w:t>-</w:t>
      </w:r>
      <w:r w:rsidRPr="00915A8E">
        <w:rPr>
          <w:rFonts w:ascii="Arial" w:hAnsi="Arial" w:cs="Arial"/>
          <w:color w:val="333333"/>
        </w:rPr>
        <w:t xml:space="preserve">The coaching relationship. </w:t>
      </w:r>
      <w:r w:rsidRPr="00915A8E">
        <w:rPr>
          <w:rFonts w:ascii="Arial" w:hAnsi="Arial" w:cs="Arial"/>
          <w:i/>
          <w:color w:val="333333"/>
        </w:rPr>
        <w:t>Industrial and Commercial Training</w:t>
      </w:r>
      <w:r w:rsidRPr="00915A8E">
        <w:rPr>
          <w:rFonts w:ascii="Arial" w:hAnsi="Arial" w:cs="Arial"/>
          <w:color w:val="333333"/>
        </w:rPr>
        <w:t>, 37(7), 336–340. https://doi.org/10.1108/00197850510626785</w:t>
      </w:r>
    </w:p>
    <w:p w14:paraId="6D7D1C48"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Bluckert, P. (2005b). The similarities and differences between coaching and therapy. </w:t>
      </w:r>
      <w:r w:rsidRPr="00915A8E">
        <w:rPr>
          <w:rFonts w:ascii="Arial" w:hAnsi="Arial" w:cs="Arial"/>
          <w:i/>
          <w:color w:val="333333"/>
        </w:rPr>
        <w:t>Industrial and Commercial Training</w:t>
      </w:r>
      <w:r w:rsidRPr="00915A8E">
        <w:rPr>
          <w:rFonts w:ascii="Arial" w:hAnsi="Arial" w:cs="Arial"/>
          <w:color w:val="333333"/>
        </w:rPr>
        <w:t>, 37(2), 91–96. https://doi.org/10.1108/00197850510584241</w:t>
      </w:r>
    </w:p>
    <w:p w14:paraId="73B2D4CA"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Burger, Z., &amp; van Coller-Peter, S. (2019). A guiding framework for multi-stakeholder contracting in executive coaching. </w:t>
      </w:r>
      <w:r w:rsidRPr="00915A8E">
        <w:rPr>
          <w:rFonts w:ascii="Arial" w:hAnsi="Arial" w:cs="Arial"/>
          <w:i/>
          <w:color w:val="333333"/>
        </w:rPr>
        <w:t>SA Journal of Human Resource Management</w:t>
      </w:r>
      <w:r w:rsidRPr="00915A8E">
        <w:rPr>
          <w:rFonts w:ascii="Arial" w:hAnsi="Arial" w:cs="Arial"/>
          <w:color w:val="333333"/>
        </w:rPr>
        <w:t>, 17, Article a1114. https://doi.org/10.4102/sajhrm.v17i0.1114</w:t>
      </w:r>
    </w:p>
    <w:p w14:paraId="2E9A331C"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Dembkowski, S., &amp; Eldridge, F. (2003). Beyond GROW: A new coaching model. </w:t>
      </w:r>
      <w:r w:rsidRPr="00915A8E">
        <w:rPr>
          <w:rFonts w:ascii="Arial" w:hAnsi="Arial" w:cs="Arial"/>
          <w:i/>
          <w:color w:val="333333"/>
        </w:rPr>
        <w:t>The International Journal of Mentoring and Coaching</w:t>
      </w:r>
      <w:r w:rsidRPr="00915A8E">
        <w:rPr>
          <w:rFonts w:ascii="Arial" w:hAnsi="Arial" w:cs="Arial"/>
          <w:color w:val="333333"/>
        </w:rPr>
        <w:t>, 1(1), 1–7.</w:t>
      </w:r>
    </w:p>
    <w:p w14:paraId="6CA77809"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Downey, M. (2002). </w:t>
      </w:r>
      <w:r w:rsidRPr="00915A8E">
        <w:rPr>
          <w:rFonts w:ascii="Arial" w:hAnsi="Arial" w:cs="Arial"/>
          <w:i/>
          <w:color w:val="333333"/>
        </w:rPr>
        <w:t>Effective coaching: Lessons from the coach's coach</w:t>
      </w:r>
      <w:r w:rsidRPr="00915A8E">
        <w:rPr>
          <w:rFonts w:ascii="Arial" w:hAnsi="Arial" w:cs="Arial"/>
          <w:color w:val="333333"/>
        </w:rPr>
        <w:t xml:space="preserve"> (2nd ed.). </w:t>
      </w:r>
      <w:proofErr w:type="spellStart"/>
      <w:r w:rsidRPr="00915A8E">
        <w:rPr>
          <w:rFonts w:ascii="Arial" w:hAnsi="Arial" w:cs="Arial"/>
          <w:color w:val="333333"/>
        </w:rPr>
        <w:t>Texere</w:t>
      </w:r>
      <w:proofErr w:type="spellEnd"/>
      <w:r w:rsidRPr="00915A8E">
        <w:rPr>
          <w:rFonts w:ascii="Arial" w:hAnsi="Arial" w:cs="Arial"/>
          <w:color w:val="333333"/>
        </w:rPr>
        <w:t>.</w:t>
      </w:r>
    </w:p>
    <w:p w14:paraId="6FB4DA51"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Feldman, D. C., &amp; </w:t>
      </w:r>
      <w:proofErr w:type="spellStart"/>
      <w:r w:rsidRPr="00915A8E">
        <w:rPr>
          <w:rFonts w:ascii="Arial" w:hAnsi="Arial" w:cs="Arial"/>
          <w:color w:val="333333"/>
        </w:rPr>
        <w:t>Lankau</w:t>
      </w:r>
      <w:proofErr w:type="spellEnd"/>
      <w:r w:rsidRPr="00915A8E">
        <w:rPr>
          <w:rFonts w:ascii="Arial" w:hAnsi="Arial" w:cs="Arial"/>
          <w:color w:val="333333"/>
        </w:rPr>
        <w:t xml:space="preserve">, M. J. (2005). Executive coaching: A review and agenda for future research. </w:t>
      </w:r>
      <w:r w:rsidRPr="00915A8E">
        <w:rPr>
          <w:rFonts w:ascii="Arial" w:hAnsi="Arial" w:cs="Arial"/>
          <w:i/>
          <w:color w:val="333333"/>
        </w:rPr>
        <w:t>Journal of Management</w:t>
      </w:r>
      <w:r w:rsidRPr="00915A8E">
        <w:rPr>
          <w:rFonts w:ascii="Arial" w:hAnsi="Arial" w:cs="Arial"/>
          <w:color w:val="333333"/>
        </w:rPr>
        <w:t>, 31(6), 829–848. https://doi.org/10.1177/0149206305279599</w:t>
      </w:r>
    </w:p>
    <w:p w14:paraId="08284898"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Gallwey, W. T. (2000). </w:t>
      </w:r>
      <w:r w:rsidRPr="00915A8E">
        <w:rPr>
          <w:rFonts w:ascii="Arial" w:hAnsi="Arial" w:cs="Arial"/>
          <w:i/>
          <w:color w:val="333333"/>
        </w:rPr>
        <w:t>The inner game of work</w:t>
      </w:r>
      <w:r w:rsidRPr="00915A8E">
        <w:rPr>
          <w:rFonts w:ascii="Arial" w:hAnsi="Arial" w:cs="Arial"/>
          <w:color w:val="333333"/>
        </w:rPr>
        <w:t>. Random House.</w:t>
      </w:r>
    </w:p>
    <w:p w14:paraId="0C75A9BE"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Garvey, R., Stokes, P., &amp; Megginson, D. (2017). </w:t>
      </w:r>
      <w:r w:rsidRPr="00915A8E">
        <w:rPr>
          <w:rFonts w:ascii="Arial" w:hAnsi="Arial" w:cs="Arial"/>
          <w:i/>
          <w:color w:val="333333"/>
        </w:rPr>
        <w:t>Coaching and mentoring: Theory and practice</w:t>
      </w:r>
      <w:r w:rsidRPr="00915A8E">
        <w:rPr>
          <w:rFonts w:ascii="Arial" w:hAnsi="Arial" w:cs="Arial"/>
          <w:color w:val="333333"/>
        </w:rPr>
        <w:t xml:space="preserve"> (3rd ed.). SAGE Publications.</w:t>
      </w:r>
    </w:p>
    <w:p w14:paraId="18FD8C2F"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Grant, A. M. (2012). ROI is a poor measure of coaching success: Towards a more holistic approach using a well-being and engagement framework. </w:t>
      </w:r>
      <w:r w:rsidRPr="00915A8E">
        <w:rPr>
          <w:rFonts w:ascii="Arial" w:hAnsi="Arial" w:cs="Arial"/>
          <w:i/>
          <w:color w:val="333333"/>
        </w:rPr>
        <w:t>Coaching: An International Journal of Theory, Research and Practice</w:t>
      </w:r>
      <w:r w:rsidRPr="00915A8E">
        <w:rPr>
          <w:rFonts w:ascii="Arial" w:hAnsi="Arial" w:cs="Arial"/>
          <w:color w:val="333333"/>
        </w:rPr>
        <w:t>, 5(2), 74–85. https://doi.org/10.1080/17521882.2012.672438</w:t>
      </w:r>
    </w:p>
    <w:p w14:paraId="51F7965A"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Grant, A. M., </w:t>
      </w:r>
      <w:proofErr w:type="spellStart"/>
      <w:r w:rsidRPr="00915A8E">
        <w:rPr>
          <w:rFonts w:ascii="Arial" w:hAnsi="Arial" w:cs="Arial"/>
          <w:color w:val="333333"/>
        </w:rPr>
        <w:t>Curtayne</w:t>
      </w:r>
      <w:proofErr w:type="spellEnd"/>
      <w:r w:rsidRPr="00915A8E">
        <w:rPr>
          <w:rFonts w:ascii="Arial" w:hAnsi="Arial" w:cs="Arial"/>
          <w:color w:val="333333"/>
        </w:rPr>
        <w:t xml:space="preserve">, L., &amp; Burton, G. (2009). Executive coaching enhances goal attainment, resilience and workplace well-being: A randomised controlled </w:t>
      </w:r>
      <w:r w:rsidRPr="00915A8E">
        <w:rPr>
          <w:rFonts w:ascii="Arial" w:hAnsi="Arial" w:cs="Arial"/>
          <w:color w:val="333333"/>
        </w:rPr>
        <w:lastRenderedPageBreak/>
        <w:t xml:space="preserve">study. </w:t>
      </w:r>
      <w:r w:rsidRPr="00915A8E">
        <w:rPr>
          <w:rFonts w:ascii="Arial" w:hAnsi="Arial" w:cs="Arial"/>
          <w:i/>
          <w:color w:val="333333"/>
        </w:rPr>
        <w:t>The Journal of Positive Psychology</w:t>
      </w:r>
      <w:r w:rsidRPr="00915A8E">
        <w:rPr>
          <w:rFonts w:ascii="Arial" w:hAnsi="Arial" w:cs="Arial"/>
          <w:color w:val="333333"/>
        </w:rPr>
        <w:t>, 4(5), 396–407. https://doi.org/10.1080/17439760902992456</w:t>
      </w:r>
    </w:p>
    <w:p w14:paraId="224FEC24"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Graßmann, C., Schölmerich, F., &amp; </w:t>
      </w:r>
      <w:proofErr w:type="spellStart"/>
      <w:r w:rsidRPr="00915A8E">
        <w:rPr>
          <w:rFonts w:ascii="Arial" w:hAnsi="Arial" w:cs="Arial"/>
          <w:color w:val="333333"/>
        </w:rPr>
        <w:t>Schermuly</w:t>
      </w:r>
      <w:proofErr w:type="spellEnd"/>
      <w:r w:rsidRPr="00915A8E">
        <w:rPr>
          <w:rFonts w:ascii="Arial" w:hAnsi="Arial" w:cs="Arial"/>
          <w:color w:val="333333"/>
        </w:rPr>
        <w:t xml:space="preserve">, C. C. (2020). The relationship between working alliance and client outcomes in coaching: A meta-analysis. </w:t>
      </w:r>
      <w:r w:rsidRPr="00915A8E">
        <w:rPr>
          <w:rFonts w:ascii="Arial" w:hAnsi="Arial" w:cs="Arial"/>
          <w:i/>
          <w:color w:val="333333"/>
        </w:rPr>
        <w:t>Human Relations</w:t>
      </w:r>
      <w:r w:rsidRPr="00915A8E">
        <w:rPr>
          <w:rFonts w:ascii="Arial" w:hAnsi="Arial" w:cs="Arial"/>
          <w:color w:val="333333"/>
        </w:rPr>
        <w:t>, 73(1), 35–58. https://doi.org/10.1177/0018726718819725</w:t>
      </w:r>
    </w:p>
    <w:p w14:paraId="6F22D4B3"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Hawkins, P., &amp; Smith, N. (2006). </w:t>
      </w:r>
      <w:r w:rsidRPr="00915A8E">
        <w:rPr>
          <w:rFonts w:ascii="Arial" w:hAnsi="Arial" w:cs="Arial"/>
          <w:i/>
          <w:color w:val="333333"/>
        </w:rPr>
        <w:t>Coaching, mentoring and organizational consultancy: Supervision and development</w:t>
      </w:r>
      <w:r w:rsidRPr="00915A8E">
        <w:rPr>
          <w:rFonts w:ascii="Arial" w:hAnsi="Arial" w:cs="Arial"/>
          <w:color w:val="333333"/>
        </w:rPr>
        <w:t>. Open University Press.</w:t>
      </w:r>
    </w:p>
    <w:p w14:paraId="2646DD00"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International Coaching Federation. (2020). </w:t>
      </w:r>
      <w:r w:rsidRPr="00915A8E">
        <w:rPr>
          <w:rFonts w:ascii="Arial" w:hAnsi="Arial" w:cs="Arial"/>
          <w:i/>
          <w:color w:val="333333"/>
        </w:rPr>
        <w:t>ICF code of ethics</w:t>
      </w:r>
      <w:r w:rsidRPr="00915A8E">
        <w:rPr>
          <w:rFonts w:ascii="Arial" w:hAnsi="Arial" w:cs="Arial"/>
          <w:color w:val="333333"/>
        </w:rPr>
        <w:t>. https://coachingfederation.org/wp-content/uploads/2020/01/ICF-Code-of-Ethics_final_Nov12.pdf</w:t>
      </w:r>
    </w:p>
    <w:p w14:paraId="07991A27"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Jarosz, J., &amp; </w:t>
      </w:r>
      <w:proofErr w:type="spellStart"/>
      <w:r w:rsidRPr="00915A8E">
        <w:rPr>
          <w:rFonts w:ascii="Arial" w:hAnsi="Arial" w:cs="Arial"/>
          <w:color w:val="333333"/>
        </w:rPr>
        <w:t>Cartor</w:t>
      </w:r>
      <w:proofErr w:type="spellEnd"/>
      <w:r w:rsidRPr="00915A8E">
        <w:rPr>
          <w:rFonts w:ascii="Arial" w:hAnsi="Arial" w:cs="Arial"/>
          <w:color w:val="333333"/>
        </w:rPr>
        <w:t xml:space="preserve">, R. (2025). Coaching effectiveness framework. </w:t>
      </w:r>
      <w:r w:rsidRPr="00915A8E">
        <w:rPr>
          <w:rFonts w:ascii="Arial" w:hAnsi="Arial" w:cs="Arial"/>
          <w:i/>
          <w:color w:val="333333"/>
        </w:rPr>
        <w:t>International Journal of Evidence Based Coaching and Mentoring</w:t>
      </w:r>
      <w:r w:rsidRPr="00915A8E">
        <w:rPr>
          <w:rFonts w:ascii="Arial" w:hAnsi="Arial" w:cs="Arial"/>
          <w:color w:val="333333"/>
        </w:rPr>
        <w:t>, 23(1), 49–66. https://doi.org/10.24384/ssyz-ng55</w:t>
      </w:r>
    </w:p>
    <w:p w14:paraId="178CF2C8"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Jones, R. J., Woods, S. A., &amp; Guillaume, Y. R. F. (2016). The effectiveness of workplace coaching: A meta-analysis of learning and performance outcomes from coaching. </w:t>
      </w:r>
      <w:r w:rsidRPr="00915A8E">
        <w:rPr>
          <w:rFonts w:ascii="Arial" w:hAnsi="Arial" w:cs="Arial"/>
          <w:i/>
          <w:color w:val="333333"/>
        </w:rPr>
        <w:t>Journal of Occupational and Organizational Psychology</w:t>
      </w:r>
      <w:r w:rsidRPr="00915A8E">
        <w:rPr>
          <w:rFonts w:ascii="Arial" w:hAnsi="Arial" w:cs="Arial"/>
          <w:color w:val="333333"/>
        </w:rPr>
        <w:t>, 89(2), 249–277. https://doi.org/10.1111/joop.12119</w:t>
      </w:r>
    </w:p>
    <w:p w14:paraId="154AA75E"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Karpman, S. B. (1968). Fairy tales and script drama analysis. </w:t>
      </w:r>
      <w:r w:rsidRPr="00915A8E">
        <w:rPr>
          <w:rFonts w:ascii="Arial" w:hAnsi="Arial" w:cs="Arial"/>
          <w:i/>
          <w:color w:val="333333"/>
        </w:rPr>
        <w:t>Transactional Analysis Bulletin</w:t>
      </w:r>
      <w:r w:rsidRPr="00915A8E">
        <w:rPr>
          <w:rFonts w:ascii="Arial" w:hAnsi="Arial" w:cs="Arial"/>
          <w:color w:val="333333"/>
        </w:rPr>
        <w:t>, 7(26), 39–43. https://karpmandramatriangle.com/pdf/DramaTriangle.pdf</w:t>
      </w:r>
    </w:p>
    <w:p w14:paraId="6C038A47"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Kirkpatrick, D. L. (1996). Great ideas revisited: Techniques for evaluating training programs. Revisiting Kirkpatrick's four-level model. </w:t>
      </w:r>
      <w:r w:rsidRPr="00915A8E">
        <w:rPr>
          <w:rFonts w:ascii="Arial" w:hAnsi="Arial" w:cs="Arial"/>
          <w:i/>
          <w:color w:val="333333"/>
        </w:rPr>
        <w:t>Training &amp; Development</w:t>
      </w:r>
      <w:r w:rsidRPr="00915A8E">
        <w:rPr>
          <w:rFonts w:ascii="Arial" w:hAnsi="Arial" w:cs="Arial"/>
          <w:color w:val="333333"/>
        </w:rPr>
        <w:t>, 50(1), 54–59.</w:t>
      </w:r>
    </w:p>
    <w:p w14:paraId="5EDCAA6C"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Kline, N. (2016). </w:t>
      </w:r>
      <w:r w:rsidRPr="00915A8E">
        <w:rPr>
          <w:rFonts w:ascii="Arial" w:hAnsi="Arial" w:cs="Arial"/>
          <w:i/>
          <w:color w:val="333333"/>
        </w:rPr>
        <w:t>Time to think: Listening to ignite the human mind</w:t>
      </w:r>
      <w:r w:rsidRPr="00915A8E">
        <w:rPr>
          <w:rFonts w:ascii="Arial" w:hAnsi="Arial" w:cs="Arial"/>
          <w:color w:val="333333"/>
        </w:rPr>
        <w:t>. Cassell Illustrated.</w:t>
      </w:r>
    </w:p>
    <w:p w14:paraId="5282C8F9"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Kolb, D. A. (1984). </w:t>
      </w:r>
      <w:r w:rsidRPr="00915A8E">
        <w:rPr>
          <w:rFonts w:ascii="Arial" w:hAnsi="Arial" w:cs="Arial"/>
          <w:i/>
          <w:color w:val="333333"/>
        </w:rPr>
        <w:t>Experiential learning: Experience as the source of learning and development</w:t>
      </w:r>
      <w:r w:rsidRPr="00915A8E">
        <w:rPr>
          <w:rFonts w:ascii="Arial" w:hAnsi="Arial" w:cs="Arial"/>
          <w:color w:val="333333"/>
        </w:rPr>
        <w:t>. Prentice Hall.</w:t>
      </w:r>
    </w:p>
    <w:p w14:paraId="7E64ED31"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Lawrence, P., &amp; Whyte, A. (2014a). Return on investment in executive coaching: A practical model for measuring ROI in organisations. </w:t>
      </w:r>
      <w:r w:rsidRPr="00915A8E">
        <w:rPr>
          <w:rFonts w:ascii="Arial" w:hAnsi="Arial" w:cs="Arial"/>
          <w:i/>
          <w:color w:val="333333"/>
        </w:rPr>
        <w:t>Coaching: An International Journal of Theory, Research and Practice</w:t>
      </w:r>
      <w:r w:rsidRPr="00915A8E">
        <w:rPr>
          <w:rFonts w:ascii="Arial" w:hAnsi="Arial" w:cs="Arial"/>
          <w:color w:val="333333"/>
        </w:rPr>
        <w:t>, 7(1), 4–17. https://doi.org/10.1080/17521882.2013.811694</w:t>
      </w:r>
    </w:p>
    <w:p w14:paraId="00EC70DB"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Lawrence, P., &amp; Whyte, A. (2014b). What is coaching supervision and is it important? </w:t>
      </w:r>
      <w:r w:rsidRPr="00915A8E">
        <w:rPr>
          <w:rFonts w:ascii="Arial" w:hAnsi="Arial" w:cs="Arial"/>
          <w:i/>
          <w:color w:val="333333"/>
        </w:rPr>
        <w:t>Coaching: An International Journal of Theory, Research and Practice</w:t>
      </w:r>
      <w:r w:rsidRPr="00915A8E">
        <w:rPr>
          <w:rFonts w:ascii="Arial" w:hAnsi="Arial" w:cs="Arial"/>
          <w:color w:val="333333"/>
        </w:rPr>
        <w:t>, 7(1), 39–55. https://doi.org/10.1080/17521882.2013.878370</w:t>
      </w:r>
    </w:p>
    <w:p w14:paraId="09B2455F" w14:textId="76D72939" w:rsidR="00E90FF1" w:rsidRPr="00915A8E" w:rsidRDefault="00E90FF1" w:rsidP="00E90FF1">
      <w:pPr>
        <w:ind w:left="720" w:hanging="720"/>
        <w:rPr>
          <w:rFonts w:ascii="Arial" w:hAnsi="Arial" w:cs="Arial"/>
        </w:rPr>
      </w:pPr>
      <w:proofErr w:type="spellStart"/>
      <w:r w:rsidRPr="00915A8E">
        <w:rPr>
          <w:rFonts w:ascii="Arial" w:hAnsi="Arial" w:cs="Arial"/>
          <w:color w:val="333333"/>
        </w:rPr>
        <w:t>Mbokota</w:t>
      </w:r>
      <w:proofErr w:type="spellEnd"/>
      <w:r w:rsidRPr="00915A8E">
        <w:rPr>
          <w:rFonts w:ascii="Arial" w:hAnsi="Arial" w:cs="Arial"/>
          <w:color w:val="333333"/>
        </w:rPr>
        <w:t>, G., &amp; Myres, K. (</w:t>
      </w:r>
      <w:r w:rsidR="007D7790" w:rsidRPr="00915A8E">
        <w:rPr>
          <w:rFonts w:ascii="Arial" w:hAnsi="Arial" w:cs="Arial"/>
          <w:color w:val="333333"/>
        </w:rPr>
        <w:t>202</w:t>
      </w:r>
      <w:r w:rsidR="00247CC1" w:rsidRPr="00915A8E">
        <w:rPr>
          <w:rFonts w:ascii="Arial" w:hAnsi="Arial" w:cs="Arial"/>
          <w:color w:val="333333"/>
        </w:rPr>
        <w:t>6</w:t>
      </w:r>
      <w:r w:rsidRPr="00915A8E">
        <w:rPr>
          <w:rFonts w:ascii="Arial" w:hAnsi="Arial" w:cs="Arial"/>
          <w:color w:val="333333"/>
        </w:rPr>
        <w:t xml:space="preserve">). Coach competencies to facilitate transformative learning: A multiple case study involving public-sector executives in South </w:t>
      </w:r>
      <w:r w:rsidRPr="00915A8E">
        <w:rPr>
          <w:rFonts w:ascii="Arial" w:hAnsi="Arial" w:cs="Arial"/>
          <w:color w:val="333333"/>
        </w:rPr>
        <w:lastRenderedPageBreak/>
        <w:t xml:space="preserve">Africa. </w:t>
      </w:r>
      <w:r w:rsidRPr="00915A8E">
        <w:rPr>
          <w:rFonts w:ascii="Arial" w:hAnsi="Arial" w:cs="Arial"/>
          <w:i/>
          <w:color w:val="333333"/>
        </w:rPr>
        <w:t>Human Resource Development International</w:t>
      </w:r>
      <w:r w:rsidRPr="00915A8E">
        <w:rPr>
          <w:rFonts w:ascii="Arial" w:hAnsi="Arial" w:cs="Arial"/>
          <w:color w:val="333333"/>
        </w:rPr>
        <w:t>, 29(2), 238–268. https://doi.org/10.1080/13678868.2024.2365447</w:t>
      </w:r>
    </w:p>
    <w:p w14:paraId="171C0FC1"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Megginson, D., &amp; Clutterbuck, D. (2009). </w:t>
      </w:r>
      <w:r w:rsidRPr="00915A8E">
        <w:rPr>
          <w:rFonts w:ascii="Arial" w:hAnsi="Arial" w:cs="Arial"/>
          <w:i/>
          <w:color w:val="333333"/>
        </w:rPr>
        <w:t>Further techniques for coaching and mentoring</w:t>
      </w:r>
      <w:r w:rsidRPr="00915A8E">
        <w:rPr>
          <w:rFonts w:ascii="Arial" w:hAnsi="Arial" w:cs="Arial"/>
          <w:color w:val="333333"/>
        </w:rPr>
        <w:t>. Butterworth-Heinemann.</w:t>
      </w:r>
    </w:p>
    <w:p w14:paraId="2A950D9C"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Mezirow, J. (1997). Transformative learning: Theory to practice. </w:t>
      </w:r>
      <w:r w:rsidRPr="00915A8E">
        <w:rPr>
          <w:rFonts w:ascii="Arial" w:hAnsi="Arial" w:cs="Arial"/>
          <w:i/>
          <w:color w:val="333333"/>
        </w:rPr>
        <w:t>New Directions for Adult and Continuing Education</w:t>
      </w:r>
      <w:r w:rsidRPr="00915A8E">
        <w:rPr>
          <w:rFonts w:ascii="Arial" w:hAnsi="Arial" w:cs="Arial"/>
          <w:color w:val="333333"/>
        </w:rPr>
        <w:t>, 1997(74), 5–12. https://doi.org/10.1002/ace.7401</w:t>
      </w:r>
    </w:p>
    <w:p w14:paraId="3337D521"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Moen, F., &amp; Federici, R. A. (2012). The effect from external executive coaching. </w:t>
      </w:r>
      <w:r w:rsidRPr="00915A8E">
        <w:rPr>
          <w:rFonts w:ascii="Arial" w:hAnsi="Arial" w:cs="Arial"/>
          <w:i/>
          <w:color w:val="333333"/>
        </w:rPr>
        <w:t>Coaching: An International Journal of Theory, Research and Practice</w:t>
      </w:r>
      <w:r w:rsidRPr="00915A8E">
        <w:rPr>
          <w:rFonts w:ascii="Arial" w:hAnsi="Arial" w:cs="Arial"/>
          <w:color w:val="333333"/>
        </w:rPr>
        <w:t>, 5(2), 113–131. https://doi.org/10.1080/17521882.2012.708355</w:t>
      </w:r>
    </w:p>
    <w:p w14:paraId="7FF81EB3"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Passmore, J., &amp; Fillery-Travis, A. (2011). A critical review of executive coaching research: A decade of progress and what’s to come. </w:t>
      </w:r>
      <w:r w:rsidRPr="00915A8E">
        <w:rPr>
          <w:rFonts w:ascii="Arial" w:hAnsi="Arial" w:cs="Arial"/>
          <w:i/>
          <w:color w:val="333333"/>
        </w:rPr>
        <w:t>Coaching: An International Journal of Theory, Research and Practice</w:t>
      </w:r>
      <w:r w:rsidRPr="00915A8E">
        <w:rPr>
          <w:rFonts w:ascii="Arial" w:hAnsi="Arial" w:cs="Arial"/>
          <w:color w:val="333333"/>
        </w:rPr>
        <w:t>, 4(2), 70–88. https://doi.org/10.1080/17521882.2011.596484</w:t>
      </w:r>
    </w:p>
    <w:p w14:paraId="6CBEBB10"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Riddle, D., &amp; Ting, S. (2006). Leader coaches: Principles and issues for in-house development. </w:t>
      </w:r>
      <w:r w:rsidRPr="00915A8E">
        <w:rPr>
          <w:rFonts w:ascii="Arial" w:hAnsi="Arial" w:cs="Arial"/>
          <w:i/>
          <w:color w:val="333333"/>
        </w:rPr>
        <w:t>Leadership in Action</w:t>
      </w:r>
      <w:r w:rsidRPr="00915A8E">
        <w:rPr>
          <w:rFonts w:ascii="Arial" w:hAnsi="Arial" w:cs="Arial"/>
          <w:color w:val="333333"/>
        </w:rPr>
        <w:t>, 26(2), 13–18. https://doi.org/10.1002/lia.1156</w:t>
      </w:r>
    </w:p>
    <w:p w14:paraId="6C1B4AF9"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Rogers, C. R. (1957). The necessary and sufficient conditions of therapeutic personality change. </w:t>
      </w:r>
      <w:r w:rsidRPr="00915A8E">
        <w:rPr>
          <w:rFonts w:ascii="Arial" w:hAnsi="Arial" w:cs="Arial"/>
          <w:i/>
          <w:color w:val="333333"/>
        </w:rPr>
        <w:t>Journal of Consulting Psychology</w:t>
      </w:r>
      <w:r w:rsidRPr="00915A8E">
        <w:rPr>
          <w:rFonts w:ascii="Arial" w:hAnsi="Arial" w:cs="Arial"/>
          <w:color w:val="333333"/>
        </w:rPr>
        <w:t>, 21(2), 95–103. https://doi.org/10.1037/h0045357</w:t>
      </w:r>
    </w:p>
    <w:p w14:paraId="6E181D87"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Schön, D. A. (1983). </w:t>
      </w:r>
      <w:r w:rsidRPr="00915A8E">
        <w:rPr>
          <w:rFonts w:ascii="Arial" w:hAnsi="Arial" w:cs="Arial"/>
          <w:i/>
          <w:color w:val="333333"/>
        </w:rPr>
        <w:t>The reflective practitioner: How professionals think in action</w:t>
      </w:r>
      <w:r w:rsidRPr="00915A8E">
        <w:rPr>
          <w:rFonts w:ascii="Arial" w:hAnsi="Arial" w:cs="Arial"/>
          <w:color w:val="333333"/>
        </w:rPr>
        <w:t>. Basic Books.</w:t>
      </w:r>
    </w:p>
    <w:p w14:paraId="2E31B39D" w14:textId="77777777" w:rsidR="00E90FF1" w:rsidRPr="00915A8E" w:rsidRDefault="00E90FF1" w:rsidP="00E90FF1">
      <w:pPr>
        <w:ind w:left="720" w:hanging="720"/>
        <w:rPr>
          <w:rFonts w:ascii="Arial" w:hAnsi="Arial" w:cs="Arial"/>
        </w:rPr>
      </w:pPr>
      <w:r w:rsidRPr="00915A8E">
        <w:rPr>
          <w:rFonts w:ascii="Arial" w:hAnsi="Arial" w:cs="Arial"/>
          <w:color w:val="333333"/>
        </w:rPr>
        <w:t xml:space="preserve">Whitmore, J. (2017). </w:t>
      </w:r>
      <w:r w:rsidRPr="00915A8E">
        <w:rPr>
          <w:rFonts w:ascii="Arial" w:hAnsi="Arial" w:cs="Arial"/>
          <w:i/>
          <w:color w:val="333333"/>
        </w:rPr>
        <w:t>Coaching for performance: The principles and practices of coaching and leadership</w:t>
      </w:r>
      <w:r w:rsidRPr="00915A8E">
        <w:rPr>
          <w:rFonts w:ascii="Arial" w:hAnsi="Arial" w:cs="Arial"/>
          <w:color w:val="333333"/>
        </w:rPr>
        <w:t xml:space="preserve"> (5th ed.). Nicholas Brealey Publishing.</w:t>
      </w:r>
    </w:p>
    <w:p w14:paraId="43C45358" w14:textId="77777777" w:rsidR="00E90FF1" w:rsidRPr="00915A8E" w:rsidRDefault="00E90FF1" w:rsidP="00E90FF1">
      <w:pPr>
        <w:ind w:left="720" w:hanging="720"/>
        <w:rPr>
          <w:rFonts w:ascii="Arial" w:hAnsi="Arial" w:cs="Arial"/>
        </w:rPr>
      </w:pPr>
    </w:p>
    <w:p w14:paraId="38D2FE12" w14:textId="77777777" w:rsidR="00E90FF1" w:rsidRPr="00915A8E" w:rsidRDefault="00E90FF1">
      <w:pPr>
        <w:rPr>
          <w:rFonts w:ascii="Arial" w:hAnsi="Arial" w:cs="Arial"/>
        </w:rPr>
      </w:pPr>
    </w:p>
    <w:sectPr w:rsidR="00E90FF1" w:rsidRPr="00915A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9CE16A" w14:textId="77777777" w:rsidR="006D014D" w:rsidRDefault="006D014D" w:rsidP="00E90FF1">
      <w:pPr>
        <w:spacing w:after="0" w:line="240" w:lineRule="auto"/>
      </w:pPr>
      <w:r>
        <w:separator/>
      </w:r>
    </w:p>
  </w:endnote>
  <w:endnote w:type="continuationSeparator" w:id="0">
    <w:p w14:paraId="47D6275A" w14:textId="77777777" w:rsidR="006D014D" w:rsidRDefault="006D014D" w:rsidP="00E90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EB5F99E" w14:textId="77777777" w:rsidR="006D014D" w:rsidRDefault="006D014D" w:rsidP="00E90FF1">
      <w:pPr>
        <w:spacing w:after="0" w:line="240" w:lineRule="auto"/>
      </w:pPr>
      <w:r>
        <w:separator/>
      </w:r>
    </w:p>
  </w:footnote>
  <w:footnote w:type="continuationSeparator" w:id="0">
    <w:p w14:paraId="0BCD9EDE" w14:textId="77777777" w:rsidR="006D014D" w:rsidRDefault="006D014D" w:rsidP="00E90FF1">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76"/>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FF1"/>
    <w:rsid w:val="00247CC1"/>
    <w:rsid w:val="00270D37"/>
    <w:rsid w:val="0029365F"/>
    <w:rsid w:val="00410252"/>
    <w:rsid w:val="0066745D"/>
    <w:rsid w:val="006D014D"/>
    <w:rsid w:val="007D7790"/>
    <w:rsid w:val="009018F2"/>
    <w:rsid w:val="00915A8E"/>
    <w:rsid w:val="009222F3"/>
    <w:rsid w:val="00941CBD"/>
    <w:rsid w:val="00971AE0"/>
    <w:rsid w:val="009F1A27"/>
    <w:rsid w:val="00AB351C"/>
    <w:rsid w:val="00AF7C4D"/>
    <w:rsid w:val="00B27D34"/>
    <w:rsid w:val="00BA07EE"/>
    <w:rsid w:val="00C766BD"/>
    <w:rsid w:val="00D20E6E"/>
    <w:rsid w:val="00DD4268"/>
    <w:rsid w:val="00DE3709"/>
    <w:rsid w:val="00E46D57"/>
    <w:rsid w:val="00E90FF1"/>
    <w:rsid w:val="00E93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AD8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F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0F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F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F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F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F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F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F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F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F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0F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F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F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F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F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F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F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FF1"/>
    <w:rPr>
      <w:rFonts w:eastAsiaTheme="majorEastAsia" w:cstheme="majorBidi"/>
      <w:color w:val="272727" w:themeColor="text1" w:themeTint="D8"/>
    </w:rPr>
  </w:style>
  <w:style w:type="paragraph" w:styleId="Title">
    <w:name w:val="Title"/>
    <w:basedOn w:val="Normal"/>
    <w:next w:val="Normal"/>
    <w:link w:val="TitleChar"/>
    <w:uiPriority w:val="10"/>
    <w:qFormat/>
    <w:rsid w:val="00E90F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F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F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F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FF1"/>
    <w:pPr>
      <w:spacing w:before="160"/>
      <w:jc w:val="center"/>
    </w:pPr>
    <w:rPr>
      <w:i/>
      <w:iCs/>
      <w:color w:val="404040" w:themeColor="text1" w:themeTint="BF"/>
    </w:rPr>
  </w:style>
  <w:style w:type="character" w:customStyle="1" w:styleId="QuoteChar">
    <w:name w:val="Quote Char"/>
    <w:basedOn w:val="DefaultParagraphFont"/>
    <w:link w:val="Quote"/>
    <w:uiPriority w:val="29"/>
    <w:rsid w:val="00E90FF1"/>
    <w:rPr>
      <w:i/>
      <w:iCs/>
      <w:color w:val="404040" w:themeColor="text1" w:themeTint="BF"/>
    </w:rPr>
  </w:style>
  <w:style w:type="paragraph" w:styleId="ListParagraph">
    <w:name w:val="List Paragraph"/>
    <w:basedOn w:val="Normal"/>
    <w:uiPriority w:val="34"/>
    <w:qFormat/>
    <w:rsid w:val="00E90FF1"/>
    <w:pPr>
      <w:ind w:left="720"/>
      <w:contextualSpacing/>
    </w:pPr>
  </w:style>
  <w:style w:type="character" w:styleId="IntenseEmphasis">
    <w:name w:val="Intense Emphasis"/>
    <w:basedOn w:val="DefaultParagraphFont"/>
    <w:uiPriority w:val="21"/>
    <w:qFormat/>
    <w:rsid w:val="00E90FF1"/>
    <w:rPr>
      <w:i/>
      <w:iCs/>
      <w:color w:val="0F4761" w:themeColor="accent1" w:themeShade="BF"/>
    </w:rPr>
  </w:style>
  <w:style w:type="paragraph" w:styleId="IntenseQuote">
    <w:name w:val="Intense Quote"/>
    <w:basedOn w:val="Normal"/>
    <w:next w:val="Normal"/>
    <w:link w:val="IntenseQuoteChar"/>
    <w:uiPriority w:val="30"/>
    <w:qFormat/>
    <w:rsid w:val="00E90F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FF1"/>
    <w:rPr>
      <w:i/>
      <w:iCs/>
      <w:color w:val="0F4761" w:themeColor="accent1" w:themeShade="BF"/>
    </w:rPr>
  </w:style>
  <w:style w:type="character" w:styleId="IntenseReference">
    <w:name w:val="Intense Reference"/>
    <w:basedOn w:val="DefaultParagraphFont"/>
    <w:uiPriority w:val="32"/>
    <w:qFormat/>
    <w:rsid w:val="00E90FF1"/>
    <w:rPr>
      <w:b/>
      <w:bCs/>
      <w:smallCaps/>
      <w:color w:val="0F4761" w:themeColor="accent1" w:themeShade="BF"/>
      <w:spacing w:val="5"/>
    </w:rPr>
  </w:style>
  <w:style w:type="paragraph" w:styleId="TOC1">
    <w:name w:val="toc 1"/>
    <w:basedOn w:val="Normal"/>
    <w:next w:val="Normal"/>
    <w:autoRedefine/>
    <w:uiPriority w:val="39"/>
    <w:unhideWhenUsed/>
    <w:rsid w:val="00E90FF1"/>
    <w:pPr>
      <w:spacing w:before="120" w:after="0" w:line="360" w:lineRule="auto"/>
    </w:pPr>
    <w:rPr>
      <w:rFonts w:eastAsia="Arial"/>
      <w:b/>
      <w:bCs/>
      <w:i/>
      <w:iCs/>
      <w:kern w:val="0"/>
      <w:lang w:val="en-US"/>
      <w14:ligatures w14:val="none"/>
    </w:rPr>
  </w:style>
  <w:style w:type="paragraph" w:styleId="TOC2">
    <w:name w:val="toc 2"/>
    <w:basedOn w:val="Normal"/>
    <w:next w:val="Normal"/>
    <w:autoRedefine/>
    <w:uiPriority w:val="39"/>
    <w:unhideWhenUsed/>
    <w:rsid w:val="00E90FF1"/>
    <w:pPr>
      <w:spacing w:before="120" w:after="0" w:line="360" w:lineRule="auto"/>
      <w:ind w:left="220"/>
    </w:pPr>
    <w:rPr>
      <w:rFonts w:eastAsia="Arial"/>
      <w:b/>
      <w:bCs/>
      <w:kern w:val="0"/>
      <w:sz w:val="22"/>
      <w:szCs w:val="22"/>
      <w:lang w:val="en-US"/>
      <w14:ligatures w14:val="none"/>
    </w:rPr>
  </w:style>
  <w:style w:type="character" w:styleId="Hyperlink">
    <w:name w:val="Hyperlink"/>
    <w:basedOn w:val="DefaultParagraphFont"/>
    <w:uiPriority w:val="99"/>
    <w:unhideWhenUsed/>
    <w:rsid w:val="00E90FF1"/>
    <w:rPr>
      <w:color w:val="467886" w:themeColor="hyperlink"/>
      <w:u w:val="single"/>
    </w:rPr>
  </w:style>
  <w:style w:type="paragraph" w:styleId="Header">
    <w:name w:val="header"/>
    <w:basedOn w:val="Normal"/>
    <w:link w:val="HeaderChar"/>
    <w:uiPriority w:val="99"/>
    <w:unhideWhenUsed/>
    <w:rsid w:val="00E90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FF1"/>
  </w:style>
  <w:style w:type="paragraph" w:styleId="Footer">
    <w:name w:val="footer"/>
    <w:basedOn w:val="Normal"/>
    <w:link w:val="FooterChar"/>
    <w:uiPriority w:val="99"/>
    <w:unhideWhenUsed/>
    <w:rsid w:val="00E90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0153A-8A86-2147-AD71-CDE9EFB3C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21</Pages>
  <Words>5562</Words>
  <Characters>34096</Characters>
  <Application>Microsoft Office Word</Application>
  <DocSecurity>0</DocSecurity>
  <Lines>631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dcterms:created xsi:type="dcterms:W3CDTF">2026-07-25T00:02:00Z</dcterms:created>
  <dcterms:modified xsi:type="dcterms:W3CDTF">2026-07-25T02:01:00Z</dcterms:modified>
</cp:coreProperties>
</file>