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CD14CB" w:rsidRDefault="00CD14CB">
      <w:pPr>
        <w:jc w:val="center"/>
        <w:rPr>
          <w:b/>
          <w:sz w:val="32"/>
          <w:szCs w:val="32"/>
        </w:rPr>
      </w:pPr>
    </w:p>
    <w:p w14:paraId="00000002" w14:textId="77777777" w:rsidR="00CD14CB" w:rsidRDefault="00CD14CB">
      <w:pPr>
        <w:jc w:val="center"/>
        <w:rPr>
          <w:b/>
          <w:sz w:val="32"/>
          <w:szCs w:val="32"/>
        </w:rPr>
      </w:pPr>
    </w:p>
    <w:p w14:paraId="00000003" w14:textId="77777777" w:rsidR="00CD14CB" w:rsidRDefault="00CD14CB">
      <w:pPr>
        <w:jc w:val="center"/>
        <w:rPr>
          <w:b/>
          <w:sz w:val="32"/>
          <w:szCs w:val="32"/>
        </w:rPr>
      </w:pPr>
    </w:p>
    <w:p w14:paraId="00000004" w14:textId="77777777" w:rsidR="00CD14CB" w:rsidRDefault="00CD14CB">
      <w:pPr>
        <w:jc w:val="center"/>
        <w:rPr>
          <w:b/>
          <w:sz w:val="32"/>
          <w:szCs w:val="32"/>
        </w:rPr>
      </w:pPr>
    </w:p>
    <w:p w14:paraId="00000005" w14:textId="77777777" w:rsidR="00CD14CB" w:rsidRDefault="00CD14CB">
      <w:pPr>
        <w:jc w:val="center"/>
        <w:rPr>
          <w:b/>
          <w:sz w:val="32"/>
          <w:szCs w:val="32"/>
        </w:rPr>
      </w:pPr>
    </w:p>
    <w:p w14:paraId="00000006" w14:textId="77777777" w:rsidR="00CD14CB" w:rsidRDefault="00CD14CB">
      <w:pPr>
        <w:jc w:val="center"/>
        <w:rPr>
          <w:b/>
          <w:sz w:val="32"/>
          <w:szCs w:val="32"/>
        </w:rPr>
      </w:pPr>
    </w:p>
    <w:p w14:paraId="00000007" w14:textId="77777777" w:rsidR="00CD14CB" w:rsidRDefault="00CD14CB">
      <w:pPr>
        <w:jc w:val="center"/>
        <w:rPr>
          <w:b/>
          <w:sz w:val="32"/>
          <w:szCs w:val="32"/>
        </w:rPr>
      </w:pPr>
    </w:p>
    <w:p w14:paraId="00000008" w14:textId="77777777" w:rsidR="00CD14CB" w:rsidRDefault="00CD14CB">
      <w:pPr>
        <w:jc w:val="center"/>
        <w:rPr>
          <w:b/>
          <w:sz w:val="32"/>
          <w:szCs w:val="32"/>
        </w:rPr>
      </w:pPr>
    </w:p>
    <w:p w14:paraId="457EC4A8" w14:textId="77777777" w:rsidR="00FE6DB1" w:rsidRDefault="005875A7">
      <w:pPr>
        <w:jc w:val="center"/>
        <w:rPr>
          <w:b/>
          <w:sz w:val="32"/>
          <w:szCs w:val="32"/>
        </w:rPr>
      </w:pPr>
      <w:r>
        <w:rPr>
          <w:b/>
          <w:sz w:val="32"/>
          <w:szCs w:val="32"/>
        </w:rPr>
        <w:t>CRIMINAL LAW SCENARIO QUESTION</w:t>
      </w:r>
    </w:p>
    <w:p w14:paraId="3A7E6585" w14:textId="77777777" w:rsidR="00FE6DB1" w:rsidRDefault="00FE6DB1">
      <w:pPr>
        <w:jc w:val="center"/>
        <w:rPr>
          <w:b/>
          <w:sz w:val="22"/>
          <w:szCs w:val="22"/>
        </w:rPr>
      </w:pPr>
      <w:r>
        <w:rPr>
          <w:b/>
        </w:rPr>
        <w:t>Student:</w:t>
      </w:r>
      <w:r>
        <w:rPr>
          <w:b/>
          <w:sz w:val="22"/>
          <w:szCs w:val="22"/>
        </w:rPr>
        <w:t xml:space="preserve"> Ionela Daniela Mirsu</w:t>
      </w:r>
    </w:p>
    <w:p w14:paraId="00000009" w14:textId="62EADC0C" w:rsidR="00CD14CB" w:rsidRDefault="00FE6DB1">
      <w:pPr>
        <w:jc w:val="center"/>
        <w:rPr>
          <w:b/>
          <w:sz w:val="32"/>
          <w:szCs w:val="32"/>
        </w:rPr>
      </w:pPr>
      <w:r>
        <w:rPr>
          <w:b/>
          <w:sz w:val="22"/>
          <w:szCs w:val="22"/>
        </w:rPr>
        <w:t>Student ID: 2132560</w:t>
      </w:r>
      <w:r w:rsidR="005875A7">
        <w:br w:type="page"/>
      </w:r>
    </w:p>
    <w:p w14:paraId="0000000A" w14:textId="77777777" w:rsidR="00CD14CB" w:rsidRDefault="005875A7">
      <w:pPr>
        <w:keepNext/>
        <w:keepLines/>
        <w:pBdr>
          <w:top w:val="nil"/>
          <w:left w:val="nil"/>
          <w:bottom w:val="nil"/>
          <w:right w:val="nil"/>
          <w:between w:val="nil"/>
        </w:pBdr>
        <w:spacing w:before="480" w:after="0"/>
        <w:jc w:val="center"/>
        <w:rPr>
          <w:b/>
          <w:color w:val="000000"/>
          <w:sz w:val="28"/>
          <w:szCs w:val="28"/>
        </w:rPr>
      </w:pPr>
      <w:bookmarkStart w:id="0" w:name="_heading=h.gjdgxs" w:colFirst="0" w:colLast="0"/>
      <w:bookmarkEnd w:id="0"/>
      <w:r>
        <w:rPr>
          <w:b/>
          <w:color w:val="000000"/>
          <w:sz w:val="28"/>
          <w:szCs w:val="28"/>
        </w:rPr>
        <w:lastRenderedPageBreak/>
        <w:t>Table of Contents</w:t>
      </w:r>
    </w:p>
    <w:p w14:paraId="00000012" w14:textId="77777777" w:rsidR="00CD14CB" w:rsidRDefault="005875A7">
      <w:pPr>
        <w:pStyle w:val="Heading1"/>
      </w:pPr>
      <w:bookmarkStart w:id="1" w:name="_heading=h.30j0zll" w:colFirst="0" w:colLast="0"/>
      <w:bookmarkEnd w:id="1"/>
      <w:r>
        <w:t>Introduction</w:t>
      </w:r>
    </w:p>
    <w:p w14:paraId="00000013" w14:textId="7B2BA00B" w:rsidR="00CD14CB" w:rsidRPr="00FE6DB1" w:rsidRDefault="005875A7">
      <w:pPr>
        <w:rPr>
          <w:highlight w:val="yellow"/>
        </w:rPr>
      </w:pPr>
      <w:r w:rsidRPr="00FE6DB1">
        <w:t xml:space="preserve">The paper is going to focus on criminal violence cases and existing legislation grounds that can be used in defence of officers. Criminal liability involves the responsibility for illegal behaviour which results in damage and causes harm to associated entities (TERRANOVA, PIZA and HUACON, 2023). The present study has considered the case study of Paula and Harriet regarding their potential criminal liability along with applicable defences for their acts at Christine's birthday party. The prosecution </w:t>
      </w:r>
      <w:r w:rsidR="00FE6DB1" w:rsidRPr="00FE6DB1">
        <w:t>must</w:t>
      </w:r>
      <w:r w:rsidRPr="00FE6DB1">
        <w:t xml:space="preserve"> prove that the crime is committed with intent by the accused person to ensure he/she is guilty. On the other hand, the defence prosecutor can use the ground of general defences according to English criminal law to encounter the prosecution's contention of accusing the individual with intent. General defences in the United Kingdom include insanity, automatism, duress, self-defence and intoxication. However, the judgement on these defensive grounds completely depends on hypothetical and circumstantial evidence to examine whether the accused person has the actual intent to commit the crime or not. It has been observed that defence lawyers often use these defence grounds for the acquittal or punishment reduction of offenders. However, the judiciary goes through every circumstantial evidence to conclude a decision and make a verdict on whether the crime is committed with intent or not. This study is going to focus on the case of Polly and Mohammed to discuss existing scopes of defending the offender along with examples of relevant case law. At first, the background of the case will be evaluated and then the defence options that can be considered in this case will be illustrated to reach a potential conclusion. Here the measurement of criminal liability is dependent on the intention of the wrongdoer. However, in civil acts, the liability depends on the degree of the wrong act and not on the intention. As such, the present study has provided a brief description of the background of the case so that it is possible to effectively </w:t>
      </w:r>
      <w:r w:rsidR="00FE6DB1" w:rsidRPr="00FE6DB1">
        <w:t>analyse</w:t>
      </w:r>
      <w:r w:rsidRPr="00FE6DB1">
        <w:t xml:space="preserve"> the criminal liability situation. Moreover, the defences which can be possibly applied to the case and considered for Harriet and Paula are also covered in the present study.</w:t>
      </w:r>
    </w:p>
    <w:p w14:paraId="00000014" w14:textId="77777777" w:rsidR="00CD14CB" w:rsidRDefault="005875A7">
      <w:r>
        <w:t xml:space="preserve">               </w:t>
      </w:r>
    </w:p>
    <w:p w14:paraId="00000015" w14:textId="77777777" w:rsidR="00CD14CB" w:rsidRDefault="005875A7">
      <w:pPr>
        <w:pStyle w:val="Heading2"/>
      </w:pPr>
      <w:bookmarkStart w:id="2" w:name="_heading=h.1fob9te" w:colFirst="0" w:colLast="0"/>
      <w:bookmarkEnd w:id="2"/>
      <w:r>
        <w:lastRenderedPageBreak/>
        <w:t>Case background</w:t>
      </w:r>
    </w:p>
    <w:p w14:paraId="00000016" w14:textId="38CF03CF" w:rsidR="00CD14CB" w:rsidRPr="00FE6DB1" w:rsidRDefault="005875A7">
      <w:r w:rsidRPr="00FE6DB1">
        <w:t xml:space="preserve">Polly and Mohammed had been together for the last 10 years; however, Polly has schizophrenia. In an event in the local bar, Polly became paranoid as she noticed Mohammad flirting with Roxanne, the bar lady. Polly became offended and went straight to Roxanne and call her a bitch with a humiliating gesture of showing her middle finger. As a result, she asked to leave the pub for the misbehaviour with staff. Polly noticed a moped of Roxanne outside in the parking zone and severed the brake cables with a piece of broken glass. Later at home, Polly started to accuse Mohammed of fancying Roxanne as she assumed that Mohammed found Roxanne more attractive than her. However, Mohammed continuously tried to convince her that nothing had happened like that, but in the end, he snapped and shouted sarcastically that he had been in an affair with Roxanne for the last 9 months. In this context, Polly got out of control by bursting out of anger and throwing a glass ashtray which smashed Mohammed over his head and eventually he died due to brain injury. Christine's husband threw her a birthday party at home and invited their friends when she turned 40. Christine was also excited to show off her expensive gifts, which she received from her husband on her birthday. Among them, the designer </w:t>
      </w:r>
      <w:r w:rsidR="00FE6DB1" w:rsidRPr="00FE6DB1">
        <w:t>class</w:t>
      </w:r>
      <w:r w:rsidRPr="00FE6DB1">
        <w:t xml:space="preserve"> expensive handbag was the point of jealousy for </w:t>
      </w:r>
      <w:r w:rsidR="00FE6DB1" w:rsidRPr="00FE6DB1">
        <w:t>Christine’s</w:t>
      </w:r>
      <w:r w:rsidRPr="00FE6DB1">
        <w:t xml:space="preserve"> friend Paula. Next, Paula waited for the perfect opportunity to steal the handbag in her coat but left it underneath her car when she heard someone coming. At this point, Paula had the intention of </w:t>
      </w:r>
      <w:r w:rsidR="00FE6DB1" w:rsidRPr="00FE6DB1">
        <w:t>stealing</w:t>
      </w:r>
      <w:r w:rsidRPr="00FE6DB1">
        <w:t xml:space="preserve"> the handbag by putting it in her car after the party was over. Therefore, Paula is the first example of an offender in the context of criminal liability in the case study. Furthermore, another aspect of the case study is the deceptive technique adopted by Leon against Harriet at the party. Initially, Harriet and Leon were recently introduced to one another. Among them, Harriet has turned away from consuming alcohol by choice as she was allergic towards it. However, Leon spiked Harriet's drink with an alcoholic beverage called vodka when the latter went to the restroom. Following this, Harriet started suffering from hallucinations after returning and drinking from her own glass. Harriet envisioned that the house was on fire and got involved in an accident. At this point, Christine and her husband managed to calm Harriet down, and the party was over, followed by the swift departure of the guests. However, Paula picked up the designer bag from underneath her car and drove away. Therefore, both Christine and Harriet are victims of the culprits Paula and Leon, respectively, in this case study. The above background of the case study also shows the mischievous act of Leon towards Harriet at the party. Leon had knowledge regarding Harriet being allergic to alcohol but still spiked her drink with vodka. This </w:t>
      </w:r>
      <w:r w:rsidRPr="00FE6DB1">
        <w:lastRenderedPageBreak/>
        <w:t xml:space="preserve">resulted in an accident involving Daniel breaking his cheekbone and smashing large glass panes by Harriet in her hallucination. Therefore, Leon, although committing criminal liability, cannot possibly have had knowledge regarding the outcomes of his actions. However, Paula is the major culprit in the present case study as she succeeded in stealing the handbag from her host after the party. </w:t>
      </w:r>
    </w:p>
    <w:p w14:paraId="00000017" w14:textId="77777777" w:rsidR="00CD14CB" w:rsidRPr="00FE6DB1" w:rsidRDefault="00CD14CB">
      <w:pPr>
        <w:spacing w:before="0" w:after="0"/>
      </w:pPr>
    </w:p>
    <w:p w14:paraId="00000018" w14:textId="77777777" w:rsidR="00CD14CB" w:rsidRPr="00FE6DB1" w:rsidRDefault="005875A7">
      <w:r w:rsidRPr="00FE6DB1">
        <w:t xml:space="preserve"> The overview of the case clearly reflects that Polly committed the crime of murder. However, this study is going to analyse the scope of defences by investigating whether the crime is conducted with intent or not from the side of Polly along with case law evidence.           </w:t>
      </w:r>
    </w:p>
    <w:p w14:paraId="00000019" w14:textId="77777777" w:rsidR="00CD14CB" w:rsidRDefault="005875A7">
      <w:pPr>
        <w:pStyle w:val="Heading1"/>
      </w:pPr>
      <w:bookmarkStart w:id="3" w:name="_heading=h.3znysh7" w:colFirst="0" w:colLast="0"/>
      <w:bookmarkEnd w:id="3"/>
      <w:r>
        <w:t xml:space="preserve">Defences that may be considered in this </w:t>
      </w:r>
      <w:proofErr w:type="gramStart"/>
      <w:r>
        <w:t>case</w:t>
      </w:r>
      <w:proofErr w:type="gramEnd"/>
    </w:p>
    <w:p w14:paraId="0000001A" w14:textId="77777777" w:rsidR="00CD14CB" w:rsidRPr="00FE6DB1" w:rsidRDefault="005875A7">
      <w:r w:rsidRPr="00FE6DB1">
        <w:t>As per the studies of Appelbaum (2022), insanity is one of the major grounds of criminal defence where the offenders suffer from serious mental health issues and does not have the actual intention of committing a criminal offence or the knowledge of actions and consequences. The case of Polly can be defended under the legitimate ground of insanity as she has a serious mental illness of schizophrenia. This mental disease can result in extreme delusion, hallucinations, and disordered behaviour and thinking. These symptoms can impair daily functions and self-control of the anger of a patient. Thus, the defence prosecutor can lead the case on the ground of insanity by showing mental illness and providing medical proof regarding that. For instance, “</w:t>
      </w:r>
      <w:proofErr w:type="spellStart"/>
      <w:r w:rsidRPr="00FE6DB1">
        <w:t>M'Naghten's</w:t>
      </w:r>
      <w:proofErr w:type="spellEnd"/>
      <w:r w:rsidRPr="00FE6DB1">
        <w:t xml:space="preserve"> Case 10 C &amp; F 200” (1843) was a case law example of insanity (Mack, </w:t>
      </w:r>
      <w:proofErr w:type="spellStart"/>
      <w:r w:rsidRPr="00FE6DB1">
        <w:t>n.d</w:t>
      </w:r>
      <w:proofErr w:type="spellEnd"/>
      <w:r w:rsidRPr="00FE6DB1">
        <w:t xml:space="preserve">). In this case, Daniel </w:t>
      </w:r>
      <w:proofErr w:type="spellStart"/>
      <w:r w:rsidRPr="00FE6DB1">
        <w:t>M’Naghten</w:t>
      </w:r>
      <w:proofErr w:type="spellEnd"/>
      <w:r w:rsidRPr="00FE6DB1">
        <w:t xml:space="preserve"> committed a crime by shooting Edward Drummond. He mistakenly murdered Drummond by recognising him as the Ex-prime minister of the UK Robert Peel, who was the actual target. However, the case had been defended on the ground of morbid delusion where the accused was not sure about morals and shooting someone is wrong. Thus, on the ground of insanity, the House of Lords made a verdict to give him an acquittal (Mack, </w:t>
      </w:r>
      <w:proofErr w:type="spellStart"/>
      <w:r w:rsidRPr="00FE6DB1">
        <w:t>n.d</w:t>
      </w:r>
      <w:proofErr w:type="spellEnd"/>
      <w:r w:rsidRPr="00FE6DB1">
        <w:t xml:space="preserve">). </w:t>
      </w:r>
      <w:proofErr w:type="gramStart"/>
      <w:r w:rsidRPr="00FE6DB1">
        <w:t>On the basis of</w:t>
      </w:r>
      <w:proofErr w:type="gramEnd"/>
      <w:r w:rsidRPr="00FE6DB1">
        <w:t xml:space="preserve"> the judgment, the “House of Lords” passed an exposition to judge the case of insanity which is also familiar as the </w:t>
      </w:r>
      <w:proofErr w:type="spellStart"/>
      <w:r w:rsidRPr="00FE6DB1">
        <w:t>M'Naghten</w:t>
      </w:r>
      <w:proofErr w:type="spellEnd"/>
      <w:r w:rsidRPr="00FE6DB1">
        <w:t xml:space="preserve"> Rules. According to the rule, the jury </w:t>
      </w:r>
      <w:proofErr w:type="gramStart"/>
      <w:r w:rsidRPr="00FE6DB1">
        <w:t>has to</w:t>
      </w:r>
      <w:proofErr w:type="gramEnd"/>
      <w:r w:rsidRPr="00FE6DB1">
        <w:t xml:space="preserve"> presume all accused persons as sane and process the case with an adequate degree of reason until the contradictory evidence is satisfactory on the ground of insanity. It should be proved with clarity that the accused party was under mental disease or defect of reason during committing a crime (Weiss and Joy, 2021). In addition, an </w:t>
      </w:r>
      <w:r w:rsidRPr="00FE6DB1">
        <w:lastRenderedPageBreak/>
        <w:t>accused person can be defended on the measure of insanity, if he/she did not have any idea about the quality and nature of the committed act or did not know that his/her deed is wrong.</w:t>
      </w:r>
    </w:p>
    <w:p w14:paraId="0000001B" w14:textId="367489B6" w:rsidR="00CD14CB" w:rsidRPr="00FE6DB1" w:rsidRDefault="005875A7">
      <w:r w:rsidRPr="00FE6DB1">
        <w:t xml:space="preserve">In another case of “R v Clarke 1 All ER 219” (1972), Clarke was the defendant who was apprehended for her practice of shoplifting. She placed multiple items including Jars of mincemeat, coffee and butter into the handbag she used (Law courses, </w:t>
      </w:r>
      <w:proofErr w:type="spellStart"/>
      <w:r w:rsidRPr="00FE6DB1">
        <w:t>n.d</w:t>
      </w:r>
      <w:proofErr w:type="spellEnd"/>
      <w:r w:rsidRPr="00FE6DB1">
        <w:t xml:space="preserve">). As a result, she was convicted of a charge of theft under the legal jurisdiction of the “Theft Act 1968” c.60, s.1. However, the defendant claimed that she does not have any memory of shoplifting, so she must have done it in absent-mindedness. Thus, she asserted that there was no </w:t>
      </w:r>
      <w:proofErr w:type="spellStart"/>
      <w:r w:rsidRPr="00FE6DB1">
        <w:t>mens</w:t>
      </w:r>
      <w:proofErr w:type="spellEnd"/>
      <w:r w:rsidRPr="00FE6DB1">
        <w:t xml:space="preserve"> rea behind her offence. In this case, the jury asked for medical evidence, which reflected that she was </w:t>
      </w:r>
      <w:r w:rsidR="00FE6DB1" w:rsidRPr="00FE6DB1">
        <w:t>diabetic,</w:t>
      </w:r>
      <w:r w:rsidRPr="00FE6DB1">
        <w:t xml:space="preserve"> and the psychiatrist and general practitioner testified and confirmed that she was suffering from depression which was strongly related to the bout of absent-mindedness (</w:t>
      </w:r>
      <w:proofErr w:type="spellStart"/>
      <w:r w:rsidRPr="00FE6DB1">
        <w:rPr>
          <w:color w:val="222222"/>
        </w:rPr>
        <w:t>Piroozfar</w:t>
      </w:r>
      <w:proofErr w:type="spellEnd"/>
      <w:r w:rsidRPr="00FE6DB1">
        <w:rPr>
          <w:color w:val="222222"/>
        </w:rPr>
        <w:t xml:space="preserve"> </w:t>
      </w:r>
      <w:r w:rsidRPr="00FE6DB1">
        <w:rPr>
          <w:i/>
          <w:color w:val="222222"/>
        </w:rPr>
        <w:t xml:space="preserve">et al. </w:t>
      </w:r>
      <w:r w:rsidRPr="00FE6DB1">
        <w:rPr>
          <w:color w:val="222222"/>
        </w:rPr>
        <w:t xml:space="preserve"> 2019</w:t>
      </w:r>
      <w:r w:rsidRPr="00FE6DB1">
        <w:t xml:space="preserve">). </w:t>
      </w:r>
      <w:r w:rsidR="00FE6DB1" w:rsidRPr="00FE6DB1">
        <w:rPr>
          <w:shd w:val="clear" w:color="auto" w:fill="FFE599"/>
        </w:rPr>
        <w:t>A</w:t>
      </w:r>
      <w:r w:rsidRPr="00FE6DB1">
        <w:t xml:space="preserve">ccording to the medical evidence the verdict was given where Clarke was acquitted and not proven guilty. Thus, the case of Polly can be defended on the insanity ground as she has a medical history of </w:t>
      </w:r>
      <w:r w:rsidR="00FE6DB1" w:rsidRPr="00FE6DB1">
        <w:t>schizophrenia,</w:t>
      </w:r>
      <w:r w:rsidRPr="00FE6DB1">
        <w:t xml:space="preserve"> and she was totally out of control due to paranoid and did not have any idea what she was going to do at the time of the crime. According to the case study, she was a diabetic patient, and she also has a history of schizophrenia. Therefore, the local practitioner can provide proof and evidence for her abnormal mental condition. According to medical evidence, the verdict was given when Clark was acquainted and not proven guilty. The clerk took lots of things and put them into her handbag. As per the 'Theft Act 1968' Clerk was guilty, but she can defend herself by providing evidence of her unstable mental condition. She was suffering from depression, and </w:t>
      </w:r>
      <w:proofErr w:type="gramStart"/>
      <w:r w:rsidRPr="00FE6DB1">
        <w:t>also</w:t>
      </w:r>
      <w:proofErr w:type="gramEnd"/>
      <w:r w:rsidRPr="00FE6DB1">
        <w:t xml:space="preserve"> she has a history of schizophrenia. Therefore, she can defend herself by providing medical evidence of her unstable mental condition.</w:t>
      </w:r>
    </w:p>
    <w:p w14:paraId="0000001C" w14:textId="77777777" w:rsidR="00CD14CB" w:rsidRPr="00FE6DB1" w:rsidRDefault="005875A7">
      <w:r w:rsidRPr="00FE6DB1">
        <w:t>Automatism is another criminal defence measure that can be used in the case of Polly to defend her offence. According to the case law of “Bratty vs. Attorney General Northern Ireland”, automatism can be referred to as where an illegal act is conducted by muscles without the control and involvement of the mind (Kopelman, 2022). It may include a reflex, spasm, convulsion or an act done by the accused person by not concerning about what he/she is doing such as acts done while the accused person is suffering from sleepwalking, dementia or concussion. In the case of “Broome v Perkins, 85 Cr App R 321” (1987), Perkins was the defendant who was accused of breach of duty and contributory negligence (</w:t>
      </w:r>
      <w:proofErr w:type="spellStart"/>
      <w:r w:rsidRPr="00FE6DB1">
        <w:rPr>
          <w:color w:val="222222"/>
        </w:rPr>
        <w:t>Piroozfar</w:t>
      </w:r>
      <w:proofErr w:type="spellEnd"/>
      <w:r w:rsidRPr="00FE6DB1">
        <w:rPr>
          <w:color w:val="222222"/>
        </w:rPr>
        <w:t xml:space="preserve"> </w:t>
      </w:r>
      <w:r w:rsidRPr="00FE6DB1">
        <w:rPr>
          <w:i/>
          <w:color w:val="222222"/>
        </w:rPr>
        <w:t xml:space="preserve">et al. </w:t>
      </w:r>
      <w:r w:rsidRPr="00FE6DB1">
        <w:rPr>
          <w:color w:val="222222"/>
        </w:rPr>
        <w:t xml:space="preserve"> 2019</w:t>
      </w:r>
      <w:r w:rsidRPr="00FE6DB1">
        <w:t>).</w:t>
      </w:r>
      <w:r w:rsidRPr="00FE6DB1">
        <w:rPr>
          <w:shd w:val="clear" w:color="auto" w:fill="FFF2CC"/>
        </w:rPr>
        <w:t xml:space="preserve"> At</w:t>
      </w:r>
      <w:r w:rsidRPr="00FE6DB1">
        <w:t xml:space="preserve"> the court trial, the defendant </w:t>
      </w:r>
      <w:r w:rsidRPr="00FE6DB1">
        <w:lastRenderedPageBreak/>
        <w:t xml:space="preserve">argued that he was diabetic and suffered a hypoglycaemic incident and finally lapsed into “automatic driving” mode. Thus, the reckless driving done by him was not </w:t>
      </w:r>
      <w:proofErr w:type="spellStart"/>
      <w:r w:rsidRPr="00FE6DB1">
        <w:t>mens</w:t>
      </w:r>
      <w:proofErr w:type="spellEnd"/>
      <w:r w:rsidRPr="00FE6DB1">
        <w:t xml:space="preserve"> rea but completely automatic and involuntary. The jury decided that the defendant did not have any control over his action by examining his health condition of him during the incident accident (</w:t>
      </w:r>
      <w:proofErr w:type="spellStart"/>
      <w:r w:rsidRPr="00FE6DB1">
        <w:rPr>
          <w:color w:val="222222"/>
        </w:rPr>
        <w:t>Piroozfar</w:t>
      </w:r>
      <w:proofErr w:type="spellEnd"/>
      <w:r w:rsidRPr="00FE6DB1">
        <w:rPr>
          <w:color w:val="222222"/>
        </w:rPr>
        <w:t xml:space="preserve"> </w:t>
      </w:r>
      <w:r w:rsidRPr="00FE6DB1">
        <w:rPr>
          <w:i/>
          <w:color w:val="222222"/>
        </w:rPr>
        <w:t xml:space="preserve">et al. </w:t>
      </w:r>
      <w:r w:rsidRPr="00FE6DB1">
        <w:rPr>
          <w:color w:val="222222"/>
        </w:rPr>
        <w:t xml:space="preserve"> 2019</w:t>
      </w:r>
      <w:r w:rsidRPr="00FE6DB1">
        <w:t xml:space="preserve">). As a result, Perkins got acquitted on the defence ground of automatism. Similarly, Polly suffered from schizophrenia and </w:t>
      </w:r>
      <w:proofErr w:type="gramStart"/>
      <w:r w:rsidRPr="00FE6DB1">
        <w:t>anxiety</w:t>
      </w:r>
      <w:proofErr w:type="gramEnd"/>
      <w:r w:rsidRPr="00FE6DB1">
        <w:t xml:space="preserve"> and she became paranoid during the time of crime. The incident portrays that Polly was possessive about Mohammed which means she shared a feeling of love for him. However, her mental paranoid condition made her out of control in anger and the accidental murder was not intended at all. Polly was not in control of her action due to her mental illness and utterly unaware of what she was doing at that moment. Thus, the case of offence can be defended on the criminal defensive ground of automatism.                 </w:t>
      </w:r>
    </w:p>
    <w:p w14:paraId="0000001D" w14:textId="6BF85FB8" w:rsidR="00CD14CB" w:rsidRPr="00FE6DB1" w:rsidRDefault="005875A7">
      <w:bookmarkStart w:id="4" w:name="_heading=h.2et92p0" w:colFirst="0" w:colLast="0"/>
      <w:bookmarkEnd w:id="4"/>
      <w:r w:rsidRPr="00FE6DB1">
        <w:t xml:space="preserve">In addition, the case of Polly can be defended based on the measure of intoxication. On the day of the crime event, Polly and Mohammed went to a bar and they were drunk which comes under voluntary intoxication. Additionally, Polly can defend herself based on intoxication. But they did not drink for Dutch courage, which makes unjustifiable ground for intoxication. </w:t>
      </w:r>
      <w:r w:rsidR="00FE6DB1" w:rsidRPr="00FE6DB1">
        <w:t>Therefore, they</w:t>
      </w:r>
      <w:r w:rsidRPr="00FE6DB1">
        <w:t xml:space="preserve"> went for voluntary intoxication. Therefore, Mohammod, although committing criminal liability, cannot possibly have had knowledge regarding the outcomes of his actions. However, Polly is also involved in the present case study as she succeeded in stealing the handbag from her host after voluntary intoxication. </w:t>
      </w:r>
    </w:p>
    <w:p w14:paraId="0000001E" w14:textId="4C7CD7F5" w:rsidR="00CD14CB" w:rsidRDefault="005875A7">
      <w:bookmarkStart w:id="5" w:name="_heading=h.elqjsuo7acv9" w:colFirst="0" w:colLast="0"/>
      <w:bookmarkEnd w:id="5"/>
      <w:r w:rsidRPr="00FE6DB1">
        <w:t>However, they both did not use to drink for Dutch courage which makes an offence unjustifiable on the ground of intoxication. For instance, in “R v Lipman 1 QB 152” (1970), the defendant was addicted to the drug (LSD) and brutally killed the victim while the evidence of asphyxia was clear (</w:t>
      </w:r>
      <w:r w:rsidRPr="00FE6DB1">
        <w:rPr>
          <w:color w:val="222222"/>
        </w:rPr>
        <w:t xml:space="preserve">Greer </w:t>
      </w:r>
      <w:r w:rsidRPr="00FE6DB1">
        <w:rPr>
          <w:i/>
          <w:color w:val="222222"/>
        </w:rPr>
        <w:t>et al.</w:t>
      </w:r>
      <w:r w:rsidRPr="00FE6DB1">
        <w:rPr>
          <w:color w:val="222222"/>
        </w:rPr>
        <w:t xml:space="preserve"> 2022</w:t>
      </w:r>
      <w:r w:rsidRPr="00FE6DB1">
        <w:t xml:space="preserve">). However, the defendant argued </w:t>
      </w:r>
      <w:r w:rsidR="00FE6DB1" w:rsidRPr="00FE6DB1">
        <w:t>based on</w:t>
      </w:r>
      <w:r w:rsidRPr="00FE6DB1">
        <w:t xml:space="preserve"> intoxication and stated that he had delusion and no control while committing the crime. The jury refused the appeal and sentenced him to six years as it was a case of intoxication due to Dutch </w:t>
      </w:r>
      <w:r w:rsidR="00FE6DB1" w:rsidRPr="00FE6DB1">
        <w:t>courage (</w:t>
      </w:r>
      <w:r w:rsidRPr="00FE6DB1">
        <w:rPr>
          <w:color w:val="222222"/>
        </w:rPr>
        <w:t xml:space="preserve">Greer </w:t>
      </w:r>
      <w:r w:rsidRPr="00FE6DB1">
        <w:rPr>
          <w:i/>
          <w:color w:val="222222"/>
        </w:rPr>
        <w:t>et al.</w:t>
      </w:r>
      <w:r w:rsidRPr="00FE6DB1">
        <w:rPr>
          <w:color w:val="222222"/>
        </w:rPr>
        <w:t xml:space="preserve"> 2022)</w:t>
      </w:r>
      <w:r w:rsidRPr="00FE6DB1">
        <w:t>. However, the case of Polly is different and here voluntary intoxication along with her mental illness can strengthen the defensive standpoint to minimise the sentence</w:t>
      </w:r>
      <w:r>
        <w:t xml:space="preserve">.                                </w:t>
      </w:r>
    </w:p>
    <w:p w14:paraId="0000001F" w14:textId="77777777" w:rsidR="00CD14CB" w:rsidRDefault="005875A7">
      <w:pPr>
        <w:pStyle w:val="Heading1"/>
      </w:pPr>
      <w:bookmarkStart w:id="6" w:name="_heading=h.tyjcwt" w:colFirst="0" w:colLast="0"/>
      <w:bookmarkEnd w:id="6"/>
      <w:r>
        <w:lastRenderedPageBreak/>
        <w:t>Conclusion</w:t>
      </w:r>
    </w:p>
    <w:p w14:paraId="00000020" w14:textId="77777777" w:rsidR="00CD14CB" w:rsidRPr="00FE6DB1" w:rsidRDefault="005875A7">
      <w:r w:rsidRPr="00FE6DB1">
        <w:t xml:space="preserve">The case of Polly and Mohammed has been evaluated and analysed with several case laws to find out the available options for defending the offender. It has been concluded that the case can be effectively defended on the grounds of insanity and automatism. Along with this, the defensive ground of voluntary intoxication along with these above-mentioned measures can make the defence much stronger to reduce the punishment. </w:t>
      </w:r>
      <w:r w:rsidRPr="00FE6DB1">
        <w:br w:type="page"/>
      </w:r>
    </w:p>
    <w:p w14:paraId="00000021" w14:textId="77777777" w:rsidR="00CD14CB" w:rsidRDefault="005875A7">
      <w:pPr>
        <w:pStyle w:val="Heading1"/>
      </w:pPr>
      <w:bookmarkStart w:id="7" w:name="_heading=h.3dy6vkm" w:colFirst="0" w:colLast="0"/>
      <w:bookmarkEnd w:id="7"/>
      <w:r>
        <w:lastRenderedPageBreak/>
        <w:t xml:space="preserve">Reference list </w:t>
      </w:r>
    </w:p>
    <w:p w14:paraId="00000022" w14:textId="77777777" w:rsidR="00CD14CB" w:rsidRDefault="005875A7">
      <w:pPr>
        <w:spacing w:before="240" w:after="240"/>
      </w:pPr>
      <w:r>
        <w:t xml:space="preserve">Appelbaum, P.S., 2022. Settled insanity: substance use meets the insanity </w:t>
      </w:r>
      <w:proofErr w:type="spellStart"/>
      <w:r>
        <w:t>defense</w:t>
      </w:r>
      <w:proofErr w:type="spellEnd"/>
      <w:r>
        <w:t xml:space="preserve">. </w:t>
      </w:r>
      <w:r>
        <w:rPr>
          <w:i/>
        </w:rPr>
        <w:t>Psychiatric services</w:t>
      </w:r>
      <w:r>
        <w:t xml:space="preserve">, </w:t>
      </w:r>
      <w:r>
        <w:rPr>
          <w:i/>
        </w:rPr>
        <w:t>73</w:t>
      </w:r>
      <w:r>
        <w:t>(1), pp.105-107.</w:t>
      </w:r>
    </w:p>
    <w:p w14:paraId="00000023" w14:textId="77777777" w:rsidR="00CD14CB" w:rsidRDefault="005875A7">
      <w:pPr>
        <w:spacing w:before="240" w:after="240"/>
      </w:pPr>
      <w:r>
        <w:t xml:space="preserve">Kopelman, M.D., 2022. Automatism: Are we throwing the baby out with the </w:t>
      </w:r>
      <w:proofErr w:type="gramStart"/>
      <w:r>
        <w:t>bathwater?.</w:t>
      </w:r>
      <w:proofErr w:type="gramEnd"/>
      <w:r>
        <w:t xml:space="preserve"> </w:t>
      </w:r>
      <w:r>
        <w:rPr>
          <w:i/>
        </w:rPr>
        <w:t>Medicine, Science and the Law</w:t>
      </w:r>
      <w:r>
        <w:t xml:space="preserve">, </w:t>
      </w:r>
      <w:r>
        <w:rPr>
          <w:i/>
        </w:rPr>
        <w:t>62</w:t>
      </w:r>
      <w:r>
        <w:t>(4), pp.245-247.</w:t>
      </w:r>
    </w:p>
    <w:p w14:paraId="00000024" w14:textId="77777777" w:rsidR="00CD14CB" w:rsidRDefault="005875A7">
      <w:pPr>
        <w:spacing w:before="240" w:after="240"/>
      </w:pPr>
      <w:r>
        <w:t xml:space="preserve">Law Teacher, 2021. </w:t>
      </w:r>
      <w:r>
        <w:rPr>
          <w:i/>
        </w:rPr>
        <w:t>R v Clarke 1972.</w:t>
      </w:r>
      <w:r>
        <w:t xml:space="preserve"> Available at: https://www.lawteacher.net/cases/r-v-clarke.php#:~:text=Legal%20Case%20Summary&amp;text=The%20defendant%20was%20apprehended%20for,1%20and%20was%20convicted. (Accessed 03 May 2023).</w:t>
      </w:r>
    </w:p>
    <w:p w14:paraId="00000025" w14:textId="77777777" w:rsidR="00CD14CB" w:rsidRDefault="005875A7">
      <w:pPr>
        <w:spacing w:before="240" w:after="240"/>
      </w:pPr>
      <w:r>
        <w:t xml:space="preserve">Mack, C.T., n.d. </w:t>
      </w:r>
      <w:r>
        <w:rPr>
          <w:i/>
        </w:rPr>
        <w:t xml:space="preserve">Criminal Law and Procedure—Legal Insanity Not Established </w:t>
      </w:r>
      <w:proofErr w:type="gramStart"/>
      <w:r>
        <w:rPr>
          <w:i/>
        </w:rPr>
        <w:t>By</w:t>
      </w:r>
      <w:proofErr w:type="gramEnd"/>
      <w:r>
        <w:rPr>
          <w:i/>
        </w:rPr>
        <w:t xml:space="preserve"> Showing Defendant Operates Under Own Standard Of Morality, 13 Buff. L. Rev. 200 (1963).</w:t>
      </w:r>
      <w:r>
        <w:t xml:space="preserve"> Available at: https://digitalcommons.law.buffalo.edu/buffalolawreview/vol13/iss1/28 (Accessed 03 May 2023).</w:t>
      </w:r>
    </w:p>
    <w:p w14:paraId="00000026" w14:textId="77777777" w:rsidR="00CD14CB" w:rsidRPr="00FE6DB1" w:rsidRDefault="005875A7">
      <w:pPr>
        <w:spacing w:before="0" w:after="0"/>
        <w:rPr>
          <w:sz w:val="34"/>
          <w:szCs w:val="34"/>
        </w:rPr>
      </w:pPr>
      <w:r w:rsidRPr="00FE6DB1">
        <w:rPr>
          <w:color w:val="222222"/>
          <w:sz w:val="26"/>
          <w:szCs w:val="26"/>
        </w:rPr>
        <w:t xml:space="preserve">Greer, A., Bonn, M., Shane, C., Stevens, A., </w:t>
      </w:r>
      <w:proofErr w:type="spellStart"/>
      <w:r w:rsidRPr="00FE6DB1">
        <w:rPr>
          <w:color w:val="222222"/>
          <w:sz w:val="26"/>
          <w:szCs w:val="26"/>
        </w:rPr>
        <w:t>Tousenard</w:t>
      </w:r>
      <w:proofErr w:type="spellEnd"/>
      <w:r w:rsidRPr="00FE6DB1">
        <w:rPr>
          <w:color w:val="222222"/>
          <w:sz w:val="26"/>
          <w:szCs w:val="26"/>
        </w:rPr>
        <w:t xml:space="preserve">, N. and Ritter, A., 2022. The details of decriminalization: Designing a non-criminal response to the possession of drugs for personal use. </w:t>
      </w:r>
      <w:r w:rsidRPr="00FE6DB1">
        <w:rPr>
          <w:i/>
          <w:color w:val="222222"/>
          <w:sz w:val="26"/>
          <w:szCs w:val="26"/>
        </w:rPr>
        <w:t>International Journal of Drug Policy</w:t>
      </w:r>
      <w:r w:rsidRPr="00FE6DB1">
        <w:rPr>
          <w:color w:val="222222"/>
          <w:sz w:val="26"/>
          <w:szCs w:val="26"/>
        </w:rPr>
        <w:t xml:space="preserve">, </w:t>
      </w:r>
      <w:r w:rsidRPr="00FE6DB1">
        <w:rPr>
          <w:i/>
          <w:color w:val="222222"/>
          <w:sz w:val="26"/>
          <w:szCs w:val="26"/>
        </w:rPr>
        <w:t>102</w:t>
      </w:r>
      <w:r w:rsidRPr="00FE6DB1">
        <w:rPr>
          <w:color w:val="222222"/>
          <w:sz w:val="26"/>
          <w:szCs w:val="26"/>
        </w:rPr>
        <w:t xml:space="preserve">, p.103605.  Available at: </w:t>
      </w:r>
      <w:hyperlink r:id="rId7">
        <w:r w:rsidRPr="00FE6DB1">
          <w:rPr>
            <w:color w:val="1155CC"/>
            <w:sz w:val="26"/>
            <w:szCs w:val="26"/>
            <w:u w:val="single"/>
          </w:rPr>
          <w:t>https://doi.org/10.1016/j.drugpo.2022.103605</w:t>
        </w:r>
      </w:hyperlink>
      <w:r w:rsidRPr="00FE6DB1">
        <w:rPr>
          <w:color w:val="222222"/>
          <w:sz w:val="26"/>
          <w:szCs w:val="26"/>
        </w:rPr>
        <w:t xml:space="preserve"> (Accessed 18 </w:t>
      </w:r>
      <w:proofErr w:type="gramStart"/>
      <w:r w:rsidRPr="00FE6DB1">
        <w:rPr>
          <w:color w:val="222222"/>
          <w:sz w:val="26"/>
          <w:szCs w:val="26"/>
        </w:rPr>
        <w:t>July,</w:t>
      </w:r>
      <w:proofErr w:type="gramEnd"/>
      <w:r w:rsidRPr="00FE6DB1">
        <w:rPr>
          <w:color w:val="222222"/>
          <w:sz w:val="26"/>
          <w:szCs w:val="26"/>
        </w:rPr>
        <w:t xml:space="preserve"> 2023)</w:t>
      </w:r>
    </w:p>
    <w:p w14:paraId="00000027" w14:textId="77777777" w:rsidR="00CD14CB" w:rsidRPr="00FE6DB1" w:rsidRDefault="00CD14CB">
      <w:pPr>
        <w:spacing w:before="0" w:after="0"/>
        <w:rPr>
          <w:color w:val="222222"/>
          <w:sz w:val="26"/>
          <w:szCs w:val="26"/>
        </w:rPr>
      </w:pPr>
    </w:p>
    <w:p w14:paraId="00000028" w14:textId="77777777" w:rsidR="00CD14CB" w:rsidRPr="00FE6DB1" w:rsidRDefault="005875A7">
      <w:pPr>
        <w:spacing w:before="0" w:after="0"/>
        <w:rPr>
          <w:sz w:val="28"/>
          <w:szCs w:val="28"/>
        </w:rPr>
      </w:pPr>
      <w:proofErr w:type="spellStart"/>
      <w:r w:rsidRPr="00FE6DB1">
        <w:rPr>
          <w:color w:val="222222"/>
        </w:rPr>
        <w:t>Piroozfar</w:t>
      </w:r>
      <w:proofErr w:type="spellEnd"/>
      <w:r w:rsidRPr="00FE6DB1">
        <w:rPr>
          <w:color w:val="222222"/>
        </w:rPr>
        <w:t>, P., Farr, E.R., Aboagye-</w:t>
      </w:r>
      <w:proofErr w:type="spellStart"/>
      <w:r w:rsidRPr="00FE6DB1">
        <w:rPr>
          <w:color w:val="222222"/>
        </w:rPr>
        <w:t>Nimo</w:t>
      </w:r>
      <w:proofErr w:type="spellEnd"/>
      <w:r w:rsidRPr="00FE6DB1">
        <w:rPr>
          <w:color w:val="222222"/>
        </w:rPr>
        <w:t>, E. and Osei-</w:t>
      </w:r>
      <w:proofErr w:type="spellStart"/>
      <w:r w:rsidRPr="00FE6DB1">
        <w:rPr>
          <w:color w:val="222222"/>
        </w:rPr>
        <w:t>Berchie</w:t>
      </w:r>
      <w:proofErr w:type="spellEnd"/>
      <w:r w:rsidRPr="00FE6DB1">
        <w:rPr>
          <w:color w:val="222222"/>
        </w:rPr>
        <w:t xml:space="preserve">, J., 2019. Crime prevention in urban spaces through environmental design: A critical UK perspective. </w:t>
      </w:r>
      <w:r w:rsidRPr="00FE6DB1">
        <w:rPr>
          <w:i/>
          <w:color w:val="222222"/>
        </w:rPr>
        <w:t>Cities</w:t>
      </w:r>
      <w:r w:rsidRPr="00FE6DB1">
        <w:rPr>
          <w:color w:val="222222"/>
        </w:rPr>
        <w:t xml:space="preserve">, </w:t>
      </w:r>
      <w:r w:rsidRPr="00FE6DB1">
        <w:rPr>
          <w:i/>
          <w:color w:val="222222"/>
        </w:rPr>
        <w:t>95</w:t>
      </w:r>
      <w:r w:rsidRPr="00FE6DB1">
        <w:rPr>
          <w:color w:val="222222"/>
        </w:rPr>
        <w:t xml:space="preserve">, p.102411. </w:t>
      </w:r>
      <w:r w:rsidRPr="00FE6DB1">
        <w:rPr>
          <w:color w:val="222222"/>
          <w:sz w:val="26"/>
          <w:szCs w:val="26"/>
        </w:rPr>
        <w:t xml:space="preserve">Available </w:t>
      </w:r>
      <w:proofErr w:type="spellStart"/>
      <w:r w:rsidRPr="00FE6DB1">
        <w:rPr>
          <w:color w:val="222222"/>
          <w:sz w:val="26"/>
          <w:szCs w:val="26"/>
        </w:rPr>
        <w:t>at:</w:t>
      </w:r>
      <w:hyperlink r:id="rId8">
        <w:r w:rsidRPr="00FE6DB1">
          <w:rPr>
            <w:color w:val="1155CC"/>
            <w:sz w:val="20"/>
            <w:szCs w:val="20"/>
            <w:u w:val="single"/>
          </w:rPr>
          <w:t>https</w:t>
        </w:r>
        <w:proofErr w:type="spellEnd"/>
        <w:r w:rsidRPr="00FE6DB1">
          <w:rPr>
            <w:color w:val="1155CC"/>
            <w:sz w:val="20"/>
            <w:szCs w:val="20"/>
            <w:u w:val="single"/>
          </w:rPr>
          <w:t>://doi.org/10.1016/j.cities.2019.102411</w:t>
        </w:r>
      </w:hyperlink>
      <w:r w:rsidRPr="00FE6DB1">
        <w:rPr>
          <w:color w:val="222222"/>
          <w:sz w:val="20"/>
          <w:szCs w:val="20"/>
        </w:rPr>
        <w:t xml:space="preserve"> </w:t>
      </w:r>
      <w:r w:rsidRPr="00FE6DB1">
        <w:rPr>
          <w:color w:val="222222"/>
          <w:sz w:val="26"/>
          <w:szCs w:val="26"/>
        </w:rPr>
        <w:t xml:space="preserve">(Accessed 18 </w:t>
      </w:r>
      <w:proofErr w:type="gramStart"/>
      <w:r w:rsidRPr="00FE6DB1">
        <w:rPr>
          <w:color w:val="222222"/>
          <w:sz w:val="26"/>
          <w:szCs w:val="26"/>
        </w:rPr>
        <w:t>July,</w:t>
      </w:r>
      <w:proofErr w:type="gramEnd"/>
      <w:r w:rsidRPr="00FE6DB1">
        <w:rPr>
          <w:color w:val="222222"/>
          <w:sz w:val="26"/>
          <w:szCs w:val="26"/>
        </w:rPr>
        <w:t xml:space="preserve"> 2023)</w:t>
      </w:r>
    </w:p>
    <w:p w14:paraId="00000029" w14:textId="77777777" w:rsidR="00CD14CB" w:rsidRPr="00FE6DB1" w:rsidRDefault="00CD14CB">
      <w:pPr>
        <w:spacing w:before="0" w:after="0"/>
        <w:rPr>
          <w:color w:val="222222"/>
          <w:sz w:val="26"/>
          <w:szCs w:val="26"/>
        </w:rPr>
      </w:pPr>
    </w:p>
    <w:p w14:paraId="0000002A" w14:textId="77777777" w:rsidR="00CD14CB" w:rsidRPr="00FE6DB1" w:rsidRDefault="005875A7">
      <w:pPr>
        <w:spacing w:before="0" w:after="0"/>
      </w:pPr>
      <w:r w:rsidRPr="00FE6DB1">
        <w:t xml:space="preserve">TERRANOVA, K.T., PIZA, I.A.C. and HUACON, S.H.G., 2023. CRIMINAL LIABILITY OF LEGAL PERSONS IN ECUADOR. Russian Law Journal, 11(13s). </w:t>
      </w:r>
      <w:r w:rsidRPr="00FE6DB1">
        <w:rPr>
          <w:color w:val="222222"/>
          <w:sz w:val="26"/>
          <w:szCs w:val="26"/>
        </w:rPr>
        <w:t xml:space="preserve">Available at: </w:t>
      </w:r>
      <w:hyperlink r:id="rId9">
        <w:r w:rsidRPr="00FE6DB1">
          <w:rPr>
            <w:color w:val="1155CC"/>
            <w:u w:val="single"/>
          </w:rPr>
          <w:t>https://russianlawjournal.org/index.php/journal/article/download/2423/1361</w:t>
        </w:r>
      </w:hyperlink>
      <w:r w:rsidRPr="00FE6DB1">
        <w:t xml:space="preserve"> (Accessed: July 18, 2023).</w:t>
      </w:r>
    </w:p>
    <w:p w14:paraId="0000002B" w14:textId="77777777" w:rsidR="00CD14CB" w:rsidRPr="00FE6DB1" w:rsidRDefault="00CD14CB">
      <w:pPr>
        <w:spacing w:before="0" w:after="0"/>
        <w:rPr>
          <w:color w:val="222222"/>
          <w:sz w:val="26"/>
          <w:szCs w:val="26"/>
        </w:rPr>
      </w:pPr>
    </w:p>
    <w:p w14:paraId="0000002C" w14:textId="77777777" w:rsidR="00CD14CB" w:rsidRDefault="005875A7">
      <w:r>
        <w:t xml:space="preserve"> </w:t>
      </w:r>
    </w:p>
    <w:sectPr w:rsidR="00CD14CB">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FE6B6" w14:textId="77777777" w:rsidR="003A6575" w:rsidRDefault="003A6575">
      <w:pPr>
        <w:spacing w:before="0" w:after="0" w:line="240" w:lineRule="auto"/>
      </w:pPr>
      <w:r>
        <w:separator/>
      </w:r>
    </w:p>
  </w:endnote>
  <w:endnote w:type="continuationSeparator" w:id="0">
    <w:p w14:paraId="76E448BB" w14:textId="77777777" w:rsidR="003A6575" w:rsidRDefault="003A657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14E8D" w14:textId="77777777" w:rsidR="005875A7" w:rsidRDefault="005875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D" w14:textId="513FC9F3" w:rsidR="00CD14CB" w:rsidRDefault="005875A7">
    <w:pPr>
      <w:pBdr>
        <w:top w:val="nil"/>
        <w:left w:val="nil"/>
        <w:bottom w:val="nil"/>
        <w:right w:val="nil"/>
        <w:between w:val="nil"/>
      </w:pBdr>
      <w:tabs>
        <w:tab w:val="center" w:pos="4513"/>
        <w:tab w:val="right" w:pos="9026"/>
      </w:tabs>
      <w:spacing w:before="0"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3F60EE">
      <w:rPr>
        <w:noProof/>
        <w:color w:val="000000"/>
        <w:sz w:val="20"/>
        <w:szCs w:val="20"/>
      </w:rPr>
      <w:t>1</w:t>
    </w:r>
    <w:r>
      <w:rPr>
        <w:color w:val="000000"/>
        <w:sz w:val="20"/>
        <w:szCs w:val="20"/>
      </w:rPr>
      <w:fldChar w:fldCharType="end"/>
    </w:r>
  </w:p>
  <w:p w14:paraId="0000002E" w14:textId="77777777" w:rsidR="00CD14CB" w:rsidRDefault="00CD14CB">
    <w:pPr>
      <w:pBdr>
        <w:top w:val="nil"/>
        <w:left w:val="nil"/>
        <w:bottom w:val="nil"/>
        <w:right w:val="nil"/>
        <w:between w:val="nil"/>
      </w:pBdr>
      <w:tabs>
        <w:tab w:val="center" w:pos="4513"/>
        <w:tab w:val="right" w:pos="9026"/>
      </w:tabs>
      <w:spacing w:before="0"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FBAFF" w14:textId="77777777" w:rsidR="005875A7" w:rsidRDefault="00587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EC986" w14:textId="77777777" w:rsidR="003A6575" w:rsidRDefault="003A6575">
      <w:pPr>
        <w:spacing w:before="0" w:after="0" w:line="240" w:lineRule="auto"/>
      </w:pPr>
      <w:r>
        <w:separator/>
      </w:r>
    </w:p>
  </w:footnote>
  <w:footnote w:type="continuationSeparator" w:id="0">
    <w:p w14:paraId="3D108341" w14:textId="77777777" w:rsidR="003A6575" w:rsidRDefault="003A657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3FE79" w14:textId="77777777" w:rsidR="005875A7" w:rsidRDefault="005875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357FD" w14:textId="77777777" w:rsidR="005875A7" w:rsidRDefault="005875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BC1CAB" w14:textId="77777777" w:rsidR="005875A7" w:rsidRDefault="005875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4CB"/>
    <w:rsid w:val="003A6575"/>
    <w:rsid w:val="003F60EE"/>
    <w:rsid w:val="005875A7"/>
    <w:rsid w:val="009B147B"/>
    <w:rsid w:val="00CD14CB"/>
    <w:rsid w:val="00FE6DB1"/>
    <w:rsid w:val="00FF2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4D303E"/>
  <w15:docId w15:val="{722A494A-5FA3-574E-8695-BCF3A0B83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A211E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211E3"/>
  </w:style>
  <w:style w:type="paragraph" w:styleId="Footer">
    <w:name w:val="footer"/>
    <w:basedOn w:val="Normal"/>
    <w:link w:val="FooterChar"/>
    <w:uiPriority w:val="99"/>
    <w:unhideWhenUsed/>
    <w:rsid w:val="00A211E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211E3"/>
  </w:style>
  <w:style w:type="paragraph" w:styleId="BalloonText">
    <w:name w:val="Balloon Text"/>
    <w:basedOn w:val="Normal"/>
    <w:link w:val="BalloonTextChar"/>
    <w:uiPriority w:val="99"/>
    <w:semiHidden/>
    <w:unhideWhenUsed/>
    <w:rsid w:val="00A211E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11E3"/>
    <w:rPr>
      <w:rFonts w:ascii="Tahoma" w:hAnsi="Tahoma" w:cs="Tahoma"/>
      <w:sz w:val="16"/>
      <w:szCs w:val="16"/>
    </w:rPr>
  </w:style>
  <w:style w:type="paragraph" w:styleId="TOCHeading">
    <w:name w:val="TOC Heading"/>
    <w:basedOn w:val="Heading1"/>
    <w:next w:val="Normal"/>
    <w:uiPriority w:val="39"/>
    <w:semiHidden/>
    <w:unhideWhenUsed/>
    <w:qFormat/>
    <w:rsid w:val="00A211E3"/>
    <w:pPr>
      <w:spacing w:before="480" w:after="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A211E3"/>
    <w:pPr>
      <w:spacing w:after="100"/>
    </w:pPr>
  </w:style>
  <w:style w:type="paragraph" w:styleId="TOC2">
    <w:name w:val="toc 2"/>
    <w:basedOn w:val="Normal"/>
    <w:next w:val="Normal"/>
    <w:autoRedefine/>
    <w:uiPriority w:val="39"/>
    <w:unhideWhenUsed/>
    <w:rsid w:val="00A211E3"/>
    <w:pPr>
      <w:spacing w:after="100"/>
      <w:ind w:left="240"/>
    </w:pPr>
  </w:style>
  <w:style w:type="character" w:styleId="Hyperlink">
    <w:name w:val="Hyperlink"/>
    <w:basedOn w:val="DefaultParagraphFont"/>
    <w:uiPriority w:val="99"/>
    <w:unhideWhenUsed/>
    <w:rsid w:val="00A211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16/j.cities.2019.102411"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016/j.drugpo.2022.103605"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russianlawjournal.org/index.php/journal/article/download/2423/1361"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AVWELLTszZlZyq3mk6Wo+xqjaQ==">CgMxLjAyCGguZ2pkZ3hzMgloLjMwajB6bGwyCWguMWZvYjl0ZTIJaC4zem55c2g3MgloLjJldDkycDAyDmguZWxxanN1bzdhY3Y5MghoLnR5amN3dDIJaC4zZHk2dmttOAByITFueW9HMWhRamQyUHdOMUtISmRLODRid0YwdDQwdXRXdA==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2298</Words>
  <Characters>13099</Characters>
  <Application>Microsoft Office Word</Application>
  <DocSecurity>0</DocSecurity>
  <Lines>109</Lines>
  <Paragraphs>30</Paragraphs>
  <ScaleCrop>false</ScaleCrop>
  <Company/>
  <LinksUpToDate>false</LinksUpToDate>
  <CharactersWithSpaces>15367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Ionela Daniela Mirsu (2132560)</cp:lastModifiedBy>
  <cp:revision>3</cp:revision>
  <dcterms:created xsi:type="dcterms:W3CDTF">2023-07-20T19:56:00Z</dcterms:created>
  <dcterms:modified xsi:type="dcterms:W3CDTF">2023-07-20T20:20:00Z</dcterms:modified>
</cp:coreProperties>
</file>