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61A40" w14:textId="6052316F" w:rsidR="00215D5C" w:rsidRPr="0019509C" w:rsidRDefault="00E366BA" w:rsidP="00E366BA">
      <w:pPr>
        <w:jc w:val="center"/>
        <w:rPr>
          <w:b/>
          <w:bCs/>
          <w:sz w:val="32"/>
          <w:szCs w:val="32"/>
        </w:rPr>
      </w:pPr>
      <w:r>
        <w:fldChar w:fldCharType="begin"/>
      </w:r>
      <w:r>
        <w:instrText xml:space="preserve"> INCLUDEPICTURE "https://walesdtp-legacy.cardiff.ac.uk/wp-content/uploads/2023/10/university-of-wales-trinity-saint-david-logo-vector.png" \* MERGEFORMATINET </w:instrText>
      </w:r>
      <w:r>
        <w:fldChar w:fldCharType="separate"/>
      </w:r>
      <w:r>
        <w:rPr>
          <w:noProof/>
        </w:rPr>
        <w:drawing>
          <wp:inline distT="0" distB="0" distL="0" distR="0" wp14:anchorId="4643209D" wp14:editId="6E5F5354">
            <wp:extent cx="3032620" cy="1684141"/>
            <wp:effectExtent l="0" t="0" r="3175" b="5080"/>
            <wp:docPr id="1357797652"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65878" cy="1702611"/>
                    </a:xfrm>
                    <a:prstGeom prst="rect">
                      <a:avLst/>
                    </a:prstGeom>
                    <a:noFill/>
                    <a:ln>
                      <a:noFill/>
                    </a:ln>
                  </pic:spPr>
                </pic:pic>
              </a:graphicData>
            </a:graphic>
          </wp:inline>
        </w:drawing>
      </w:r>
      <w:r>
        <w:fldChar w:fldCharType="end"/>
      </w:r>
    </w:p>
    <w:p w14:paraId="1E99C1C0" w14:textId="52321E00" w:rsidR="00215D5C" w:rsidRPr="0019509C" w:rsidRDefault="00E366BA" w:rsidP="00215D5C">
      <w:pPr>
        <w:jc w:val="center"/>
        <w:rPr>
          <w:b/>
          <w:bCs/>
          <w:sz w:val="32"/>
          <w:szCs w:val="32"/>
        </w:rPr>
      </w:pPr>
      <w:r w:rsidRPr="00E366BA">
        <w:rPr>
          <w:b/>
          <w:bCs/>
          <w:sz w:val="32"/>
          <w:szCs w:val="32"/>
        </w:rPr>
        <w:t>Programme: Master of Business Administration</w:t>
      </w:r>
    </w:p>
    <w:p w14:paraId="0BAA9495" w14:textId="77777777" w:rsidR="00215D5C" w:rsidRPr="0019509C" w:rsidRDefault="00215D5C" w:rsidP="00215D5C">
      <w:pPr>
        <w:jc w:val="center"/>
        <w:rPr>
          <w:b/>
          <w:bCs/>
          <w:sz w:val="32"/>
          <w:szCs w:val="32"/>
        </w:rPr>
      </w:pPr>
    </w:p>
    <w:p w14:paraId="3FF0C6BD" w14:textId="77777777" w:rsidR="001224F6" w:rsidRPr="001224F6" w:rsidRDefault="001224F6" w:rsidP="001224F6">
      <w:pPr>
        <w:jc w:val="center"/>
        <w:rPr>
          <w:b/>
          <w:bCs/>
          <w:sz w:val="32"/>
          <w:szCs w:val="32"/>
        </w:rPr>
      </w:pPr>
      <w:r w:rsidRPr="001224F6">
        <w:rPr>
          <w:b/>
          <w:bCs/>
          <w:sz w:val="32"/>
          <w:szCs w:val="32"/>
        </w:rPr>
        <w:t>Module: Financial Management</w:t>
      </w:r>
    </w:p>
    <w:p w14:paraId="2A12C397" w14:textId="13051628" w:rsidR="00215D5C" w:rsidRDefault="001224F6" w:rsidP="001224F6">
      <w:pPr>
        <w:jc w:val="center"/>
        <w:rPr>
          <w:b/>
          <w:bCs/>
          <w:sz w:val="32"/>
          <w:szCs w:val="32"/>
        </w:rPr>
      </w:pPr>
      <w:r w:rsidRPr="001224F6">
        <w:rPr>
          <w:b/>
          <w:bCs/>
          <w:sz w:val="32"/>
          <w:szCs w:val="32"/>
        </w:rPr>
        <w:t>Module code: LCMB7002</w:t>
      </w:r>
    </w:p>
    <w:p w14:paraId="44B833D1" w14:textId="77777777" w:rsidR="00E366BA" w:rsidRPr="0019509C" w:rsidRDefault="00E366BA" w:rsidP="001224F6">
      <w:pPr>
        <w:jc w:val="center"/>
        <w:rPr>
          <w:b/>
          <w:bCs/>
          <w:sz w:val="32"/>
          <w:szCs w:val="32"/>
        </w:rPr>
      </w:pPr>
    </w:p>
    <w:p w14:paraId="2CE638D2" w14:textId="1E750509" w:rsidR="007D542C" w:rsidRDefault="00215D5C" w:rsidP="00215D5C">
      <w:pPr>
        <w:jc w:val="center"/>
        <w:rPr>
          <w:b/>
          <w:bCs/>
          <w:sz w:val="32"/>
          <w:szCs w:val="32"/>
        </w:rPr>
      </w:pPr>
      <w:r w:rsidRPr="0019509C">
        <w:rPr>
          <w:b/>
          <w:bCs/>
          <w:sz w:val="32"/>
          <w:szCs w:val="32"/>
        </w:rPr>
        <w:t xml:space="preserve">Financial </w:t>
      </w:r>
      <w:r w:rsidR="00462219">
        <w:rPr>
          <w:b/>
          <w:bCs/>
          <w:sz w:val="32"/>
          <w:szCs w:val="32"/>
        </w:rPr>
        <w:t>P</w:t>
      </w:r>
      <w:r w:rsidRPr="0019509C">
        <w:rPr>
          <w:b/>
          <w:bCs/>
          <w:sz w:val="32"/>
          <w:szCs w:val="32"/>
        </w:rPr>
        <w:t xml:space="preserve">erformance and </w:t>
      </w:r>
      <w:r w:rsidR="00462219">
        <w:rPr>
          <w:b/>
          <w:bCs/>
          <w:sz w:val="32"/>
          <w:szCs w:val="32"/>
        </w:rPr>
        <w:t>M</w:t>
      </w:r>
      <w:r w:rsidRPr="0019509C">
        <w:rPr>
          <w:b/>
          <w:bCs/>
          <w:sz w:val="32"/>
          <w:szCs w:val="32"/>
        </w:rPr>
        <w:t>anagement of BYD</w:t>
      </w:r>
    </w:p>
    <w:p w14:paraId="339BB9C9" w14:textId="77777777" w:rsidR="00E366BA" w:rsidRDefault="00E366BA" w:rsidP="00215D5C">
      <w:pPr>
        <w:jc w:val="center"/>
        <w:rPr>
          <w:b/>
          <w:bCs/>
          <w:sz w:val="32"/>
          <w:szCs w:val="32"/>
        </w:rPr>
      </w:pPr>
    </w:p>
    <w:p w14:paraId="59EF1920" w14:textId="68BB4A71" w:rsidR="00E366BA" w:rsidRPr="00E366BA" w:rsidRDefault="00E366BA" w:rsidP="00E366BA">
      <w:pPr>
        <w:jc w:val="center"/>
        <w:rPr>
          <w:b/>
          <w:bCs/>
          <w:sz w:val="32"/>
          <w:szCs w:val="32"/>
        </w:rPr>
      </w:pPr>
      <w:r w:rsidRPr="00E366BA">
        <w:rPr>
          <w:b/>
          <w:bCs/>
          <w:sz w:val="32"/>
          <w:szCs w:val="32"/>
        </w:rPr>
        <w:t>Lecturer:</w:t>
      </w:r>
    </w:p>
    <w:p w14:paraId="44A3BC6A" w14:textId="77777777" w:rsidR="00E366BA" w:rsidRPr="00E366BA" w:rsidRDefault="00E366BA" w:rsidP="00E366BA">
      <w:pPr>
        <w:jc w:val="center"/>
        <w:rPr>
          <w:b/>
          <w:bCs/>
          <w:sz w:val="32"/>
          <w:szCs w:val="32"/>
        </w:rPr>
      </w:pPr>
      <w:proofErr w:type="spellStart"/>
      <w:r w:rsidRPr="00E366BA">
        <w:rPr>
          <w:b/>
          <w:bCs/>
          <w:sz w:val="32"/>
          <w:szCs w:val="32"/>
        </w:rPr>
        <w:t>Shengfeng</w:t>
      </w:r>
      <w:proofErr w:type="spellEnd"/>
      <w:r w:rsidRPr="00E366BA">
        <w:rPr>
          <w:b/>
          <w:bCs/>
          <w:sz w:val="32"/>
          <w:szCs w:val="32"/>
        </w:rPr>
        <w:t xml:space="preserve"> Mei</w:t>
      </w:r>
    </w:p>
    <w:p w14:paraId="59F83632" w14:textId="587FF58A" w:rsidR="00E366BA" w:rsidRDefault="00E366BA" w:rsidP="00E366BA">
      <w:pPr>
        <w:jc w:val="center"/>
        <w:rPr>
          <w:b/>
          <w:bCs/>
          <w:sz w:val="32"/>
          <w:szCs w:val="32"/>
        </w:rPr>
      </w:pPr>
      <w:r w:rsidRPr="00E366BA">
        <w:rPr>
          <w:b/>
          <w:bCs/>
          <w:sz w:val="32"/>
          <w:szCs w:val="32"/>
        </w:rPr>
        <w:t>Patrick Yeboah</w:t>
      </w:r>
    </w:p>
    <w:p w14:paraId="30E1FD33" w14:textId="77777777" w:rsidR="00E366BA" w:rsidRPr="0019509C" w:rsidRDefault="00E366BA" w:rsidP="00E366BA">
      <w:pPr>
        <w:jc w:val="center"/>
        <w:rPr>
          <w:b/>
          <w:bCs/>
          <w:sz w:val="32"/>
          <w:szCs w:val="32"/>
        </w:rPr>
      </w:pPr>
    </w:p>
    <w:p w14:paraId="171E9646" w14:textId="3CA700F8" w:rsidR="00215D5C" w:rsidRPr="0019509C" w:rsidRDefault="00215D5C" w:rsidP="00215D5C">
      <w:pPr>
        <w:jc w:val="center"/>
        <w:rPr>
          <w:b/>
          <w:bCs/>
          <w:sz w:val="32"/>
          <w:szCs w:val="32"/>
        </w:rPr>
      </w:pPr>
      <w:r w:rsidRPr="0019509C">
        <w:rPr>
          <w:b/>
          <w:bCs/>
          <w:sz w:val="32"/>
          <w:szCs w:val="32"/>
        </w:rPr>
        <w:t>Student Name:</w:t>
      </w:r>
      <w:r w:rsidR="00E366BA" w:rsidRPr="00E366BA">
        <w:rPr>
          <w:b/>
          <w:bCs/>
          <w:sz w:val="32"/>
          <w:szCs w:val="32"/>
        </w:rPr>
        <w:t xml:space="preserve"> </w:t>
      </w:r>
      <w:r w:rsidR="00E366BA" w:rsidRPr="00E366BA">
        <w:rPr>
          <w:b/>
          <w:bCs/>
          <w:sz w:val="32"/>
          <w:szCs w:val="32"/>
        </w:rPr>
        <w:t xml:space="preserve">Kaushal </w:t>
      </w:r>
      <w:proofErr w:type="spellStart"/>
      <w:r w:rsidR="00E366BA" w:rsidRPr="00E366BA">
        <w:rPr>
          <w:b/>
          <w:bCs/>
          <w:sz w:val="32"/>
          <w:szCs w:val="32"/>
        </w:rPr>
        <w:t>Ashokbhai</w:t>
      </w:r>
      <w:proofErr w:type="spellEnd"/>
      <w:r w:rsidR="00E366BA" w:rsidRPr="00E366BA">
        <w:rPr>
          <w:b/>
          <w:bCs/>
          <w:sz w:val="32"/>
          <w:szCs w:val="32"/>
        </w:rPr>
        <w:t xml:space="preserve"> Prajapati</w:t>
      </w:r>
    </w:p>
    <w:p w14:paraId="0B77C7EF" w14:textId="0D1C44A0" w:rsidR="00215D5C" w:rsidRDefault="00E366BA" w:rsidP="00215D5C">
      <w:pPr>
        <w:jc w:val="center"/>
        <w:rPr>
          <w:b/>
          <w:bCs/>
          <w:sz w:val="32"/>
          <w:szCs w:val="32"/>
        </w:rPr>
      </w:pPr>
      <w:r>
        <w:rPr>
          <w:b/>
          <w:bCs/>
          <w:sz w:val="32"/>
          <w:szCs w:val="32"/>
        </w:rPr>
        <w:t>Student ID</w:t>
      </w:r>
      <w:r w:rsidR="00215D5C" w:rsidRPr="0019509C">
        <w:rPr>
          <w:b/>
          <w:bCs/>
          <w:sz w:val="32"/>
          <w:szCs w:val="32"/>
        </w:rPr>
        <w:t>:</w:t>
      </w:r>
      <w:r w:rsidRPr="00E366BA">
        <w:rPr>
          <w:b/>
          <w:bCs/>
          <w:sz w:val="32"/>
          <w:szCs w:val="32"/>
        </w:rPr>
        <w:t xml:space="preserve"> </w:t>
      </w:r>
      <w:r w:rsidRPr="00E366BA">
        <w:rPr>
          <w:b/>
          <w:bCs/>
          <w:sz w:val="32"/>
          <w:szCs w:val="32"/>
        </w:rPr>
        <w:t>2531730</w:t>
      </w:r>
    </w:p>
    <w:p w14:paraId="1B3F71E3" w14:textId="77777777" w:rsidR="00E366BA" w:rsidRDefault="00E366BA" w:rsidP="00215D5C">
      <w:pPr>
        <w:jc w:val="center"/>
        <w:rPr>
          <w:b/>
          <w:bCs/>
          <w:sz w:val="32"/>
          <w:szCs w:val="32"/>
        </w:rPr>
      </w:pPr>
    </w:p>
    <w:p w14:paraId="7428A7E0" w14:textId="271829DC" w:rsidR="00E366BA" w:rsidRPr="0019509C" w:rsidRDefault="00E366BA" w:rsidP="00215D5C">
      <w:pPr>
        <w:jc w:val="center"/>
        <w:rPr>
          <w:b/>
          <w:bCs/>
          <w:sz w:val="32"/>
          <w:szCs w:val="32"/>
        </w:rPr>
      </w:pPr>
      <w:r>
        <w:rPr>
          <w:b/>
          <w:bCs/>
          <w:sz w:val="32"/>
          <w:szCs w:val="32"/>
        </w:rPr>
        <w:t>Words: 4990</w:t>
      </w:r>
    </w:p>
    <w:p w14:paraId="0D3DE0C3" w14:textId="77777777" w:rsidR="00215D5C" w:rsidRPr="0019509C" w:rsidRDefault="00215D5C">
      <w:pPr>
        <w:rPr>
          <w:b/>
          <w:bCs/>
          <w:sz w:val="28"/>
          <w:szCs w:val="28"/>
        </w:rPr>
      </w:pPr>
      <w:r w:rsidRPr="0019509C">
        <w:rPr>
          <w:b/>
          <w:bCs/>
          <w:sz w:val="28"/>
          <w:szCs w:val="28"/>
        </w:rPr>
        <w:br w:type="page"/>
      </w:r>
    </w:p>
    <w:p w14:paraId="19E45084" w14:textId="77777777" w:rsidR="007D542C" w:rsidRPr="0019509C" w:rsidRDefault="00583B5A">
      <w:pPr>
        <w:jc w:val="center"/>
        <w:rPr>
          <w:b/>
          <w:bCs/>
          <w:sz w:val="28"/>
          <w:szCs w:val="28"/>
        </w:rPr>
      </w:pPr>
      <w:r w:rsidRPr="0019509C">
        <w:rPr>
          <w:b/>
          <w:bCs/>
          <w:sz w:val="28"/>
          <w:szCs w:val="28"/>
        </w:rPr>
        <w:lastRenderedPageBreak/>
        <w:t>Table of Contents</w:t>
      </w:r>
    </w:p>
    <w:sdt>
      <w:sdtPr>
        <w:rPr>
          <w:szCs w:val="24"/>
        </w:rPr>
        <w:id w:val="2120791459"/>
        <w:docPartObj>
          <w:docPartGallery w:val="Table of Contents"/>
          <w:docPartUnique/>
        </w:docPartObj>
      </w:sdtPr>
      <w:sdtContent>
        <w:p w14:paraId="66F189DA" w14:textId="77777777" w:rsidR="00583B5A" w:rsidRDefault="00583B5A">
          <w:pPr>
            <w:pStyle w:val="TOC1"/>
            <w:tabs>
              <w:tab w:val="right" w:leader="dot" w:pos="9350"/>
            </w:tabs>
            <w:rPr>
              <w:rFonts w:asciiTheme="minorHAnsi" w:eastAsiaTheme="minorEastAsia" w:hAnsiTheme="minorHAnsi" w:cstheme="minorBidi"/>
              <w:noProof/>
              <w:sz w:val="22"/>
              <w:szCs w:val="28"/>
            </w:rPr>
          </w:pPr>
          <w:r w:rsidRPr="0019509C">
            <w:fldChar w:fldCharType="begin"/>
          </w:r>
          <w:r w:rsidRPr="0019509C">
            <w:instrText xml:space="preserve"> TOC \h \u \z \t "Heading 1,1,Heading 2,2,Heading 3,3,Heading 4,4,Heading 5,5,Heading 6,6,"</w:instrText>
          </w:r>
          <w:r w:rsidRPr="0019509C">
            <w:fldChar w:fldCharType="separate"/>
          </w:r>
          <w:hyperlink w:anchor="_Toc227782209" w:history="1">
            <w:r w:rsidRPr="00216955">
              <w:rPr>
                <w:rStyle w:val="Hyperlink"/>
                <w:noProof/>
              </w:rPr>
              <w:t>1. Introduction</w:t>
            </w:r>
            <w:r>
              <w:rPr>
                <w:noProof/>
                <w:webHidden/>
              </w:rPr>
              <w:tab/>
            </w:r>
            <w:r>
              <w:rPr>
                <w:noProof/>
                <w:webHidden/>
              </w:rPr>
              <w:fldChar w:fldCharType="begin"/>
            </w:r>
            <w:r>
              <w:rPr>
                <w:noProof/>
                <w:webHidden/>
              </w:rPr>
              <w:instrText xml:space="preserve"> PAGEREF _Toc227782209 \h </w:instrText>
            </w:r>
            <w:r>
              <w:rPr>
                <w:noProof/>
                <w:webHidden/>
              </w:rPr>
            </w:r>
            <w:r>
              <w:rPr>
                <w:noProof/>
                <w:webHidden/>
              </w:rPr>
              <w:fldChar w:fldCharType="separate"/>
            </w:r>
            <w:r>
              <w:rPr>
                <w:noProof/>
                <w:webHidden/>
              </w:rPr>
              <w:t>4</w:t>
            </w:r>
            <w:r>
              <w:rPr>
                <w:noProof/>
                <w:webHidden/>
              </w:rPr>
              <w:fldChar w:fldCharType="end"/>
            </w:r>
          </w:hyperlink>
        </w:p>
        <w:p w14:paraId="5B426F59"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10" w:history="1">
            <w:r w:rsidRPr="00216955">
              <w:rPr>
                <w:rStyle w:val="Hyperlink"/>
                <w:noProof/>
              </w:rPr>
              <w:t>2. Financial Health Check</w:t>
            </w:r>
            <w:r>
              <w:rPr>
                <w:noProof/>
                <w:webHidden/>
              </w:rPr>
              <w:tab/>
            </w:r>
            <w:r>
              <w:rPr>
                <w:noProof/>
                <w:webHidden/>
              </w:rPr>
              <w:fldChar w:fldCharType="begin"/>
            </w:r>
            <w:r>
              <w:rPr>
                <w:noProof/>
                <w:webHidden/>
              </w:rPr>
              <w:instrText xml:space="preserve"> PAGEREF _Toc227782210 \h </w:instrText>
            </w:r>
            <w:r>
              <w:rPr>
                <w:noProof/>
                <w:webHidden/>
              </w:rPr>
            </w:r>
            <w:r>
              <w:rPr>
                <w:noProof/>
                <w:webHidden/>
              </w:rPr>
              <w:fldChar w:fldCharType="separate"/>
            </w:r>
            <w:r>
              <w:rPr>
                <w:noProof/>
                <w:webHidden/>
              </w:rPr>
              <w:t>4</w:t>
            </w:r>
            <w:r>
              <w:rPr>
                <w:noProof/>
                <w:webHidden/>
              </w:rPr>
              <w:fldChar w:fldCharType="end"/>
            </w:r>
          </w:hyperlink>
        </w:p>
        <w:p w14:paraId="1EB68C8A"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11" w:history="1">
            <w:r w:rsidRPr="00216955">
              <w:rPr>
                <w:rStyle w:val="Hyperlink"/>
                <w:noProof/>
              </w:rPr>
              <w:t>2.1 Overview of Financial Performance</w:t>
            </w:r>
            <w:r>
              <w:rPr>
                <w:noProof/>
                <w:webHidden/>
              </w:rPr>
              <w:tab/>
            </w:r>
            <w:r>
              <w:rPr>
                <w:noProof/>
                <w:webHidden/>
              </w:rPr>
              <w:fldChar w:fldCharType="begin"/>
            </w:r>
            <w:r>
              <w:rPr>
                <w:noProof/>
                <w:webHidden/>
              </w:rPr>
              <w:instrText xml:space="preserve"> PAGEREF _Toc227782211 \h </w:instrText>
            </w:r>
            <w:r>
              <w:rPr>
                <w:noProof/>
                <w:webHidden/>
              </w:rPr>
            </w:r>
            <w:r>
              <w:rPr>
                <w:noProof/>
                <w:webHidden/>
              </w:rPr>
              <w:fldChar w:fldCharType="separate"/>
            </w:r>
            <w:r>
              <w:rPr>
                <w:noProof/>
                <w:webHidden/>
              </w:rPr>
              <w:t>4</w:t>
            </w:r>
            <w:r>
              <w:rPr>
                <w:noProof/>
                <w:webHidden/>
              </w:rPr>
              <w:fldChar w:fldCharType="end"/>
            </w:r>
          </w:hyperlink>
        </w:p>
        <w:p w14:paraId="5C3A507D"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12" w:history="1">
            <w:r w:rsidRPr="00216955">
              <w:rPr>
                <w:rStyle w:val="Hyperlink"/>
                <w:noProof/>
              </w:rPr>
              <w:t>2.2 Ratio Analysis</w:t>
            </w:r>
            <w:r>
              <w:rPr>
                <w:noProof/>
                <w:webHidden/>
              </w:rPr>
              <w:tab/>
            </w:r>
            <w:r>
              <w:rPr>
                <w:noProof/>
                <w:webHidden/>
              </w:rPr>
              <w:fldChar w:fldCharType="begin"/>
            </w:r>
            <w:r>
              <w:rPr>
                <w:noProof/>
                <w:webHidden/>
              </w:rPr>
              <w:instrText xml:space="preserve"> PAGEREF _Toc227782212 \h </w:instrText>
            </w:r>
            <w:r>
              <w:rPr>
                <w:noProof/>
                <w:webHidden/>
              </w:rPr>
            </w:r>
            <w:r>
              <w:rPr>
                <w:noProof/>
                <w:webHidden/>
              </w:rPr>
              <w:fldChar w:fldCharType="separate"/>
            </w:r>
            <w:r>
              <w:rPr>
                <w:noProof/>
                <w:webHidden/>
              </w:rPr>
              <w:t>6</w:t>
            </w:r>
            <w:r>
              <w:rPr>
                <w:noProof/>
                <w:webHidden/>
              </w:rPr>
              <w:fldChar w:fldCharType="end"/>
            </w:r>
          </w:hyperlink>
        </w:p>
        <w:p w14:paraId="442EBAC1"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3" w:history="1">
            <w:r w:rsidRPr="00216955">
              <w:rPr>
                <w:rStyle w:val="Hyperlink"/>
                <w:noProof/>
              </w:rPr>
              <w:t>Profitability Ratios</w:t>
            </w:r>
            <w:r>
              <w:rPr>
                <w:noProof/>
                <w:webHidden/>
              </w:rPr>
              <w:tab/>
            </w:r>
            <w:r>
              <w:rPr>
                <w:noProof/>
                <w:webHidden/>
              </w:rPr>
              <w:fldChar w:fldCharType="begin"/>
            </w:r>
            <w:r>
              <w:rPr>
                <w:noProof/>
                <w:webHidden/>
              </w:rPr>
              <w:instrText xml:space="preserve"> PAGEREF _Toc227782213 \h </w:instrText>
            </w:r>
            <w:r>
              <w:rPr>
                <w:noProof/>
                <w:webHidden/>
              </w:rPr>
            </w:r>
            <w:r>
              <w:rPr>
                <w:noProof/>
                <w:webHidden/>
              </w:rPr>
              <w:fldChar w:fldCharType="separate"/>
            </w:r>
            <w:r>
              <w:rPr>
                <w:noProof/>
                <w:webHidden/>
              </w:rPr>
              <w:t>6</w:t>
            </w:r>
            <w:r>
              <w:rPr>
                <w:noProof/>
                <w:webHidden/>
              </w:rPr>
              <w:fldChar w:fldCharType="end"/>
            </w:r>
          </w:hyperlink>
        </w:p>
        <w:p w14:paraId="4FBF54CE"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4" w:history="1">
            <w:r w:rsidRPr="00216955">
              <w:rPr>
                <w:rStyle w:val="Hyperlink"/>
                <w:noProof/>
              </w:rPr>
              <w:t>Liquidity Ratios</w:t>
            </w:r>
            <w:r>
              <w:rPr>
                <w:noProof/>
                <w:webHidden/>
              </w:rPr>
              <w:tab/>
            </w:r>
            <w:r>
              <w:rPr>
                <w:noProof/>
                <w:webHidden/>
              </w:rPr>
              <w:fldChar w:fldCharType="begin"/>
            </w:r>
            <w:r>
              <w:rPr>
                <w:noProof/>
                <w:webHidden/>
              </w:rPr>
              <w:instrText xml:space="preserve"> PAGEREF _Toc227782214 \h </w:instrText>
            </w:r>
            <w:r>
              <w:rPr>
                <w:noProof/>
                <w:webHidden/>
              </w:rPr>
            </w:r>
            <w:r>
              <w:rPr>
                <w:noProof/>
                <w:webHidden/>
              </w:rPr>
              <w:fldChar w:fldCharType="separate"/>
            </w:r>
            <w:r>
              <w:rPr>
                <w:noProof/>
                <w:webHidden/>
              </w:rPr>
              <w:t>7</w:t>
            </w:r>
            <w:r>
              <w:rPr>
                <w:noProof/>
                <w:webHidden/>
              </w:rPr>
              <w:fldChar w:fldCharType="end"/>
            </w:r>
          </w:hyperlink>
        </w:p>
        <w:p w14:paraId="7A2542BE"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5" w:history="1">
            <w:r w:rsidRPr="00216955">
              <w:rPr>
                <w:rStyle w:val="Hyperlink"/>
                <w:noProof/>
              </w:rPr>
              <w:t>Efficiency Ratios</w:t>
            </w:r>
            <w:r>
              <w:rPr>
                <w:noProof/>
                <w:webHidden/>
              </w:rPr>
              <w:tab/>
            </w:r>
            <w:r>
              <w:rPr>
                <w:noProof/>
                <w:webHidden/>
              </w:rPr>
              <w:fldChar w:fldCharType="begin"/>
            </w:r>
            <w:r>
              <w:rPr>
                <w:noProof/>
                <w:webHidden/>
              </w:rPr>
              <w:instrText xml:space="preserve"> PAGEREF _Toc227782215 \h </w:instrText>
            </w:r>
            <w:r>
              <w:rPr>
                <w:noProof/>
                <w:webHidden/>
              </w:rPr>
            </w:r>
            <w:r>
              <w:rPr>
                <w:noProof/>
                <w:webHidden/>
              </w:rPr>
              <w:fldChar w:fldCharType="separate"/>
            </w:r>
            <w:r>
              <w:rPr>
                <w:noProof/>
                <w:webHidden/>
              </w:rPr>
              <w:t>8</w:t>
            </w:r>
            <w:r>
              <w:rPr>
                <w:noProof/>
                <w:webHidden/>
              </w:rPr>
              <w:fldChar w:fldCharType="end"/>
            </w:r>
          </w:hyperlink>
        </w:p>
        <w:p w14:paraId="027E600C"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6" w:history="1">
            <w:r w:rsidRPr="00216955">
              <w:rPr>
                <w:rStyle w:val="Hyperlink"/>
                <w:noProof/>
              </w:rPr>
              <w:t>Gearing (Leverage) Ratios</w:t>
            </w:r>
            <w:r>
              <w:rPr>
                <w:noProof/>
                <w:webHidden/>
              </w:rPr>
              <w:tab/>
            </w:r>
            <w:r>
              <w:rPr>
                <w:noProof/>
                <w:webHidden/>
              </w:rPr>
              <w:fldChar w:fldCharType="begin"/>
            </w:r>
            <w:r>
              <w:rPr>
                <w:noProof/>
                <w:webHidden/>
              </w:rPr>
              <w:instrText xml:space="preserve"> PAGEREF _Toc227782216 \h </w:instrText>
            </w:r>
            <w:r>
              <w:rPr>
                <w:noProof/>
                <w:webHidden/>
              </w:rPr>
            </w:r>
            <w:r>
              <w:rPr>
                <w:noProof/>
                <w:webHidden/>
              </w:rPr>
              <w:fldChar w:fldCharType="separate"/>
            </w:r>
            <w:r>
              <w:rPr>
                <w:noProof/>
                <w:webHidden/>
              </w:rPr>
              <w:t>9</w:t>
            </w:r>
            <w:r>
              <w:rPr>
                <w:noProof/>
                <w:webHidden/>
              </w:rPr>
              <w:fldChar w:fldCharType="end"/>
            </w:r>
          </w:hyperlink>
        </w:p>
        <w:p w14:paraId="45376AED"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7" w:history="1">
            <w:r w:rsidRPr="00216955">
              <w:rPr>
                <w:rStyle w:val="Hyperlink"/>
                <w:noProof/>
              </w:rPr>
              <w:t>Investment Ratios</w:t>
            </w:r>
            <w:r>
              <w:rPr>
                <w:noProof/>
                <w:webHidden/>
              </w:rPr>
              <w:tab/>
            </w:r>
            <w:r>
              <w:rPr>
                <w:noProof/>
                <w:webHidden/>
              </w:rPr>
              <w:fldChar w:fldCharType="begin"/>
            </w:r>
            <w:r>
              <w:rPr>
                <w:noProof/>
                <w:webHidden/>
              </w:rPr>
              <w:instrText xml:space="preserve"> PAGEREF _Toc227782217 \h </w:instrText>
            </w:r>
            <w:r>
              <w:rPr>
                <w:noProof/>
                <w:webHidden/>
              </w:rPr>
            </w:r>
            <w:r>
              <w:rPr>
                <w:noProof/>
                <w:webHidden/>
              </w:rPr>
              <w:fldChar w:fldCharType="separate"/>
            </w:r>
            <w:r>
              <w:rPr>
                <w:noProof/>
                <w:webHidden/>
              </w:rPr>
              <w:t>10</w:t>
            </w:r>
            <w:r>
              <w:rPr>
                <w:noProof/>
                <w:webHidden/>
              </w:rPr>
              <w:fldChar w:fldCharType="end"/>
            </w:r>
          </w:hyperlink>
        </w:p>
        <w:p w14:paraId="7A0DD346"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8" w:history="1">
            <w:r w:rsidRPr="00216955">
              <w:rPr>
                <w:rStyle w:val="Hyperlink"/>
                <w:noProof/>
              </w:rPr>
              <w:t>Cash Flow Analysis</w:t>
            </w:r>
            <w:r>
              <w:rPr>
                <w:noProof/>
                <w:webHidden/>
              </w:rPr>
              <w:tab/>
            </w:r>
            <w:r>
              <w:rPr>
                <w:noProof/>
                <w:webHidden/>
              </w:rPr>
              <w:fldChar w:fldCharType="begin"/>
            </w:r>
            <w:r>
              <w:rPr>
                <w:noProof/>
                <w:webHidden/>
              </w:rPr>
              <w:instrText xml:space="preserve"> PAGEREF _Toc227782218 \h </w:instrText>
            </w:r>
            <w:r>
              <w:rPr>
                <w:noProof/>
                <w:webHidden/>
              </w:rPr>
            </w:r>
            <w:r>
              <w:rPr>
                <w:noProof/>
                <w:webHidden/>
              </w:rPr>
              <w:fldChar w:fldCharType="separate"/>
            </w:r>
            <w:r>
              <w:rPr>
                <w:noProof/>
                <w:webHidden/>
              </w:rPr>
              <w:t>11</w:t>
            </w:r>
            <w:r>
              <w:rPr>
                <w:noProof/>
                <w:webHidden/>
              </w:rPr>
              <w:fldChar w:fldCharType="end"/>
            </w:r>
          </w:hyperlink>
        </w:p>
        <w:p w14:paraId="7F6F18B7" w14:textId="77777777" w:rsidR="00583B5A" w:rsidRDefault="00583B5A">
          <w:pPr>
            <w:pStyle w:val="TOC3"/>
            <w:tabs>
              <w:tab w:val="right" w:leader="dot" w:pos="9350"/>
            </w:tabs>
            <w:rPr>
              <w:rFonts w:asciiTheme="minorHAnsi" w:eastAsiaTheme="minorEastAsia" w:hAnsiTheme="minorHAnsi" w:cstheme="minorBidi"/>
              <w:noProof/>
              <w:sz w:val="22"/>
              <w:szCs w:val="28"/>
            </w:rPr>
          </w:pPr>
          <w:hyperlink w:anchor="_Toc227782219" w:history="1">
            <w:r w:rsidRPr="00216955">
              <w:rPr>
                <w:rStyle w:val="Hyperlink"/>
                <w:noProof/>
              </w:rPr>
              <w:t>Key Trends, Strengths, and Weaknesses</w:t>
            </w:r>
            <w:r>
              <w:rPr>
                <w:noProof/>
                <w:webHidden/>
              </w:rPr>
              <w:tab/>
            </w:r>
            <w:r>
              <w:rPr>
                <w:noProof/>
                <w:webHidden/>
              </w:rPr>
              <w:fldChar w:fldCharType="begin"/>
            </w:r>
            <w:r>
              <w:rPr>
                <w:noProof/>
                <w:webHidden/>
              </w:rPr>
              <w:instrText xml:space="preserve"> PAGEREF _Toc227782219 \h </w:instrText>
            </w:r>
            <w:r>
              <w:rPr>
                <w:noProof/>
                <w:webHidden/>
              </w:rPr>
            </w:r>
            <w:r>
              <w:rPr>
                <w:noProof/>
                <w:webHidden/>
              </w:rPr>
              <w:fldChar w:fldCharType="separate"/>
            </w:r>
            <w:r>
              <w:rPr>
                <w:noProof/>
                <w:webHidden/>
              </w:rPr>
              <w:t>12</w:t>
            </w:r>
            <w:r>
              <w:rPr>
                <w:noProof/>
                <w:webHidden/>
              </w:rPr>
              <w:fldChar w:fldCharType="end"/>
            </w:r>
          </w:hyperlink>
        </w:p>
        <w:p w14:paraId="64142116"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20" w:history="1">
            <w:r w:rsidRPr="00216955">
              <w:rPr>
                <w:rStyle w:val="Hyperlink"/>
                <w:noProof/>
              </w:rPr>
              <w:t>3. Working Capital Management Analysis</w:t>
            </w:r>
            <w:r>
              <w:rPr>
                <w:noProof/>
                <w:webHidden/>
              </w:rPr>
              <w:tab/>
            </w:r>
            <w:r>
              <w:rPr>
                <w:noProof/>
                <w:webHidden/>
              </w:rPr>
              <w:fldChar w:fldCharType="begin"/>
            </w:r>
            <w:r>
              <w:rPr>
                <w:noProof/>
                <w:webHidden/>
              </w:rPr>
              <w:instrText xml:space="preserve"> PAGEREF _Toc227782220 \h </w:instrText>
            </w:r>
            <w:r>
              <w:rPr>
                <w:noProof/>
                <w:webHidden/>
              </w:rPr>
            </w:r>
            <w:r>
              <w:rPr>
                <w:noProof/>
                <w:webHidden/>
              </w:rPr>
              <w:fldChar w:fldCharType="separate"/>
            </w:r>
            <w:r>
              <w:rPr>
                <w:noProof/>
                <w:webHidden/>
              </w:rPr>
              <w:t>13</w:t>
            </w:r>
            <w:r>
              <w:rPr>
                <w:noProof/>
                <w:webHidden/>
              </w:rPr>
              <w:fldChar w:fldCharType="end"/>
            </w:r>
          </w:hyperlink>
        </w:p>
        <w:p w14:paraId="73462587"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1" w:history="1">
            <w:r w:rsidRPr="00216955">
              <w:rPr>
                <w:rStyle w:val="Hyperlink"/>
                <w:noProof/>
              </w:rPr>
              <w:t>3.1 Cash Operating Cycle (CCC)</w:t>
            </w:r>
            <w:r>
              <w:rPr>
                <w:noProof/>
                <w:webHidden/>
              </w:rPr>
              <w:tab/>
            </w:r>
            <w:r>
              <w:rPr>
                <w:noProof/>
                <w:webHidden/>
              </w:rPr>
              <w:fldChar w:fldCharType="begin"/>
            </w:r>
            <w:r>
              <w:rPr>
                <w:noProof/>
                <w:webHidden/>
              </w:rPr>
              <w:instrText xml:space="preserve"> PAGEREF _Toc227782221 \h </w:instrText>
            </w:r>
            <w:r>
              <w:rPr>
                <w:noProof/>
                <w:webHidden/>
              </w:rPr>
            </w:r>
            <w:r>
              <w:rPr>
                <w:noProof/>
                <w:webHidden/>
              </w:rPr>
              <w:fldChar w:fldCharType="separate"/>
            </w:r>
            <w:r>
              <w:rPr>
                <w:noProof/>
                <w:webHidden/>
              </w:rPr>
              <w:t>13</w:t>
            </w:r>
            <w:r>
              <w:rPr>
                <w:noProof/>
                <w:webHidden/>
              </w:rPr>
              <w:fldChar w:fldCharType="end"/>
            </w:r>
          </w:hyperlink>
        </w:p>
        <w:p w14:paraId="651A9265"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2" w:history="1">
            <w:r w:rsidRPr="00216955">
              <w:rPr>
                <w:rStyle w:val="Hyperlink"/>
                <w:noProof/>
              </w:rPr>
              <w:t>3.2 Evaluation of Working Capital Efficiency</w:t>
            </w:r>
            <w:r>
              <w:rPr>
                <w:noProof/>
                <w:webHidden/>
              </w:rPr>
              <w:tab/>
            </w:r>
            <w:r>
              <w:rPr>
                <w:noProof/>
                <w:webHidden/>
              </w:rPr>
              <w:fldChar w:fldCharType="begin"/>
            </w:r>
            <w:r>
              <w:rPr>
                <w:noProof/>
                <w:webHidden/>
              </w:rPr>
              <w:instrText xml:space="preserve"> PAGEREF _Toc227782222 \h </w:instrText>
            </w:r>
            <w:r>
              <w:rPr>
                <w:noProof/>
                <w:webHidden/>
              </w:rPr>
            </w:r>
            <w:r>
              <w:rPr>
                <w:noProof/>
                <w:webHidden/>
              </w:rPr>
              <w:fldChar w:fldCharType="separate"/>
            </w:r>
            <w:r>
              <w:rPr>
                <w:noProof/>
                <w:webHidden/>
              </w:rPr>
              <w:t>13</w:t>
            </w:r>
            <w:r>
              <w:rPr>
                <w:noProof/>
                <w:webHidden/>
              </w:rPr>
              <w:fldChar w:fldCharType="end"/>
            </w:r>
          </w:hyperlink>
        </w:p>
        <w:p w14:paraId="476F0B53"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3" w:history="1">
            <w:r w:rsidRPr="00216955">
              <w:rPr>
                <w:rStyle w:val="Hyperlink"/>
                <w:noProof/>
              </w:rPr>
              <w:t>3.3 Recommendations for Improvement</w:t>
            </w:r>
            <w:r>
              <w:rPr>
                <w:noProof/>
                <w:webHidden/>
              </w:rPr>
              <w:tab/>
            </w:r>
            <w:r>
              <w:rPr>
                <w:noProof/>
                <w:webHidden/>
              </w:rPr>
              <w:fldChar w:fldCharType="begin"/>
            </w:r>
            <w:r>
              <w:rPr>
                <w:noProof/>
                <w:webHidden/>
              </w:rPr>
              <w:instrText xml:space="preserve"> PAGEREF _Toc227782223 \h </w:instrText>
            </w:r>
            <w:r>
              <w:rPr>
                <w:noProof/>
                <w:webHidden/>
              </w:rPr>
            </w:r>
            <w:r>
              <w:rPr>
                <w:noProof/>
                <w:webHidden/>
              </w:rPr>
              <w:fldChar w:fldCharType="separate"/>
            </w:r>
            <w:r>
              <w:rPr>
                <w:noProof/>
                <w:webHidden/>
              </w:rPr>
              <w:t>14</w:t>
            </w:r>
            <w:r>
              <w:rPr>
                <w:noProof/>
                <w:webHidden/>
              </w:rPr>
              <w:fldChar w:fldCharType="end"/>
            </w:r>
          </w:hyperlink>
        </w:p>
        <w:p w14:paraId="0A1258CE"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4" w:history="1">
            <w:r w:rsidRPr="00216955">
              <w:rPr>
                <w:rStyle w:val="Hyperlink"/>
                <w:noProof/>
              </w:rPr>
              <w:t>3.4 Short-Term vs Long-Term Financing Options</w:t>
            </w:r>
            <w:r>
              <w:rPr>
                <w:noProof/>
                <w:webHidden/>
              </w:rPr>
              <w:tab/>
            </w:r>
            <w:r>
              <w:rPr>
                <w:noProof/>
                <w:webHidden/>
              </w:rPr>
              <w:fldChar w:fldCharType="begin"/>
            </w:r>
            <w:r>
              <w:rPr>
                <w:noProof/>
                <w:webHidden/>
              </w:rPr>
              <w:instrText xml:space="preserve"> PAGEREF _Toc227782224 \h </w:instrText>
            </w:r>
            <w:r>
              <w:rPr>
                <w:noProof/>
                <w:webHidden/>
              </w:rPr>
            </w:r>
            <w:r>
              <w:rPr>
                <w:noProof/>
                <w:webHidden/>
              </w:rPr>
              <w:fldChar w:fldCharType="separate"/>
            </w:r>
            <w:r>
              <w:rPr>
                <w:noProof/>
                <w:webHidden/>
              </w:rPr>
              <w:t>15</w:t>
            </w:r>
            <w:r>
              <w:rPr>
                <w:noProof/>
                <w:webHidden/>
              </w:rPr>
              <w:fldChar w:fldCharType="end"/>
            </w:r>
          </w:hyperlink>
        </w:p>
        <w:p w14:paraId="7CE58EA7"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25" w:history="1">
            <w:r w:rsidRPr="00216955">
              <w:rPr>
                <w:rStyle w:val="Hyperlink"/>
                <w:noProof/>
              </w:rPr>
              <w:t>4. Strategic Financial Restructuring Plan</w:t>
            </w:r>
            <w:r>
              <w:rPr>
                <w:noProof/>
                <w:webHidden/>
              </w:rPr>
              <w:tab/>
            </w:r>
            <w:r>
              <w:rPr>
                <w:noProof/>
                <w:webHidden/>
              </w:rPr>
              <w:fldChar w:fldCharType="begin"/>
            </w:r>
            <w:r>
              <w:rPr>
                <w:noProof/>
                <w:webHidden/>
              </w:rPr>
              <w:instrText xml:space="preserve"> PAGEREF _Toc227782225 \h </w:instrText>
            </w:r>
            <w:r>
              <w:rPr>
                <w:noProof/>
                <w:webHidden/>
              </w:rPr>
            </w:r>
            <w:r>
              <w:rPr>
                <w:noProof/>
                <w:webHidden/>
              </w:rPr>
              <w:fldChar w:fldCharType="separate"/>
            </w:r>
            <w:r>
              <w:rPr>
                <w:noProof/>
                <w:webHidden/>
              </w:rPr>
              <w:t>15</w:t>
            </w:r>
            <w:r>
              <w:rPr>
                <w:noProof/>
                <w:webHidden/>
              </w:rPr>
              <w:fldChar w:fldCharType="end"/>
            </w:r>
          </w:hyperlink>
        </w:p>
        <w:p w14:paraId="0D9EA93D"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6" w:history="1">
            <w:r w:rsidRPr="00216955">
              <w:rPr>
                <w:rStyle w:val="Hyperlink"/>
                <w:noProof/>
              </w:rPr>
              <w:t>4.1 Need for Restructuring</w:t>
            </w:r>
            <w:r>
              <w:rPr>
                <w:noProof/>
                <w:webHidden/>
              </w:rPr>
              <w:tab/>
            </w:r>
            <w:r>
              <w:rPr>
                <w:noProof/>
                <w:webHidden/>
              </w:rPr>
              <w:fldChar w:fldCharType="begin"/>
            </w:r>
            <w:r>
              <w:rPr>
                <w:noProof/>
                <w:webHidden/>
              </w:rPr>
              <w:instrText xml:space="preserve"> PAGEREF _Toc227782226 \h </w:instrText>
            </w:r>
            <w:r>
              <w:rPr>
                <w:noProof/>
                <w:webHidden/>
              </w:rPr>
            </w:r>
            <w:r>
              <w:rPr>
                <w:noProof/>
                <w:webHidden/>
              </w:rPr>
              <w:fldChar w:fldCharType="separate"/>
            </w:r>
            <w:r>
              <w:rPr>
                <w:noProof/>
                <w:webHidden/>
              </w:rPr>
              <w:t>15</w:t>
            </w:r>
            <w:r>
              <w:rPr>
                <w:noProof/>
                <w:webHidden/>
              </w:rPr>
              <w:fldChar w:fldCharType="end"/>
            </w:r>
          </w:hyperlink>
        </w:p>
        <w:p w14:paraId="1ACF3359"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7" w:history="1">
            <w:r w:rsidRPr="00216955">
              <w:rPr>
                <w:rStyle w:val="Hyperlink"/>
                <w:noProof/>
              </w:rPr>
              <w:t>4.2 Recommended Financial Restructuring Options</w:t>
            </w:r>
            <w:r>
              <w:rPr>
                <w:noProof/>
                <w:webHidden/>
              </w:rPr>
              <w:tab/>
            </w:r>
            <w:r>
              <w:rPr>
                <w:noProof/>
                <w:webHidden/>
              </w:rPr>
              <w:fldChar w:fldCharType="begin"/>
            </w:r>
            <w:r>
              <w:rPr>
                <w:noProof/>
                <w:webHidden/>
              </w:rPr>
              <w:instrText xml:space="preserve"> PAGEREF _Toc227782227 \h </w:instrText>
            </w:r>
            <w:r>
              <w:rPr>
                <w:noProof/>
                <w:webHidden/>
              </w:rPr>
            </w:r>
            <w:r>
              <w:rPr>
                <w:noProof/>
                <w:webHidden/>
              </w:rPr>
              <w:fldChar w:fldCharType="separate"/>
            </w:r>
            <w:r>
              <w:rPr>
                <w:noProof/>
                <w:webHidden/>
              </w:rPr>
              <w:t>16</w:t>
            </w:r>
            <w:r>
              <w:rPr>
                <w:noProof/>
                <w:webHidden/>
              </w:rPr>
              <w:fldChar w:fldCharType="end"/>
            </w:r>
          </w:hyperlink>
        </w:p>
        <w:p w14:paraId="19F19AED"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8" w:history="1">
            <w:r w:rsidRPr="00216955">
              <w:rPr>
                <w:rStyle w:val="Hyperlink"/>
                <w:noProof/>
              </w:rPr>
              <w:t>4.3 Impact Analysis</w:t>
            </w:r>
            <w:r>
              <w:rPr>
                <w:noProof/>
                <w:webHidden/>
              </w:rPr>
              <w:tab/>
            </w:r>
            <w:r>
              <w:rPr>
                <w:noProof/>
                <w:webHidden/>
              </w:rPr>
              <w:fldChar w:fldCharType="begin"/>
            </w:r>
            <w:r>
              <w:rPr>
                <w:noProof/>
                <w:webHidden/>
              </w:rPr>
              <w:instrText xml:space="preserve"> PAGEREF _Toc227782228 \h </w:instrText>
            </w:r>
            <w:r>
              <w:rPr>
                <w:noProof/>
                <w:webHidden/>
              </w:rPr>
            </w:r>
            <w:r>
              <w:rPr>
                <w:noProof/>
                <w:webHidden/>
              </w:rPr>
              <w:fldChar w:fldCharType="separate"/>
            </w:r>
            <w:r>
              <w:rPr>
                <w:noProof/>
                <w:webHidden/>
              </w:rPr>
              <w:t>16</w:t>
            </w:r>
            <w:r>
              <w:rPr>
                <w:noProof/>
                <w:webHidden/>
              </w:rPr>
              <w:fldChar w:fldCharType="end"/>
            </w:r>
          </w:hyperlink>
        </w:p>
        <w:p w14:paraId="64D13569"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29" w:history="1">
            <w:r w:rsidRPr="00216955">
              <w:rPr>
                <w:rStyle w:val="Hyperlink"/>
                <w:noProof/>
              </w:rPr>
              <w:t>4.4 International Considerations</w:t>
            </w:r>
            <w:r>
              <w:rPr>
                <w:noProof/>
                <w:webHidden/>
              </w:rPr>
              <w:tab/>
            </w:r>
            <w:r>
              <w:rPr>
                <w:noProof/>
                <w:webHidden/>
              </w:rPr>
              <w:fldChar w:fldCharType="begin"/>
            </w:r>
            <w:r>
              <w:rPr>
                <w:noProof/>
                <w:webHidden/>
              </w:rPr>
              <w:instrText xml:space="preserve"> PAGEREF _Toc227782229 \h </w:instrText>
            </w:r>
            <w:r>
              <w:rPr>
                <w:noProof/>
                <w:webHidden/>
              </w:rPr>
            </w:r>
            <w:r>
              <w:rPr>
                <w:noProof/>
                <w:webHidden/>
              </w:rPr>
              <w:fldChar w:fldCharType="separate"/>
            </w:r>
            <w:r>
              <w:rPr>
                <w:noProof/>
                <w:webHidden/>
              </w:rPr>
              <w:t>17</w:t>
            </w:r>
            <w:r>
              <w:rPr>
                <w:noProof/>
                <w:webHidden/>
              </w:rPr>
              <w:fldChar w:fldCharType="end"/>
            </w:r>
          </w:hyperlink>
        </w:p>
        <w:p w14:paraId="48FAE9A4"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30" w:history="1">
            <w:r w:rsidRPr="00216955">
              <w:rPr>
                <w:rStyle w:val="Hyperlink"/>
                <w:noProof/>
              </w:rPr>
              <w:t>4.5 Ethical &amp; CSR Considerations</w:t>
            </w:r>
            <w:r>
              <w:rPr>
                <w:noProof/>
                <w:webHidden/>
              </w:rPr>
              <w:tab/>
            </w:r>
            <w:r>
              <w:rPr>
                <w:noProof/>
                <w:webHidden/>
              </w:rPr>
              <w:fldChar w:fldCharType="begin"/>
            </w:r>
            <w:r>
              <w:rPr>
                <w:noProof/>
                <w:webHidden/>
              </w:rPr>
              <w:instrText xml:space="preserve"> PAGEREF _Toc227782230 \h </w:instrText>
            </w:r>
            <w:r>
              <w:rPr>
                <w:noProof/>
                <w:webHidden/>
              </w:rPr>
            </w:r>
            <w:r>
              <w:rPr>
                <w:noProof/>
                <w:webHidden/>
              </w:rPr>
              <w:fldChar w:fldCharType="separate"/>
            </w:r>
            <w:r>
              <w:rPr>
                <w:noProof/>
                <w:webHidden/>
              </w:rPr>
              <w:t>18</w:t>
            </w:r>
            <w:r>
              <w:rPr>
                <w:noProof/>
                <w:webHidden/>
              </w:rPr>
              <w:fldChar w:fldCharType="end"/>
            </w:r>
          </w:hyperlink>
        </w:p>
        <w:p w14:paraId="5CE21304"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31" w:history="1">
            <w:r w:rsidRPr="00216955">
              <w:rPr>
                <w:rStyle w:val="Hyperlink"/>
                <w:noProof/>
              </w:rPr>
              <w:t>5. Investment Appraisal and Capital Budgeting</w:t>
            </w:r>
            <w:r>
              <w:rPr>
                <w:noProof/>
                <w:webHidden/>
              </w:rPr>
              <w:tab/>
            </w:r>
            <w:r>
              <w:rPr>
                <w:noProof/>
                <w:webHidden/>
              </w:rPr>
              <w:fldChar w:fldCharType="begin"/>
            </w:r>
            <w:r>
              <w:rPr>
                <w:noProof/>
                <w:webHidden/>
              </w:rPr>
              <w:instrText xml:space="preserve"> PAGEREF _Toc227782231 \h </w:instrText>
            </w:r>
            <w:r>
              <w:rPr>
                <w:noProof/>
                <w:webHidden/>
              </w:rPr>
            </w:r>
            <w:r>
              <w:rPr>
                <w:noProof/>
                <w:webHidden/>
              </w:rPr>
              <w:fldChar w:fldCharType="separate"/>
            </w:r>
            <w:r>
              <w:rPr>
                <w:noProof/>
                <w:webHidden/>
              </w:rPr>
              <w:t>18</w:t>
            </w:r>
            <w:r>
              <w:rPr>
                <w:noProof/>
                <w:webHidden/>
              </w:rPr>
              <w:fldChar w:fldCharType="end"/>
            </w:r>
          </w:hyperlink>
        </w:p>
        <w:p w14:paraId="68006382"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32" w:history="1">
            <w:r w:rsidRPr="00216955">
              <w:rPr>
                <w:rStyle w:val="Hyperlink"/>
                <w:noProof/>
              </w:rPr>
              <w:t>5.1 Calculations of Investment Appraisal Techniques</w:t>
            </w:r>
            <w:r>
              <w:rPr>
                <w:noProof/>
                <w:webHidden/>
              </w:rPr>
              <w:tab/>
            </w:r>
            <w:r>
              <w:rPr>
                <w:noProof/>
                <w:webHidden/>
              </w:rPr>
              <w:fldChar w:fldCharType="begin"/>
            </w:r>
            <w:r>
              <w:rPr>
                <w:noProof/>
                <w:webHidden/>
              </w:rPr>
              <w:instrText xml:space="preserve"> PAGEREF _Toc227782232 \h </w:instrText>
            </w:r>
            <w:r>
              <w:rPr>
                <w:noProof/>
                <w:webHidden/>
              </w:rPr>
            </w:r>
            <w:r>
              <w:rPr>
                <w:noProof/>
                <w:webHidden/>
              </w:rPr>
              <w:fldChar w:fldCharType="separate"/>
            </w:r>
            <w:r>
              <w:rPr>
                <w:noProof/>
                <w:webHidden/>
              </w:rPr>
              <w:t>18</w:t>
            </w:r>
            <w:r>
              <w:rPr>
                <w:noProof/>
                <w:webHidden/>
              </w:rPr>
              <w:fldChar w:fldCharType="end"/>
            </w:r>
          </w:hyperlink>
        </w:p>
        <w:p w14:paraId="71F65102"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33" w:history="1">
            <w:r w:rsidRPr="00216955">
              <w:rPr>
                <w:rStyle w:val="Hyperlink"/>
                <w:noProof/>
              </w:rPr>
              <w:t>5.2 Comparison of Projects</w:t>
            </w:r>
            <w:r>
              <w:rPr>
                <w:noProof/>
                <w:webHidden/>
              </w:rPr>
              <w:tab/>
            </w:r>
            <w:r>
              <w:rPr>
                <w:noProof/>
                <w:webHidden/>
              </w:rPr>
              <w:fldChar w:fldCharType="begin"/>
            </w:r>
            <w:r>
              <w:rPr>
                <w:noProof/>
                <w:webHidden/>
              </w:rPr>
              <w:instrText xml:space="preserve"> PAGEREF _Toc227782233 \h </w:instrText>
            </w:r>
            <w:r>
              <w:rPr>
                <w:noProof/>
                <w:webHidden/>
              </w:rPr>
            </w:r>
            <w:r>
              <w:rPr>
                <w:noProof/>
                <w:webHidden/>
              </w:rPr>
              <w:fldChar w:fldCharType="separate"/>
            </w:r>
            <w:r>
              <w:rPr>
                <w:noProof/>
                <w:webHidden/>
              </w:rPr>
              <w:t>21</w:t>
            </w:r>
            <w:r>
              <w:rPr>
                <w:noProof/>
                <w:webHidden/>
              </w:rPr>
              <w:fldChar w:fldCharType="end"/>
            </w:r>
          </w:hyperlink>
        </w:p>
        <w:p w14:paraId="118EB151"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34" w:history="1">
            <w:r w:rsidRPr="00216955">
              <w:rPr>
                <w:rStyle w:val="Hyperlink"/>
                <w:noProof/>
              </w:rPr>
              <w:t>5.3 Recommendation of Best Project</w:t>
            </w:r>
            <w:r>
              <w:rPr>
                <w:noProof/>
                <w:webHidden/>
              </w:rPr>
              <w:tab/>
            </w:r>
            <w:r>
              <w:rPr>
                <w:noProof/>
                <w:webHidden/>
              </w:rPr>
              <w:fldChar w:fldCharType="begin"/>
            </w:r>
            <w:r>
              <w:rPr>
                <w:noProof/>
                <w:webHidden/>
              </w:rPr>
              <w:instrText xml:space="preserve"> PAGEREF _Toc227782234 \h </w:instrText>
            </w:r>
            <w:r>
              <w:rPr>
                <w:noProof/>
                <w:webHidden/>
              </w:rPr>
            </w:r>
            <w:r>
              <w:rPr>
                <w:noProof/>
                <w:webHidden/>
              </w:rPr>
              <w:fldChar w:fldCharType="separate"/>
            </w:r>
            <w:r>
              <w:rPr>
                <w:noProof/>
                <w:webHidden/>
              </w:rPr>
              <w:t>23</w:t>
            </w:r>
            <w:r>
              <w:rPr>
                <w:noProof/>
                <w:webHidden/>
              </w:rPr>
              <w:fldChar w:fldCharType="end"/>
            </w:r>
          </w:hyperlink>
        </w:p>
        <w:p w14:paraId="2A352002" w14:textId="77777777" w:rsidR="00583B5A" w:rsidRDefault="00583B5A">
          <w:pPr>
            <w:pStyle w:val="TOC2"/>
            <w:tabs>
              <w:tab w:val="right" w:leader="dot" w:pos="9350"/>
            </w:tabs>
            <w:rPr>
              <w:rFonts w:asciiTheme="minorHAnsi" w:eastAsiaTheme="minorEastAsia" w:hAnsiTheme="minorHAnsi" w:cstheme="minorBidi"/>
              <w:noProof/>
              <w:sz w:val="22"/>
              <w:szCs w:val="28"/>
            </w:rPr>
          </w:pPr>
          <w:hyperlink w:anchor="_Toc227782235" w:history="1">
            <w:r w:rsidRPr="00216955">
              <w:rPr>
                <w:rStyle w:val="Hyperlink"/>
                <w:noProof/>
              </w:rPr>
              <w:t>5.4 Capital Rationing Decision (£100m limit)</w:t>
            </w:r>
            <w:r>
              <w:rPr>
                <w:noProof/>
                <w:webHidden/>
              </w:rPr>
              <w:tab/>
            </w:r>
            <w:r>
              <w:rPr>
                <w:noProof/>
                <w:webHidden/>
              </w:rPr>
              <w:fldChar w:fldCharType="begin"/>
            </w:r>
            <w:r>
              <w:rPr>
                <w:noProof/>
                <w:webHidden/>
              </w:rPr>
              <w:instrText xml:space="preserve"> PAGEREF _Toc227782235 \h </w:instrText>
            </w:r>
            <w:r>
              <w:rPr>
                <w:noProof/>
                <w:webHidden/>
              </w:rPr>
            </w:r>
            <w:r>
              <w:rPr>
                <w:noProof/>
                <w:webHidden/>
              </w:rPr>
              <w:fldChar w:fldCharType="separate"/>
            </w:r>
            <w:r>
              <w:rPr>
                <w:noProof/>
                <w:webHidden/>
              </w:rPr>
              <w:t>23</w:t>
            </w:r>
            <w:r>
              <w:rPr>
                <w:noProof/>
                <w:webHidden/>
              </w:rPr>
              <w:fldChar w:fldCharType="end"/>
            </w:r>
          </w:hyperlink>
        </w:p>
        <w:p w14:paraId="5319AD50"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36" w:history="1">
            <w:r w:rsidRPr="00216955">
              <w:rPr>
                <w:rStyle w:val="Hyperlink"/>
                <w:noProof/>
              </w:rPr>
              <w:t>6. Conclusion</w:t>
            </w:r>
            <w:r>
              <w:rPr>
                <w:noProof/>
                <w:webHidden/>
              </w:rPr>
              <w:tab/>
            </w:r>
            <w:r>
              <w:rPr>
                <w:noProof/>
                <w:webHidden/>
              </w:rPr>
              <w:fldChar w:fldCharType="begin"/>
            </w:r>
            <w:r>
              <w:rPr>
                <w:noProof/>
                <w:webHidden/>
              </w:rPr>
              <w:instrText xml:space="preserve"> PAGEREF _Toc227782236 \h </w:instrText>
            </w:r>
            <w:r>
              <w:rPr>
                <w:noProof/>
                <w:webHidden/>
              </w:rPr>
            </w:r>
            <w:r>
              <w:rPr>
                <w:noProof/>
                <w:webHidden/>
              </w:rPr>
              <w:fldChar w:fldCharType="separate"/>
            </w:r>
            <w:r>
              <w:rPr>
                <w:noProof/>
                <w:webHidden/>
              </w:rPr>
              <w:t>24</w:t>
            </w:r>
            <w:r>
              <w:rPr>
                <w:noProof/>
                <w:webHidden/>
              </w:rPr>
              <w:fldChar w:fldCharType="end"/>
            </w:r>
          </w:hyperlink>
        </w:p>
        <w:p w14:paraId="1B1AC5EF"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37" w:history="1">
            <w:r w:rsidRPr="00216955">
              <w:rPr>
                <w:rStyle w:val="Hyperlink"/>
                <w:noProof/>
              </w:rPr>
              <w:t>References</w:t>
            </w:r>
            <w:r>
              <w:rPr>
                <w:noProof/>
                <w:webHidden/>
              </w:rPr>
              <w:tab/>
            </w:r>
            <w:r>
              <w:rPr>
                <w:noProof/>
                <w:webHidden/>
              </w:rPr>
              <w:fldChar w:fldCharType="begin"/>
            </w:r>
            <w:r>
              <w:rPr>
                <w:noProof/>
                <w:webHidden/>
              </w:rPr>
              <w:instrText xml:space="preserve"> PAGEREF _Toc227782237 \h </w:instrText>
            </w:r>
            <w:r>
              <w:rPr>
                <w:noProof/>
                <w:webHidden/>
              </w:rPr>
            </w:r>
            <w:r>
              <w:rPr>
                <w:noProof/>
                <w:webHidden/>
              </w:rPr>
              <w:fldChar w:fldCharType="separate"/>
            </w:r>
            <w:r>
              <w:rPr>
                <w:noProof/>
                <w:webHidden/>
              </w:rPr>
              <w:t>25</w:t>
            </w:r>
            <w:r>
              <w:rPr>
                <w:noProof/>
                <w:webHidden/>
              </w:rPr>
              <w:fldChar w:fldCharType="end"/>
            </w:r>
          </w:hyperlink>
        </w:p>
        <w:p w14:paraId="6D281C91"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38" w:history="1">
            <w:r w:rsidRPr="00216955">
              <w:rPr>
                <w:rStyle w:val="Hyperlink"/>
                <w:noProof/>
              </w:rPr>
              <w:t>Appendix 1: Ratio tables and Graphs</w:t>
            </w:r>
            <w:r>
              <w:rPr>
                <w:noProof/>
                <w:webHidden/>
              </w:rPr>
              <w:tab/>
            </w:r>
            <w:r>
              <w:rPr>
                <w:noProof/>
                <w:webHidden/>
              </w:rPr>
              <w:fldChar w:fldCharType="begin"/>
            </w:r>
            <w:r>
              <w:rPr>
                <w:noProof/>
                <w:webHidden/>
              </w:rPr>
              <w:instrText xml:space="preserve"> PAGEREF _Toc227782238 \h </w:instrText>
            </w:r>
            <w:r>
              <w:rPr>
                <w:noProof/>
                <w:webHidden/>
              </w:rPr>
            </w:r>
            <w:r>
              <w:rPr>
                <w:noProof/>
                <w:webHidden/>
              </w:rPr>
              <w:fldChar w:fldCharType="separate"/>
            </w:r>
            <w:r>
              <w:rPr>
                <w:noProof/>
                <w:webHidden/>
              </w:rPr>
              <w:t>31</w:t>
            </w:r>
            <w:r>
              <w:rPr>
                <w:noProof/>
                <w:webHidden/>
              </w:rPr>
              <w:fldChar w:fldCharType="end"/>
            </w:r>
          </w:hyperlink>
        </w:p>
        <w:p w14:paraId="36DCD01A" w14:textId="77777777" w:rsidR="00583B5A" w:rsidRDefault="00583B5A">
          <w:pPr>
            <w:pStyle w:val="TOC1"/>
            <w:tabs>
              <w:tab w:val="right" w:leader="dot" w:pos="9350"/>
            </w:tabs>
            <w:rPr>
              <w:rFonts w:asciiTheme="minorHAnsi" w:eastAsiaTheme="minorEastAsia" w:hAnsiTheme="minorHAnsi" w:cstheme="minorBidi"/>
              <w:noProof/>
              <w:sz w:val="22"/>
              <w:szCs w:val="28"/>
            </w:rPr>
          </w:pPr>
          <w:hyperlink w:anchor="_Toc227782239" w:history="1">
            <w:r w:rsidRPr="00216955">
              <w:rPr>
                <w:rStyle w:val="Hyperlink"/>
                <w:noProof/>
              </w:rPr>
              <w:t>Appendix 2: Investment appraisal Calculations</w:t>
            </w:r>
            <w:r>
              <w:rPr>
                <w:noProof/>
                <w:webHidden/>
              </w:rPr>
              <w:tab/>
            </w:r>
            <w:r>
              <w:rPr>
                <w:noProof/>
                <w:webHidden/>
              </w:rPr>
              <w:fldChar w:fldCharType="begin"/>
            </w:r>
            <w:r>
              <w:rPr>
                <w:noProof/>
                <w:webHidden/>
              </w:rPr>
              <w:instrText xml:space="preserve"> PAGEREF _Toc227782239 \h </w:instrText>
            </w:r>
            <w:r>
              <w:rPr>
                <w:noProof/>
                <w:webHidden/>
              </w:rPr>
            </w:r>
            <w:r>
              <w:rPr>
                <w:noProof/>
                <w:webHidden/>
              </w:rPr>
              <w:fldChar w:fldCharType="separate"/>
            </w:r>
            <w:r>
              <w:rPr>
                <w:noProof/>
                <w:webHidden/>
              </w:rPr>
              <w:t>36</w:t>
            </w:r>
            <w:r>
              <w:rPr>
                <w:noProof/>
                <w:webHidden/>
              </w:rPr>
              <w:fldChar w:fldCharType="end"/>
            </w:r>
          </w:hyperlink>
        </w:p>
        <w:p w14:paraId="50283ECD" w14:textId="77777777" w:rsidR="007D542C" w:rsidRPr="0019509C" w:rsidRDefault="00583B5A">
          <w:pPr>
            <w:widowControl w:val="0"/>
            <w:tabs>
              <w:tab w:val="right" w:leader="dot" w:pos="9360"/>
            </w:tabs>
            <w:spacing w:before="60" w:line="240" w:lineRule="auto"/>
            <w:jc w:val="left"/>
            <w:rPr>
              <w:b/>
              <w:bCs/>
              <w:color w:val="000000"/>
            </w:rPr>
          </w:pPr>
          <w:r w:rsidRPr="0019509C">
            <w:fldChar w:fldCharType="end"/>
          </w:r>
        </w:p>
      </w:sdtContent>
    </w:sdt>
    <w:p w14:paraId="32FE11A5" w14:textId="77777777" w:rsidR="007D542C" w:rsidRPr="0019509C" w:rsidRDefault="007D542C"/>
    <w:p w14:paraId="57F7B23E" w14:textId="77777777" w:rsidR="007D542C" w:rsidRPr="0019509C" w:rsidRDefault="00583B5A">
      <w:pPr>
        <w:pStyle w:val="Heading1"/>
      </w:pPr>
      <w:bookmarkStart w:id="0" w:name="_c8lyt5yct6ti" w:colFirst="0" w:colLast="0"/>
      <w:bookmarkEnd w:id="0"/>
      <w:r w:rsidRPr="0019509C">
        <w:br w:type="page"/>
      </w:r>
    </w:p>
    <w:p w14:paraId="547DE36B" w14:textId="77777777" w:rsidR="007D542C" w:rsidRPr="0019509C" w:rsidRDefault="00583B5A">
      <w:pPr>
        <w:pStyle w:val="Heading1"/>
      </w:pPr>
      <w:bookmarkStart w:id="1" w:name="_Toc227782209"/>
      <w:r w:rsidRPr="0019509C">
        <w:lastRenderedPageBreak/>
        <w:t>1. Introduction</w:t>
      </w:r>
      <w:bookmarkEnd w:id="1"/>
      <w:r w:rsidRPr="0019509C">
        <w:t xml:space="preserve"> </w:t>
      </w:r>
    </w:p>
    <w:p w14:paraId="7C8A531D" w14:textId="77777777" w:rsidR="007D542C" w:rsidRPr="0019509C" w:rsidRDefault="00583B5A">
      <w:r w:rsidRPr="0019509C">
        <w:t xml:space="preserve">BYD is a leading electric vehicle manufacturer, founded in 1994. BYD played major roles in the electronics, auto, renewable energy and transit sectors. BYD aims to offer zero-emission new energy solutions. BYD operates its business in more than 80 countries, 400 cities across 6 continents, with more than 1 million employees working (BYD, 2024). </w:t>
      </w:r>
    </w:p>
    <w:p w14:paraId="61A3782B" w14:textId="77777777" w:rsidR="007D542C" w:rsidRPr="0019509C" w:rsidRDefault="00583B5A">
      <w:r w:rsidRPr="0019509C">
        <w:t xml:space="preserve">This report aims to perform an in-depth financial evaluation of BYD over the past five years, 2021-2025 and identify organisational financial trends, operational efficiency and potential areas of improvement. Using financial ratios like profitability, liquidity, efficiency, gearing and cash flow, this study evaluates the financial position of BYD and identifies strengths and threats of the business. Further, performing investment portfolio techniques using NPV, PBP, IRR and PO, this study recommends the best investment project for BTD to improve future cash flow and investment returns. </w:t>
      </w:r>
    </w:p>
    <w:p w14:paraId="5745F48B" w14:textId="77777777" w:rsidR="007D542C" w:rsidRPr="0019509C" w:rsidRDefault="00583B5A">
      <w:pPr>
        <w:pStyle w:val="Heading1"/>
      </w:pPr>
      <w:bookmarkStart w:id="2" w:name="_Toc227782210"/>
      <w:r w:rsidRPr="0019509C">
        <w:t>2. Financial Health Check</w:t>
      </w:r>
      <w:bookmarkEnd w:id="2"/>
      <w:r w:rsidRPr="0019509C">
        <w:t xml:space="preserve"> </w:t>
      </w:r>
    </w:p>
    <w:p w14:paraId="31C35A0E" w14:textId="77777777" w:rsidR="007D542C" w:rsidRPr="0019509C" w:rsidRDefault="00583B5A">
      <w:pPr>
        <w:pStyle w:val="Heading2"/>
      </w:pPr>
      <w:bookmarkStart w:id="3" w:name="_Toc227782211"/>
      <w:r w:rsidRPr="0019509C">
        <w:t>2.1 Overview of Financial Performance</w:t>
      </w:r>
      <w:bookmarkEnd w:id="3"/>
    </w:p>
    <w:p w14:paraId="2E629198" w14:textId="77777777" w:rsidR="007D542C" w:rsidRPr="0019509C" w:rsidRDefault="00583B5A">
      <w:r w:rsidRPr="0019509C">
        <w:t>BYD has developed exceptional business growth in the last five years. The rapid expansion into the global EV market, increasing customer demand for sustainable vehicles and increasing global business presence significantly influenced BYD's business growth and performance (Xin, 2025).</w:t>
      </w:r>
    </w:p>
    <w:p w14:paraId="16784B23" w14:textId="77777777" w:rsidR="007D542C" w:rsidRPr="0019509C" w:rsidRDefault="00583B5A">
      <w:pPr>
        <w:jc w:val="center"/>
      </w:pPr>
      <w:r w:rsidRPr="0019509C">
        <w:rPr>
          <w:noProof/>
        </w:rPr>
        <w:drawing>
          <wp:inline distT="114300" distB="114300" distL="114300" distR="114300" wp14:anchorId="421D8AFB" wp14:editId="02699A60">
            <wp:extent cx="5943600" cy="2928938"/>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5943600" cy="2928938"/>
                    </a:xfrm>
                    <a:prstGeom prst="rect">
                      <a:avLst/>
                    </a:prstGeom>
                    <a:ln/>
                  </pic:spPr>
                </pic:pic>
              </a:graphicData>
            </a:graphic>
          </wp:inline>
        </w:drawing>
      </w:r>
    </w:p>
    <w:p w14:paraId="1FE74C2B" w14:textId="77777777" w:rsidR="007D542C" w:rsidRPr="0019509C" w:rsidRDefault="00583B5A">
      <w:pPr>
        <w:jc w:val="center"/>
        <w:rPr>
          <w:b/>
          <w:bCs/>
        </w:rPr>
      </w:pPr>
      <w:r w:rsidRPr="0019509C">
        <w:rPr>
          <w:b/>
          <w:bCs/>
        </w:rPr>
        <w:t>Figure 1: BYD's last five years of revenue</w:t>
      </w:r>
    </w:p>
    <w:p w14:paraId="0761C7EB" w14:textId="77777777" w:rsidR="007D542C" w:rsidRPr="0019509C" w:rsidRDefault="00583B5A">
      <w:pPr>
        <w:jc w:val="center"/>
      </w:pPr>
      <w:r w:rsidRPr="0019509C">
        <w:t>(Source: BYD Annual Report, 2025)</w:t>
      </w:r>
    </w:p>
    <w:p w14:paraId="4D3F41FC" w14:textId="77777777" w:rsidR="007D542C" w:rsidRPr="0019509C" w:rsidRDefault="00583B5A">
      <w:r w:rsidRPr="0019509C">
        <w:lastRenderedPageBreak/>
        <w:t>Figure 1 shows the last five years of BYD revenue graph, where it is clear that in 2021 the revenue was 216.1 billion RMB, which increased to 424.1 billion RMB and by 2025 it had increased to 804 billion RMB (BYD Annual Report, 2025). This shows a dramatic revenue growth in the last five years. This suggests BYD’s strategic business development strategy has improved sales, and high-quality EV vehicles significantly enhanced customer satisfaction levels, which drove experimental business revenue growth as compared to its other market competitors like Tesla.</w:t>
      </w:r>
    </w:p>
    <w:p w14:paraId="0ED3428E" w14:textId="77777777" w:rsidR="007D542C" w:rsidRPr="0019509C" w:rsidRDefault="00583B5A">
      <w:pPr>
        <w:jc w:val="center"/>
      </w:pPr>
      <w:r w:rsidRPr="0019509C">
        <w:rPr>
          <w:noProof/>
        </w:rPr>
        <w:drawing>
          <wp:inline distT="114300" distB="114300" distL="114300" distR="114300" wp14:anchorId="28540A87" wp14:editId="3B24929F">
            <wp:extent cx="5943600" cy="2728913"/>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943600" cy="2728913"/>
                    </a:xfrm>
                    <a:prstGeom prst="rect">
                      <a:avLst/>
                    </a:prstGeom>
                    <a:ln/>
                  </pic:spPr>
                </pic:pic>
              </a:graphicData>
            </a:graphic>
          </wp:inline>
        </w:drawing>
      </w:r>
    </w:p>
    <w:p w14:paraId="59AD0B8A" w14:textId="77777777" w:rsidR="007D542C" w:rsidRPr="0019509C" w:rsidRDefault="00583B5A">
      <w:pPr>
        <w:jc w:val="center"/>
        <w:rPr>
          <w:b/>
          <w:bCs/>
        </w:rPr>
      </w:pPr>
      <w:r w:rsidRPr="0019509C">
        <w:rPr>
          <w:b/>
          <w:bCs/>
        </w:rPr>
        <w:t>Figure 2: BYD vs. Tesla sales growth</w:t>
      </w:r>
    </w:p>
    <w:p w14:paraId="5EA091AF" w14:textId="77777777" w:rsidR="007D542C" w:rsidRPr="0019509C" w:rsidRDefault="00583B5A">
      <w:pPr>
        <w:jc w:val="center"/>
      </w:pPr>
      <w:r w:rsidRPr="0019509C">
        <w:t>(Source: Statista, 2025)</w:t>
      </w:r>
    </w:p>
    <w:p w14:paraId="5101DDA2" w14:textId="77777777" w:rsidR="007D542C" w:rsidRPr="0019509C" w:rsidRDefault="00583B5A">
      <w:r w:rsidRPr="0019509C">
        <w:t xml:space="preserve">Figure 2 is evidence that, as compared to Tesla, BYD’s sales performance is increasing. In initial years like 2021, Tesla dominated the global EV market, with a growing prediction from 0.25 million in 2018 to 1.8 million in 2023. However, after 2021, BYD started matching production/sales as Tesla, and by 2025, BYD reached 2.26 million sales, while Tesla decreased sales to 1.64 million (Statista, 2025). This shows the aggressive strategy adoption by BYD, followed by diversification and cost advantages, which contributed to this increasing sales growth in the last five years. </w:t>
      </w:r>
    </w:p>
    <w:p w14:paraId="4FA081BE" w14:textId="77777777" w:rsidR="007D542C" w:rsidRPr="0019509C" w:rsidRDefault="00583B5A">
      <w:pPr>
        <w:pStyle w:val="Heading2"/>
      </w:pPr>
      <w:bookmarkStart w:id="4" w:name="_Toc227782212"/>
      <w:r w:rsidRPr="0019509C">
        <w:lastRenderedPageBreak/>
        <w:t>2.2 Ratio Analysis</w:t>
      </w:r>
      <w:bookmarkEnd w:id="4"/>
    </w:p>
    <w:p w14:paraId="5B9E3375" w14:textId="77777777" w:rsidR="007D542C" w:rsidRPr="0019509C" w:rsidRDefault="00583B5A">
      <w:pPr>
        <w:pStyle w:val="Heading3"/>
      </w:pPr>
      <w:bookmarkStart w:id="5" w:name="_Toc227782213"/>
      <w:r w:rsidRPr="0019509C">
        <w:t>Profitability Ratios</w:t>
      </w:r>
      <w:bookmarkEnd w:id="5"/>
    </w:p>
    <w:p w14:paraId="5F28FCBF" w14:textId="77777777" w:rsidR="007D542C" w:rsidRPr="0019509C" w:rsidRDefault="00583B5A">
      <w:r w:rsidRPr="0019509C">
        <w:t>With the help of profitability ratio analysis, the evaluation of organisational capability to generate business profit can be done. Adoption of measures such as gross profit ratio, net profit ratio, ROA and ROE can identify profitability trends (</w:t>
      </w:r>
      <w:proofErr w:type="spellStart"/>
      <w:r w:rsidRPr="0019509C">
        <w:t>Sudacevschi</w:t>
      </w:r>
      <w:proofErr w:type="spellEnd"/>
      <w:r w:rsidRPr="0019509C">
        <w:t xml:space="preserve"> et al., 2024). </w:t>
      </w:r>
    </w:p>
    <w:p w14:paraId="42752525" w14:textId="77777777" w:rsidR="007D542C" w:rsidRPr="0019509C" w:rsidRDefault="00583B5A">
      <w:pPr>
        <w:jc w:val="center"/>
      </w:pPr>
      <w:r w:rsidRPr="0019509C">
        <w:rPr>
          <w:noProof/>
        </w:rPr>
        <w:drawing>
          <wp:inline distT="114300" distB="114300" distL="114300" distR="114300" wp14:anchorId="0519A360" wp14:editId="439D4389">
            <wp:extent cx="5943600" cy="22098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2209800"/>
                    </a:xfrm>
                    <a:prstGeom prst="rect">
                      <a:avLst/>
                    </a:prstGeom>
                    <a:ln/>
                  </pic:spPr>
                </pic:pic>
              </a:graphicData>
            </a:graphic>
          </wp:inline>
        </w:drawing>
      </w:r>
    </w:p>
    <w:p w14:paraId="231EDCA7" w14:textId="77777777" w:rsidR="007D542C" w:rsidRPr="0019509C" w:rsidRDefault="00583B5A">
      <w:pPr>
        <w:jc w:val="center"/>
        <w:rPr>
          <w:b/>
          <w:bCs/>
        </w:rPr>
      </w:pPr>
      <w:r w:rsidRPr="0019509C">
        <w:rPr>
          <w:b/>
          <w:bCs/>
        </w:rPr>
        <w:t>Figure 3: Profitability Ratios</w:t>
      </w:r>
    </w:p>
    <w:p w14:paraId="7203AED5" w14:textId="77777777" w:rsidR="007D542C" w:rsidRPr="0019509C" w:rsidRDefault="00583B5A">
      <w:pPr>
        <w:jc w:val="center"/>
      </w:pPr>
      <w:r w:rsidRPr="0019509C">
        <w:t>(Source: BYD Annual Report, 2025)</w:t>
      </w:r>
    </w:p>
    <w:p w14:paraId="12571C1D" w14:textId="77777777" w:rsidR="007D542C" w:rsidRPr="0019509C" w:rsidRDefault="00583B5A">
      <w:r w:rsidRPr="0019509C">
        <w:t xml:space="preserve">Future 3 shows the trend differences in profitability ratios, including gross profit, net profit, ROA and ROE. It is clear from this graph that the gross profit margin in 2023 was 13%, which increased to 19.4% in 2024 and again decreased to 17.7%. Similarly, net profit margin was 1.8% in 2021, which increased to 5.4% in 2024 and again reduced to 4.2% in 2025. This dramatic growth from 2021 to 2024 of gross profit to net profit indicates the adoption of strategic cost optimisation, strategic market selection and adequate sales technique used. But a sudden fall in 2025 indicates increased challenges in managing organisational performance due to regulatory complexities or market saturation issues. It is evident from the annual report that in 2025, gross profit decreased to 143 billion RMB from 152 billion RMB in 2024. Similarly, net profit also reduced to 33 billion RMB in 2025 from 41 billion RMB in 2024(Annual reports, 2025). </w:t>
      </w:r>
    </w:p>
    <w:p w14:paraId="32DE4C64" w14:textId="77777777" w:rsidR="007D542C" w:rsidRPr="0019509C" w:rsidRDefault="00583B5A">
      <w:r w:rsidRPr="0019509C">
        <w:t xml:space="preserve">On the other hand, Return on Assets (ROA) also shows a similar trend in the last five years, increasing from 1.3% in 2021 to 5.3% in 2024 and decreasing to 3.8% in 2025. The increased ROA trend indicates that BYD’s capability to use assets in promoting business profitability has increased from 2021 to 2024, but sudden market challenges hamper this capability. Similar to the </w:t>
      </w:r>
      <w:proofErr w:type="spellStart"/>
      <w:r w:rsidRPr="0019509C">
        <w:lastRenderedPageBreak/>
        <w:t>tbd</w:t>
      </w:r>
      <w:proofErr w:type="spellEnd"/>
      <w:r w:rsidRPr="0019509C">
        <w:t xml:space="preserve"> Return on Equity (ROE), where in 2021, ROE was 3.8%, by 2024 it increased to 20.9% and then dropped to 3.8% in 2025. Yan and Zhou (2022) stated that the increase in equity and asset base, margin pressure from market competitors and heavy investment reduced the ROE and ROA performance. </w:t>
      </w:r>
    </w:p>
    <w:p w14:paraId="15257997" w14:textId="77777777" w:rsidR="007D542C" w:rsidRPr="0019509C" w:rsidRDefault="00583B5A">
      <w:pPr>
        <w:pStyle w:val="Heading3"/>
      </w:pPr>
      <w:bookmarkStart w:id="6" w:name="_Toc227782214"/>
      <w:r w:rsidRPr="0019509C">
        <w:t>Liquidity Ratios</w:t>
      </w:r>
      <w:bookmarkEnd w:id="6"/>
    </w:p>
    <w:p w14:paraId="59B6407D" w14:textId="77777777" w:rsidR="007D542C" w:rsidRPr="0019509C" w:rsidRDefault="00583B5A">
      <w:r w:rsidRPr="0019509C">
        <w:t>Effective use of liquidity ratios such as the current ratio and quick ratio can determine organizational capability to pay off organisational short-term debts. Lighter liquidity ratios ideal for business, which represent more efficiency (</w:t>
      </w:r>
      <w:proofErr w:type="spellStart"/>
      <w:r w:rsidRPr="0019509C">
        <w:t>Susellawati</w:t>
      </w:r>
      <w:proofErr w:type="spellEnd"/>
      <w:r w:rsidRPr="0019509C">
        <w:t xml:space="preserve"> et al., 2022). </w:t>
      </w:r>
    </w:p>
    <w:p w14:paraId="3FD4E2D0" w14:textId="77777777" w:rsidR="007D542C" w:rsidRPr="0019509C" w:rsidRDefault="00583B5A">
      <w:pPr>
        <w:jc w:val="center"/>
        <w:rPr>
          <w:b/>
          <w:bCs/>
        </w:rPr>
      </w:pPr>
      <w:r w:rsidRPr="0019509C">
        <w:rPr>
          <w:b/>
          <w:bCs/>
          <w:noProof/>
        </w:rPr>
        <w:drawing>
          <wp:inline distT="114300" distB="114300" distL="114300" distR="114300" wp14:anchorId="0334B850" wp14:editId="188F8ADD">
            <wp:extent cx="5943600" cy="35687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650E1283" w14:textId="77777777" w:rsidR="007D542C" w:rsidRPr="0019509C" w:rsidRDefault="00583B5A">
      <w:pPr>
        <w:jc w:val="center"/>
        <w:rPr>
          <w:b/>
          <w:bCs/>
        </w:rPr>
      </w:pPr>
      <w:r w:rsidRPr="0019509C">
        <w:rPr>
          <w:b/>
          <w:bCs/>
        </w:rPr>
        <w:t>Figure 4: Liquidity Ratios</w:t>
      </w:r>
    </w:p>
    <w:p w14:paraId="67E91A55" w14:textId="77777777" w:rsidR="007D542C" w:rsidRPr="0019509C" w:rsidRDefault="00583B5A">
      <w:pPr>
        <w:jc w:val="center"/>
      </w:pPr>
      <w:r w:rsidRPr="0019509C">
        <w:t>(Source: BYD Annual Report, 2025)</w:t>
      </w:r>
    </w:p>
    <w:p w14:paraId="74A41A8C" w14:textId="77777777" w:rsidR="007D542C" w:rsidRPr="0019509C" w:rsidRDefault="00583B5A">
      <w:r w:rsidRPr="0019509C">
        <w:t xml:space="preserve">The current ratio of BYD was 0.97 in 2021, indicating higher efficiency to any of the short-term debts. But by 2023, it had reduced to 0.67, indicating reduced efficiency. Again, in 2025, it increased to 0.79. This shows full transparency of organisational efficiency to pay off its short-term debts. On the other hand, the quick ratio also shows the same pattern, showing 0.72 in 2021 to 0.50in 2025. Purnomo (2018) stated that the current ratio and quick ratio need to have a value equal to 1 or more, which represents effective capability to fulfil short-term debt obligations. </w:t>
      </w:r>
      <w:r w:rsidRPr="0019509C">
        <w:lastRenderedPageBreak/>
        <w:t xml:space="preserve">However, for BYD in the Both the current ratio is quick ratio is below 1, suggesting reduced efficiency to meet short-term debts. </w:t>
      </w:r>
    </w:p>
    <w:p w14:paraId="569B6DBC" w14:textId="77777777" w:rsidR="007D542C" w:rsidRPr="0019509C" w:rsidRDefault="00583B5A">
      <w:pPr>
        <w:pStyle w:val="Heading3"/>
      </w:pPr>
      <w:bookmarkStart w:id="7" w:name="_Toc227782215"/>
      <w:r w:rsidRPr="0019509C">
        <w:t>Efficiency Ratios</w:t>
      </w:r>
      <w:bookmarkEnd w:id="7"/>
    </w:p>
    <w:p w14:paraId="23CDAF53" w14:textId="77777777" w:rsidR="007D542C" w:rsidRPr="0019509C" w:rsidRDefault="00583B5A">
      <w:r w:rsidRPr="0019509C">
        <w:t xml:space="preserve">The efficiency ratio measures a company’s efficiency in managing organisational assets, inventories, receivables, and payables, which determine organisational growth opportunity and performance (Sri and SHIVANI, 2025). </w:t>
      </w:r>
    </w:p>
    <w:p w14:paraId="24CBB774" w14:textId="77777777" w:rsidR="007D542C" w:rsidRPr="0019509C" w:rsidRDefault="00583B5A">
      <w:pPr>
        <w:jc w:val="center"/>
        <w:rPr>
          <w:b/>
          <w:bCs/>
        </w:rPr>
      </w:pPr>
      <w:r w:rsidRPr="0019509C">
        <w:rPr>
          <w:b/>
          <w:bCs/>
          <w:noProof/>
        </w:rPr>
        <w:drawing>
          <wp:inline distT="114300" distB="114300" distL="114300" distR="114300" wp14:anchorId="55CF03CC" wp14:editId="01D18CD8">
            <wp:extent cx="5943600" cy="29845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984500"/>
                    </a:xfrm>
                    <a:prstGeom prst="rect">
                      <a:avLst/>
                    </a:prstGeom>
                    <a:ln/>
                  </pic:spPr>
                </pic:pic>
              </a:graphicData>
            </a:graphic>
          </wp:inline>
        </w:drawing>
      </w:r>
    </w:p>
    <w:p w14:paraId="3649AEBD" w14:textId="77777777" w:rsidR="007D542C" w:rsidRPr="0019509C" w:rsidRDefault="00583B5A">
      <w:pPr>
        <w:jc w:val="center"/>
        <w:rPr>
          <w:b/>
          <w:bCs/>
        </w:rPr>
      </w:pPr>
      <w:r w:rsidRPr="0019509C">
        <w:rPr>
          <w:b/>
          <w:bCs/>
        </w:rPr>
        <w:t>Figure 5: Efficiency Ratios</w:t>
      </w:r>
    </w:p>
    <w:p w14:paraId="43C15B15" w14:textId="77777777" w:rsidR="007D542C" w:rsidRPr="0019509C" w:rsidRDefault="00583B5A">
      <w:pPr>
        <w:jc w:val="center"/>
      </w:pPr>
      <w:r w:rsidRPr="0019509C">
        <w:t>(Source: BYD Annual Report, 2025)</w:t>
      </w:r>
    </w:p>
    <w:p w14:paraId="6BD006F9" w14:textId="77777777" w:rsidR="007D542C" w:rsidRPr="0019509C" w:rsidRDefault="00583B5A">
      <w:r w:rsidRPr="0019509C">
        <w:t xml:space="preserve">The trade receivable ratio and trade payable ratios show a significant effect in recent years; the trade receivable period reduced to 16.8 in 2025, from 61.2 in 2021. Similarly, trade payables also reduced to 103.1 days from 3580 days in 2021. Ombui et al.(2025) stated that reduced trade payment and receivables indicate increased organisational capability to manage its receivables and pay the amount to the suppliers or other financial institutions. This indicates a better relationship with clients and suppliers, suggesting a growth opportunity. However, for BYD, asset turnover remains at similar values, ranging from 0.7 to 0.9, which shows significant changes in managing assets to generate a margin. </w:t>
      </w:r>
    </w:p>
    <w:p w14:paraId="26A87033" w14:textId="77777777" w:rsidR="007D542C" w:rsidRPr="0019509C" w:rsidRDefault="00583B5A">
      <w:pPr>
        <w:pStyle w:val="Heading3"/>
      </w:pPr>
      <w:bookmarkStart w:id="8" w:name="_Toc227782216"/>
      <w:r w:rsidRPr="0019509C">
        <w:lastRenderedPageBreak/>
        <w:t>Gearing (Leverage) Ratios</w:t>
      </w:r>
      <w:bookmarkEnd w:id="8"/>
    </w:p>
    <w:p w14:paraId="26E5242E" w14:textId="77777777" w:rsidR="007D542C" w:rsidRPr="0019509C" w:rsidRDefault="00583B5A">
      <w:pPr>
        <w:jc w:val="center"/>
        <w:rPr>
          <w:b/>
          <w:bCs/>
        </w:rPr>
      </w:pPr>
      <w:r w:rsidRPr="0019509C">
        <w:rPr>
          <w:b/>
          <w:bCs/>
          <w:noProof/>
        </w:rPr>
        <w:drawing>
          <wp:inline distT="114300" distB="114300" distL="114300" distR="114300" wp14:anchorId="5F14E4E0" wp14:editId="3F9D5E3D">
            <wp:extent cx="5943600" cy="35687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3FA9AF69" w14:textId="77777777" w:rsidR="007D542C" w:rsidRPr="0019509C" w:rsidRDefault="00583B5A">
      <w:pPr>
        <w:jc w:val="center"/>
        <w:rPr>
          <w:b/>
          <w:bCs/>
        </w:rPr>
      </w:pPr>
      <w:r w:rsidRPr="0019509C">
        <w:rPr>
          <w:b/>
          <w:bCs/>
        </w:rPr>
        <w:t>Figure 6: Gearing Ratios</w:t>
      </w:r>
    </w:p>
    <w:p w14:paraId="6BBB198C" w14:textId="77777777" w:rsidR="007D542C" w:rsidRPr="0019509C" w:rsidRDefault="00583B5A">
      <w:pPr>
        <w:jc w:val="center"/>
      </w:pPr>
      <w:r w:rsidRPr="0019509C">
        <w:t>(Source: BYD Annual Report, 2025)</w:t>
      </w:r>
    </w:p>
    <w:p w14:paraId="03CFF7DD" w14:textId="77777777" w:rsidR="007D542C" w:rsidRPr="0019509C" w:rsidRDefault="00583B5A">
      <w:r w:rsidRPr="0019509C">
        <w:t xml:space="preserve">Gearing ratios are the financial metrics which help to compute the ratio of financial debt to its equity, which determines organisational viability and leverage (Aldo et al.,2023). For BYD, the gearing ratio suggested an increment to6.9% from 3% in 2021. Nukala and Prasada Rao (2021) stated that the increasing ratio suggests that organisational investment in debt is more than in equity. Thus, BYD is depending more on debt financing as compared to the shareholders’ funding options. On the other hand, debt. Equity ratio signifies that it ranges from 0.6 to 0.8, which represents a reduction from 0.08 in 20221 it has reduced to 0.07 in 2025. Reduction of the debt/equity ratio also suggests that the organisation relies on debt financing as compared to equity. It is evident that in 2025 BYD has to pay 60 billion RMB compared to 8 billion RMB in 2021 (BYD Annual Report, 2025). </w:t>
      </w:r>
    </w:p>
    <w:p w14:paraId="5C649141" w14:textId="77777777" w:rsidR="007D542C" w:rsidRPr="0019509C" w:rsidRDefault="00583B5A">
      <w:pPr>
        <w:pStyle w:val="Heading3"/>
      </w:pPr>
      <w:bookmarkStart w:id="9" w:name="_Toc227782217"/>
      <w:r w:rsidRPr="0019509C">
        <w:lastRenderedPageBreak/>
        <w:t>Investment Ratios</w:t>
      </w:r>
      <w:bookmarkEnd w:id="9"/>
    </w:p>
    <w:p w14:paraId="19255EC1" w14:textId="77777777" w:rsidR="007D542C" w:rsidRPr="0019509C" w:rsidRDefault="00583B5A">
      <w:pPr>
        <w:jc w:val="center"/>
        <w:rPr>
          <w:b/>
          <w:bCs/>
        </w:rPr>
      </w:pPr>
      <w:r w:rsidRPr="0019509C">
        <w:rPr>
          <w:b/>
          <w:bCs/>
          <w:noProof/>
        </w:rPr>
        <w:drawing>
          <wp:inline distT="114300" distB="114300" distL="114300" distR="114300" wp14:anchorId="1335141E" wp14:editId="76518116">
            <wp:extent cx="5943600" cy="35687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14:paraId="49B0DA6B" w14:textId="77777777" w:rsidR="007D542C" w:rsidRPr="0019509C" w:rsidRDefault="00583B5A">
      <w:pPr>
        <w:jc w:val="center"/>
        <w:rPr>
          <w:b/>
          <w:bCs/>
        </w:rPr>
      </w:pPr>
      <w:r w:rsidRPr="0019509C">
        <w:rPr>
          <w:b/>
          <w:bCs/>
        </w:rPr>
        <w:t>Figure 7: Investment Ratios</w:t>
      </w:r>
    </w:p>
    <w:p w14:paraId="20B81F94" w14:textId="77777777" w:rsidR="007D542C" w:rsidRPr="0019509C" w:rsidRDefault="00583B5A">
      <w:pPr>
        <w:jc w:val="center"/>
      </w:pPr>
      <w:r w:rsidRPr="0019509C">
        <w:t>(Source: BYD Annual Report, 2025)</w:t>
      </w:r>
    </w:p>
    <w:p w14:paraId="52A02909" w14:textId="77777777" w:rsidR="007D542C" w:rsidRPr="0019509C" w:rsidRDefault="00583B5A">
      <w:r w:rsidRPr="0019509C">
        <w:t xml:space="preserve">Investment ratio acts as the key financial metric to evaluate organisational financial health, liquidity, and profitability, which promote better investment decisions for investors or shareholders (Sarah and Athanase, 2023). For BYD from 2021 to 2024, the Earnings per share were dramatically increased to 13.8 from 1.1, which suggests a strong investment opportunity. Similarly, dividends per share also increased to 4% in 2024 from 0.1% in 2021, which represents an increment of organisational contribution to other shareholders. However, in 2025, both the EPS and dividend per share were reduced to 3.6 and 0.4, respectively, indicating reduced attractiveness of the organisation in 2025. However, in the past four years of performance, the initial decrement can be neglected, and it shows future growth potential. </w:t>
      </w:r>
    </w:p>
    <w:p w14:paraId="655327EB" w14:textId="77777777" w:rsidR="007D542C" w:rsidRPr="0019509C" w:rsidRDefault="00583B5A">
      <w:pPr>
        <w:pStyle w:val="Heading3"/>
      </w:pPr>
      <w:bookmarkStart w:id="10" w:name="_Toc227782218"/>
      <w:r w:rsidRPr="0019509C">
        <w:lastRenderedPageBreak/>
        <w:t>Cash Flow Analysis</w:t>
      </w:r>
      <w:bookmarkEnd w:id="10"/>
    </w:p>
    <w:p w14:paraId="422F408E" w14:textId="77777777" w:rsidR="007D542C" w:rsidRPr="0019509C" w:rsidRDefault="00583B5A">
      <w:pPr>
        <w:jc w:val="center"/>
      </w:pPr>
      <w:r w:rsidRPr="0019509C">
        <w:rPr>
          <w:noProof/>
        </w:rPr>
        <w:drawing>
          <wp:inline distT="114300" distB="114300" distL="114300" distR="114300" wp14:anchorId="2FD2200E" wp14:editId="2B2484B1">
            <wp:extent cx="5943600" cy="35687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14:paraId="29CC6DCA" w14:textId="77777777" w:rsidR="007D542C" w:rsidRPr="0019509C" w:rsidRDefault="00583B5A">
      <w:pPr>
        <w:jc w:val="center"/>
        <w:rPr>
          <w:b/>
          <w:bCs/>
        </w:rPr>
      </w:pPr>
      <w:r w:rsidRPr="0019509C">
        <w:rPr>
          <w:b/>
          <w:bCs/>
        </w:rPr>
        <w:t>Figure 8: Operating cash Flow ratio</w:t>
      </w:r>
    </w:p>
    <w:p w14:paraId="229CAEEF" w14:textId="77777777" w:rsidR="007D542C" w:rsidRPr="0019509C" w:rsidRDefault="00583B5A">
      <w:pPr>
        <w:jc w:val="center"/>
      </w:pPr>
      <w:r w:rsidRPr="0019509C">
        <w:t>(Source: BYD Annual Report, 2025)</w:t>
      </w:r>
    </w:p>
    <w:p w14:paraId="6FEFC46A" w14:textId="77777777" w:rsidR="007D542C" w:rsidRPr="0019509C" w:rsidRDefault="00583B5A">
      <w:r w:rsidRPr="0019509C">
        <w:t xml:space="preserve">The declining opening cash flow in 2025 to 0.13 from 0.38 in 2021 shows weak short-term liquidity. This increases challenges to fulfil short-term debts. The downturn operating cash flow trend suggests an increase in the requirements for working capital, which increases reliance on external loans or debts (Hofmann, </w:t>
      </w:r>
      <w:proofErr w:type="spellStart"/>
      <w:r w:rsidRPr="0019509C">
        <w:t>Töyli</w:t>
      </w:r>
      <w:proofErr w:type="spellEnd"/>
      <w:r w:rsidRPr="0019509C">
        <w:t xml:space="preserve"> and Solakivi, 2022). </w:t>
      </w:r>
    </w:p>
    <w:p w14:paraId="5C4EFC2F" w14:textId="77777777" w:rsidR="007D542C" w:rsidRPr="0019509C" w:rsidRDefault="00583B5A">
      <w:pPr>
        <w:jc w:val="center"/>
      </w:pPr>
      <w:r w:rsidRPr="0019509C">
        <w:rPr>
          <w:noProof/>
        </w:rPr>
        <w:lastRenderedPageBreak/>
        <w:drawing>
          <wp:inline distT="114300" distB="114300" distL="114300" distR="114300" wp14:anchorId="33033858" wp14:editId="1D954ABB">
            <wp:extent cx="5943600" cy="35814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3581400"/>
                    </a:xfrm>
                    <a:prstGeom prst="rect">
                      <a:avLst/>
                    </a:prstGeom>
                    <a:ln/>
                  </pic:spPr>
                </pic:pic>
              </a:graphicData>
            </a:graphic>
          </wp:inline>
        </w:drawing>
      </w:r>
    </w:p>
    <w:p w14:paraId="5D2D83A5" w14:textId="77777777" w:rsidR="007D542C" w:rsidRPr="0019509C" w:rsidRDefault="00583B5A">
      <w:pPr>
        <w:jc w:val="center"/>
        <w:rPr>
          <w:b/>
          <w:bCs/>
        </w:rPr>
      </w:pPr>
      <w:r w:rsidRPr="0019509C">
        <w:rPr>
          <w:b/>
          <w:bCs/>
        </w:rPr>
        <w:t>Figure 9: Free Cash Flow</w:t>
      </w:r>
    </w:p>
    <w:p w14:paraId="36203259" w14:textId="77777777" w:rsidR="007D542C" w:rsidRPr="0019509C" w:rsidRDefault="00583B5A">
      <w:pPr>
        <w:jc w:val="center"/>
      </w:pPr>
      <w:r w:rsidRPr="0019509C">
        <w:t>(Source: BYD Annual Report, 2025)</w:t>
      </w:r>
    </w:p>
    <w:p w14:paraId="0C385F45" w14:textId="77777777" w:rsidR="007D542C" w:rsidRPr="0019509C" w:rsidRDefault="00583B5A">
      <w:r w:rsidRPr="0019509C">
        <w:t xml:space="preserve">The free cash flow of BYD also shows a sharp decline in 2025 to -81 billion RMB from a positive level of 14 billion RMB in 2021 and 40 billion RMB in 2024. However, the last four years' growth and sudden decrease suggested short-term increasing cash flow pressure, which suggests aggressive investment for long-term growth. </w:t>
      </w:r>
    </w:p>
    <w:p w14:paraId="69AB92DC" w14:textId="77777777" w:rsidR="007D542C" w:rsidRPr="0019509C" w:rsidRDefault="00583B5A">
      <w:pPr>
        <w:pStyle w:val="Heading3"/>
      </w:pPr>
      <w:bookmarkStart w:id="11" w:name="_Toc227782219"/>
      <w:r w:rsidRPr="0019509C">
        <w:t>Key Trends, Strengths, and Weaknesses</w:t>
      </w:r>
      <w:bookmarkEnd w:id="11"/>
    </w:p>
    <w:p w14:paraId="762DF5FC" w14:textId="77777777" w:rsidR="007D542C" w:rsidRPr="0019509C" w:rsidRDefault="00583B5A">
      <w:r w:rsidRPr="0019509C">
        <w:t xml:space="preserve">From BYD’s financial ratio analysis, it has been revealed that from 2021 to 2024 BYD’s profitability trend improved. Lia (2024) started to increase EV demand, and strategic operations and activities significantly increased the performance. However, in 2025, a sudden drop in profitability indicates increased operable cost, raw material prices, and heavy investment in projects. The analysts revealed that BYD has strong trends like a stronger capability to generate revenue, effective working coital management and shareholding. However, a lack of cash flow creates liquidity issues, and increasing dependence on funding increases negative cash flow, which is considered a threat or weakness of BYD, which may affect future business growth. However, currently, heavy investment indicates future profitability and high returns for shareholders. </w:t>
      </w:r>
    </w:p>
    <w:p w14:paraId="5C42AC3F" w14:textId="77777777" w:rsidR="007D542C" w:rsidRPr="0019509C" w:rsidRDefault="00583B5A">
      <w:pPr>
        <w:pStyle w:val="Heading1"/>
      </w:pPr>
      <w:bookmarkStart w:id="12" w:name="_Toc227782220"/>
      <w:r w:rsidRPr="0019509C">
        <w:lastRenderedPageBreak/>
        <w:t>3. Working Capital Management Analysis</w:t>
      </w:r>
      <w:bookmarkEnd w:id="12"/>
    </w:p>
    <w:p w14:paraId="04D6D5B7" w14:textId="77777777" w:rsidR="007D542C" w:rsidRPr="0019509C" w:rsidRDefault="00583B5A">
      <w:pPr>
        <w:pStyle w:val="Heading2"/>
      </w:pPr>
      <w:bookmarkStart w:id="13" w:name="_Toc227782221"/>
      <w:r w:rsidRPr="0019509C">
        <w:t>3.1 Cash Operating Cycle (CCC)</w:t>
      </w:r>
      <w:bookmarkEnd w:id="13"/>
    </w:p>
    <w:p w14:paraId="40D18561" w14:textId="77777777" w:rsidR="007D542C" w:rsidRPr="0019509C" w:rsidRDefault="00583B5A">
      <w:pPr>
        <w:jc w:val="center"/>
      </w:pPr>
      <w:r w:rsidRPr="0019509C">
        <w:rPr>
          <w:noProof/>
        </w:rPr>
        <w:drawing>
          <wp:inline distT="114300" distB="114300" distL="114300" distR="114300" wp14:anchorId="0360BBB5" wp14:editId="310DC514">
            <wp:extent cx="5943600" cy="23114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311400"/>
                    </a:xfrm>
                    <a:prstGeom prst="rect">
                      <a:avLst/>
                    </a:prstGeom>
                    <a:ln/>
                  </pic:spPr>
                </pic:pic>
              </a:graphicData>
            </a:graphic>
          </wp:inline>
        </w:drawing>
      </w:r>
    </w:p>
    <w:p w14:paraId="40F6A10C" w14:textId="77777777" w:rsidR="007D542C" w:rsidRPr="0019509C" w:rsidRDefault="00583B5A">
      <w:pPr>
        <w:jc w:val="center"/>
        <w:rPr>
          <w:b/>
          <w:bCs/>
        </w:rPr>
      </w:pPr>
      <w:r w:rsidRPr="0019509C">
        <w:rPr>
          <w:b/>
          <w:bCs/>
        </w:rPr>
        <w:t>Figure 10: Cash Operating Cycle of BYD</w:t>
      </w:r>
    </w:p>
    <w:p w14:paraId="508D15C9" w14:textId="77777777" w:rsidR="007D542C" w:rsidRPr="0019509C" w:rsidRDefault="00583B5A">
      <w:pPr>
        <w:jc w:val="center"/>
      </w:pPr>
      <w:r w:rsidRPr="0019509C">
        <w:t xml:space="preserve">(Source: </w:t>
      </w:r>
      <w:proofErr w:type="spellStart"/>
      <w:r w:rsidRPr="0019509C">
        <w:t>GuruFocus</w:t>
      </w:r>
      <w:proofErr w:type="spellEnd"/>
      <w:r w:rsidRPr="0019509C">
        <w:t>, 2025)</w:t>
      </w:r>
    </w:p>
    <w:p w14:paraId="4F89A459" w14:textId="77777777" w:rsidR="007D542C" w:rsidRPr="0019509C" w:rsidRDefault="00583B5A">
      <w:r w:rsidRPr="0019509C">
        <w:t>The cash operating cycle is also known as the cash conversion cycle (CCC) (Asman et al., 2022). It's the time to convert its inventory to profitability and pay organisational due bills. Figure 10 shows the CCC of BYD from 2021 to 2025. It has been identified that in 2021, the CCC value was 51.84, which shows a dramatic reduction and became -40.80 in 2025 (</w:t>
      </w:r>
      <w:proofErr w:type="spellStart"/>
      <w:r w:rsidRPr="0019509C">
        <w:t>GuruFocus</w:t>
      </w:r>
      <w:proofErr w:type="spellEnd"/>
      <w:r w:rsidRPr="0019509C">
        <w:t xml:space="preserve">, 2025). Wang, Akbar and Akbar et al. (2020) stated that a reduction or a negative cash conversion cycle indicates strong working capital management capability. -18.45 days of CCC indicate BYD receives cash from the bills to its supplier, which imports liquidity and reduces the requirement to depend on external debt financing. </w:t>
      </w:r>
    </w:p>
    <w:p w14:paraId="6E72CC7C" w14:textId="77777777" w:rsidR="007D542C" w:rsidRPr="0019509C" w:rsidRDefault="00583B5A">
      <w:pPr>
        <w:pStyle w:val="Heading2"/>
      </w:pPr>
      <w:bookmarkStart w:id="14" w:name="_Toc227782222"/>
      <w:r w:rsidRPr="0019509C">
        <w:t>3.2 Evaluation of Working Capital Efficiency</w:t>
      </w:r>
      <w:bookmarkEnd w:id="14"/>
    </w:p>
    <w:p w14:paraId="451BAF4D" w14:textId="77777777" w:rsidR="007D542C" w:rsidRPr="0019509C" w:rsidRDefault="00583B5A">
      <w:r w:rsidRPr="0019509C">
        <w:t xml:space="preserve">In recent years, the working capital manager has increased for BYD. It is evident that in 2025 the trade receivable period has reduced to 16.8 days, in 2025 which was 61.2 days in 2021 (BYD Annual Report, 2025). On the other hand, trade payable days also have a maintained position, a 103.1 days of trade payable is higher than the trade receivables.  This shows that BYD has increased efficiency to collect the recyclables from customers far before paying it to the suppliers, which increased the liquidity within the organisation. </w:t>
      </w:r>
    </w:p>
    <w:p w14:paraId="5220F95C" w14:textId="77777777" w:rsidR="007D542C" w:rsidRPr="0019509C" w:rsidRDefault="00583B5A">
      <w:r w:rsidRPr="0019509C">
        <w:t xml:space="preserve">However, as compared to 65.3 days in 2023 and 67.7 days in 2024, the inventory days have increased to 76.4 days in 2025.  The increased inventory days indicate initial demand fluctuation </w:t>
      </w:r>
      <w:r w:rsidRPr="0019509C">
        <w:lastRenderedPageBreak/>
        <w:t xml:space="preserve">and uncertain market conditions in the EV market. It is evident from the IEA report that, while the global sales of EVs are increasing, a sudden drop in sales growth in specific markets like Canada, the US and parts of Europe affected global EV manufacturers’ business operational performance. Additionally, China started promoting EVs 40% more in recent years, which caused the competition and increased the chase for market saturation, affecting business operational growth (IEA, 2025). Overall, the analysis reveals that BYD has efficient working capital management, with some challenges during external market complexities, which is manageable for large business organisations like BYD. </w:t>
      </w:r>
    </w:p>
    <w:p w14:paraId="560B16D6" w14:textId="77777777" w:rsidR="007D542C" w:rsidRPr="0019509C" w:rsidRDefault="00583B5A">
      <w:pPr>
        <w:pStyle w:val="Heading2"/>
      </w:pPr>
      <w:bookmarkStart w:id="15" w:name="_Toc227782223"/>
      <w:r w:rsidRPr="0019509C">
        <w:t>3.3 Recommendations for Improvement</w:t>
      </w:r>
      <w:bookmarkEnd w:id="15"/>
    </w:p>
    <w:p w14:paraId="0277F679" w14:textId="77777777" w:rsidR="007D542C" w:rsidRPr="0019509C" w:rsidRDefault="00583B5A">
      <w:r w:rsidRPr="0019509C">
        <w:t>Based on the liquidity analysis, it has been observed that despite increasing the organisational efficiency in terms of liquidity, BYD needs to focus more on enhancing the short-term cash flow to boost liquidity. Additionally, it has been identified that in 2025, the inventory turnover days also increased. Thus, it is recommended to focus more on the inventory optimization application. Balkhi, Alshahrani and Khan (2022) argue that the adoption of the Just-In-Time inventory optimisation system can improve inventory management efficiency. Further, focusing on a data-driven inventory demand forecasting system can help BYD to identify future trends, demand and make informed decisions to manage inventories. It will save costs and is opposed to producing more EVs during the low-demand stage, which will increase initial cash flow and improve liquidity.</w:t>
      </w:r>
    </w:p>
    <w:p w14:paraId="4F37348E" w14:textId="77777777" w:rsidR="007D542C" w:rsidRPr="0019509C" w:rsidRDefault="00583B5A">
      <w:r w:rsidRPr="0019509C">
        <w:t>Apart from this, it is also recommended to improve the receivables of the organisation by offering discounts on early payment and adopting strict credit policies within the organisation. It will influence customers to repay the amount at the right time and increase the organisational efficiency within the organisation. Huang (2022) argued that discounts on early payments may affect the business's profitability, and strict repayment policies may influence customers to adopt any flexible payment option, which also creates difficulties in engaging more customers and maintaining profitability and receivables. Thus, there needs to be a proper discussion and selection of the right approach, which will be more beneficial for BYD to enhance its receivables without hampering organisational productivity.</w:t>
      </w:r>
    </w:p>
    <w:p w14:paraId="13E81910" w14:textId="77777777" w:rsidR="007D542C" w:rsidRPr="0019509C" w:rsidRDefault="007D542C"/>
    <w:p w14:paraId="4A162D64" w14:textId="77777777" w:rsidR="007D542C" w:rsidRPr="0019509C" w:rsidRDefault="00583B5A">
      <w:pPr>
        <w:pStyle w:val="Heading2"/>
      </w:pPr>
      <w:bookmarkStart w:id="16" w:name="_Toc227782224"/>
      <w:r w:rsidRPr="0019509C">
        <w:lastRenderedPageBreak/>
        <w:t>3.4 Short-Term vs Long-Term Financing Options</w:t>
      </w:r>
      <w:bookmarkEnd w:id="16"/>
    </w:p>
    <w:p w14:paraId="4FD8201B" w14:textId="77777777" w:rsidR="007D542C" w:rsidRPr="0019509C" w:rsidRDefault="00583B5A">
      <w:pPr>
        <w:rPr>
          <w:b/>
          <w:bCs/>
        </w:rPr>
      </w:pPr>
      <w:r w:rsidRPr="0019509C">
        <w:rPr>
          <w:b/>
          <w:bCs/>
        </w:rPr>
        <w:t>Short-term Financing Options</w:t>
      </w:r>
    </w:p>
    <w:p w14:paraId="3154904A" w14:textId="77777777" w:rsidR="007D542C" w:rsidRPr="0019509C" w:rsidRDefault="00583B5A">
      <w:r w:rsidRPr="0019509C">
        <w:t xml:space="preserve">There are different types of financing options available, such as trade credit, short-term loans and bank credits. These types of credits need to remain with the credit provider within one year. These credit types improve short-term cash flow, increase liquidity and operational performance. The trade credit is a type of B2B agreement, where business organisations get the required products from a supplier but make payment of the goods scheduled at a future date. This type of short-term financing option may constrain 0% interest (Zhou and Li, 2023).  On the other hand, short-term bank loans and overdrafts provide quick funding at a certain interest rate, which will be repaid every month. However, it can increase liquidity risks as it contains extra interests and may increase dependency on suppliers. </w:t>
      </w:r>
    </w:p>
    <w:p w14:paraId="1430309E" w14:textId="77777777" w:rsidR="007D542C" w:rsidRPr="0019509C" w:rsidRDefault="00583B5A">
      <w:r w:rsidRPr="0019509C">
        <w:rPr>
          <w:b/>
          <w:bCs/>
        </w:rPr>
        <w:t>Long-Term Financing Options</w:t>
      </w:r>
    </w:p>
    <w:p w14:paraId="17C5C6B0" w14:textId="77777777" w:rsidR="007D542C" w:rsidRPr="0019509C" w:rsidRDefault="00583B5A">
      <w:r w:rsidRPr="0019509C">
        <w:t>Long-term investments like equity financing and long-term debt finding options are considered as the most suitable option. Equity financing helps the organisation to get a huge amount of financing options by selling organisational shares to the shareholders and investors (</w:t>
      </w:r>
      <w:proofErr w:type="spellStart"/>
      <w:r w:rsidRPr="0019509C">
        <w:t>Svetek</w:t>
      </w:r>
      <w:proofErr w:type="spellEnd"/>
      <w:r w:rsidRPr="0019509C">
        <w:t xml:space="preserve">, 2022). However, </w:t>
      </w:r>
      <w:proofErr w:type="spellStart"/>
      <w:r w:rsidRPr="0019509C">
        <w:t>Cepni</w:t>
      </w:r>
      <w:proofErr w:type="spellEnd"/>
      <w:r w:rsidRPr="0019509C">
        <w:t xml:space="preserve">, Şensoy and Yılmaz (2022) argued that in equity financing, there is a risk of ownership </w:t>
      </w:r>
      <w:r w:rsidR="00AF6C77">
        <w:t>dilution</w:t>
      </w:r>
      <w:r w:rsidRPr="0019509C">
        <w:t>. Selling of organisational shares involves the involvement of external shareholders in business decision making, which affect business actual performance and profitability of the company.</w:t>
      </w:r>
    </w:p>
    <w:p w14:paraId="196404A3" w14:textId="77777777" w:rsidR="007D542C" w:rsidRPr="0019509C" w:rsidRDefault="00583B5A">
      <w:r w:rsidRPr="0019509C">
        <w:t xml:space="preserve">On the other hand, in a long-term debt financing option, there is no risk of ownership dilution, but the organisation gets pressure to repay the loan amount. It reduces short-term financial requirements and helps organisations to promote business expansion and innovation (Chen and Sun, 2023). For BYD, the long-term debt option can be a good choice, which will help to promote business expansion and innovation growth, create a competitive business position by developing short-term liquidity of the organisation. </w:t>
      </w:r>
    </w:p>
    <w:p w14:paraId="2D12AB9F" w14:textId="77777777" w:rsidR="007D542C" w:rsidRPr="0019509C" w:rsidRDefault="00583B5A">
      <w:pPr>
        <w:pStyle w:val="Heading1"/>
      </w:pPr>
      <w:bookmarkStart w:id="17" w:name="_Toc227782225"/>
      <w:r w:rsidRPr="0019509C">
        <w:t>4. Strategic Financial Restructuring Plan</w:t>
      </w:r>
      <w:bookmarkEnd w:id="17"/>
      <w:r w:rsidRPr="0019509C">
        <w:t xml:space="preserve"> </w:t>
      </w:r>
    </w:p>
    <w:p w14:paraId="404EB466" w14:textId="77777777" w:rsidR="007D542C" w:rsidRPr="0019509C" w:rsidRDefault="00583B5A">
      <w:pPr>
        <w:pStyle w:val="Heading2"/>
      </w:pPr>
      <w:bookmarkStart w:id="18" w:name="_Toc227782226"/>
      <w:r w:rsidRPr="0019509C">
        <w:t>4.1 Need for Restructuring</w:t>
      </w:r>
      <w:bookmarkEnd w:id="18"/>
    </w:p>
    <w:p w14:paraId="266B8B64" w14:textId="77777777" w:rsidR="007D542C" w:rsidRPr="0019509C" w:rsidRDefault="00583B5A">
      <w:r w:rsidRPr="0019509C">
        <w:t xml:space="preserve">BYD’s financial performance indicates the organisation has high business profitability, but in recent times, 2025, a sudden market downfall and demand fluctuation affected the revenue and liquidity, which increased the negative free cash flow within the organisation. Therefore, to </w:t>
      </w:r>
      <w:r w:rsidRPr="0019509C">
        <w:lastRenderedPageBreak/>
        <w:t xml:space="preserve">address these challenges, BYD needs to adopt strategic financial restructuring, which will improve liquidity, optimize capital restructuring and sustain long-term global expansion. </w:t>
      </w:r>
    </w:p>
    <w:p w14:paraId="06CF491C" w14:textId="77777777" w:rsidR="007D542C" w:rsidRPr="0019509C" w:rsidRDefault="00583B5A">
      <w:pPr>
        <w:pStyle w:val="Heading2"/>
      </w:pPr>
      <w:bookmarkStart w:id="19" w:name="_Toc227782227"/>
      <w:r w:rsidRPr="0019509C">
        <w:t>4.2 Recommended Financial Restructuring Options</w:t>
      </w:r>
      <w:bookmarkEnd w:id="19"/>
    </w:p>
    <w:p w14:paraId="5934591D" w14:textId="77777777" w:rsidR="007D542C" w:rsidRPr="0019509C" w:rsidRDefault="00583B5A">
      <w:r w:rsidRPr="0019509C">
        <w:t>There are different types of financial retirement options available, such as merger, equity injection and divestiture. Merger financing allows two entities to achieve synergies and enhance capital structure, where equity injection includes the infusion of new capital from existing promoters or investors (</w:t>
      </w:r>
      <w:proofErr w:type="spellStart"/>
      <w:r w:rsidRPr="0019509C">
        <w:t>Pomelli</w:t>
      </w:r>
      <w:proofErr w:type="spellEnd"/>
      <w:r w:rsidRPr="0019509C">
        <w:t xml:space="preserve">, 2023). </w:t>
      </w:r>
    </w:p>
    <w:p w14:paraId="484B923D" w14:textId="77777777" w:rsidR="007D542C" w:rsidRPr="0019509C" w:rsidRDefault="00583B5A">
      <w:pPr>
        <w:rPr>
          <w:b/>
          <w:bCs/>
        </w:rPr>
      </w:pPr>
      <w:r w:rsidRPr="0019509C">
        <w:rPr>
          <w:b/>
          <w:bCs/>
        </w:rPr>
        <w:t>Equity Injection</w:t>
      </w:r>
    </w:p>
    <w:p w14:paraId="16360CCC" w14:textId="77777777" w:rsidR="007D542C" w:rsidRPr="0019509C" w:rsidRDefault="00583B5A">
      <w:r w:rsidRPr="0019509C">
        <w:t xml:space="preserve">For BYD, based on the current business situation, the equity injection option can be a preferable option. In 2025, the long-term debt increased, which indicates BYD’s increasing dependence on debt financing. Xiong, Liu and Wang (2023) stated that equity injection allows financing from the existing promoters and shareholders, which reduces dependency on debt financing and improves liquidity positions. </w:t>
      </w:r>
    </w:p>
    <w:p w14:paraId="3295B165" w14:textId="77777777" w:rsidR="007D542C" w:rsidRPr="0019509C" w:rsidRDefault="00583B5A">
      <w:pPr>
        <w:rPr>
          <w:b/>
          <w:bCs/>
        </w:rPr>
      </w:pPr>
      <w:r w:rsidRPr="0019509C">
        <w:rPr>
          <w:b/>
          <w:bCs/>
        </w:rPr>
        <w:t>Strategic Divestiture</w:t>
      </w:r>
    </w:p>
    <w:p w14:paraId="33C34DE1" w14:textId="77777777" w:rsidR="007D542C" w:rsidRPr="0019509C" w:rsidRDefault="00583B5A">
      <w:r w:rsidRPr="0019509C">
        <w:t xml:space="preserve">Strategic divestiture is a financial option which involves business activities such as selling, closing or spinning off businesses or assets to streamline operational efficiency and focus on core competencies (Feldman and Sakhartov, 2022). In the case of BYD, it operates across different series like EV, battery, and electronics. Selecting the underperforming sector and divesting it can help to release capital and boost liquidity. Further, it will increase physics on core EV manufacturing and innovations, which enhance market competitive positioning. </w:t>
      </w:r>
    </w:p>
    <w:p w14:paraId="668F7093" w14:textId="77777777" w:rsidR="007D542C" w:rsidRPr="0019509C" w:rsidRDefault="00583B5A">
      <w:pPr>
        <w:rPr>
          <w:b/>
          <w:bCs/>
        </w:rPr>
      </w:pPr>
      <w:r w:rsidRPr="0019509C">
        <w:rPr>
          <w:b/>
          <w:bCs/>
        </w:rPr>
        <w:t>Debt Restructuring</w:t>
      </w:r>
    </w:p>
    <w:p w14:paraId="27DEAE51" w14:textId="77777777" w:rsidR="007D542C" w:rsidRPr="0019509C" w:rsidRDefault="00583B5A">
      <w:r w:rsidRPr="0019509C">
        <w:t xml:space="preserve">For BYD in recent years, the dependency on debt financing has increased, which affects business liquidity. Mehmood and De Luca (2025) stated that debt restructuring allows businesses to manage debt financing options and control the debt fund usage, which results in better cash generation and mortality duty. For this, BYD can refine the short-term debts into long-term debts and can improve negotiations to provide debts at lower interest rates. </w:t>
      </w:r>
    </w:p>
    <w:p w14:paraId="24D21705" w14:textId="77777777" w:rsidR="007D542C" w:rsidRPr="0019509C" w:rsidRDefault="00583B5A">
      <w:pPr>
        <w:pStyle w:val="Heading2"/>
      </w:pPr>
      <w:bookmarkStart w:id="20" w:name="_Toc227782228"/>
      <w:r w:rsidRPr="0019509C">
        <w:t>4.3 Impact Analysis</w:t>
      </w:r>
      <w:bookmarkEnd w:id="20"/>
    </w:p>
    <w:p w14:paraId="2AC9DA22" w14:textId="77777777" w:rsidR="007D542C" w:rsidRPr="0019509C" w:rsidRDefault="00583B5A">
      <w:pPr>
        <w:rPr>
          <w:b/>
          <w:bCs/>
        </w:rPr>
      </w:pPr>
      <w:r w:rsidRPr="0019509C">
        <w:rPr>
          <w:b/>
          <w:bCs/>
        </w:rPr>
        <w:t>Impact on Shareholders</w:t>
      </w:r>
    </w:p>
    <w:p w14:paraId="1CC2107D" w14:textId="77777777" w:rsidR="007D542C" w:rsidRPr="0019509C" w:rsidRDefault="00583B5A">
      <w:r w:rsidRPr="0019509C">
        <w:t xml:space="preserve">The adoption of strategic financial options like equity injection increases the bonding and engagement with the shareholders. Strengthening the relationship with shareholders and investors, </w:t>
      </w:r>
      <w:r w:rsidRPr="0019509C">
        <w:lastRenderedPageBreak/>
        <w:t xml:space="preserve">it will increase the long-term EPS growth option. Along with this, the adoption of the divestiture option helps to close the underperforming units and increase business efficiency, which will attract more shareholders for investment. Overall, a combination of divestiture and equity injections will improve BYD’s liquidity and investors’ confidence for the future. However, Burkart, M. and Zhong (2023) argued that equity injection can increase the risk of share dilution and harm the short-term EPS, and restructuring finances--also inflicts short-term profitability. Thus, there is a need for proper understanding and balancing these opinions to maintain positive outcomes within BYD. </w:t>
      </w:r>
    </w:p>
    <w:p w14:paraId="5BFF3F7C" w14:textId="77777777" w:rsidR="007D542C" w:rsidRPr="0019509C" w:rsidRDefault="00583B5A">
      <w:pPr>
        <w:rPr>
          <w:b/>
          <w:bCs/>
        </w:rPr>
      </w:pPr>
      <w:r w:rsidRPr="0019509C">
        <w:rPr>
          <w:b/>
          <w:bCs/>
        </w:rPr>
        <w:t>Impact on debt structure</w:t>
      </w:r>
    </w:p>
    <w:p w14:paraId="6A335B1A" w14:textId="77777777" w:rsidR="007D542C" w:rsidRPr="0019509C" w:rsidRDefault="00583B5A">
      <w:r w:rsidRPr="0019509C">
        <w:t xml:space="preserve">The adoption of the proposed </w:t>
      </w:r>
      <w:r w:rsidR="00AB5F47" w:rsidRPr="0019509C">
        <w:t>financing</w:t>
      </w:r>
      <w:r w:rsidRPr="0019509C">
        <w:t xml:space="preserve"> options, such as equity injection, diversities, debentures, and debenture restructuring, will enhance better debt management within BYD. For example, it will reduce overreliance on the first term, the finance requirement. </w:t>
      </w:r>
      <w:r w:rsidR="00E67F40">
        <w:t xml:space="preserve">Improve </w:t>
      </w:r>
      <w:r w:rsidRPr="0019509C">
        <w:t xml:space="preserve">capacity and long-term debt options provide better and lower debt return options. Thus, these adoptions are important for BYD to improve operating cash flow performance and increase short-term liquidity within the organisation. </w:t>
      </w:r>
    </w:p>
    <w:p w14:paraId="4F3AD33B" w14:textId="77777777" w:rsidR="007D542C" w:rsidRPr="0019509C" w:rsidRDefault="00583B5A">
      <w:pPr>
        <w:rPr>
          <w:b/>
          <w:bCs/>
        </w:rPr>
      </w:pPr>
      <w:r w:rsidRPr="0019509C">
        <w:rPr>
          <w:b/>
          <w:bCs/>
        </w:rPr>
        <w:t>Impact on Operational Flexibility</w:t>
      </w:r>
    </w:p>
    <w:p w14:paraId="1EC64FA9" w14:textId="77777777" w:rsidR="007D542C" w:rsidRPr="0019509C" w:rsidRDefault="00583B5A">
      <w:r w:rsidRPr="0019509C">
        <w:t xml:space="preserve">The adoption of diverters improves growth and boosts operational flexibility. A combination of all suggested options will reduce operational risks and increase the short-term liquidity, which will enable better strategic decision-making and operational efficiency of the organisation. </w:t>
      </w:r>
    </w:p>
    <w:p w14:paraId="38EAB5FA" w14:textId="77777777" w:rsidR="007D542C" w:rsidRPr="0019509C" w:rsidRDefault="00583B5A">
      <w:pPr>
        <w:pStyle w:val="Heading2"/>
      </w:pPr>
      <w:bookmarkStart w:id="21" w:name="_Toc227782229"/>
      <w:r w:rsidRPr="0019509C">
        <w:t>4.4 International Considerations</w:t>
      </w:r>
      <w:bookmarkEnd w:id="21"/>
    </w:p>
    <w:p w14:paraId="1F53F869" w14:textId="77777777" w:rsidR="007D542C" w:rsidRPr="0019509C" w:rsidRDefault="00583B5A">
      <w:pPr>
        <w:rPr>
          <w:b/>
          <w:bCs/>
        </w:rPr>
      </w:pPr>
      <w:r w:rsidRPr="0019509C">
        <w:rPr>
          <w:b/>
          <w:bCs/>
        </w:rPr>
        <w:t>Currency Risks</w:t>
      </w:r>
    </w:p>
    <w:p w14:paraId="736D9DA5" w14:textId="77777777" w:rsidR="007D542C" w:rsidRPr="0019509C" w:rsidRDefault="00583B5A">
      <w:r w:rsidRPr="0019509C">
        <w:t xml:space="preserve">BYD operates its business in more than 80 countries, which increases the risk of currency fluctuations (BYD, 2024).  Currency depreciation significantly affects organisational revenue generation and hampers profitability. Thus, to address the currently depreciating risk, BYD can use hedging instruments and focus on revenue diversification across different regions. </w:t>
      </w:r>
    </w:p>
    <w:p w14:paraId="4F45CA69" w14:textId="77777777" w:rsidR="007D542C" w:rsidRPr="0019509C" w:rsidRDefault="00583B5A">
      <w:pPr>
        <w:rPr>
          <w:b/>
          <w:bCs/>
        </w:rPr>
      </w:pPr>
      <w:r w:rsidRPr="0019509C">
        <w:rPr>
          <w:b/>
          <w:bCs/>
        </w:rPr>
        <w:t>Taxations and Regulatory Environment</w:t>
      </w:r>
    </w:p>
    <w:p w14:paraId="43730792" w14:textId="77777777" w:rsidR="007D542C" w:rsidRPr="0019509C" w:rsidRDefault="00583B5A">
      <w:proofErr w:type="spellStart"/>
      <w:r w:rsidRPr="0019509C">
        <w:t>Ruziokhunov</w:t>
      </w:r>
      <w:proofErr w:type="spellEnd"/>
      <w:r w:rsidRPr="0019509C">
        <w:t xml:space="preserve"> and Yuldasheva (2025) stated that different countries have their own regulatory rules, foreign trading and taxation rules, which increase the challenges to maintain different policies at the same time. Thus, to address this type of risk, it is guided by BYD to target customers where there are foreign business taxes that are </w:t>
      </w:r>
      <w:r w:rsidR="003770C3" w:rsidRPr="0019509C">
        <w:t>non-existent</w:t>
      </w:r>
      <w:r w:rsidRPr="0019509C">
        <w:t xml:space="preserve">, and focus on leveraging government incentives to promote EV production. </w:t>
      </w:r>
    </w:p>
    <w:p w14:paraId="2EF63552" w14:textId="77777777" w:rsidR="007D542C" w:rsidRPr="0019509C" w:rsidRDefault="00583B5A">
      <w:pPr>
        <w:rPr>
          <w:b/>
          <w:bCs/>
        </w:rPr>
      </w:pPr>
      <w:r w:rsidRPr="0019509C">
        <w:rPr>
          <w:b/>
          <w:bCs/>
        </w:rPr>
        <w:lastRenderedPageBreak/>
        <w:t>Inflation Impact</w:t>
      </w:r>
    </w:p>
    <w:p w14:paraId="366856FE" w14:textId="77777777" w:rsidR="007D542C" w:rsidRPr="0019509C" w:rsidRDefault="00583B5A">
      <w:r w:rsidRPr="0019509C">
        <w:t>The increasing profitability of affecting business operations and increasing the business profit margin. For example, as compared to the inflation rate of China, 1.1%, the inflation rate of the UK and the USA is 3.3 (Trading Economics, 2025). This indi</w:t>
      </w:r>
      <w:r w:rsidR="00D96119">
        <w:t>cates that, as compared to Chin</w:t>
      </w:r>
      <w:r w:rsidRPr="0019509C">
        <w:t xml:space="preserve">a, BYD will face challenges to maintain business profitability in the UK and the USA. Thus, to address this type of challenge, BYD should adopt long-term supplier contracts and adopt a very complete integrated system, where BYD will get ownership over multiple stages of supply in China, which will help to manage business profit margin. </w:t>
      </w:r>
    </w:p>
    <w:p w14:paraId="5BDE1DB2" w14:textId="77777777" w:rsidR="007D542C" w:rsidRPr="0019509C" w:rsidRDefault="00583B5A">
      <w:pPr>
        <w:pStyle w:val="Heading2"/>
      </w:pPr>
      <w:bookmarkStart w:id="22" w:name="_Toc227782230"/>
      <w:r w:rsidRPr="0019509C">
        <w:t>4.5 Ethical &amp; CSR Considerations</w:t>
      </w:r>
      <w:bookmarkEnd w:id="22"/>
    </w:p>
    <w:p w14:paraId="7326242E" w14:textId="77777777" w:rsidR="007D542C" w:rsidRPr="0019509C" w:rsidRDefault="00583B5A">
      <w:r w:rsidRPr="0019509C">
        <w:t xml:space="preserve">The intentions of ethical and CSR activities, consideration of ESG, play an important role. Focusing on environmental responsibility, social responsibility, and governance acts as an efficient way to promote CSR and maintain a positive image in front of internal and external stakeholders like employees, customers, government bodies, shareholders, and investors. As a CASR activity, BYD performs copper in schools, provides disaster relief, and educational developments (BYD Global, 2023). At the same time, new EVs helped to reduce CO2 emissions by 12 billion kilograms and promoted green transportation. Additionally, BYD is committed to achieving peak carbon reduction by 2030 and achieving net-zero by 2060, which crucially aligns with China’s “3060” dual-carbon initiative (BYD Global, 2024; Just Auto, 2023). All this evidence shows that BYD maintained a strong CSR activity, which helps to enhance a positive business image and shareholder trust, which drives business stability. </w:t>
      </w:r>
    </w:p>
    <w:p w14:paraId="1946F5D8" w14:textId="77777777" w:rsidR="007D542C" w:rsidRPr="0019509C" w:rsidRDefault="00583B5A">
      <w:pPr>
        <w:pStyle w:val="Heading1"/>
      </w:pPr>
      <w:bookmarkStart w:id="23" w:name="_Toc227782231"/>
      <w:r w:rsidRPr="0019509C">
        <w:t>5. Investment Appraisal and Capital Budgeting</w:t>
      </w:r>
      <w:bookmarkEnd w:id="23"/>
    </w:p>
    <w:p w14:paraId="52522022" w14:textId="77777777" w:rsidR="007D542C" w:rsidRPr="0019509C" w:rsidRDefault="00583B5A">
      <w:pPr>
        <w:pStyle w:val="Heading2"/>
      </w:pPr>
      <w:bookmarkStart w:id="24" w:name="_Toc227782232"/>
      <w:r w:rsidRPr="0019509C">
        <w:t>5.1 Calculations of Investment Appraisal Techniques</w:t>
      </w:r>
      <w:bookmarkEnd w:id="24"/>
    </w:p>
    <w:p w14:paraId="33A788D3" w14:textId="77777777" w:rsidR="007D542C" w:rsidRPr="0019509C" w:rsidRDefault="00583B5A">
      <w:pPr>
        <w:rPr>
          <w:b/>
          <w:bCs/>
        </w:rPr>
      </w:pPr>
      <w:r w:rsidRPr="0019509C">
        <w:rPr>
          <w:b/>
          <w:bCs/>
        </w:rPr>
        <w:t>Project A calculations</w:t>
      </w:r>
    </w:p>
    <w:p w14:paraId="3D38E3A4" w14:textId="77777777" w:rsidR="007D542C" w:rsidRPr="0019509C" w:rsidRDefault="00583B5A">
      <w:pPr>
        <w:jc w:val="center"/>
        <w:rPr>
          <w:b/>
          <w:bCs/>
        </w:rPr>
      </w:pPr>
      <w:r w:rsidRPr="0019509C">
        <w:rPr>
          <w:b/>
          <w:bCs/>
          <w:noProof/>
        </w:rPr>
        <w:lastRenderedPageBreak/>
        <w:drawing>
          <wp:inline distT="114300" distB="114300" distL="114300" distR="114300" wp14:anchorId="784E5E30" wp14:editId="7180540A">
            <wp:extent cx="4681538" cy="5259227"/>
            <wp:effectExtent l="12700" t="12700" r="12700" b="1270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681538" cy="5259227"/>
                    </a:xfrm>
                    <a:prstGeom prst="rect">
                      <a:avLst/>
                    </a:prstGeom>
                    <a:ln w="12700">
                      <a:solidFill>
                        <a:srgbClr val="000000"/>
                      </a:solidFill>
                      <a:prstDash val="solid"/>
                    </a:ln>
                  </pic:spPr>
                </pic:pic>
              </a:graphicData>
            </a:graphic>
          </wp:inline>
        </w:drawing>
      </w:r>
    </w:p>
    <w:p w14:paraId="4A81CE03" w14:textId="77777777" w:rsidR="007D542C" w:rsidRPr="0019509C" w:rsidRDefault="00583B5A">
      <w:pPr>
        <w:jc w:val="center"/>
        <w:rPr>
          <w:b/>
          <w:bCs/>
        </w:rPr>
      </w:pPr>
      <w:r w:rsidRPr="0019509C">
        <w:rPr>
          <w:b/>
          <w:bCs/>
        </w:rPr>
        <w:t>Table 1: Project A calculations</w:t>
      </w:r>
    </w:p>
    <w:p w14:paraId="70C93535" w14:textId="77777777" w:rsidR="007D542C" w:rsidRPr="0019509C" w:rsidRDefault="00583B5A">
      <w:pPr>
        <w:jc w:val="center"/>
      </w:pPr>
      <w:r w:rsidRPr="0019509C">
        <w:t>(Source: Excel)</w:t>
      </w:r>
    </w:p>
    <w:p w14:paraId="720B3693" w14:textId="77777777" w:rsidR="007D542C" w:rsidRPr="0019509C" w:rsidRDefault="00583B5A">
      <w:r w:rsidRPr="0019509C">
        <w:t xml:space="preserve">Table A depicts the calculations for Project A, where the Payback period (PBP) value is 4.5 years, the ARR value is 1.6%, the NPV value is -8.68, and PI is 0.83. </w:t>
      </w:r>
    </w:p>
    <w:p w14:paraId="33399D37" w14:textId="77777777" w:rsidR="007D542C" w:rsidRPr="0019509C" w:rsidRDefault="00583B5A">
      <w:pPr>
        <w:rPr>
          <w:b/>
          <w:bCs/>
        </w:rPr>
      </w:pPr>
      <w:r w:rsidRPr="0019509C">
        <w:rPr>
          <w:b/>
          <w:bCs/>
        </w:rPr>
        <w:t>Project B calculations</w:t>
      </w:r>
    </w:p>
    <w:p w14:paraId="44510B8A" w14:textId="77777777" w:rsidR="007D542C" w:rsidRPr="0019509C" w:rsidRDefault="00583B5A">
      <w:pPr>
        <w:jc w:val="center"/>
        <w:rPr>
          <w:b/>
          <w:bCs/>
        </w:rPr>
      </w:pPr>
      <w:r w:rsidRPr="0019509C">
        <w:rPr>
          <w:b/>
          <w:bCs/>
          <w:noProof/>
        </w:rPr>
        <w:lastRenderedPageBreak/>
        <w:drawing>
          <wp:inline distT="114300" distB="114300" distL="114300" distR="114300" wp14:anchorId="63250688" wp14:editId="1E7875D6">
            <wp:extent cx="4271963" cy="4916258"/>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271963" cy="4916258"/>
                    </a:xfrm>
                    <a:prstGeom prst="rect">
                      <a:avLst/>
                    </a:prstGeom>
                    <a:ln w="12700">
                      <a:solidFill>
                        <a:srgbClr val="000000"/>
                      </a:solidFill>
                      <a:prstDash val="solid"/>
                    </a:ln>
                  </pic:spPr>
                </pic:pic>
              </a:graphicData>
            </a:graphic>
          </wp:inline>
        </w:drawing>
      </w:r>
    </w:p>
    <w:p w14:paraId="74348EB0" w14:textId="77777777" w:rsidR="007D542C" w:rsidRPr="0019509C" w:rsidRDefault="00583B5A">
      <w:pPr>
        <w:jc w:val="center"/>
        <w:rPr>
          <w:b/>
          <w:bCs/>
        </w:rPr>
      </w:pPr>
      <w:r w:rsidRPr="0019509C">
        <w:rPr>
          <w:b/>
          <w:bCs/>
        </w:rPr>
        <w:t>Table 2: Project B calculations</w:t>
      </w:r>
    </w:p>
    <w:p w14:paraId="1F52E2D0" w14:textId="77777777" w:rsidR="007D542C" w:rsidRPr="0019509C" w:rsidRDefault="00583B5A">
      <w:pPr>
        <w:jc w:val="center"/>
      </w:pPr>
      <w:r w:rsidRPr="0019509C">
        <w:t>(Source: Excel)</w:t>
      </w:r>
    </w:p>
    <w:p w14:paraId="49D3F631" w14:textId="77777777" w:rsidR="007D542C" w:rsidRPr="0019509C" w:rsidRDefault="00583B5A">
      <w:r w:rsidRPr="0019509C">
        <w:t xml:space="preserve">Table 2 shows the calculated PBP, NPV, PI and ARR values, where the NPV value becomes -8.30, the PBP value is 4.45, ARR is 2%, and the PI value is 0.83. </w:t>
      </w:r>
    </w:p>
    <w:p w14:paraId="63988B38" w14:textId="77777777" w:rsidR="007D542C" w:rsidRPr="0019509C" w:rsidRDefault="00583B5A">
      <w:pPr>
        <w:rPr>
          <w:b/>
          <w:bCs/>
        </w:rPr>
      </w:pPr>
      <w:r w:rsidRPr="0019509C">
        <w:rPr>
          <w:b/>
          <w:bCs/>
        </w:rPr>
        <w:t>Project C calculations</w:t>
      </w:r>
    </w:p>
    <w:p w14:paraId="6E21BFE1" w14:textId="77777777" w:rsidR="007D542C" w:rsidRPr="0019509C" w:rsidRDefault="00583B5A">
      <w:pPr>
        <w:jc w:val="center"/>
        <w:rPr>
          <w:b/>
          <w:bCs/>
        </w:rPr>
      </w:pPr>
      <w:r w:rsidRPr="0019509C">
        <w:rPr>
          <w:b/>
          <w:bCs/>
          <w:noProof/>
        </w:rPr>
        <w:lastRenderedPageBreak/>
        <w:drawing>
          <wp:inline distT="114300" distB="114300" distL="114300" distR="114300" wp14:anchorId="0E4D51D6" wp14:editId="47492FF8">
            <wp:extent cx="4511541" cy="5176838"/>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511541" cy="5176838"/>
                    </a:xfrm>
                    <a:prstGeom prst="rect">
                      <a:avLst/>
                    </a:prstGeom>
                    <a:ln w="12700">
                      <a:solidFill>
                        <a:srgbClr val="000000"/>
                      </a:solidFill>
                      <a:prstDash val="solid"/>
                    </a:ln>
                  </pic:spPr>
                </pic:pic>
              </a:graphicData>
            </a:graphic>
          </wp:inline>
        </w:drawing>
      </w:r>
    </w:p>
    <w:p w14:paraId="1FCB0118" w14:textId="77777777" w:rsidR="007D542C" w:rsidRPr="0019509C" w:rsidRDefault="00583B5A">
      <w:pPr>
        <w:jc w:val="center"/>
        <w:rPr>
          <w:b/>
          <w:bCs/>
        </w:rPr>
      </w:pPr>
      <w:r w:rsidRPr="0019509C">
        <w:rPr>
          <w:b/>
          <w:bCs/>
        </w:rPr>
        <w:t>Table 3: Project C calculations</w:t>
      </w:r>
    </w:p>
    <w:p w14:paraId="49F5ADFD" w14:textId="77777777" w:rsidR="007D542C" w:rsidRPr="0019509C" w:rsidRDefault="00583B5A">
      <w:pPr>
        <w:jc w:val="center"/>
      </w:pPr>
      <w:r w:rsidRPr="0019509C">
        <w:t>(Source: Excel)</w:t>
      </w:r>
    </w:p>
    <w:p w14:paraId="7120AC8E" w14:textId="77777777" w:rsidR="007D542C" w:rsidRPr="0019509C" w:rsidRDefault="00583B5A">
      <w:r w:rsidRPr="0019509C">
        <w:t xml:space="preserve">Table 3 shows the calculations of the project investments, where the PBP value is 3.40, the ARR is 6%, the NPV is -1.98, and the PI value is 0.96. </w:t>
      </w:r>
    </w:p>
    <w:p w14:paraId="0D88C823" w14:textId="77777777" w:rsidR="007D542C" w:rsidRPr="0019509C" w:rsidRDefault="00583B5A">
      <w:pPr>
        <w:pStyle w:val="Heading2"/>
      </w:pPr>
      <w:bookmarkStart w:id="25" w:name="_Toc227782233"/>
      <w:r w:rsidRPr="0019509C">
        <w:t>5.2 Comparison of Projects</w:t>
      </w:r>
      <w:bookmarkEnd w:id="25"/>
    </w:p>
    <w:p w14:paraId="5372A6A1" w14:textId="77777777" w:rsidR="007D542C" w:rsidRPr="0019509C" w:rsidRDefault="00583B5A">
      <w:pPr>
        <w:rPr>
          <w:b/>
          <w:bCs/>
        </w:rPr>
      </w:pPr>
      <w:r w:rsidRPr="0019509C">
        <w:rPr>
          <w:b/>
          <w:bCs/>
        </w:rPr>
        <w:t>PBP</w:t>
      </w:r>
    </w:p>
    <w:p w14:paraId="706F4600" w14:textId="77777777" w:rsidR="007D542C" w:rsidRPr="0019509C" w:rsidRDefault="00583B5A">
      <w:r w:rsidRPr="0019509C">
        <w:t xml:space="preserve">The payback period shows the approximate number of years to pay back the initial investment amount in a project. Payback period is simple, easy to calculate and understand. However, the payback period ignores the time value of money, which fails to provide long-term business profitability (Cotter, 2023). In the case of Project A, the PBP shows 4.5 years, Project B shows a </w:t>
      </w:r>
      <w:r w:rsidRPr="0019509C">
        <w:lastRenderedPageBreak/>
        <w:t xml:space="preserve">value of 4.45 and Project # shows a PBP of 3.40. Dai et al. (2022) stated that generally, a shorter payback period is considered a good investment choice. As per these findings, Project C has the shortest PBP, at 3 years and 4 months. Thus, as compared to Project C, Project A and Project B take longer to return the initial investment. Thus, Project C is considered as the best project choice. </w:t>
      </w:r>
    </w:p>
    <w:p w14:paraId="77DD7432" w14:textId="77777777" w:rsidR="007D542C" w:rsidRPr="0019509C" w:rsidRDefault="00583B5A">
      <w:pPr>
        <w:rPr>
          <w:b/>
          <w:bCs/>
        </w:rPr>
      </w:pPr>
      <w:r w:rsidRPr="0019509C">
        <w:rPr>
          <w:b/>
          <w:bCs/>
        </w:rPr>
        <w:t>ARR</w:t>
      </w:r>
    </w:p>
    <w:p w14:paraId="05BF884C" w14:textId="77777777" w:rsidR="007D542C" w:rsidRPr="0019509C" w:rsidRDefault="00583B5A">
      <w:r w:rsidRPr="0019509C">
        <w:t>Accounting rate of return, or ARR, helps to estimate expected annual profitability after investing in a project. It</w:t>
      </w:r>
      <w:r w:rsidR="005355AF">
        <w:t xml:space="preserve"> is simple to understand </w:t>
      </w:r>
      <w:r w:rsidRPr="0019509C">
        <w:t>a</w:t>
      </w:r>
      <w:r w:rsidR="005355AF">
        <w:t>n</w:t>
      </w:r>
      <w:r w:rsidRPr="0019509C">
        <w:t xml:space="preserve">d easy to calculate. However, </w:t>
      </w:r>
      <w:proofErr w:type="spellStart"/>
      <w:r w:rsidRPr="0019509C">
        <w:t>Varmazyar</w:t>
      </w:r>
      <w:proofErr w:type="spellEnd"/>
      <w:r w:rsidRPr="0019509C">
        <w:t>, Bagheri and Karami (2025) argued that ARR ignores the time value of money, which creates difficulties in identifying the actual profitability. Additionally, it provides</w:t>
      </w:r>
      <w:r w:rsidR="009D2E4E">
        <w:t xml:space="preserve"> value</w:t>
      </w:r>
      <w:r w:rsidRPr="0019509C">
        <w:t xml:space="preserve"> in terms of percentage, not in actual volume, which is considered another limitation. In the case of Project A, ARR is calculated as 1.6%, Project B got 2%, and Project C ARR value is calculated as 6%. Co</w:t>
      </w:r>
      <w:r w:rsidR="00964A3E">
        <w:t>ccia and Benati (2023) stated t</w:t>
      </w:r>
      <w:r w:rsidRPr="0019509C">
        <w:t>h</w:t>
      </w:r>
      <w:r w:rsidR="00964A3E">
        <w:t>a</w:t>
      </w:r>
      <w:r w:rsidRPr="0019509C">
        <w:t xml:space="preserve">t higher ARR value indicates high profitability. Based on this assumption, Project C consider as the most impressive project for investment as it has the highest ARR value in percentage. </w:t>
      </w:r>
    </w:p>
    <w:p w14:paraId="1FDC6EE7" w14:textId="77777777" w:rsidR="007D542C" w:rsidRPr="0019509C" w:rsidRDefault="00583B5A">
      <w:pPr>
        <w:rPr>
          <w:b/>
          <w:bCs/>
        </w:rPr>
      </w:pPr>
      <w:r w:rsidRPr="0019509C">
        <w:rPr>
          <w:b/>
          <w:bCs/>
        </w:rPr>
        <w:t>NPV</w:t>
      </w:r>
    </w:p>
    <w:p w14:paraId="66975C99" w14:textId="77777777" w:rsidR="007D542C" w:rsidRPr="0019509C" w:rsidRDefault="00583B5A">
      <w:r w:rsidRPr="0019509C">
        <w:t xml:space="preserve">Net Present Value or NPV is a financial method used to identify investment profitability. It performed differently between the cash inflows and the present value over time. NPV consider the time value of money, which is a major strength of NPV. It also shows the profitability in value, not in percentage, which improves decision-making to select the project (Shou, 2022). However, NPV is sensitive to the cost of capital, which needs to be considered properly to calculate NPV. In the case of Project A, the NPV value shows -8.68, where Project B NPV value is -8.30, and Project C NPV value is -1.98. Wangchuk (2022) stated that a higher positive </w:t>
      </w:r>
      <w:r w:rsidR="009E2481">
        <w:t>NPV value is considered ideal fo</w:t>
      </w:r>
      <w:r w:rsidRPr="0019509C">
        <w:t xml:space="preserve">r investment. However, </w:t>
      </w:r>
      <w:r w:rsidR="00962F2F" w:rsidRPr="0019509C">
        <w:t>in this</w:t>
      </w:r>
      <w:r w:rsidRPr="0019509C">
        <w:t xml:space="preserve"> case, the projects return a negative value. </w:t>
      </w:r>
      <w:r w:rsidR="00962F2F" w:rsidRPr="0019509C">
        <w:t>In this</w:t>
      </w:r>
      <w:r w:rsidRPr="0019509C">
        <w:t xml:space="preserve"> case, Project C returns a less negative value, -1.98, as compared to Project A and Project B. Thus, Project C will be considered as the best project for investment. </w:t>
      </w:r>
    </w:p>
    <w:p w14:paraId="57C83AC3" w14:textId="77777777" w:rsidR="007D542C" w:rsidRPr="0019509C" w:rsidRDefault="00583B5A">
      <w:pPr>
        <w:rPr>
          <w:b/>
          <w:bCs/>
        </w:rPr>
      </w:pPr>
      <w:r w:rsidRPr="0019509C">
        <w:rPr>
          <w:b/>
          <w:bCs/>
        </w:rPr>
        <w:t>PI</w:t>
      </w:r>
    </w:p>
    <w:p w14:paraId="37833B3C" w14:textId="77777777" w:rsidR="007D542C" w:rsidRPr="0019509C" w:rsidRDefault="00583B5A">
      <w:r w:rsidRPr="0019509C">
        <w:t>Profitability index or PI calculate the profit i</w:t>
      </w:r>
      <w:r w:rsidR="00F139D5">
        <w:t xml:space="preserve">nvestment ratio, which promote </w:t>
      </w:r>
      <w:r w:rsidR="00F139D5" w:rsidRPr="0019509C">
        <w:t>decision</w:t>
      </w:r>
      <w:r w:rsidRPr="0019509C">
        <w:t xml:space="preserve"> </w:t>
      </w:r>
      <w:r w:rsidR="00191913" w:rsidRPr="0019509C">
        <w:t>making</w:t>
      </w:r>
      <w:r w:rsidR="00191913">
        <w:t xml:space="preserve"> fo</w:t>
      </w:r>
      <w:r w:rsidRPr="0019509C">
        <w:t xml:space="preserve">r </w:t>
      </w:r>
      <w:r w:rsidR="00D57D6E" w:rsidRPr="0019509C">
        <w:t>investment</w:t>
      </w:r>
      <w:r w:rsidRPr="0019509C">
        <w:t xml:space="preserve"> on any</w:t>
      </w:r>
      <w:r w:rsidR="00D57D6E">
        <w:t xml:space="preserve"> proj</w:t>
      </w:r>
      <w:r w:rsidRPr="0019509C">
        <w:t>ect (</w:t>
      </w:r>
      <w:proofErr w:type="spellStart"/>
      <w:r w:rsidRPr="0019509C">
        <w:t>Bolun</w:t>
      </w:r>
      <w:proofErr w:type="spellEnd"/>
      <w:r w:rsidRPr="0019509C">
        <w:t xml:space="preserve">, </w:t>
      </w:r>
      <w:proofErr w:type="spellStart"/>
      <w:r w:rsidRPr="0019509C">
        <w:t>Ghetmancenco</w:t>
      </w:r>
      <w:proofErr w:type="spellEnd"/>
      <w:r w:rsidRPr="0019509C">
        <w:t xml:space="preserve"> and Nastas, 2022). It determines the e</w:t>
      </w:r>
      <w:r w:rsidR="0065247F">
        <w:t>ffectiveness of investm</w:t>
      </w:r>
      <w:r w:rsidRPr="0019509C">
        <w:t xml:space="preserve">ent projects. In the case of Project A and Project B provides the same value of 0.83, and Project C returns a PI value of 0.96. Tikhomirova and Tikhomirov (2024) stated that the probability index value return &gt; 1.0 indicates a profitable project, where PI value &lt; 1.0 </w:t>
      </w:r>
      <w:r w:rsidRPr="0019509C">
        <w:lastRenderedPageBreak/>
        <w:t xml:space="preserve">show not valuable project. Among these three investment projects, Project C's value is closer to 1.0, as compared to Project A and Project B. Although all three projects return negative values, Project C will return a less negative value than Projects A and B. Thus, in the case of PI, Project C will be the best choice. </w:t>
      </w:r>
    </w:p>
    <w:p w14:paraId="408431F5" w14:textId="77777777" w:rsidR="007D542C" w:rsidRPr="0019509C" w:rsidRDefault="00583B5A">
      <w:pPr>
        <w:pStyle w:val="Heading2"/>
      </w:pPr>
      <w:bookmarkStart w:id="26" w:name="_Toc227782234"/>
      <w:r w:rsidRPr="0019509C">
        <w:t>5.3 Recommendation of Best Project</w:t>
      </w:r>
      <w:bookmarkEnd w:id="26"/>
      <w:r w:rsidRPr="0019509C">
        <w:t xml:space="preserve"> </w:t>
      </w:r>
    </w:p>
    <w:p w14:paraId="2A7D5095" w14:textId="77777777" w:rsidR="007D542C" w:rsidRPr="0019509C" w:rsidRDefault="00583B5A">
      <w:r w:rsidRPr="0019509C">
        <w:t xml:space="preserve">From the investment appraisal analysis of the three investment projects, Project C is the most suitable option. Thus, Project C will be the recommended project option for BYD. Across all four key parameters, such as payback period, accounting rate of return, profitability index and net present value, Project C value is the most stable. </w:t>
      </w:r>
    </w:p>
    <w:p w14:paraId="24893009" w14:textId="77777777" w:rsidR="007D542C" w:rsidRPr="0019509C" w:rsidRDefault="00583B5A">
      <w:r w:rsidRPr="0019509C">
        <w:t xml:space="preserve">Project C has the shortest payback period of 3 years 4 months, which indicates this project will return the initial investment money of £50. This approach is important to maintain superior financial liquidity within the organisation. BYD is facing challenges in maintaining liquidity within the organisation. Thus, the selection of the shortest payback period will return the investment amount and improve the financial performance of the organisation. </w:t>
      </w:r>
    </w:p>
    <w:p w14:paraId="3E047CD2" w14:textId="77777777" w:rsidR="007D542C" w:rsidRPr="0019509C" w:rsidRDefault="00583B5A">
      <w:r w:rsidRPr="0019509C">
        <w:t xml:space="preserve">Apart from this, Interns of ARR Project C also remain suitable. </w:t>
      </w:r>
      <w:proofErr w:type="spellStart"/>
      <w:r w:rsidR="00910E11">
        <w:t>Bolun</w:t>
      </w:r>
      <w:proofErr w:type="spellEnd"/>
      <w:r w:rsidR="00910E11">
        <w:t xml:space="preserve">, </w:t>
      </w:r>
      <w:proofErr w:type="spellStart"/>
      <w:r w:rsidR="00910E11">
        <w:t>Ghetmancenco</w:t>
      </w:r>
      <w:proofErr w:type="spellEnd"/>
      <w:r w:rsidR="00910E11">
        <w:t xml:space="preserve"> and Nastas (</w:t>
      </w:r>
      <w:r w:rsidR="00910E11" w:rsidRPr="0019509C">
        <w:t>2022</w:t>
      </w:r>
      <w:r w:rsidRPr="0019509C">
        <w:t xml:space="preserve">) stated that the higher ARR value needs to be considered, which will provide higher returns. In this context, as compared to Project A and Project B, Project C has the highest ARR value of 6%. Additionally, projects with higher returns will help to improve the organisational liquidity and profitability for BYD. </w:t>
      </w:r>
    </w:p>
    <w:p w14:paraId="4D355CEE" w14:textId="77777777" w:rsidR="007D542C" w:rsidRPr="0019509C" w:rsidRDefault="00583B5A">
      <w:r w:rsidRPr="0019509C">
        <w:t xml:space="preserve">Apart from this, the NPV value considered is the best option, considering the time value of money. Although at 10% COC, the Project C return indicates negative or near-zero, it is considered a good project, as it generates lower business losses after investment. However, they need to maintain the COC value. </w:t>
      </w:r>
      <w:r w:rsidR="000C410A" w:rsidRPr="0019509C">
        <w:t xml:space="preserve">Tikhomirova and Tikhomirov </w:t>
      </w:r>
      <w:r w:rsidR="000C410A">
        <w:t xml:space="preserve"> </w:t>
      </w:r>
      <w:r w:rsidRPr="0019509C">
        <w:t>(</w:t>
      </w:r>
      <w:r w:rsidR="000C410A">
        <w:t>2024</w:t>
      </w:r>
      <w:r w:rsidRPr="0019509C">
        <w:t xml:space="preserve">) stated that increasing COC can increase NPV return, where the lower the COC, will increase the NPV profitability. Thus, before investment to achieve positive profitability, BYD need to rearrange the COC value. Along with this as per PI consideration, the Project C generates a higher return. Thus, </w:t>
      </w:r>
      <w:r w:rsidR="0082729C" w:rsidRPr="0019509C">
        <w:t>all</w:t>
      </w:r>
      <w:r w:rsidRPr="0019509C">
        <w:t xml:space="preserve"> the investment appraisal technique, Project C return the suitable outcome, Project C will be the recommended project for investment. </w:t>
      </w:r>
    </w:p>
    <w:p w14:paraId="133AEBBB" w14:textId="77777777" w:rsidR="007D542C" w:rsidRPr="0019509C" w:rsidRDefault="00583B5A">
      <w:pPr>
        <w:pStyle w:val="Heading2"/>
        <w:rPr>
          <w:rFonts w:ascii="Arial" w:eastAsia="Arial" w:hAnsi="Arial" w:cs="Arial"/>
          <w:color w:val="222222"/>
          <w:sz w:val="20"/>
          <w:szCs w:val="20"/>
          <w:highlight w:val="white"/>
        </w:rPr>
      </w:pPr>
      <w:bookmarkStart w:id="27" w:name="_Toc227782235"/>
      <w:r w:rsidRPr="0019509C">
        <w:t>5.4 Capital Rationing Decision (£100m limit)</w:t>
      </w:r>
      <w:bookmarkEnd w:id="27"/>
    </w:p>
    <w:tbl>
      <w:tblPr>
        <w:tblStyle w:val="a"/>
        <w:tblW w:w="95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05"/>
        <w:gridCol w:w="2460"/>
        <w:gridCol w:w="3360"/>
      </w:tblGrid>
      <w:tr w:rsidR="007D542C" w:rsidRPr="0019509C" w14:paraId="5DEE2720" w14:textId="77777777">
        <w:trPr>
          <w:trHeight w:val="515"/>
        </w:trPr>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23388" w14:textId="77777777" w:rsidR="007D542C" w:rsidRPr="0019509C" w:rsidRDefault="00583B5A">
            <w:pPr>
              <w:spacing w:line="240" w:lineRule="auto"/>
              <w:rPr>
                <w:b/>
                <w:bCs/>
              </w:rPr>
            </w:pPr>
            <w:r w:rsidRPr="0019509C">
              <w:rPr>
                <w:b/>
                <w:bCs/>
              </w:rPr>
              <w:t>Combination</w:t>
            </w:r>
          </w:p>
        </w:tc>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FD6FF" w14:textId="77777777" w:rsidR="007D542C" w:rsidRPr="0019509C" w:rsidRDefault="00583B5A">
            <w:pPr>
              <w:spacing w:line="240" w:lineRule="auto"/>
              <w:rPr>
                <w:b/>
                <w:bCs/>
              </w:rPr>
            </w:pPr>
            <w:r w:rsidRPr="0019509C">
              <w:rPr>
                <w:b/>
                <w:bCs/>
              </w:rPr>
              <w:t>Total Investment (£m)</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7F8BD" w14:textId="77777777" w:rsidR="007D542C" w:rsidRPr="0019509C" w:rsidRDefault="00583B5A">
            <w:pPr>
              <w:spacing w:line="240" w:lineRule="auto"/>
              <w:rPr>
                <w:b/>
                <w:bCs/>
              </w:rPr>
            </w:pPr>
            <w:r w:rsidRPr="0019509C">
              <w:rPr>
                <w:b/>
                <w:bCs/>
              </w:rPr>
              <w:t>Total NPV (£m)</w:t>
            </w:r>
          </w:p>
        </w:tc>
      </w:tr>
      <w:tr w:rsidR="007D542C" w:rsidRPr="0019509C" w14:paraId="571FF28D" w14:textId="77777777">
        <w:trPr>
          <w:trHeight w:val="515"/>
        </w:trPr>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FE6DF" w14:textId="77777777" w:rsidR="007D542C" w:rsidRPr="0019509C" w:rsidRDefault="00583B5A">
            <w:pPr>
              <w:spacing w:line="240" w:lineRule="auto"/>
            </w:pPr>
            <w:r w:rsidRPr="0019509C">
              <w:lastRenderedPageBreak/>
              <w:t>Project A + Project B</w:t>
            </w:r>
          </w:p>
        </w:tc>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8B03C" w14:textId="77777777" w:rsidR="007D542C" w:rsidRPr="0019509C" w:rsidRDefault="00583B5A">
            <w:pPr>
              <w:spacing w:line="240" w:lineRule="auto"/>
            </w:pPr>
            <w:r w:rsidRPr="0019509C">
              <w:t>100</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DC29E" w14:textId="77777777" w:rsidR="007D542C" w:rsidRPr="0019509C" w:rsidRDefault="00583B5A">
            <w:pPr>
              <w:spacing w:line="240" w:lineRule="auto"/>
            </w:pPr>
            <w:r w:rsidRPr="0019509C">
              <w:t>-8.68 + (-8.30) = -16.98</w:t>
            </w:r>
          </w:p>
        </w:tc>
      </w:tr>
      <w:tr w:rsidR="007D542C" w:rsidRPr="0019509C" w14:paraId="0CF2D80D" w14:textId="77777777">
        <w:trPr>
          <w:trHeight w:val="515"/>
        </w:trPr>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A8EC2D" w14:textId="77777777" w:rsidR="007D542C" w:rsidRPr="0019509C" w:rsidRDefault="00583B5A">
            <w:pPr>
              <w:spacing w:line="240" w:lineRule="auto"/>
            </w:pPr>
            <w:r w:rsidRPr="0019509C">
              <w:t>Project A + Project C</w:t>
            </w:r>
          </w:p>
        </w:tc>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97C34" w14:textId="77777777" w:rsidR="007D542C" w:rsidRPr="0019509C" w:rsidRDefault="00583B5A">
            <w:pPr>
              <w:spacing w:line="240" w:lineRule="auto"/>
            </w:pPr>
            <w:r w:rsidRPr="0019509C">
              <w:t>100</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E821F" w14:textId="77777777" w:rsidR="007D542C" w:rsidRPr="0019509C" w:rsidRDefault="00583B5A">
            <w:pPr>
              <w:spacing w:line="240" w:lineRule="auto"/>
            </w:pPr>
            <w:r w:rsidRPr="0019509C">
              <w:t>-8.68 + (-1.98) = -10.66</w:t>
            </w:r>
          </w:p>
        </w:tc>
      </w:tr>
      <w:tr w:rsidR="007D542C" w:rsidRPr="0019509C" w14:paraId="2CB25652" w14:textId="77777777">
        <w:trPr>
          <w:trHeight w:val="515"/>
        </w:trPr>
        <w:tc>
          <w:tcPr>
            <w:tcW w:w="3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716B4" w14:textId="77777777" w:rsidR="007D542C" w:rsidRPr="0019509C" w:rsidRDefault="00583B5A">
            <w:pPr>
              <w:spacing w:line="240" w:lineRule="auto"/>
            </w:pPr>
            <w:r w:rsidRPr="0019509C">
              <w:t>Project B + Project C</w:t>
            </w:r>
          </w:p>
        </w:tc>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EE922" w14:textId="77777777" w:rsidR="007D542C" w:rsidRPr="0019509C" w:rsidRDefault="00583B5A">
            <w:pPr>
              <w:spacing w:line="240" w:lineRule="auto"/>
            </w:pPr>
            <w:r w:rsidRPr="0019509C">
              <w:t>100</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128CDA" w14:textId="77777777" w:rsidR="007D542C" w:rsidRPr="0019509C" w:rsidRDefault="00583B5A">
            <w:pPr>
              <w:spacing w:line="240" w:lineRule="auto"/>
            </w:pPr>
            <w:r w:rsidRPr="0019509C">
              <w:t>-8.30 + (-1.98) = -10.28</w:t>
            </w:r>
          </w:p>
        </w:tc>
      </w:tr>
    </w:tbl>
    <w:p w14:paraId="50A65A6F" w14:textId="77777777" w:rsidR="007D542C" w:rsidRPr="0019509C" w:rsidRDefault="00583B5A">
      <w:pPr>
        <w:jc w:val="center"/>
        <w:rPr>
          <w:b/>
          <w:bCs/>
        </w:rPr>
      </w:pPr>
      <w:r w:rsidRPr="0019509C">
        <w:rPr>
          <w:b/>
          <w:bCs/>
        </w:rPr>
        <w:t>Table 4: Combination Evaluation Table</w:t>
      </w:r>
    </w:p>
    <w:p w14:paraId="18E83B94" w14:textId="77777777" w:rsidR="007D542C" w:rsidRPr="0019509C" w:rsidRDefault="00583B5A">
      <w:pPr>
        <w:jc w:val="center"/>
      </w:pPr>
      <w:r w:rsidRPr="0019509C">
        <w:t>(Source: Self-created)</w:t>
      </w:r>
    </w:p>
    <w:p w14:paraId="20425BC8" w14:textId="77777777" w:rsidR="007D542C" w:rsidRPr="0019509C" w:rsidRDefault="00583B5A">
      <w:r w:rsidRPr="0019509C">
        <w:t>Table 4 depicts the combinations of projects, and it has been established that none of</w:t>
      </w:r>
      <w:r w:rsidR="00A52C39">
        <w:t xml:space="preserve"> </w:t>
      </w:r>
      <w:r w:rsidRPr="0019509C">
        <w:t>the</w:t>
      </w:r>
      <w:r w:rsidR="00A52C39">
        <w:t xml:space="preserve"> </w:t>
      </w:r>
      <w:r w:rsidR="00536355">
        <w:t>pro</w:t>
      </w:r>
      <w:r w:rsidR="00536355" w:rsidRPr="0019509C">
        <w:t>ject</w:t>
      </w:r>
      <w:r w:rsidRPr="0019509C">
        <w:t xml:space="preserve"> combination </w:t>
      </w:r>
      <w:r w:rsidR="00536355" w:rsidRPr="0019509C">
        <w:t>produce</w:t>
      </w:r>
      <w:r w:rsidRPr="0019509C">
        <w:t xml:space="preserve"> positive returns. However, the project selection based on NPV, the project providing the least negative value, needs to be selected. In this case, the combination of Project B + Project C returns the least negative value of -10.28 at 10% COC. Thus, the third combination of the project needs to be selected. </w:t>
      </w:r>
    </w:p>
    <w:p w14:paraId="2CC7D848" w14:textId="77777777" w:rsidR="007D542C" w:rsidRPr="0019509C" w:rsidRDefault="00583B5A">
      <w:pPr>
        <w:pStyle w:val="Heading1"/>
      </w:pPr>
      <w:bookmarkStart w:id="28" w:name="_Toc227782236"/>
      <w:r w:rsidRPr="0019509C">
        <w:t>6. Conclusion</w:t>
      </w:r>
      <w:bookmarkEnd w:id="28"/>
    </w:p>
    <w:p w14:paraId="09C106B8" w14:textId="77777777" w:rsidR="007D542C" w:rsidRPr="0019509C" w:rsidRDefault="00583B5A">
      <w:r w:rsidRPr="0019509C">
        <w:t xml:space="preserve">This report carried out a detailed financial analysis of BYD in the last five years, 2021-2025 and determined the organisational financial trends, operational efficiency and possible area of improvement. This paper analyses the financial status of BYD using financial ratios such as profitability, liquidity, efficiency, gearing and cash flow and determines the strengths and threats of the business. Based on the analysis of the financial ratios of BYD, it is found that the profitability trend of BYD between 2021 and 2024 is enhanced. But, in the year 2025, the profitability will experience a sudden decline, which shows that it will have more operable cost, prices of raw materials, and major investments in projects. Strategic financial decisions such as injecting equity, enhance the connection and interaction with the shareholders. Enhancing the bond with the shareholders and investors, it will boost the long-term EPS growth </w:t>
      </w:r>
      <w:r w:rsidR="00A71983" w:rsidRPr="0019509C">
        <w:t>option. The</w:t>
      </w:r>
      <w:r w:rsidRPr="0019509C">
        <w:t xml:space="preserve"> embracement of the suggested financing alternatives, which include equity injection, diversities, debentures and restructuring of debentures, will improve the management of debt in BYD. From the three different projects, it has been recommended to invest </w:t>
      </w:r>
      <w:r w:rsidR="00A71983">
        <w:t>in</w:t>
      </w:r>
      <w:r w:rsidRPr="0019509C">
        <w:t xml:space="preserve"> Project C, as it has goof N</w:t>
      </w:r>
      <w:r w:rsidR="006B1238">
        <w:t xml:space="preserve">PV value, the highest ARR value </w:t>
      </w:r>
      <w:r w:rsidRPr="0019509C">
        <w:t>moderate</w:t>
      </w:r>
      <w:r w:rsidR="006B1238">
        <w:t xml:space="preserve"> </w:t>
      </w:r>
      <w:r w:rsidRPr="0019509C">
        <w:t xml:space="preserve">PI </w:t>
      </w:r>
      <w:r w:rsidR="00A71983" w:rsidRPr="0019509C">
        <w:t>and</w:t>
      </w:r>
      <w:r w:rsidR="00A941C2">
        <w:t xml:space="preserve"> sho</w:t>
      </w:r>
      <w:r w:rsidRPr="0019509C">
        <w:t xml:space="preserve">rted PBP. </w:t>
      </w:r>
      <w:r w:rsidRPr="0019509C">
        <w:br w:type="page"/>
      </w:r>
    </w:p>
    <w:p w14:paraId="4D2B7C09" w14:textId="77777777" w:rsidR="00E956CB" w:rsidRPr="00B961AF" w:rsidRDefault="00583B5A" w:rsidP="00B961AF">
      <w:pPr>
        <w:pStyle w:val="Heading1"/>
      </w:pPr>
      <w:bookmarkStart w:id="29" w:name="_l63k0sxzh1y1" w:colFirst="0" w:colLast="0"/>
      <w:bookmarkStart w:id="30" w:name="_Toc227782237"/>
      <w:bookmarkEnd w:id="29"/>
      <w:r w:rsidRPr="0019509C">
        <w:lastRenderedPageBreak/>
        <w:t>References</w:t>
      </w:r>
      <w:bookmarkEnd w:id="30"/>
    </w:p>
    <w:p w14:paraId="18425225" w14:textId="77777777" w:rsidR="00E956CB" w:rsidRPr="0019509C" w:rsidRDefault="00E956CB">
      <w:pPr>
        <w:spacing w:after="240"/>
        <w:rPr>
          <w:color w:val="222222"/>
          <w:highlight w:val="white"/>
        </w:rPr>
      </w:pPr>
      <w:r w:rsidRPr="0019509C">
        <w:rPr>
          <w:color w:val="222222"/>
          <w:highlight w:val="white"/>
        </w:rPr>
        <w:t xml:space="preserve">Aldo, M., (2022). The Effect of Gearing, Price </w:t>
      </w:r>
      <w:proofErr w:type="spellStart"/>
      <w:r w:rsidRPr="0019509C">
        <w:rPr>
          <w:color w:val="222222"/>
          <w:highlight w:val="white"/>
        </w:rPr>
        <w:t>Earning</w:t>
      </w:r>
      <w:proofErr w:type="spellEnd"/>
      <w:r w:rsidRPr="0019509C">
        <w:rPr>
          <w:color w:val="222222"/>
          <w:highlight w:val="white"/>
        </w:rPr>
        <w:t xml:space="preserve"> Ratio, Interest Rate, Risk on Abnormal Return. </w:t>
      </w:r>
      <w:r w:rsidRPr="0019509C">
        <w:rPr>
          <w:i/>
          <w:iCs/>
          <w:color w:val="222222"/>
          <w:highlight w:val="white"/>
        </w:rPr>
        <w:t>Indonesian Interdisciplinary Journal of Sharia Economics (IIJSE)</w:t>
      </w:r>
      <w:r w:rsidRPr="0019509C">
        <w:rPr>
          <w:color w:val="222222"/>
          <w:highlight w:val="white"/>
        </w:rPr>
        <w:t xml:space="preserve">, </w:t>
      </w:r>
      <w:r w:rsidRPr="0019509C">
        <w:rPr>
          <w:i/>
          <w:iCs/>
          <w:color w:val="222222"/>
          <w:highlight w:val="white"/>
        </w:rPr>
        <w:t>5</w:t>
      </w:r>
      <w:r w:rsidRPr="0019509C">
        <w:rPr>
          <w:color w:val="222222"/>
          <w:highlight w:val="white"/>
        </w:rPr>
        <w:t>(2), pp.751-767.</w:t>
      </w:r>
      <w:hyperlink r:id="rId20">
        <w:r w:rsidRPr="0019509C">
          <w:rPr>
            <w:color w:val="1155CC"/>
            <w:highlight w:val="white"/>
            <w:u w:val="single"/>
          </w:rPr>
          <w:t>http://e-journal.uac.ac.id/index.php/iijse/article/download/2195/990</w:t>
        </w:r>
      </w:hyperlink>
    </w:p>
    <w:p w14:paraId="435605FF" w14:textId="77777777" w:rsidR="00E956CB" w:rsidRPr="0019509C" w:rsidRDefault="00E956CB">
      <w:pPr>
        <w:spacing w:after="240"/>
        <w:rPr>
          <w:color w:val="222222"/>
          <w:highlight w:val="white"/>
        </w:rPr>
      </w:pPr>
      <w:r w:rsidRPr="0019509C">
        <w:rPr>
          <w:color w:val="222222"/>
          <w:highlight w:val="white"/>
        </w:rPr>
        <w:t xml:space="preserve">Annual reports (2025). </w:t>
      </w:r>
      <w:r w:rsidRPr="0019509C">
        <w:rPr>
          <w:rFonts w:ascii="Gungsuh" w:eastAsia="Gungsuh" w:hAnsi="Gungsuh" w:cs="Gungsuh"/>
          <w:i/>
          <w:iCs/>
          <w:color w:val="222222"/>
          <w:highlight w:val="white"/>
        </w:rPr>
        <w:t>年 報 ANNUAL REPORT</w:t>
      </w:r>
      <w:r w:rsidRPr="0019509C">
        <w:rPr>
          <w:color w:val="222222"/>
          <w:highlight w:val="white"/>
        </w:rPr>
        <w:t>. [online] Available at: https://annualreports.ai/wp-content/uploads/annual-report-byd-company-2025.pdf [Accessed 19 Apr. 2026].</w:t>
      </w:r>
    </w:p>
    <w:p w14:paraId="5630D616" w14:textId="77777777" w:rsidR="00E956CB" w:rsidRPr="0019509C" w:rsidRDefault="00E956CB">
      <w:pPr>
        <w:spacing w:after="240"/>
      </w:pPr>
      <w:r w:rsidRPr="0019509C">
        <w:rPr>
          <w:color w:val="222222"/>
          <w:highlight w:val="white"/>
        </w:rPr>
        <w:t xml:space="preserve">Asman, F.N., Fernandez, D., Jamaludin, N.A., Omar Zaki, H. and Ghazali, A.W., (2022). Cash conversion cycle and firm’s performance. </w:t>
      </w:r>
      <w:r w:rsidRPr="0019509C">
        <w:rPr>
          <w:i/>
          <w:iCs/>
          <w:color w:val="222222"/>
          <w:highlight w:val="white"/>
        </w:rPr>
        <w:t>International Journal of Academic Research in Business and Social Sciences</w:t>
      </w:r>
      <w:r w:rsidRPr="0019509C">
        <w:rPr>
          <w:color w:val="222222"/>
          <w:highlight w:val="white"/>
        </w:rPr>
        <w:t xml:space="preserve">, </w:t>
      </w:r>
      <w:r w:rsidRPr="0019509C">
        <w:rPr>
          <w:i/>
          <w:iCs/>
          <w:color w:val="222222"/>
          <w:highlight w:val="white"/>
        </w:rPr>
        <w:t>12</w:t>
      </w:r>
      <w:r w:rsidRPr="0019509C">
        <w:rPr>
          <w:color w:val="222222"/>
          <w:highlight w:val="white"/>
        </w:rPr>
        <w:t>(11), pp.2682-2692.</w:t>
      </w:r>
      <w:hyperlink r:id="rId21">
        <w:r w:rsidRPr="0019509C">
          <w:rPr>
            <w:color w:val="1155CC"/>
            <w:highlight w:val="white"/>
            <w:u w:val="single"/>
          </w:rPr>
          <w:t>https://www.academia.edu/download/106769993/cash-conversion-cycle-and-firms-performance.pdf</w:t>
        </w:r>
      </w:hyperlink>
    </w:p>
    <w:p w14:paraId="2A91EAA7" w14:textId="77777777" w:rsidR="00E956CB" w:rsidRPr="0019509C" w:rsidRDefault="00E956CB">
      <w:pPr>
        <w:rPr>
          <w:color w:val="222222"/>
          <w:highlight w:val="white"/>
        </w:rPr>
      </w:pPr>
      <w:r w:rsidRPr="0019509C">
        <w:rPr>
          <w:color w:val="222222"/>
          <w:highlight w:val="white"/>
        </w:rPr>
        <w:t xml:space="preserve">Balkhi, B., Alshahrani, A. and Khan, A., (2022). Just-in-time approach in healthcare inventory management: Does it really work?. </w:t>
      </w:r>
      <w:r w:rsidRPr="0019509C">
        <w:rPr>
          <w:i/>
          <w:iCs/>
          <w:color w:val="222222"/>
          <w:highlight w:val="white"/>
        </w:rPr>
        <w:t>Saudi Pharmaceutical Journal</w:t>
      </w:r>
      <w:r w:rsidRPr="0019509C">
        <w:rPr>
          <w:color w:val="222222"/>
          <w:highlight w:val="white"/>
        </w:rPr>
        <w:t xml:space="preserve">, </w:t>
      </w:r>
      <w:r w:rsidRPr="0019509C">
        <w:rPr>
          <w:i/>
          <w:iCs/>
          <w:color w:val="222222"/>
          <w:highlight w:val="white"/>
        </w:rPr>
        <w:t>30</w:t>
      </w:r>
      <w:r w:rsidRPr="0019509C">
        <w:rPr>
          <w:color w:val="222222"/>
          <w:highlight w:val="white"/>
        </w:rPr>
        <w:t>(12), pp.1830-1835.</w:t>
      </w:r>
      <w:hyperlink r:id="rId22">
        <w:r w:rsidRPr="0019509C">
          <w:rPr>
            <w:color w:val="1155CC"/>
            <w:highlight w:val="white"/>
            <w:u w:val="single"/>
          </w:rPr>
          <w:t>https://www.sciencedirect.com/science/article/pii/S1319016422002699</w:t>
        </w:r>
      </w:hyperlink>
    </w:p>
    <w:p w14:paraId="3AE3C848" w14:textId="77777777" w:rsidR="00E956CB" w:rsidRPr="0019509C" w:rsidRDefault="00E956CB">
      <w:pPr>
        <w:spacing w:after="240"/>
        <w:rPr>
          <w:color w:val="222222"/>
          <w:highlight w:val="white"/>
        </w:rPr>
      </w:pPr>
      <w:proofErr w:type="spellStart"/>
      <w:r w:rsidRPr="0019509C">
        <w:rPr>
          <w:color w:val="222222"/>
          <w:highlight w:val="white"/>
        </w:rPr>
        <w:t>Bolun</w:t>
      </w:r>
      <w:proofErr w:type="spellEnd"/>
      <w:r w:rsidRPr="0019509C">
        <w:rPr>
          <w:color w:val="222222"/>
          <w:highlight w:val="white"/>
        </w:rPr>
        <w:t xml:space="preserve">, I., </w:t>
      </w:r>
      <w:proofErr w:type="spellStart"/>
      <w:r w:rsidRPr="0019509C">
        <w:rPr>
          <w:color w:val="222222"/>
          <w:highlight w:val="white"/>
        </w:rPr>
        <w:t>Ghetmancenco</w:t>
      </w:r>
      <w:proofErr w:type="spellEnd"/>
      <w:r w:rsidRPr="0019509C">
        <w:rPr>
          <w:color w:val="222222"/>
          <w:highlight w:val="white"/>
        </w:rPr>
        <w:t xml:space="preserve">, S. and Nastas, V., (2022). Efficiency indices of investment in IT projects with unequal lives. </w:t>
      </w:r>
      <w:proofErr w:type="spellStart"/>
      <w:r w:rsidRPr="0019509C">
        <w:rPr>
          <w:i/>
          <w:iCs/>
          <w:color w:val="222222"/>
          <w:highlight w:val="white"/>
        </w:rPr>
        <w:t>ScientificWorldJournal</w:t>
      </w:r>
      <w:proofErr w:type="spellEnd"/>
      <w:r w:rsidRPr="0019509C">
        <w:rPr>
          <w:i/>
          <w:iCs/>
          <w:color w:val="222222"/>
          <w:highlight w:val="white"/>
        </w:rPr>
        <w:t xml:space="preserve"> (</w:t>
      </w:r>
      <w:proofErr w:type="spellStart"/>
      <w:r w:rsidRPr="0019509C">
        <w:rPr>
          <w:i/>
          <w:iCs/>
          <w:color w:val="222222"/>
          <w:highlight w:val="white"/>
        </w:rPr>
        <w:t>SWorldJournal</w:t>
      </w:r>
      <w:proofErr w:type="spellEnd"/>
      <w:r w:rsidRPr="0019509C">
        <w:rPr>
          <w:i/>
          <w:iCs/>
          <w:color w:val="222222"/>
          <w:highlight w:val="white"/>
        </w:rPr>
        <w:t>)</w:t>
      </w:r>
      <w:r w:rsidRPr="0019509C">
        <w:rPr>
          <w:color w:val="222222"/>
          <w:highlight w:val="white"/>
        </w:rPr>
        <w:t>, (Part 1), pp.16-34.</w:t>
      </w:r>
      <w:hyperlink r:id="rId23">
        <w:r w:rsidRPr="0019509C">
          <w:rPr>
            <w:color w:val="1155CC"/>
            <w:highlight w:val="white"/>
            <w:u w:val="single"/>
          </w:rPr>
          <w:t>https://ibn.idsi.md/sites/default/files/imag_file/1632-Article%20Text-1383-1-10-20220917.pdf</w:t>
        </w:r>
      </w:hyperlink>
    </w:p>
    <w:p w14:paraId="4F875429" w14:textId="77777777" w:rsidR="00E956CB" w:rsidRPr="0019509C" w:rsidRDefault="00E956CB">
      <w:pPr>
        <w:spacing w:after="240"/>
        <w:rPr>
          <w:color w:val="222222"/>
          <w:highlight w:val="white"/>
        </w:rPr>
      </w:pPr>
      <w:r w:rsidRPr="0019509C">
        <w:rPr>
          <w:color w:val="222222"/>
          <w:highlight w:val="white"/>
        </w:rPr>
        <w:t xml:space="preserve">Burkart, M. and Zhong, H., (2023). Equity issuance methods and dilution. </w:t>
      </w:r>
      <w:r w:rsidRPr="0019509C">
        <w:rPr>
          <w:i/>
          <w:iCs/>
          <w:color w:val="222222"/>
          <w:highlight w:val="white"/>
        </w:rPr>
        <w:t>The Review of Corporate Finance Studies</w:t>
      </w:r>
      <w:r w:rsidRPr="0019509C">
        <w:rPr>
          <w:color w:val="222222"/>
          <w:highlight w:val="white"/>
        </w:rPr>
        <w:t xml:space="preserve">, </w:t>
      </w:r>
      <w:r w:rsidRPr="0019509C">
        <w:rPr>
          <w:i/>
          <w:iCs/>
          <w:color w:val="222222"/>
          <w:highlight w:val="white"/>
        </w:rPr>
        <w:t>12</w:t>
      </w:r>
      <w:r w:rsidRPr="0019509C">
        <w:rPr>
          <w:color w:val="222222"/>
          <w:highlight w:val="white"/>
        </w:rPr>
        <w:t>(1), pp.78-130.</w:t>
      </w:r>
      <w:hyperlink r:id="rId24">
        <w:r w:rsidRPr="0019509C">
          <w:rPr>
            <w:color w:val="1155CC"/>
            <w:highlight w:val="white"/>
            <w:u w:val="single"/>
          </w:rPr>
          <w:t>https://academic.oup.com/rcfs/article-pdf/12/1/78/48710380/cfac029.pdf</w:t>
        </w:r>
      </w:hyperlink>
    </w:p>
    <w:p w14:paraId="15B49937" w14:textId="77777777" w:rsidR="00E956CB" w:rsidRPr="0019509C" w:rsidRDefault="00E956CB">
      <w:pPr>
        <w:spacing w:after="240"/>
      </w:pPr>
      <w:r w:rsidRPr="0019509C">
        <w:t xml:space="preserve">BYD (2024). </w:t>
      </w:r>
      <w:r w:rsidRPr="0019509C">
        <w:rPr>
          <w:i/>
          <w:iCs/>
        </w:rPr>
        <w:t>About Us | BYD India</w:t>
      </w:r>
      <w:r w:rsidRPr="0019509C">
        <w:t>. [online] BYD. Available at: https://www.byd.com/in/about-byd [Accessed 18 Apr. 2026].</w:t>
      </w:r>
    </w:p>
    <w:p w14:paraId="4C66912C" w14:textId="77777777" w:rsidR="00E956CB" w:rsidRPr="0019509C" w:rsidRDefault="00E956CB">
      <w:pPr>
        <w:spacing w:after="240"/>
      </w:pPr>
      <w:r w:rsidRPr="0019509C">
        <w:t xml:space="preserve">BYD Annual Report (2025). </w:t>
      </w:r>
      <w:r w:rsidRPr="0019509C">
        <w:rPr>
          <w:i/>
          <w:iCs/>
        </w:rPr>
        <w:t>Periodic reports-BYD</w:t>
      </w:r>
      <w:r w:rsidRPr="0019509C">
        <w:t>. [online] www.bydglobal.com. Available at: https://www.bydglobal.com/cn/en/BYD_ENInvestor/InvestorAnnals_mob.html [Accessed 19 Apr. 2026].</w:t>
      </w:r>
    </w:p>
    <w:p w14:paraId="15DC15AF" w14:textId="77777777" w:rsidR="00E956CB" w:rsidRPr="0019509C" w:rsidRDefault="00E956CB">
      <w:pPr>
        <w:spacing w:after="240"/>
        <w:rPr>
          <w:color w:val="222222"/>
          <w:highlight w:val="white"/>
        </w:rPr>
      </w:pPr>
      <w:r w:rsidRPr="0019509C">
        <w:rPr>
          <w:color w:val="222222"/>
          <w:highlight w:val="white"/>
        </w:rPr>
        <w:lastRenderedPageBreak/>
        <w:t xml:space="preserve">BYD Global (2023). </w:t>
      </w:r>
      <w:r w:rsidRPr="0019509C">
        <w:rPr>
          <w:i/>
          <w:iCs/>
          <w:color w:val="222222"/>
          <w:highlight w:val="white"/>
        </w:rPr>
        <w:t>CSR Programs-BYD</w:t>
      </w:r>
      <w:r w:rsidRPr="0019509C">
        <w:rPr>
          <w:color w:val="222222"/>
          <w:highlight w:val="white"/>
        </w:rPr>
        <w:t>. [online] Bydglobal.com. Available at: https://www.bydglobal.com/cn/en/BYD_ENSocialResponsibility/SocietyActivities_mob.html [Accessed 20 Apr. 2026].</w:t>
      </w:r>
    </w:p>
    <w:p w14:paraId="3738A61A" w14:textId="77777777" w:rsidR="00E956CB" w:rsidRPr="0019509C" w:rsidRDefault="00E956CB">
      <w:pPr>
        <w:spacing w:after="240"/>
        <w:rPr>
          <w:color w:val="222222"/>
          <w:highlight w:val="white"/>
        </w:rPr>
      </w:pPr>
      <w:r w:rsidRPr="0019509C">
        <w:rPr>
          <w:color w:val="222222"/>
          <w:highlight w:val="white"/>
        </w:rPr>
        <w:t xml:space="preserve">BYD Global (2024). </w:t>
      </w:r>
      <w:r w:rsidRPr="0019509C">
        <w:rPr>
          <w:i/>
          <w:iCs/>
          <w:color w:val="222222"/>
          <w:highlight w:val="white"/>
        </w:rPr>
        <w:t>Sustainable Future</w:t>
      </w:r>
      <w:r w:rsidRPr="0019509C">
        <w:rPr>
          <w:color w:val="222222"/>
          <w:highlight w:val="white"/>
        </w:rPr>
        <w:t>. [online] www.bydglobal.com. Available at: https://www.bydglobal.com/en/OurFuture.html [Accessed 22 Apr. 2026].</w:t>
      </w:r>
    </w:p>
    <w:p w14:paraId="134910E2" w14:textId="77777777" w:rsidR="00E956CB" w:rsidRPr="0019509C" w:rsidRDefault="00E956CB">
      <w:pPr>
        <w:rPr>
          <w:color w:val="222222"/>
          <w:highlight w:val="white"/>
        </w:rPr>
      </w:pPr>
      <w:proofErr w:type="spellStart"/>
      <w:r w:rsidRPr="0019509C">
        <w:rPr>
          <w:color w:val="222222"/>
          <w:highlight w:val="white"/>
        </w:rPr>
        <w:t>Cepni</w:t>
      </w:r>
      <w:proofErr w:type="spellEnd"/>
      <w:r w:rsidRPr="0019509C">
        <w:rPr>
          <w:color w:val="222222"/>
          <w:highlight w:val="white"/>
        </w:rPr>
        <w:t xml:space="preserve">, O., Şensoy, A. and Yılmaz, M.H., (2024). Climate change exposure and cost of equity. </w:t>
      </w:r>
      <w:r w:rsidRPr="0019509C">
        <w:rPr>
          <w:i/>
          <w:iCs/>
          <w:color w:val="222222"/>
          <w:highlight w:val="white"/>
        </w:rPr>
        <w:t>Energy Economics</w:t>
      </w:r>
      <w:r w:rsidRPr="0019509C">
        <w:rPr>
          <w:color w:val="222222"/>
          <w:highlight w:val="white"/>
        </w:rPr>
        <w:t xml:space="preserve">, </w:t>
      </w:r>
      <w:r w:rsidRPr="0019509C">
        <w:rPr>
          <w:i/>
          <w:iCs/>
          <w:color w:val="222222"/>
          <w:highlight w:val="white"/>
        </w:rPr>
        <w:t>130</w:t>
      </w:r>
      <w:r w:rsidRPr="0019509C">
        <w:rPr>
          <w:color w:val="222222"/>
          <w:highlight w:val="white"/>
        </w:rPr>
        <w:t>, p.107288.</w:t>
      </w:r>
      <w:hyperlink r:id="rId25">
        <w:r w:rsidRPr="0019509C">
          <w:rPr>
            <w:color w:val="1155CC"/>
            <w:highlight w:val="white"/>
            <w:u w:val="single"/>
          </w:rPr>
          <w:t>https://repository.bilkent.edu.tr/server/api/core/bitstreams/c7c42daf-9f97-422b-9fd1-3e46ec6a93f2/content</w:t>
        </w:r>
      </w:hyperlink>
    </w:p>
    <w:p w14:paraId="751974FB" w14:textId="77777777" w:rsidR="00E956CB" w:rsidRPr="0019509C" w:rsidRDefault="00E956CB">
      <w:pPr>
        <w:rPr>
          <w:color w:val="222222"/>
          <w:highlight w:val="white"/>
        </w:rPr>
      </w:pPr>
      <w:r w:rsidRPr="0019509C">
        <w:rPr>
          <w:color w:val="222222"/>
          <w:highlight w:val="white"/>
        </w:rPr>
        <w:t xml:space="preserve">Chen, Y. and Sun, R., (2023). Corporate financialization and the long-term use of short-term debt: Evidence from China. </w:t>
      </w:r>
      <w:r w:rsidRPr="0019509C">
        <w:rPr>
          <w:i/>
          <w:iCs/>
          <w:color w:val="222222"/>
          <w:highlight w:val="white"/>
        </w:rPr>
        <w:t>Finance Research Letters</w:t>
      </w:r>
      <w:r w:rsidRPr="0019509C">
        <w:rPr>
          <w:color w:val="222222"/>
          <w:highlight w:val="white"/>
        </w:rPr>
        <w:t xml:space="preserve">, </w:t>
      </w:r>
      <w:r w:rsidRPr="0019509C">
        <w:rPr>
          <w:i/>
          <w:iCs/>
          <w:color w:val="222222"/>
          <w:highlight w:val="white"/>
        </w:rPr>
        <w:t>58</w:t>
      </w:r>
      <w:r w:rsidRPr="0019509C">
        <w:rPr>
          <w:color w:val="222222"/>
          <w:highlight w:val="white"/>
        </w:rPr>
        <w:t>, p.104602.</w:t>
      </w:r>
      <w:hyperlink r:id="rId26">
        <w:r w:rsidRPr="0019509C">
          <w:rPr>
            <w:color w:val="1155CC"/>
            <w:highlight w:val="white"/>
            <w:u w:val="single"/>
          </w:rPr>
          <w:t>https://www.sciencedirect.com/science/article/pii/S1544612323009741</w:t>
        </w:r>
      </w:hyperlink>
    </w:p>
    <w:p w14:paraId="6CA9BAF1" w14:textId="77777777" w:rsidR="00E956CB" w:rsidRPr="0019509C" w:rsidRDefault="00E956CB">
      <w:pPr>
        <w:spacing w:after="240"/>
        <w:rPr>
          <w:color w:val="222222"/>
          <w:highlight w:val="white"/>
        </w:rPr>
      </w:pPr>
      <w:r w:rsidRPr="0019509C">
        <w:rPr>
          <w:color w:val="222222"/>
          <w:highlight w:val="white"/>
        </w:rPr>
        <w:t xml:space="preserve">Coccia, M. and Benati, I., (2023). Comparative evaluation systems. In </w:t>
      </w:r>
      <w:r w:rsidRPr="0019509C">
        <w:rPr>
          <w:i/>
          <w:iCs/>
          <w:color w:val="222222"/>
          <w:highlight w:val="white"/>
        </w:rPr>
        <w:t>Global encyclopedia of public administration, public policy, and governance</w:t>
      </w:r>
      <w:r w:rsidRPr="0019509C">
        <w:rPr>
          <w:color w:val="222222"/>
          <w:highlight w:val="white"/>
        </w:rPr>
        <w:t xml:space="preserve"> (pp. 2040-2047). Cham: Springer International Publishing.</w:t>
      </w:r>
      <w:hyperlink r:id="rId27">
        <w:r w:rsidRPr="0019509C">
          <w:rPr>
            <w:color w:val="1155CC"/>
            <w:highlight w:val="white"/>
            <w:u w:val="single"/>
          </w:rPr>
          <w:t>https://www.researchgate.net/profile/Mario-Coccia/publication/369844594_Comparative_Evaluation_Systems/links/6436883120f25554da296c56/Comparative-Evaluation-Systems.pdf</w:t>
        </w:r>
      </w:hyperlink>
    </w:p>
    <w:p w14:paraId="46758FD5" w14:textId="77777777" w:rsidR="00E956CB" w:rsidRPr="0019509C" w:rsidRDefault="00E956CB">
      <w:pPr>
        <w:spacing w:after="240"/>
        <w:rPr>
          <w:color w:val="222222"/>
          <w:highlight w:val="white"/>
        </w:rPr>
      </w:pPr>
      <w:r w:rsidRPr="0019509C">
        <w:rPr>
          <w:color w:val="222222"/>
          <w:highlight w:val="white"/>
        </w:rPr>
        <w:t>Cotter, E., (2023). Net Present Value and Payback Period: An Analysis.</w:t>
      </w:r>
      <w:hyperlink r:id="rId28">
        <w:r w:rsidRPr="0019509C">
          <w:rPr>
            <w:color w:val="1155CC"/>
            <w:highlight w:val="white"/>
            <w:u w:val="single"/>
          </w:rPr>
          <w:t>https://scholarworks.wmich.edu/cgi/viewcontent.cgi?article=4808&amp;context=honors_theses</w:t>
        </w:r>
      </w:hyperlink>
    </w:p>
    <w:p w14:paraId="271BC7F4" w14:textId="77777777" w:rsidR="00E956CB" w:rsidRPr="0019509C" w:rsidRDefault="00E956CB">
      <w:pPr>
        <w:spacing w:after="240"/>
        <w:rPr>
          <w:color w:val="222222"/>
          <w:highlight w:val="white"/>
        </w:rPr>
      </w:pPr>
      <w:r w:rsidRPr="0019509C">
        <w:rPr>
          <w:color w:val="222222"/>
          <w:highlight w:val="white"/>
        </w:rPr>
        <w:t xml:space="preserve">Dai, H., Li, N., Wang, Y. and Zhao, X., (2022), March. The analysis of three main investment criteria: NPV IRR and payback period. In </w:t>
      </w:r>
      <w:r w:rsidRPr="0019509C">
        <w:rPr>
          <w:i/>
          <w:iCs/>
          <w:color w:val="222222"/>
          <w:highlight w:val="white"/>
        </w:rPr>
        <w:t>2022 7th International Conference on Financial Innovation and Economic Development (ICFIED 2022)</w:t>
      </w:r>
      <w:r w:rsidRPr="0019509C">
        <w:rPr>
          <w:color w:val="222222"/>
          <w:highlight w:val="white"/>
        </w:rPr>
        <w:t xml:space="preserve"> (pp. 185-189). Atlantis Press.</w:t>
      </w:r>
      <w:hyperlink r:id="rId29">
        <w:r w:rsidRPr="0019509C">
          <w:rPr>
            <w:color w:val="1155CC"/>
            <w:highlight w:val="white"/>
            <w:u w:val="single"/>
          </w:rPr>
          <w:t>https://www.atlantis-press.com/article/125971510.pdf</w:t>
        </w:r>
      </w:hyperlink>
    </w:p>
    <w:p w14:paraId="6FD2B2DB" w14:textId="77777777" w:rsidR="00E956CB" w:rsidRPr="0019509C" w:rsidRDefault="00E956CB">
      <w:pPr>
        <w:spacing w:after="240"/>
        <w:rPr>
          <w:color w:val="222222"/>
          <w:highlight w:val="white"/>
        </w:rPr>
      </w:pPr>
      <w:r w:rsidRPr="0019509C">
        <w:rPr>
          <w:color w:val="222222"/>
          <w:highlight w:val="white"/>
        </w:rPr>
        <w:t xml:space="preserve">Feldman, E.R. and </w:t>
      </w:r>
      <w:proofErr w:type="spellStart"/>
      <w:r w:rsidRPr="0019509C">
        <w:rPr>
          <w:color w:val="222222"/>
          <w:highlight w:val="white"/>
        </w:rPr>
        <w:t>Sakhartov</w:t>
      </w:r>
      <w:proofErr w:type="spellEnd"/>
      <w:r w:rsidRPr="0019509C">
        <w:rPr>
          <w:color w:val="222222"/>
          <w:highlight w:val="white"/>
        </w:rPr>
        <w:t xml:space="preserve">, A.V., (2022). Resource redeployment and divestiture as strategic alternatives. </w:t>
      </w:r>
      <w:r w:rsidRPr="0019509C">
        <w:rPr>
          <w:i/>
          <w:iCs/>
          <w:color w:val="222222"/>
          <w:highlight w:val="white"/>
        </w:rPr>
        <w:t>Organization Science</w:t>
      </w:r>
      <w:r w:rsidRPr="0019509C">
        <w:rPr>
          <w:color w:val="222222"/>
          <w:highlight w:val="white"/>
        </w:rPr>
        <w:t xml:space="preserve">, </w:t>
      </w:r>
      <w:r w:rsidRPr="0019509C">
        <w:rPr>
          <w:i/>
          <w:iCs/>
          <w:color w:val="222222"/>
          <w:highlight w:val="white"/>
        </w:rPr>
        <w:t>33</w:t>
      </w:r>
      <w:r w:rsidRPr="0019509C">
        <w:rPr>
          <w:color w:val="222222"/>
          <w:highlight w:val="white"/>
        </w:rPr>
        <w:t>(3), pp.926-945.</w:t>
      </w:r>
      <w:hyperlink r:id="rId30">
        <w:r w:rsidRPr="0019509C">
          <w:rPr>
            <w:color w:val="1155CC"/>
            <w:highlight w:val="white"/>
            <w:u w:val="single"/>
          </w:rPr>
          <w:t>https://faculty.wharton.upenn.edu/wp-content/uploads/2016/11/Resource-and-Redeployment_Feldman-Sakhartov_2021.pdf</w:t>
        </w:r>
      </w:hyperlink>
    </w:p>
    <w:p w14:paraId="012465E3" w14:textId="77777777" w:rsidR="00E956CB" w:rsidRPr="0019509C" w:rsidRDefault="00E956CB">
      <w:pPr>
        <w:spacing w:after="240"/>
        <w:rPr>
          <w:color w:val="222222"/>
          <w:highlight w:val="white"/>
        </w:rPr>
      </w:pPr>
      <w:proofErr w:type="spellStart"/>
      <w:r w:rsidRPr="0019509C">
        <w:rPr>
          <w:color w:val="222222"/>
          <w:highlight w:val="white"/>
        </w:rPr>
        <w:lastRenderedPageBreak/>
        <w:t>GuruFocus</w:t>
      </w:r>
      <w:proofErr w:type="spellEnd"/>
      <w:r w:rsidRPr="0019509C">
        <w:rPr>
          <w:color w:val="222222"/>
          <w:highlight w:val="white"/>
        </w:rPr>
        <w:t xml:space="preserve"> (2025). </w:t>
      </w:r>
      <w:r w:rsidRPr="0019509C">
        <w:rPr>
          <w:i/>
          <w:iCs/>
          <w:color w:val="222222"/>
          <w:highlight w:val="white"/>
        </w:rPr>
        <w:t>BYD Co Ltd (BYDDY) — Historical Annual &amp; Quarterly Data</w:t>
      </w:r>
      <w:r w:rsidRPr="0019509C">
        <w:rPr>
          <w:color w:val="222222"/>
          <w:highlight w:val="white"/>
        </w:rPr>
        <w:t>. [online] Gurufocus.com. Available at: https://www.gurufocus.com/term/cash-conversion-cycle/BYDDY [Accessed 20 Apr. 2026].</w:t>
      </w:r>
    </w:p>
    <w:p w14:paraId="6C655F59" w14:textId="77777777" w:rsidR="00E956CB" w:rsidRPr="0019509C" w:rsidRDefault="00E956CB">
      <w:pPr>
        <w:rPr>
          <w:color w:val="222222"/>
          <w:highlight w:val="white"/>
        </w:rPr>
      </w:pPr>
      <w:r w:rsidRPr="0019509C">
        <w:rPr>
          <w:color w:val="222222"/>
          <w:highlight w:val="white"/>
        </w:rPr>
        <w:t xml:space="preserve">Hofmann, E., </w:t>
      </w:r>
      <w:proofErr w:type="spellStart"/>
      <w:r w:rsidRPr="0019509C">
        <w:rPr>
          <w:color w:val="222222"/>
          <w:highlight w:val="white"/>
        </w:rPr>
        <w:t>Töyli</w:t>
      </w:r>
      <w:proofErr w:type="spellEnd"/>
      <w:r w:rsidRPr="0019509C">
        <w:rPr>
          <w:color w:val="222222"/>
          <w:highlight w:val="white"/>
        </w:rPr>
        <w:t xml:space="preserve">, J. and Solakivi, T., (2022). Working capital behavior of firms during an economic downturn: an analysis of the financial crisis era. </w:t>
      </w:r>
      <w:r w:rsidRPr="0019509C">
        <w:rPr>
          <w:i/>
          <w:iCs/>
          <w:color w:val="222222"/>
          <w:highlight w:val="white"/>
        </w:rPr>
        <w:t>International Journal of Financial Studies</w:t>
      </w:r>
      <w:r w:rsidRPr="0019509C">
        <w:rPr>
          <w:color w:val="222222"/>
          <w:highlight w:val="white"/>
        </w:rPr>
        <w:t xml:space="preserve">, </w:t>
      </w:r>
      <w:r w:rsidRPr="0019509C">
        <w:rPr>
          <w:i/>
          <w:iCs/>
          <w:color w:val="222222"/>
          <w:highlight w:val="white"/>
        </w:rPr>
        <w:t>10</w:t>
      </w:r>
      <w:r w:rsidRPr="0019509C">
        <w:rPr>
          <w:color w:val="222222"/>
          <w:highlight w:val="white"/>
        </w:rPr>
        <w:t>(3), p.55.</w:t>
      </w:r>
      <w:hyperlink r:id="rId31">
        <w:r w:rsidRPr="0019509C">
          <w:rPr>
            <w:color w:val="1155CC"/>
            <w:highlight w:val="white"/>
            <w:u w:val="single"/>
          </w:rPr>
          <w:t>https://www.mdpi.com/2227-7072/10/3/55</w:t>
        </w:r>
      </w:hyperlink>
    </w:p>
    <w:p w14:paraId="0807C7C8" w14:textId="77777777" w:rsidR="00E956CB" w:rsidRPr="0019509C" w:rsidRDefault="00E956CB">
      <w:pPr>
        <w:rPr>
          <w:color w:val="222222"/>
          <w:highlight w:val="white"/>
        </w:rPr>
      </w:pPr>
      <w:r w:rsidRPr="0019509C">
        <w:rPr>
          <w:color w:val="222222"/>
          <w:highlight w:val="white"/>
        </w:rPr>
        <w:t xml:space="preserve">Huang, X., (2022). Financing disruptive suppliers: Payment advance, timeline, and discount rate. </w:t>
      </w:r>
      <w:r w:rsidRPr="0019509C">
        <w:rPr>
          <w:i/>
          <w:iCs/>
          <w:color w:val="222222"/>
          <w:highlight w:val="white"/>
        </w:rPr>
        <w:t>Production and operations management</w:t>
      </w:r>
      <w:r w:rsidRPr="0019509C">
        <w:rPr>
          <w:color w:val="222222"/>
          <w:highlight w:val="white"/>
        </w:rPr>
        <w:t xml:space="preserve">, </w:t>
      </w:r>
      <w:r w:rsidRPr="0019509C">
        <w:rPr>
          <w:i/>
          <w:iCs/>
          <w:color w:val="222222"/>
          <w:highlight w:val="white"/>
        </w:rPr>
        <w:t>31</w:t>
      </w:r>
      <w:r w:rsidRPr="0019509C">
        <w:rPr>
          <w:color w:val="222222"/>
          <w:highlight w:val="white"/>
        </w:rPr>
        <w:t>(3), pp.1115-1134.</w:t>
      </w:r>
      <w:hyperlink r:id="rId32">
        <w:r w:rsidRPr="0019509C">
          <w:rPr>
            <w:color w:val="1155CC"/>
            <w:highlight w:val="white"/>
            <w:u w:val="single"/>
          </w:rPr>
          <w:t>http://xiaohedyhuang.com/HOME_files/BDF.pdf</w:t>
        </w:r>
      </w:hyperlink>
    </w:p>
    <w:p w14:paraId="2D87F8A2" w14:textId="77777777" w:rsidR="00E956CB" w:rsidRPr="0019509C" w:rsidRDefault="00E956CB">
      <w:pPr>
        <w:spacing w:after="240"/>
        <w:rPr>
          <w:color w:val="222222"/>
          <w:highlight w:val="white"/>
        </w:rPr>
      </w:pPr>
      <w:r w:rsidRPr="0019509C">
        <w:rPr>
          <w:color w:val="222222"/>
          <w:highlight w:val="white"/>
        </w:rPr>
        <w:t xml:space="preserve">IEA (2025). </w:t>
      </w:r>
      <w:r w:rsidRPr="0019509C">
        <w:rPr>
          <w:i/>
          <w:iCs/>
          <w:color w:val="222222"/>
          <w:highlight w:val="white"/>
        </w:rPr>
        <w:t>Trends in electric car markets – Global EV Outlook 2025</w:t>
      </w:r>
      <w:r w:rsidRPr="0019509C">
        <w:rPr>
          <w:color w:val="222222"/>
          <w:highlight w:val="white"/>
        </w:rPr>
        <w:t>. [online] IEA. Available at: https://www.iea.org/reports/global-ev-outlook-2025/trends-in-electric-car-markets-2 [Accessed 20 Apr. 2026].</w:t>
      </w:r>
    </w:p>
    <w:p w14:paraId="545A2270" w14:textId="77777777" w:rsidR="00E956CB" w:rsidRPr="0019509C" w:rsidRDefault="00E956CB">
      <w:pPr>
        <w:spacing w:after="240"/>
        <w:rPr>
          <w:color w:val="222222"/>
          <w:highlight w:val="white"/>
        </w:rPr>
      </w:pPr>
      <w:r w:rsidRPr="0019509C">
        <w:rPr>
          <w:color w:val="222222"/>
          <w:highlight w:val="white"/>
        </w:rPr>
        <w:t xml:space="preserve">Just Auto (2023). </w:t>
      </w:r>
      <w:r w:rsidRPr="0019509C">
        <w:rPr>
          <w:i/>
          <w:iCs/>
          <w:color w:val="222222"/>
          <w:highlight w:val="white"/>
        </w:rPr>
        <w:t>BYD Sets Net-Zero Target and Takes Steps to Reduce Emissions</w:t>
      </w:r>
      <w:r w:rsidRPr="0019509C">
        <w:rPr>
          <w:color w:val="222222"/>
          <w:highlight w:val="white"/>
        </w:rPr>
        <w:t>. [online] Just Auto. Available at: https://www.just-auto.com/data-insights/byd-net-zero-targets/ [Accessed 22 Apr. 2026].</w:t>
      </w:r>
    </w:p>
    <w:p w14:paraId="20E7F662" w14:textId="77777777" w:rsidR="00E956CB" w:rsidRPr="0019509C" w:rsidRDefault="00E956CB">
      <w:pPr>
        <w:rPr>
          <w:color w:val="222222"/>
          <w:highlight w:val="white"/>
        </w:rPr>
      </w:pPr>
      <w:r w:rsidRPr="0019509C">
        <w:rPr>
          <w:color w:val="222222"/>
          <w:highlight w:val="white"/>
        </w:rPr>
        <w:t xml:space="preserve">Lia, L., (2024). The Role of Advanced Technologies in Enhancing Operational Efficiency and Market Performance in the EV Repair Industry in China. </w:t>
      </w:r>
      <w:r w:rsidRPr="0019509C">
        <w:rPr>
          <w:rFonts w:ascii="Gungsuh" w:eastAsia="Gungsuh" w:hAnsi="Gungsuh" w:cs="Gungsuh"/>
          <w:i/>
          <w:iCs/>
          <w:color w:val="222222"/>
          <w:highlight w:val="white"/>
        </w:rPr>
        <w:t xml:space="preserve">Journal of Advanced Academic Research and Studies </w:t>
      </w:r>
      <w:proofErr w:type="spellStart"/>
      <w:r w:rsidRPr="0019509C">
        <w:rPr>
          <w:rFonts w:ascii="Gungsuh" w:eastAsia="Gungsuh" w:hAnsi="Gungsuh" w:cs="Gungsuh"/>
          <w:i/>
          <w:iCs/>
          <w:color w:val="222222"/>
          <w:highlight w:val="white"/>
        </w:rPr>
        <w:t>高等学术研究期刊</w:t>
      </w:r>
      <w:proofErr w:type="spellEnd"/>
      <w:r w:rsidRPr="0019509C">
        <w:rPr>
          <w:color w:val="222222"/>
          <w:highlight w:val="white"/>
        </w:rPr>
        <w:t xml:space="preserve">, </w:t>
      </w:r>
      <w:r w:rsidRPr="0019509C">
        <w:rPr>
          <w:i/>
          <w:iCs/>
          <w:color w:val="222222"/>
          <w:highlight w:val="white"/>
        </w:rPr>
        <w:t>1</w:t>
      </w:r>
      <w:r w:rsidRPr="0019509C">
        <w:rPr>
          <w:color w:val="222222"/>
          <w:highlight w:val="white"/>
        </w:rPr>
        <w:t>(5), pp.51-72.</w:t>
      </w:r>
      <w:hyperlink r:id="rId33" w:anchor="page=56">
        <w:r w:rsidRPr="0019509C">
          <w:rPr>
            <w:color w:val="1155CC"/>
            <w:highlight w:val="white"/>
            <w:u w:val="single"/>
          </w:rPr>
          <w:t>http://www.nlbaeai.org/static/upload/file/20240806/1722910655361171.pdf#page=56</w:t>
        </w:r>
      </w:hyperlink>
    </w:p>
    <w:p w14:paraId="7DE3E351" w14:textId="77777777" w:rsidR="00E956CB" w:rsidRPr="0019509C" w:rsidRDefault="00E956CB">
      <w:pPr>
        <w:spacing w:after="240"/>
        <w:rPr>
          <w:color w:val="222222"/>
          <w:highlight w:val="white"/>
        </w:rPr>
      </w:pPr>
      <w:r w:rsidRPr="0019509C">
        <w:rPr>
          <w:color w:val="222222"/>
          <w:highlight w:val="white"/>
        </w:rPr>
        <w:t xml:space="preserve">Mehmood, A. and De Luca, F., (2025). Financial distress prediction in private firms: developing a model for troubled debt restructuring. </w:t>
      </w:r>
      <w:r w:rsidRPr="0019509C">
        <w:rPr>
          <w:i/>
          <w:iCs/>
          <w:color w:val="222222"/>
          <w:highlight w:val="white"/>
        </w:rPr>
        <w:t>Journal of Applied Accounting Research</w:t>
      </w:r>
      <w:r w:rsidRPr="0019509C">
        <w:rPr>
          <w:color w:val="222222"/>
          <w:highlight w:val="white"/>
        </w:rPr>
        <w:t xml:space="preserve">, </w:t>
      </w:r>
      <w:r w:rsidRPr="0019509C">
        <w:rPr>
          <w:i/>
          <w:iCs/>
          <w:color w:val="222222"/>
          <w:highlight w:val="white"/>
        </w:rPr>
        <w:t>26</w:t>
      </w:r>
      <w:r w:rsidRPr="0019509C">
        <w:rPr>
          <w:color w:val="222222"/>
          <w:highlight w:val="white"/>
        </w:rPr>
        <w:t>(6), pp.205-222.</w:t>
      </w:r>
      <w:hyperlink r:id="rId34">
        <w:r w:rsidRPr="0019509C">
          <w:rPr>
            <w:color w:val="1155CC"/>
            <w:highlight w:val="white"/>
            <w:u w:val="single"/>
          </w:rPr>
          <w:t>https://www.emerald.com/jaar/article-pdf/26/6/205/9873185/jaar-12-2022-0325.pdf</w:t>
        </w:r>
      </w:hyperlink>
    </w:p>
    <w:p w14:paraId="2A9492D6" w14:textId="77777777" w:rsidR="00E956CB" w:rsidRPr="0019509C" w:rsidRDefault="00E956CB">
      <w:pPr>
        <w:rPr>
          <w:color w:val="222222"/>
          <w:highlight w:val="white"/>
        </w:rPr>
      </w:pPr>
      <w:r w:rsidRPr="0019509C">
        <w:rPr>
          <w:color w:val="222222"/>
          <w:highlight w:val="white"/>
        </w:rPr>
        <w:t xml:space="preserve">Nukala, V.B. and Prasada Rao, S.S., (2021). Role of debt-to-equity ratio in project investment valuation, assessing risk and return in capital markets. </w:t>
      </w:r>
      <w:r w:rsidRPr="0019509C">
        <w:rPr>
          <w:i/>
          <w:iCs/>
          <w:color w:val="222222"/>
          <w:highlight w:val="white"/>
        </w:rPr>
        <w:t>Future Business Journal</w:t>
      </w:r>
      <w:r w:rsidRPr="0019509C">
        <w:rPr>
          <w:color w:val="222222"/>
          <w:highlight w:val="white"/>
        </w:rPr>
        <w:t xml:space="preserve">, </w:t>
      </w:r>
      <w:r w:rsidRPr="0019509C">
        <w:rPr>
          <w:i/>
          <w:iCs/>
          <w:color w:val="222222"/>
          <w:highlight w:val="white"/>
        </w:rPr>
        <w:t>7</w:t>
      </w:r>
      <w:r w:rsidRPr="0019509C">
        <w:rPr>
          <w:color w:val="222222"/>
          <w:highlight w:val="white"/>
        </w:rPr>
        <w:t>(1), p.13.</w:t>
      </w:r>
      <w:hyperlink r:id="rId35">
        <w:r w:rsidRPr="0019509C">
          <w:rPr>
            <w:color w:val="1155CC"/>
            <w:highlight w:val="white"/>
            <w:u w:val="single"/>
          </w:rPr>
          <w:t>https://link.springer.com/content/pdf/10.1186/s43093-021-00058-9.pdf</w:t>
        </w:r>
      </w:hyperlink>
    </w:p>
    <w:p w14:paraId="20D1F1B0" w14:textId="77777777" w:rsidR="00E956CB" w:rsidRPr="0019509C" w:rsidRDefault="00E956CB">
      <w:pPr>
        <w:rPr>
          <w:color w:val="222222"/>
          <w:highlight w:val="white"/>
        </w:rPr>
      </w:pPr>
      <w:r w:rsidRPr="0019509C">
        <w:rPr>
          <w:color w:val="222222"/>
          <w:highlight w:val="white"/>
        </w:rPr>
        <w:t xml:space="preserve">Ombui, J., Monari, D., Kamau, C., </w:t>
      </w:r>
      <w:proofErr w:type="spellStart"/>
      <w:r w:rsidRPr="0019509C">
        <w:rPr>
          <w:color w:val="222222"/>
          <w:highlight w:val="white"/>
        </w:rPr>
        <w:t>Kibiti</w:t>
      </w:r>
      <w:proofErr w:type="spellEnd"/>
      <w:r w:rsidRPr="0019509C">
        <w:rPr>
          <w:color w:val="222222"/>
          <w:highlight w:val="white"/>
        </w:rPr>
        <w:t xml:space="preserve">, C. and Muhoro, G., (2025). Account Receivables, Payables Management, and Financial Performance of Public Universities in Kenya's Coastal Region. </w:t>
      </w:r>
      <w:r w:rsidRPr="0019509C">
        <w:rPr>
          <w:i/>
          <w:iCs/>
          <w:color w:val="222222"/>
          <w:highlight w:val="white"/>
        </w:rPr>
        <w:t>Multidisciplinary Journal of Technical University of Mombasa</w:t>
      </w:r>
      <w:r w:rsidRPr="0019509C">
        <w:rPr>
          <w:color w:val="222222"/>
          <w:highlight w:val="white"/>
        </w:rPr>
        <w:t xml:space="preserve">, </w:t>
      </w:r>
      <w:r w:rsidRPr="0019509C">
        <w:rPr>
          <w:i/>
          <w:iCs/>
          <w:color w:val="222222"/>
          <w:highlight w:val="white"/>
        </w:rPr>
        <w:t>4</w:t>
      </w:r>
      <w:r w:rsidRPr="0019509C">
        <w:rPr>
          <w:color w:val="222222"/>
          <w:highlight w:val="white"/>
        </w:rPr>
        <w:t>(1), pp.18-29.</w:t>
      </w:r>
      <w:hyperlink r:id="rId36">
        <w:r w:rsidRPr="0019509C">
          <w:rPr>
            <w:color w:val="1155CC"/>
            <w:highlight w:val="white"/>
            <w:u w:val="single"/>
          </w:rPr>
          <w:t>http://41.89.128.53/index.php/tummj/article/download/86/104</w:t>
        </w:r>
      </w:hyperlink>
    </w:p>
    <w:p w14:paraId="3131AD87" w14:textId="77777777" w:rsidR="00E956CB" w:rsidRPr="0019509C" w:rsidRDefault="00E956CB">
      <w:pPr>
        <w:rPr>
          <w:color w:val="222222"/>
          <w:highlight w:val="white"/>
        </w:rPr>
      </w:pPr>
      <w:r w:rsidRPr="0019509C">
        <w:rPr>
          <w:color w:val="222222"/>
          <w:highlight w:val="white"/>
        </w:rPr>
        <w:lastRenderedPageBreak/>
        <w:t>Pomelli, A., (2023). Inside debt financing: theory, practice, and regulatory approaches.https://papers.ssrn.com/sol3/Delivery.cfm?abstractid=4278428</w:t>
      </w:r>
    </w:p>
    <w:p w14:paraId="59DADD8C" w14:textId="77777777" w:rsidR="00E956CB" w:rsidRPr="0019509C" w:rsidRDefault="00E956CB">
      <w:pPr>
        <w:rPr>
          <w:color w:val="222222"/>
          <w:highlight w:val="white"/>
        </w:rPr>
      </w:pPr>
      <w:r w:rsidRPr="0019509C">
        <w:rPr>
          <w:color w:val="222222"/>
          <w:highlight w:val="white"/>
        </w:rPr>
        <w:t xml:space="preserve">Purnomo, A., (2018). Influence of the ratio of profit margin, financial leverage ratio, current ratio, quick ratio against the conditions and financial distress. </w:t>
      </w:r>
      <w:r w:rsidRPr="0019509C">
        <w:rPr>
          <w:i/>
          <w:iCs/>
          <w:color w:val="222222"/>
          <w:highlight w:val="white"/>
        </w:rPr>
        <w:t>Indonesian Journal of Business, Accounting and Management</w:t>
      </w:r>
      <w:r w:rsidRPr="0019509C">
        <w:rPr>
          <w:color w:val="222222"/>
          <w:highlight w:val="white"/>
        </w:rPr>
        <w:t xml:space="preserve">, </w:t>
      </w:r>
      <w:r w:rsidRPr="0019509C">
        <w:rPr>
          <w:i/>
          <w:iCs/>
          <w:color w:val="222222"/>
          <w:highlight w:val="white"/>
        </w:rPr>
        <w:t>1</w:t>
      </w:r>
      <w:r w:rsidRPr="0019509C">
        <w:rPr>
          <w:color w:val="222222"/>
          <w:highlight w:val="white"/>
        </w:rPr>
        <w:t>(1), pp.9-17.</w:t>
      </w:r>
      <w:hyperlink r:id="rId37">
        <w:r w:rsidRPr="0019509C">
          <w:rPr>
            <w:color w:val="1155CC"/>
            <w:highlight w:val="white"/>
            <w:u w:val="single"/>
          </w:rPr>
          <w:t>https://scholar.archive.org/work/pvm7udmihraytoe2thn5ewuroi/access/wayback/https://ejournal.stei.ac.id/index.php/ijbam/article/download/218/138/</w:t>
        </w:r>
      </w:hyperlink>
    </w:p>
    <w:p w14:paraId="3C7224F8" w14:textId="77777777" w:rsidR="00E956CB" w:rsidRPr="0019509C" w:rsidRDefault="00E956CB">
      <w:pPr>
        <w:spacing w:after="240"/>
        <w:rPr>
          <w:color w:val="222222"/>
          <w:highlight w:val="white"/>
        </w:rPr>
      </w:pPr>
      <w:r w:rsidRPr="0019509C">
        <w:rPr>
          <w:color w:val="222222"/>
          <w:highlight w:val="white"/>
        </w:rPr>
        <w:t xml:space="preserve">Ruziokhunov, D. and Yuldasheva, U., (2025). The role of government tax regulations on attracting foreign investments. </w:t>
      </w:r>
      <w:r w:rsidRPr="0019509C">
        <w:rPr>
          <w:i/>
          <w:iCs/>
          <w:color w:val="222222"/>
          <w:highlight w:val="white"/>
        </w:rPr>
        <w:t>Academic Journal of Science, Technology and Education</w:t>
      </w:r>
      <w:r w:rsidRPr="0019509C">
        <w:rPr>
          <w:color w:val="222222"/>
          <w:highlight w:val="white"/>
        </w:rPr>
        <w:t xml:space="preserve">, </w:t>
      </w:r>
      <w:r w:rsidRPr="0019509C">
        <w:rPr>
          <w:i/>
          <w:iCs/>
          <w:color w:val="222222"/>
          <w:highlight w:val="white"/>
        </w:rPr>
        <w:t>1</w:t>
      </w:r>
      <w:r w:rsidRPr="0019509C">
        <w:rPr>
          <w:color w:val="222222"/>
          <w:highlight w:val="white"/>
        </w:rPr>
        <w:t>(8), pp.6-10.</w:t>
      </w:r>
      <w:hyperlink r:id="rId38">
        <w:r w:rsidRPr="0019509C">
          <w:rPr>
            <w:color w:val="1155CC"/>
            <w:highlight w:val="white"/>
            <w:u w:val="single"/>
          </w:rPr>
          <w:t>https://integrumpublication.org/index.php/ajste/article/download/101/103</w:t>
        </w:r>
      </w:hyperlink>
    </w:p>
    <w:p w14:paraId="02010129" w14:textId="77777777" w:rsidR="00E956CB" w:rsidRPr="0019509C" w:rsidRDefault="00E956CB">
      <w:pPr>
        <w:spacing w:after="240"/>
        <w:rPr>
          <w:color w:val="222222"/>
          <w:highlight w:val="white"/>
        </w:rPr>
      </w:pPr>
      <w:r w:rsidRPr="0019509C">
        <w:rPr>
          <w:color w:val="222222"/>
          <w:highlight w:val="white"/>
        </w:rPr>
        <w:t xml:space="preserve">Sarah, M. and Athanase, O.K., (2023). Financial Ratio Analysis and Investment Decision Makings in Listed Companies in Rwanda; A Case Study of Listed Companies. </w:t>
      </w:r>
      <w:r w:rsidRPr="0019509C">
        <w:rPr>
          <w:i/>
          <w:iCs/>
          <w:color w:val="222222"/>
          <w:highlight w:val="white"/>
        </w:rPr>
        <w:t>Journal of Finance and Accounting</w:t>
      </w:r>
      <w:r w:rsidRPr="0019509C">
        <w:rPr>
          <w:color w:val="222222"/>
          <w:highlight w:val="white"/>
        </w:rPr>
        <w:t xml:space="preserve">, </w:t>
      </w:r>
      <w:r w:rsidRPr="0019509C">
        <w:rPr>
          <w:i/>
          <w:iCs/>
          <w:color w:val="222222"/>
          <w:highlight w:val="white"/>
        </w:rPr>
        <w:t>7</w:t>
      </w:r>
      <w:r w:rsidRPr="0019509C">
        <w:rPr>
          <w:color w:val="222222"/>
          <w:highlight w:val="white"/>
        </w:rPr>
        <w:t>(11), pp.218-244.</w:t>
      </w:r>
      <w:hyperlink r:id="rId39">
        <w:r w:rsidRPr="0019509C">
          <w:rPr>
            <w:color w:val="1155CC"/>
            <w:highlight w:val="white"/>
            <w:u w:val="single"/>
          </w:rPr>
          <w:t>https://stratfordjournalpublishers.org/journals/index.php/journal-of-accounting/article/download/1996/2554</w:t>
        </w:r>
      </w:hyperlink>
    </w:p>
    <w:p w14:paraId="7B9624CF" w14:textId="77777777" w:rsidR="00E956CB" w:rsidRPr="0019509C" w:rsidRDefault="00E956CB">
      <w:pPr>
        <w:spacing w:after="240"/>
        <w:rPr>
          <w:color w:val="222222"/>
          <w:highlight w:val="white"/>
        </w:rPr>
      </w:pPr>
      <w:r w:rsidRPr="0019509C">
        <w:rPr>
          <w:color w:val="222222"/>
          <w:highlight w:val="white"/>
        </w:rPr>
        <w:t xml:space="preserve">Shou, T., (2022), July. A literature review on the net present value (NPV) valuation method. In </w:t>
      </w:r>
      <w:r w:rsidRPr="0019509C">
        <w:rPr>
          <w:i/>
          <w:iCs/>
          <w:color w:val="222222"/>
          <w:highlight w:val="white"/>
        </w:rPr>
        <w:t>2022 2nd International Conference on Enterprise Management and Economic Development (ICEMED 2022)</w:t>
      </w:r>
      <w:r w:rsidRPr="0019509C">
        <w:rPr>
          <w:color w:val="222222"/>
          <w:highlight w:val="white"/>
        </w:rPr>
        <w:t xml:space="preserve"> (pp. 826-830). Atlantis Press.</w:t>
      </w:r>
      <w:hyperlink r:id="rId40">
        <w:r w:rsidRPr="0019509C">
          <w:rPr>
            <w:color w:val="1155CC"/>
            <w:highlight w:val="white"/>
            <w:u w:val="single"/>
          </w:rPr>
          <w:t>https://www.atlantis-press.com/article/125975449.pdf</w:t>
        </w:r>
      </w:hyperlink>
    </w:p>
    <w:p w14:paraId="4A0F0BC4" w14:textId="77777777" w:rsidR="00E956CB" w:rsidRPr="0019509C" w:rsidRDefault="00E956CB">
      <w:pPr>
        <w:spacing w:after="240"/>
        <w:rPr>
          <w:color w:val="222222"/>
          <w:highlight w:val="white"/>
        </w:rPr>
      </w:pPr>
      <w:r w:rsidRPr="0019509C">
        <w:rPr>
          <w:color w:val="222222"/>
          <w:highlight w:val="white"/>
        </w:rPr>
        <w:t xml:space="preserve">Sri, K.S. and SHIVANI, M.S., (2025). A Study on Evaluating Financial Performance of Reliance Limited through Financial Ratios. </w:t>
      </w:r>
      <w:r w:rsidRPr="0019509C">
        <w:rPr>
          <w:i/>
          <w:iCs/>
          <w:color w:val="222222"/>
          <w:highlight w:val="white"/>
        </w:rPr>
        <w:t>IJSAT-International Journal on Science and Technology</w:t>
      </w:r>
      <w:r w:rsidRPr="0019509C">
        <w:rPr>
          <w:color w:val="222222"/>
          <w:highlight w:val="white"/>
        </w:rPr>
        <w:t xml:space="preserve">, </w:t>
      </w:r>
      <w:r w:rsidRPr="0019509C">
        <w:rPr>
          <w:i/>
          <w:iCs/>
          <w:color w:val="222222"/>
          <w:highlight w:val="white"/>
        </w:rPr>
        <w:t>16</w:t>
      </w:r>
      <w:r w:rsidRPr="0019509C">
        <w:rPr>
          <w:color w:val="222222"/>
          <w:highlight w:val="white"/>
        </w:rPr>
        <w:t>(3).</w:t>
      </w:r>
      <w:hyperlink r:id="rId41">
        <w:r w:rsidRPr="0019509C">
          <w:rPr>
            <w:color w:val="1155CC"/>
            <w:highlight w:val="white"/>
            <w:u w:val="single"/>
          </w:rPr>
          <w:t>https://www.ijsat.org/papers/2025/3/6874.pdf</w:t>
        </w:r>
      </w:hyperlink>
    </w:p>
    <w:p w14:paraId="3E4344A1" w14:textId="77777777" w:rsidR="00E956CB" w:rsidRPr="0019509C" w:rsidRDefault="00E956CB">
      <w:pPr>
        <w:spacing w:after="240"/>
      </w:pPr>
      <w:r w:rsidRPr="0019509C">
        <w:t xml:space="preserve">Statista (2025). </w:t>
      </w:r>
      <w:r w:rsidRPr="0019509C">
        <w:rPr>
          <w:i/>
          <w:iCs/>
        </w:rPr>
        <w:t>Infographic: BYD Surges Past Tesla to Become World’s Leading EV Brand</w:t>
      </w:r>
      <w:r w:rsidRPr="0019509C">
        <w:t>. [online] Statista Daily Data. Available at: https://www.statista.com/chart/33709/tesla-byd-electric-vehicle-production/?srsltid=AfmBOoq0hH8E8vv5O_aDAIz4Lp2EHKLLCKxCx6K9T58Fv_4JSQfPWvIf [Accessed 19 Apr. 2026].</w:t>
      </w:r>
    </w:p>
    <w:p w14:paraId="35ACB9F1" w14:textId="77777777" w:rsidR="00E956CB" w:rsidRPr="0019509C" w:rsidRDefault="00E956CB">
      <w:pPr>
        <w:spacing w:after="240"/>
        <w:rPr>
          <w:color w:val="222222"/>
          <w:highlight w:val="white"/>
        </w:rPr>
      </w:pPr>
      <w:proofErr w:type="spellStart"/>
      <w:r w:rsidRPr="0019509C">
        <w:rPr>
          <w:color w:val="222222"/>
          <w:highlight w:val="white"/>
        </w:rPr>
        <w:lastRenderedPageBreak/>
        <w:t>Sudacevschi</w:t>
      </w:r>
      <w:proofErr w:type="spellEnd"/>
      <w:r w:rsidRPr="0019509C">
        <w:rPr>
          <w:color w:val="222222"/>
          <w:highlight w:val="white"/>
        </w:rPr>
        <w:t xml:space="preserve">, M. and Stefan Duicu, V.M., (2024). Financial Performance Analysis of The Company Through Profitability Ratios. </w:t>
      </w:r>
      <w:r w:rsidRPr="0019509C">
        <w:rPr>
          <w:i/>
          <w:iCs/>
          <w:color w:val="222222"/>
          <w:highlight w:val="white"/>
        </w:rPr>
        <w:t>Challenges of the Knowledge Society</w:t>
      </w:r>
      <w:r w:rsidRPr="0019509C">
        <w:rPr>
          <w:color w:val="222222"/>
          <w:highlight w:val="white"/>
        </w:rPr>
        <w:t xml:space="preserve">, </w:t>
      </w:r>
      <w:r w:rsidRPr="0019509C">
        <w:rPr>
          <w:i/>
          <w:iCs/>
          <w:color w:val="222222"/>
          <w:highlight w:val="white"/>
        </w:rPr>
        <w:t>17</w:t>
      </w:r>
      <w:r w:rsidRPr="0019509C">
        <w:rPr>
          <w:color w:val="222222"/>
          <w:highlight w:val="white"/>
        </w:rPr>
        <w:t>(2068-7796).</w:t>
      </w:r>
      <w:hyperlink r:id="rId42">
        <w:r w:rsidRPr="0019509C">
          <w:rPr>
            <w:color w:val="1155CC"/>
            <w:highlight w:val="white"/>
            <w:u w:val="single"/>
          </w:rPr>
          <w:t>http://jurnal.universitasdarmaagung.ac.id/jurnaluda/article/download/2280/2041</w:t>
        </w:r>
      </w:hyperlink>
    </w:p>
    <w:p w14:paraId="3E662A24" w14:textId="77777777" w:rsidR="00E956CB" w:rsidRPr="0019509C" w:rsidRDefault="00E956CB">
      <w:pPr>
        <w:spacing w:after="240"/>
        <w:rPr>
          <w:color w:val="222222"/>
          <w:highlight w:val="white"/>
        </w:rPr>
      </w:pPr>
      <w:proofErr w:type="spellStart"/>
      <w:r w:rsidRPr="0019509C">
        <w:rPr>
          <w:color w:val="222222"/>
          <w:highlight w:val="white"/>
        </w:rPr>
        <w:t>Susellawati</w:t>
      </w:r>
      <w:proofErr w:type="spellEnd"/>
      <w:r w:rsidRPr="0019509C">
        <w:rPr>
          <w:color w:val="222222"/>
          <w:highlight w:val="white"/>
        </w:rPr>
        <w:t xml:space="preserve">, S., Sari, D.P., Nabella, S.D. and Fadlilah, A.H., (2022). The effect of profitability, liquidity, leverage, and activity ratios on dividend policy in manufacturing companies in the food and beverage industry sector listed on the Indonesia Stock Exchange in the 2016-2020 period. </w:t>
      </w:r>
      <w:r w:rsidRPr="0019509C">
        <w:rPr>
          <w:i/>
          <w:iCs/>
          <w:color w:val="222222"/>
          <w:highlight w:val="white"/>
        </w:rPr>
        <w:t>Jurnal Mantik</w:t>
      </w:r>
      <w:r w:rsidRPr="0019509C">
        <w:rPr>
          <w:color w:val="222222"/>
          <w:highlight w:val="white"/>
        </w:rPr>
        <w:t xml:space="preserve">, </w:t>
      </w:r>
      <w:r w:rsidRPr="0019509C">
        <w:rPr>
          <w:i/>
          <w:iCs/>
          <w:color w:val="222222"/>
          <w:highlight w:val="white"/>
        </w:rPr>
        <w:t>6</w:t>
      </w:r>
      <w:r w:rsidRPr="0019509C">
        <w:rPr>
          <w:color w:val="222222"/>
          <w:highlight w:val="white"/>
        </w:rPr>
        <w:t>(2), pp.141-152.</w:t>
      </w:r>
      <w:hyperlink r:id="rId43">
        <w:r w:rsidRPr="0019509C">
          <w:rPr>
            <w:color w:val="1155CC"/>
            <w:highlight w:val="white"/>
            <w:u w:val="single"/>
          </w:rPr>
          <w:t>https://www.researchgate.net/profile/Septa-Nabella/publication/371806850_The_Effect_of_Profitability_Liquidity_Leverage_and_Activity_Ratios_on_Dividend_Policy_in_Manufacturing_Companies_in_the_Food_and_Beverage_Industry_Sector_Listed_on_the_Indonesia_Stock_Exchange_in_the_/links/6495e2458de7ed28ba4eecd5/The-Effect-of-Profitability-Liquidity-Leverage-and-Activity-Ratios-on-Dividend-Policy-in-Manufacturing-Companies-in-the-Food-and-Beverage-Industry-Sector-Listed-on-the-Indonesia-Stock-Exchange-in-t.pdf</w:t>
        </w:r>
      </w:hyperlink>
    </w:p>
    <w:p w14:paraId="706B8DE1" w14:textId="77777777" w:rsidR="00E956CB" w:rsidRPr="0019509C" w:rsidRDefault="00E956CB">
      <w:pPr>
        <w:rPr>
          <w:color w:val="222222"/>
          <w:highlight w:val="white"/>
        </w:rPr>
      </w:pPr>
      <w:proofErr w:type="spellStart"/>
      <w:r w:rsidRPr="0019509C">
        <w:rPr>
          <w:color w:val="222222"/>
          <w:highlight w:val="white"/>
        </w:rPr>
        <w:t>Svetek</w:t>
      </w:r>
      <w:proofErr w:type="spellEnd"/>
      <w:r w:rsidRPr="0019509C">
        <w:rPr>
          <w:color w:val="222222"/>
          <w:highlight w:val="white"/>
        </w:rPr>
        <w:t xml:space="preserve">, M., (2022). Signaling in the context of early-stage equity financing: review and directions. </w:t>
      </w:r>
      <w:r w:rsidRPr="0019509C">
        <w:rPr>
          <w:i/>
          <w:iCs/>
          <w:color w:val="222222"/>
          <w:highlight w:val="white"/>
        </w:rPr>
        <w:t>Venture capital</w:t>
      </w:r>
      <w:r w:rsidRPr="0019509C">
        <w:rPr>
          <w:color w:val="222222"/>
          <w:highlight w:val="white"/>
        </w:rPr>
        <w:t xml:space="preserve">, </w:t>
      </w:r>
      <w:r w:rsidRPr="0019509C">
        <w:rPr>
          <w:i/>
          <w:iCs/>
          <w:color w:val="222222"/>
          <w:highlight w:val="white"/>
        </w:rPr>
        <w:t>24</w:t>
      </w:r>
      <w:r w:rsidRPr="0019509C">
        <w:rPr>
          <w:color w:val="222222"/>
          <w:highlight w:val="white"/>
        </w:rPr>
        <w:t>(1), pp.71-104.</w:t>
      </w:r>
      <w:hyperlink r:id="rId44">
        <w:r w:rsidRPr="0019509C">
          <w:rPr>
            <w:color w:val="1155CC"/>
            <w:highlight w:val="white"/>
            <w:u w:val="single"/>
          </w:rPr>
          <w:t>https://www.tandfonline.com/doi/pdf/10.1080/13691066.2022.2063092</w:t>
        </w:r>
      </w:hyperlink>
    </w:p>
    <w:p w14:paraId="692ED2AB" w14:textId="77777777" w:rsidR="00E956CB" w:rsidRPr="0019509C" w:rsidRDefault="00E956CB">
      <w:pPr>
        <w:spacing w:after="240"/>
        <w:rPr>
          <w:color w:val="222222"/>
          <w:highlight w:val="white"/>
        </w:rPr>
      </w:pPr>
      <w:r w:rsidRPr="0019509C">
        <w:rPr>
          <w:color w:val="222222"/>
          <w:highlight w:val="white"/>
        </w:rPr>
        <w:t xml:space="preserve">Tikhomirova, T. and Tikhomirov, N., (2024). Methods for assessing low profitability risks of an investment project in conditions of uncertainty. </w:t>
      </w:r>
      <w:r w:rsidRPr="0019509C">
        <w:rPr>
          <w:i/>
          <w:iCs/>
          <w:color w:val="222222"/>
          <w:highlight w:val="white"/>
        </w:rPr>
        <w:t>Revista Gestão &amp; Tecnologia</w:t>
      </w:r>
      <w:r w:rsidRPr="0019509C">
        <w:rPr>
          <w:color w:val="222222"/>
          <w:highlight w:val="white"/>
        </w:rPr>
        <w:t xml:space="preserve">, </w:t>
      </w:r>
      <w:r w:rsidRPr="0019509C">
        <w:rPr>
          <w:i/>
          <w:iCs/>
          <w:color w:val="222222"/>
          <w:highlight w:val="white"/>
        </w:rPr>
        <w:t>24</w:t>
      </w:r>
      <w:r w:rsidRPr="0019509C">
        <w:rPr>
          <w:color w:val="222222"/>
          <w:highlight w:val="white"/>
        </w:rPr>
        <w:t>(2), pp.244-257.</w:t>
      </w:r>
      <w:hyperlink r:id="rId45">
        <w:r w:rsidRPr="0019509C">
          <w:rPr>
            <w:color w:val="1155CC"/>
            <w:highlight w:val="white"/>
            <w:u w:val="single"/>
          </w:rPr>
          <w:t>http://revistagt.fpl.emnuvens.com.br/get/article/download/2845/1563</w:t>
        </w:r>
      </w:hyperlink>
    </w:p>
    <w:p w14:paraId="4454D38C" w14:textId="77777777" w:rsidR="00E956CB" w:rsidRPr="0019509C" w:rsidRDefault="00E956CB">
      <w:pPr>
        <w:spacing w:after="240"/>
        <w:rPr>
          <w:color w:val="222222"/>
          <w:highlight w:val="white"/>
        </w:rPr>
      </w:pPr>
      <w:r w:rsidRPr="0019509C">
        <w:rPr>
          <w:color w:val="222222"/>
          <w:highlight w:val="white"/>
        </w:rPr>
        <w:t xml:space="preserve">Trading Economics (2025). </w:t>
      </w:r>
      <w:r w:rsidRPr="0019509C">
        <w:rPr>
          <w:i/>
          <w:iCs/>
          <w:color w:val="222222"/>
          <w:highlight w:val="white"/>
        </w:rPr>
        <w:t>Inflation Rate - Countries - List</w:t>
      </w:r>
      <w:r w:rsidRPr="0019509C">
        <w:rPr>
          <w:color w:val="222222"/>
          <w:highlight w:val="white"/>
        </w:rPr>
        <w:t>. [online] Trading Economics. Available at: https://tradingeconomics.com/country-list/inflation-rate [Accessed 21 Apr. 2026].</w:t>
      </w:r>
    </w:p>
    <w:p w14:paraId="05446B25" w14:textId="77777777" w:rsidR="00E956CB" w:rsidRPr="0019509C" w:rsidRDefault="00E956CB">
      <w:pPr>
        <w:spacing w:after="240"/>
        <w:rPr>
          <w:color w:val="222222"/>
          <w:highlight w:val="white"/>
        </w:rPr>
      </w:pPr>
      <w:proofErr w:type="spellStart"/>
      <w:r w:rsidRPr="0019509C">
        <w:rPr>
          <w:color w:val="222222"/>
          <w:highlight w:val="white"/>
        </w:rPr>
        <w:t>Varmazyar</w:t>
      </w:r>
      <w:proofErr w:type="spellEnd"/>
      <w:r w:rsidRPr="0019509C">
        <w:rPr>
          <w:color w:val="222222"/>
          <w:highlight w:val="white"/>
        </w:rPr>
        <w:t xml:space="preserve">, S., Bagheri, A. and Karami, A., (2025). The test of the effect of speculative price bubble and f </w:t>
      </w:r>
      <w:proofErr w:type="spellStart"/>
      <w:r w:rsidRPr="0019509C">
        <w:rPr>
          <w:color w:val="222222"/>
          <w:highlight w:val="white"/>
        </w:rPr>
        <w:t>inancial</w:t>
      </w:r>
      <w:proofErr w:type="spellEnd"/>
      <w:r w:rsidRPr="0019509C">
        <w:rPr>
          <w:color w:val="222222"/>
          <w:highlight w:val="white"/>
        </w:rPr>
        <w:t xml:space="preserve"> leverage on the real rate of return of manufacturing companies admitted to the Tehran Stock Exchange. </w:t>
      </w:r>
      <w:r w:rsidRPr="0019509C">
        <w:rPr>
          <w:i/>
          <w:iCs/>
          <w:color w:val="222222"/>
          <w:highlight w:val="white"/>
        </w:rPr>
        <w:t>Agricultural Marketing and Commercialization</w:t>
      </w:r>
      <w:r w:rsidRPr="0019509C">
        <w:rPr>
          <w:color w:val="222222"/>
          <w:highlight w:val="white"/>
        </w:rPr>
        <w:t xml:space="preserve">, </w:t>
      </w:r>
      <w:r w:rsidRPr="0019509C">
        <w:rPr>
          <w:i/>
          <w:iCs/>
          <w:color w:val="222222"/>
          <w:highlight w:val="white"/>
        </w:rPr>
        <w:t>9</w:t>
      </w:r>
      <w:r w:rsidRPr="0019509C">
        <w:rPr>
          <w:color w:val="222222"/>
          <w:highlight w:val="white"/>
        </w:rPr>
        <w:t>(1).</w:t>
      </w:r>
      <w:hyperlink r:id="rId46">
        <w:r w:rsidRPr="0019509C">
          <w:rPr>
            <w:color w:val="1155CC"/>
            <w:highlight w:val="white"/>
            <w:u w:val="single"/>
          </w:rPr>
          <w:t>https://oiccpress.com/amc/article/download/17100/18761</w:t>
        </w:r>
      </w:hyperlink>
    </w:p>
    <w:p w14:paraId="2CCF1048" w14:textId="77777777" w:rsidR="00E956CB" w:rsidRPr="0019509C" w:rsidRDefault="00E956CB">
      <w:pPr>
        <w:rPr>
          <w:color w:val="222222"/>
          <w:highlight w:val="white"/>
        </w:rPr>
      </w:pPr>
      <w:r w:rsidRPr="0019509C">
        <w:rPr>
          <w:color w:val="222222"/>
          <w:highlight w:val="white"/>
        </w:rPr>
        <w:t xml:space="preserve">Wang, Z., Akbar, M. and Akbar, A., (2020). The interplay between working capital management and a firm’s financial performance across the corporate life cycle. </w:t>
      </w:r>
      <w:r w:rsidRPr="0019509C">
        <w:rPr>
          <w:i/>
          <w:iCs/>
          <w:color w:val="222222"/>
          <w:highlight w:val="white"/>
        </w:rPr>
        <w:t>Sustainability</w:t>
      </w:r>
      <w:r w:rsidRPr="0019509C">
        <w:rPr>
          <w:color w:val="222222"/>
          <w:highlight w:val="white"/>
        </w:rPr>
        <w:t xml:space="preserve">, </w:t>
      </w:r>
      <w:r w:rsidRPr="0019509C">
        <w:rPr>
          <w:i/>
          <w:iCs/>
          <w:color w:val="222222"/>
          <w:highlight w:val="white"/>
        </w:rPr>
        <w:t>12</w:t>
      </w:r>
      <w:r w:rsidRPr="0019509C">
        <w:rPr>
          <w:color w:val="222222"/>
          <w:highlight w:val="white"/>
        </w:rPr>
        <w:t>(4), p.1661.</w:t>
      </w:r>
      <w:hyperlink r:id="rId47">
        <w:r w:rsidRPr="0019509C">
          <w:rPr>
            <w:color w:val="1155CC"/>
            <w:highlight w:val="white"/>
            <w:u w:val="single"/>
          </w:rPr>
          <w:t>https://www.mdpi.com/2071-1050/12/4/1661</w:t>
        </w:r>
      </w:hyperlink>
    </w:p>
    <w:p w14:paraId="1EB06995" w14:textId="77777777" w:rsidR="00E956CB" w:rsidRPr="0019509C" w:rsidRDefault="00E956CB">
      <w:pPr>
        <w:spacing w:after="240"/>
        <w:rPr>
          <w:color w:val="222222"/>
          <w:highlight w:val="white"/>
        </w:rPr>
      </w:pPr>
      <w:r w:rsidRPr="0019509C">
        <w:rPr>
          <w:color w:val="222222"/>
          <w:highlight w:val="white"/>
        </w:rPr>
        <w:lastRenderedPageBreak/>
        <w:t xml:space="preserve">Wangchuk, P., (2022). Application of depreciation net present value and internal rate of return in engineering projects a brief literature review. </w:t>
      </w:r>
      <w:r w:rsidRPr="0019509C">
        <w:rPr>
          <w:i/>
          <w:iCs/>
          <w:color w:val="222222"/>
          <w:highlight w:val="white"/>
        </w:rPr>
        <w:t>Journal of Applied Engineering, Technology and Management</w:t>
      </w:r>
      <w:r w:rsidRPr="0019509C">
        <w:rPr>
          <w:color w:val="222222"/>
          <w:highlight w:val="white"/>
        </w:rPr>
        <w:t xml:space="preserve">, </w:t>
      </w:r>
      <w:r w:rsidRPr="0019509C">
        <w:rPr>
          <w:i/>
          <w:iCs/>
          <w:color w:val="222222"/>
          <w:highlight w:val="white"/>
        </w:rPr>
        <w:t>2</w:t>
      </w:r>
      <w:r w:rsidRPr="0019509C">
        <w:rPr>
          <w:color w:val="222222"/>
          <w:highlight w:val="white"/>
        </w:rPr>
        <w:t>(1), pp.25-30.</w:t>
      </w:r>
      <w:hyperlink r:id="rId48">
        <w:r w:rsidRPr="0019509C">
          <w:rPr>
            <w:color w:val="1155CC"/>
            <w:highlight w:val="white"/>
            <w:u w:val="single"/>
          </w:rPr>
          <w:t>https://journal.jnec.edu.bt/index.php/jaetm/article/download/55/26</w:t>
        </w:r>
      </w:hyperlink>
    </w:p>
    <w:p w14:paraId="70CF4148" w14:textId="77777777" w:rsidR="00E956CB" w:rsidRPr="0019509C" w:rsidRDefault="00E956CB">
      <w:pPr>
        <w:rPr>
          <w:color w:val="222222"/>
          <w:highlight w:val="white"/>
        </w:rPr>
      </w:pPr>
      <w:r w:rsidRPr="0019509C">
        <w:rPr>
          <w:color w:val="222222"/>
          <w:highlight w:val="white"/>
        </w:rPr>
        <w:t xml:space="preserve">Xin, C., (2025). From China to the World BYD’s Distinctive Path to Internationalization in the NEV Market. </w:t>
      </w:r>
      <w:r w:rsidRPr="0019509C">
        <w:rPr>
          <w:i/>
          <w:iCs/>
          <w:color w:val="222222"/>
          <w:highlight w:val="white"/>
        </w:rPr>
        <w:t>Journal of Asian Management Studies</w:t>
      </w:r>
      <w:r w:rsidRPr="0019509C">
        <w:rPr>
          <w:color w:val="222222"/>
          <w:highlight w:val="white"/>
        </w:rPr>
        <w:t xml:space="preserve">, </w:t>
      </w:r>
      <w:r w:rsidRPr="0019509C">
        <w:rPr>
          <w:i/>
          <w:iCs/>
          <w:color w:val="222222"/>
          <w:highlight w:val="white"/>
        </w:rPr>
        <w:t>31</w:t>
      </w:r>
      <w:r w:rsidRPr="0019509C">
        <w:rPr>
          <w:color w:val="222222"/>
          <w:highlight w:val="white"/>
        </w:rPr>
        <w:t>, pp.3-28.</w:t>
      </w:r>
      <w:hyperlink r:id="rId49">
        <w:r w:rsidRPr="0019509C">
          <w:rPr>
            <w:color w:val="1155CC"/>
            <w:highlight w:val="white"/>
            <w:u w:val="single"/>
          </w:rPr>
          <w:t>https://www.jstage.jst.go.jp/article/jamsjsaam/31/0/31_3/_pdf</w:t>
        </w:r>
      </w:hyperlink>
    </w:p>
    <w:p w14:paraId="5A086449" w14:textId="77777777" w:rsidR="00E956CB" w:rsidRPr="0019509C" w:rsidRDefault="00E956CB">
      <w:pPr>
        <w:spacing w:after="240"/>
        <w:rPr>
          <w:color w:val="222222"/>
          <w:highlight w:val="white"/>
        </w:rPr>
      </w:pPr>
      <w:r w:rsidRPr="0019509C">
        <w:rPr>
          <w:color w:val="222222"/>
          <w:highlight w:val="white"/>
        </w:rPr>
        <w:t xml:space="preserve">Xiong, H., Liu, T. and Wang, Z., (2023). Financial effect of long-term policy equity injection: evidence from special construction funds in China. </w:t>
      </w:r>
      <w:r w:rsidRPr="0019509C">
        <w:rPr>
          <w:i/>
          <w:iCs/>
          <w:color w:val="222222"/>
          <w:highlight w:val="white"/>
        </w:rPr>
        <w:t>Applied Economics</w:t>
      </w:r>
      <w:r w:rsidRPr="0019509C">
        <w:rPr>
          <w:color w:val="222222"/>
          <w:highlight w:val="white"/>
        </w:rPr>
        <w:t xml:space="preserve">, </w:t>
      </w:r>
      <w:r w:rsidRPr="0019509C">
        <w:rPr>
          <w:i/>
          <w:iCs/>
          <w:color w:val="222222"/>
          <w:highlight w:val="white"/>
        </w:rPr>
        <w:t>55</w:t>
      </w:r>
      <w:r w:rsidRPr="0019509C">
        <w:rPr>
          <w:color w:val="222222"/>
          <w:highlight w:val="white"/>
        </w:rPr>
        <w:t>(19), pp.2129-2145.</w:t>
      </w:r>
      <w:hyperlink r:id="rId50">
        <w:r w:rsidRPr="0019509C">
          <w:rPr>
            <w:color w:val="1155CC"/>
            <w:highlight w:val="white"/>
            <w:u w:val="single"/>
          </w:rPr>
          <w:t>https://www.tandfonline.com/doi/abs/10.1080/00036846.2022.2102128</w:t>
        </w:r>
      </w:hyperlink>
    </w:p>
    <w:p w14:paraId="0EFC2B8D" w14:textId="77777777" w:rsidR="00E956CB" w:rsidRPr="0019509C" w:rsidRDefault="00E956CB">
      <w:pPr>
        <w:rPr>
          <w:color w:val="222222"/>
          <w:highlight w:val="white"/>
        </w:rPr>
      </w:pPr>
      <w:r w:rsidRPr="0019509C">
        <w:rPr>
          <w:color w:val="222222"/>
          <w:highlight w:val="white"/>
        </w:rPr>
        <w:t xml:space="preserve">Yan, X. and Zhou, Q., (2022). Research on Financial Development Capability of Listed Companies Based on Multiple Regression Model——Take BYD as an Example. </w:t>
      </w:r>
      <w:r w:rsidRPr="0019509C">
        <w:rPr>
          <w:i/>
          <w:iCs/>
          <w:color w:val="222222"/>
          <w:highlight w:val="white"/>
        </w:rPr>
        <w:t>Academic Journal of Business &amp; Management</w:t>
      </w:r>
      <w:r w:rsidRPr="0019509C">
        <w:rPr>
          <w:color w:val="222222"/>
          <w:highlight w:val="white"/>
        </w:rPr>
        <w:t xml:space="preserve">, </w:t>
      </w:r>
      <w:r w:rsidRPr="0019509C">
        <w:rPr>
          <w:i/>
          <w:iCs/>
          <w:color w:val="222222"/>
          <w:highlight w:val="white"/>
        </w:rPr>
        <w:t>4</w:t>
      </w:r>
      <w:r w:rsidRPr="0019509C">
        <w:rPr>
          <w:color w:val="222222"/>
          <w:highlight w:val="white"/>
        </w:rPr>
        <w:t>(11), pp.47-56.</w:t>
      </w:r>
      <w:hyperlink r:id="rId51">
        <w:r w:rsidRPr="0019509C">
          <w:rPr>
            <w:color w:val="1155CC"/>
            <w:highlight w:val="white"/>
            <w:u w:val="single"/>
          </w:rPr>
          <w:t>https://www.francis-press.com/uploads/papers/9GMjGzMYvCQOZuwLnKRvHAlcwhUS6joBMehWjdnf.pdf</w:t>
        </w:r>
      </w:hyperlink>
    </w:p>
    <w:p w14:paraId="7B1F6A54" w14:textId="77777777" w:rsidR="00E956CB" w:rsidRPr="0019509C" w:rsidRDefault="00E956CB">
      <w:pPr>
        <w:rPr>
          <w:color w:val="222222"/>
          <w:highlight w:val="white"/>
        </w:rPr>
      </w:pPr>
      <w:r w:rsidRPr="0019509C">
        <w:rPr>
          <w:color w:val="222222"/>
          <w:highlight w:val="white"/>
        </w:rPr>
        <w:t xml:space="preserve">Zhou, Z. and Li, Z., (2023). Corporate digital transformation and trade credit financing. </w:t>
      </w:r>
      <w:r w:rsidRPr="0019509C">
        <w:rPr>
          <w:i/>
          <w:iCs/>
          <w:color w:val="222222"/>
          <w:highlight w:val="white"/>
        </w:rPr>
        <w:t>Journal of Business Research</w:t>
      </w:r>
      <w:r w:rsidRPr="0019509C">
        <w:rPr>
          <w:color w:val="222222"/>
          <w:highlight w:val="white"/>
        </w:rPr>
        <w:t xml:space="preserve">, </w:t>
      </w:r>
      <w:r w:rsidRPr="0019509C">
        <w:rPr>
          <w:i/>
          <w:iCs/>
          <w:color w:val="222222"/>
          <w:highlight w:val="white"/>
        </w:rPr>
        <w:t>160</w:t>
      </w:r>
      <w:r w:rsidRPr="0019509C">
        <w:rPr>
          <w:color w:val="222222"/>
          <w:highlight w:val="white"/>
        </w:rPr>
        <w:t>, p.113793.</w:t>
      </w:r>
      <w:hyperlink r:id="rId52">
        <w:r w:rsidRPr="0019509C">
          <w:rPr>
            <w:color w:val="1155CC"/>
            <w:highlight w:val="white"/>
            <w:u w:val="single"/>
          </w:rPr>
          <w:t>https://www.sciencedirect.com/science/article/pii/S0148296323001510</w:t>
        </w:r>
      </w:hyperlink>
    </w:p>
    <w:p w14:paraId="7F3F1BDD" w14:textId="77777777" w:rsidR="007D542C" w:rsidRPr="0019509C" w:rsidRDefault="00583B5A">
      <w:r w:rsidRPr="0019509C">
        <w:br w:type="page"/>
      </w:r>
    </w:p>
    <w:p w14:paraId="331CD729" w14:textId="77777777" w:rsidR="007D542C" w:rsidRPr="0019509C" w:rsidRDefault="00583B5A">
      <w:pPr>
        <w:pStyle w:val="Heading1"/>
      </w:pPr>
      <w:bookmarkStart w:id="31" w:name="_ntooa36syrkr" w:colFirst="0" w:colLast="0"/>
      <w:bookmarkStart w:id="32" w:name="_Toc227782238"/>
      <w:bookmarkEnd w:id="31"/>
      <w:r w:rsidRPr="0019509C">
        <w:lastRenderedPageBreak/>
        <w:t>Appendix 1: Ratio tables and Graphs</w:t>
      </w:r>
      <w:bookmarkEnd w:id="32"/>
    </w:p>
    <w:p w14:paraId="74770CB1" w14:textId="77777777" w:rsidR="00CF25E2" w:rsidRPr="0019509C" w:rsidRDefault="00CF25E2" w:rsidP="00CF25E2">
      <w:r w:rsidRPr="0019509C">
        <w:rPr>
          <w:noProof/>
        </w:rPr>
        <w:drawing>
          <wp:inline distT="0" distB="0" distL="0" distR="0" wp14:anchorId="5DC223E5" wp14:editId="7BE7EA1F">
            <wp:extent cx="5943600" cy="2357576"/>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3600" cy="2357576"/>
                    </a:xfrm>
                    <a:prstGeom prst="rect">
                      <a:avLst/>
                    </a:prstGeom>
                    <a:noFill/>
                    <a:ln>
                      <a:noFill/>
                    </a:ln>
                  </pic:spPr>
                </pic:pic>
              </a:graphicData>
            </a:graphic>
          </wp:inline>
        </w:drawing>
      </w:r>
    </w:p>
    <w:p w14:paraId="162EE979" w14:textId="77777777" w:rsidR="00CF25E2" w:rsidRPr="0019509C" w:rsidRDefault="00382169">
      <w:pPr>
        <w:rPr>
          <w:b/>
          <w:bCs/>
          <w:sz w:val="28"/>
          <w:szCs w:val="28"/>
        </w:rPr>
      </w:pPr>
      <w:bookmarkStart w:id="33" w:name="_k5hk7oz7h1uo" w:colFirst="0" w:colLast="0"/>
      <w:bookmarkEnd w:id="33"/>
      <w:r w:rsidRPr="0019509C">
        <w:rPr>
          <w:noProof/>
        </w:rPr>
        <w:drawing>
          <wp:inline distT="0" distB="0" distL="0" distR="0" wp14:anchorId="0B0D909D" wp14:editId="22719980">
            <wp:extent cx="5943600" cy="535280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3600" cy="5352805"/>
                    </a:xfrm>
                    <a:prstGeom prst="rect">
                      <a:avLst/>
                    </a:prstGeom>
                    <a:noFill/>
                    <a:ln>
                      <a:noFill/>
                    </a:ln>
                  </pic:spPr>
                </pic:pic>
              </a:graphicData>
            </a:graphic>
          </wp:inline>
        </w:drawing>
      </w:r>
    </w:p>
    <w:p w14:paraId="20BF9483" w14:textId="77777777" w:rsidR="0051238F" w:rsidRPr="0019509C" w:rsidRDefault="0051238F">
      <w:pPr>
        <w:rPr>
          <w:b/>
          <w:bCs/>
          <w:sz w:val="28"/>
          <w:szCs w:val="28"/>
        </w:rPr>
      </w:pPr>
      <w:r w:rsidRPr="0019509C">
        <w:rPr>
          <w:noProof/>
        </w:rPr>
        <w:lastRenderedPageBreak/>
        <w:drawing>
          <wp:inline distT="0" distB="0" distL="0" distR="0" wp14:anchorId="1735DD3F" wp14:editId="58218718">
            <wp:extent cx="5943600" cy="2844800"/>
            <wp:effectExtent l="0" t="0" r="0" b="1270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70B118FD" w14:textId="77777777" w:rsidR="0051238F" w:rsidRPr="0019509C" w:rsidRDefault="0051238F">
      <w:pPr>
        <w:rPr>
          <w:b/>
          <w:bCs/>
          <w:sz w:val="28"/>
          <w:szCs w:val="28"/>
        </w:rPr>
      </w:pPr>
      <w:r w:rsidRPr="0019509C">
        <w:rPr>
          <w:noProof/>
        </w:rPr>
        <w:drawing>
          <wp:inline distT="0" distB="0" distL="0" distR="0" wp14:anchorId="10822424" wp14:editId="6BB129DB">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551892FA" w14:textId="77777777" w:rsidR="0051238F" w:rsidRPr="0019509C" w:rsidRDefault="0051238F">
      <w:pPr>
        <w:rPr>
          <w:b/>
          <w:bCs/>
          <w:sz w:val="28"/>
          <w:szCs w:val="28"/>
        </w:rPr>
      </w:pPr>
      <w:r w:rsidRPr="0019509C">
        <w:rPr>
          <w:noProof/>
        </w:rPr>
        <w:lastRenderedPageBreak/>
        <w:drawing>
          <wp:inline distT="0" distB="0" distL="0" distR="0" wp14:anchorId="30706B4B" wp14:editId="73E5FEBE">
            <wp:extent cx="5943600" cy="2975610"/>
            <wp:effectExtent l="0" t="0" r="0" b="1524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2ACB5E68" w14:textId="77777777" w:rsidR="0051238F" w:rsidRPr="0019509C" w:rsidRDefault="0051238F">
      <w:pPr>
        <w:rPr>
          <w:b/>
          <w:bCs/>
          <w:sz w:val="28"/>
          <w:szCs w:val="28"/>
        </w:rPr>
      </w:pPr>
      <w:r w:rsidRPr="0019509C">
        <w:rPr>
          <w:noProof/>
        </w:rPr>
        <w:drawing>
          <wp:inline distT="0" distB="0" distL="0" distR="0" wp14:anchorId="06D2E4C8" wp14:editId="639F7CE9">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56F19099" w14:textId="77777777" w:rsidR="0051238F" w:rsidRPr="0019509C" w:rsidRDefault="0051238F">
      <w:pPr>
        <w:rPr>
          <w:b/>
          <w:bCs/>
          <w:sz w:val="28"/>
          <w:szCs w:val="28"/>
        </w:rPr>
      </w:pPr>
      <w:r w:rsidRPr="0019509C">
        <w:rPr>
          <w:noProof/>
        </w:rPr>
        <w:lastRenderedPageBreak/>
        <w:drawing>
          <wp:inline distT="0" distB="0" distL="0" distR="0" wp14:anchorId="02488555" wp14:editId="332FD13E">
            <wp:extent cx="4572000" cy="27432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C452F1A" w14:textId="77777777" w:rsidR="0051238F" w:rsidRPr="0019509C" w:rsidRDefault="0051238F">
      <w:pPr>
        <w:rPr>
          <w:b/>
          <w:bCs/>
          <w:sz w:val="28"/>
          <w:szCs w:val="28"/>
        </w:rPr>
      </w:pPr>
      <w:r w:rsidRPr="0019509C">
        <w:rPr>
          <w:noProof/>
        </w:rPr>
        <w:drawing>
          <wp:inline distT="0" distB="0" distL="0" distR="0" wp14:anchorId="50EF4128" wp14:editId="05A38EDA">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552CB30A" w14:textId="77777777" w:rsidR="0051238F" w:rsidRPr="0019509C" w:rsidRDefault="0051238F">
      <w:pPr>
        <w:rPr>
          <w:b/>
          <w:bCs/>
          <w:sz w:val="28"/>
          <w:szCs w:val="28"/>
        </w:rPr>
      </w:pPr>
      <w:r w:rsidRPr="0019509C">
        <w:rPr>
          <w:noProof/>
        </w:rPr>
        <w:lastRenderedPageBreak/>
        <w:drawing>
          <wp:inline distT="0" distB="0" distL="0" distR="0" wp14:anchorId="315D333E" wp14:editId="5F83A06C">
            <wp:extent cx="4572000" cy="27432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2EDD621F" w14:textId="77777777" w:rsidR="0051238F" w:rsidRPr="0019509C" w:rsidRDefault="0051238F">
      <w:pPr>
        <w:rPr>
          <w:b/>
          <w:bCs/>
          <w:sz w:val="28"/>
          <w:szCs w:val="28"/>
        </w:rPr>
      </w:pPr>
    </w:p>
    <w:p w14:paraId="7E0A10C8" w14:textId="77777777" w:rsidR="0051238F" w:rsidRPr="0019509C" w:rsidRDefault="0051238F">
      <w:pPr>
        <w:rPr>
          <w:b/>
          <w:bCs/>
          <w:sz w:val="28"/>
          <w:szCs w:val="28"/>
        </w:rPr>
      </w:pPr>
      <w:r w:rsidRPr="0019509C">
        <w:br w:type="page"/>
      </w:r>
    </w:p>
    <w:p w14:paraId="6332BA78" w14:textId="77777777" w:rsidR="007D542C" w:rsidRPr="0019509C" w:rsidRDefault="00583B5A">
      <w:pPr>
        <w:pStyle w:val="Heading1"/>
      </w:pPr>
      <w:bookmarkStart w:id="34" w:name="_Toc227782239"/>
      <w:r w:rsidRPr="0019509C">
        <w:lastRenderedPageBreak/>
        <w:t>Appendix 2: Investment appraisal Calculations</w:t>
      </w:r>
      <w:bookmarkEnd w:id="34"/>
    </w:p>
    <w:p w14:paraId="2C288A80" w14:textId="77777777" w:rsidR="007D542C" w:rsidRPr="0019509C" w:rsidRDefault="0051238F">
      <w:r w:rsidRPr="0019509C">
        <w:rPr>
          <w:noProof/>
        </w:rPr>
        <w:drawing>
          <wp:inline distT="0" distB="0" distL="0" distR="0" wp14:anchorId="7B1A7B65" wp14:editId="41FCBEDD">
            <wp:extent cx="4777740" cy="535686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777740" cy="5356860"/>
                    </a:xfrm>
                    <a:prstGeom prst="rect">
                      <a:avLst/>
                    </a:prstGeom>
                    <a:noFill/>
                    <a:ln>
                      <a:noFill/>
                    </a:ln>
                  </pic:spPr>
                </pic:pic>
              </a:graphicData>
            </a:graphic>
          </wp:inline>
        </w:drawing>
      </w:r>
    </w:p>
    <w:p w14:paraId="2A562279" w14:textId="77777777" w:rsidR="0051238F" w:rsidRPr="0019509C" w:rsidRDefault="0051238F">
      <w:r w:rsidRPr="0019509C">
        <w:rPr>
          <w:noProof/>
        </w:rPr>
        <w:lastRenderedPageBreak/>
        <w:drawing>
          <wp:inline distT="0" distB="0" distL="0" distR="0" wp14:anchorId="1832F0CA" wp14:editId="754C3A50">
            <wp:extent cx="4663440" cy="535686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663440" cy="5356860"/>
                    </a:xfrm>
                    <a:prstGeom prst="rect">
                      <a:avLst/>
                    </a:prstGeom>
                    <a:noFill/>
                    <a:ln>
                      <a:noFill/>
                    </a:ln>
                  </pic:spPr>
                </pic:pic>
              </a:graphicData>
            </a:graphic>
          </wp:inline>
        </w:drawing>
      </w:r>
    </w:p>
    <w:p w14:paraId="45754ADB" w14:textId="77777777" w:rsidR="0051238F" w:rsidRPr="0019509C" w:rsidRDefault="0051238F">
      <w:r w:rsidRPr="0019509C">
        <w:rPr>
          <w:noProof/>
        </w:rPr>
        <w:lastRenderedPageBreak/>
        <w:drawing>
          <wp:inline distT="0" distB="0" distL="0" distR="0" wp14:anchorId="08661377" wp14:editId="4F056E35">
            <wp:extent cx="4655820" cy="53568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655820" cy="5356860"/>
                    </a:xfrm>
                    <a:prstGeom prst="rect">
                      <a:avLst/>
                    </a:prstGeom>
                    <a:noFill/>
                    <a:ln>
                      <a:noFill/>
                    </a:ln>
                  </pic:spPr>
                </pic:pic>
              </a:graphicData>
            </a:graphic>
          </wp:inline>
        </w:drawing>
      </w:r>
    </w:p>
    <w:p w14:paraId="3FC597AA" w14:textId="77777777" w:rsidR="007D542C" w:rsidRPr="0019509C" w:rsidRDefault="007D542C"/>
    <w:p w14:paraId="1A582203" w14:textId="77777777" w:rsidR="007D542C" w:rsidRPr="0019509C" w:rsidRDefault="007D542C"/>
    <w:sectPr w:rsidR="007D542C" w:rsidRPr="0019509C" w:rsidSect="00E366BA">
      <w:footerReference w:type="default" r:id="rId6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5786F" w14:textId="77777777" w:rsidR="001A66A4" w:rsidRDefault="001A66A4" w:rsidP="001224F6">
      <w:pPr>
        <w:spacing w:line="240" w:lineRule="auto"/>
      </w:pPr>
      <w:r>
        <w:separator/>
      </w:r>
    </w:p>
  </w:endnote>
  <w:endnote w:type="continuationSeparator" w:id="0">
    <w:p w14:paraId="2237ACA1" w14:textId="77777777" w:rsidR="001A66A4" w:rsidRDefault="001A66A4" w:rsidP="001224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4930D2D-57ED-034A-A596-DE1AF0C440B3}"/>
    <w:embedBold r:id="rId2" w:fontKey="{D9174B83-6F71-D042-BB14-625A7EE8F620}"/>
    <w:embedItalic r:id="rId3" w:fontKey="{F1646886-6276-0144-9523-2A5E5A707F36}"/>
  </w:font>
  <w:font w:name="Arial">
    <w:panose1 w:val="020B0604020202020204"/>
    <w:charset w:val="00"/>
    <w:family w:val="swiss"/>
    <w:pitch w:val="variable"/>
    <w:sig w:usb0="E0002EFF" w:usb1="C000785B" w:usb2="00000009" w:usb3="00000000" w:csb0="000001FF" w:csb1="00000000"/>
    <w:embedRegular r:id="rId4" w:fontKey="{C6256FA7-3F09-5447-A093-908EA3457D8C}"/>
    <w:embedBold r:id="rId5" w:fontKey="{3C269765-8F44-0743-935F-9624B9C9B069}"/>
  </w:font>
  <w:font w:name="Cambria">
    <w:panose1 w:val="02040503050406030204"/>
    <w:charset w:val="00"/>
    <w:family w:val="roman"/>
    <w:pitch w:val="variable"/>
    <w:sig w:usb0="E00006FF" w:usb1="420024FF" w:usb2="02000000" w:usb3="00000000" w:csb0="0000019F" w:csb1="00000000"/>
    <w:embedRegular r:id="rId6" w:fontKey="{508767A4-ABD2-7F4F-B7A8-19309D19D500}"/>
  </w:font>
  <w:font w:name="Vrinda">
    <w:panose1 w:val="020B0502040204020203"/>
    <w:charset w:val="00"/>
    <w:family w:val="swiss"/>
    <w:pitch w:val="variable"/>
    <w:sig w:usb0="00010003" w:usb1="00000000" w:usb2="00000000" w:usb3="00000000" w:csb0="00000001" w:csb1="00000000"/>
    <w:embedRegular r:id="rId7" w:fontKey="{9BDAB81A-A377-6045-B806-76AEBBC1D3EA}"/>
  </w:font>
  <w:font w:name="Gungsuh">
    <w:panose1 w:val="02030600000101010101"/>
    <w:charset w:val="81"/>
    <w:family w:val="roman"/>
    <w:pitch w:val="variable"/>
    <w:sig w:usb0="B00002AF" w:usb1="69D77CFB" w:usb2="00000030" w:usb3="00000000" w:csb0="0008009F" w:csb1="00000000"/>
    <w:embedItalic r:id="rId8" w:subsetted="1" w:fontKey="{02AFE5D1-1EE8-AC4F-B204-B51E4D6AB94F}"/>
  </w:font>
  <w:font w:name="Calibri">
    <w:panose1 w:val="020F0502020204030204"/>
    <w:charset w:val="00"/>
    <w:family w:val="swiss"/>
    <w:pitch w:val="variable"/>
    <w:sig w:usb0="E4002EFF" w:usb1="C200247B" w:usb2="00000009" w:usb3="00000000" w:csb0="000001FF" w:csb1="00000000"/>
    <w:embedRegular r:id="rId9" w:fontKey="{F1EC1F07-8D31-4441-BAC2-147984EFAD1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924313"/>
      <w:docPartObj>
        <w:docPartGallery w:val="Page Numbers (Bottom of Page)"/>
        <w:docPartUnique/>
      </w:docPartObj>
    </w:sdtPr>
    <w:sdtEndPr>
      <w:rPr>
        <w:sz w:val="20"/>
        <w:szCs w:val="24"/>
      </w:rPr>
    </w:sdtEndPr>
    <w:sdtContent>
      <w:p w14:paraId="66303FF7" w14:textId="43BF35AB" w:rsidR="001224F6" w:rsidRPr="001224F6" w:rsidRDefault="001224F6">
        <w:pPr>
          <w:pStyle w:val="Footer"/>
          <w:jc w:val="right"/>
          <w:rPr>
            <w:sz w:val="20"/>
            <w:szCs w:val="24"/>
          </w:rPr>
        </w:pPr>
        <w:r w:rsidRPr="001224F6">
          <w:rPr>
            <w:sz w:val="20"/>
            <w:szCs w:val="24"/>
          </w:rPr>
          <w:fldChar w:fldCharType="begin"/>
        </w:r>
        <w:r w:rsidRPr="001224F6">
          <w:rPr>
            <w:sz w:val="20"/>
            <w:szCs w:val="24"/>
          </w:rPr>
          <w:instrText>PAGE   \* MERGEFORMAT</w:instrText>
        </w:r>
        <w:r w:rsidRPr="001224F6">
          <w:rPr>
            <w:sz w:val="20"/>
            <w:szCs w:val="24"/>
          </w:rPr>
          <w:fldChar w:fldCharType="separate"/>
        </w:r>
        <w:r w:rsidRPr="001224F6">
          <w:rPr>
            <w:sz w:val="20"/>
            <w:szCs w:val="24"/>
          </w:rPr>
          <w:t>2</w:t>
        </w:r>
        <w:r w:rsidRPr="001224F6">
          <w:rPr>
            <w:sz w:val="20"/>
            <w:szCs w:val="24"/>
          </w:rPr>
          <w:fldChar w:fldCharType="end"/>
        </w:r>
      </w:p>
    </w:sdtContent>
  </w:sdt>
  <w:p w14:paraId="7743EDD8" w14:textId="77777777" w:rsidR="001224F6" w:rsidRDefault="00122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4BF48" w14:textId="77777777" w:rsidR="001A66A4" w:rsidRDefault="001A66A4" w:rsidP="001224F6">
      <w:pPr>
        <w:spacing w:line="240" w:lineRule="auto"/>
      </w:pPr>
      <w:r>
        <w:separator/>
      </w:r>
    </w:p>
  </w:footnote>
  <w:footnote w:type="continuationSeparator" w:id="0">
    <w:p w14:paraId="708192B0" w14:textId="77777777" w:rsidR="001A66A4" w:rsidRDefault="001A66A4" w:rsidP="001224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542C"/>
    <w:rsid w:val="00026F42"/>
    <w:rsid w:val="000C0BB2"/>
    <w:rsid w:val="000C410A"/>
    <w:rsid w:val="001224F6"/>
    <w:rsid w:val="001457DB"/>
    <w:rsid w:val="00156607"/>
    <w:rsid w:val="00191913"/>
    <w:rsid w:val="0019509C"/>
    <w:rsid w:val="001A66A4"/>
    <w:rsid w:val="001D518D"/>
    <w:rsid w:val="00215D5C"/>
    <w:rsid w:val="00267C19"/>
    <w:rsid w:val="003770C3"/>
    <w:rsid w:val="00382169"/>
    <w:rsid w:val="00462219"/>
    <w:rsid w:val="0051238F"/>
    <w:rsid w:val="005355AF"/>
    <w:rsid w:val="00536355"/>
    <w:rsid w:val="00583B5A"/>
    <w:rsid w:val="0060100A"/>
    <w:rsid w:val="00615A3C"/>
    <w:rsid w:val="0065247F"/>
    <w:rsid w:val="006B1238"/>
    <w:rsid w:val="006F6F4E"/>
    <w:rsid w:val="007D542C"/>
    <w:rsid w:val="0082729C"/>
    <w:rsid w:val="00896082"/>
    <w:rsid w:val="00910E11"/>
    <w:rsid w:val="00962F2F"/>
    <w:rsid w:val="00964A3E"/>
    <w:rsid w:val="00980A95"/>
    <w:rsid w:val="009D2E4E"/>
    <w:rsid w:val="009E2481"/>
    <w:rsid w:val="00A52C39"/>
    <w:rsid w:val="00A71983"/>
    <w:rsid w:val="00A941C2"/>
    <w:rsid w:val="00AB5F47"/>
    <w:rsid w:val="00AF6C77"/>
    <w:rsid w:val="00B961AF"/>
    <w:rsid w:val="00CA3F8B"/>
    <w:rsid w:val="00CF25E2"/>
    <w:rsid w:val="00D57D6E"/>
    <w:rsid w:val="00D96119"/>
    <w:rsid w:val="00DD14A7"/>
    <w:rsid w:val="00DE506A"/>
    <w:rsid w:val="00E366BA"/>
    <w:rsid w:val="00E67F40"/>
    <w:rsid w:val="00E956CB"/>
    <w:rsid w:val="00EA0AF6"/>
    <w:rsid w:val="00F139D5"/>
    <w:rsid w:val="00F744E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FF762"/>
  <w15:docId w15:val="{E102BAA2-E337-469E-95B9-EDFE2573F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after="200"/>
      <w:outlineLvl w:val="1"/>
    </w:pPr>
    <w:rPr>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026F42"/>
    <w:pPr>
      <w:spacing w:after="100"/>
    </w:pPr>
    <w:rPr>
      <w:szCs w:val="30"/>
    </w:rPr>
  </w:style>
  <w:style w:type="paragraph" w:styleId="TOC2">
    <w:name w:val="toc 2"/>
    <w:basedOn w:val="Normal"/>
    <w:next w:val="Normal"/>
    <w:autoRedefine/>
    <w:uiPriority w:val="39"/>
    <w:unhideWhenUsed/>
    <w:rsid w:val="00026F42"/>
    <w:pPr>
      <w:spacing w:after="100"/>
      <w:ind w:left="240"/>
    </w:pPr>
    <w:rPr>
      <w:szCs w:val="30"/>
    </w:rPr>
  </w:style>
  <w:style w:type="paragraph" w:styleId="TOC3">
    <w:name w:val="toc 3"/>
    <w:basedOn w:val="Normal"/>
    <w:next w:val="Normal"/>
    <w:autoRedefine/>
    <w:uiPriority w:val="39"/>
    <w:unhideWhenUsed/>
    <w:rsid w:val="00026F42"/>
    <w:pPr>
      <w:spacing w:after="100"/>
      <w:ind w:left="480"/>
    </w:pPr>
    <w:rPr>
      <w:szCs w:val="30"/>
    </w:rPr>
  </w:style>
  <w:style w:type="character" w:styleId="Hyperlink">
    <w:name w:val="Hyperlink"/>
    <w:basedOn w:val="DefaultParagraphFont"/>
    <w:uiPriority w:val="99"/>
    <w:unhideWhenUsed/>
    <w:rsid w:val="00026F42"/>
    <w:rPr>
      <w:color w:val="0000FF" w:themeColor="hyperlink"/>
      <w:u w:val="single"/>
    </w:rPr>
  </w:style>
  <w:style w:type="paragraph" w:styleId="Header">
    <w:name w:val="header"/>
    <w:basedOn w:val="Normal"/>
    <w:link w:val="HeaderChar"/>
    <w:uiPriority w:val="99"/>
    <w:unhideWhenUsed/>
    <w:rsid w:val="001224F6"/>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1224F6"/>
    <w:rPr>
      <w:szCs w:val="30"/>
      <w:lang w:val="en-GB"/>
    </w:rPr>
  </w:style>
  <w:style w:type="paragraph" w:styleId="Footer">
    <w:name w:val="footer"/>
    <w:basedOn w:val="Normal"/>
    <w:link w:val="FooterChar"/>
    <w:uiPriority w:val="99"/>
    <w:unhideWhenUsed/>
    <w:rsid w:val="001224F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1224F6"/>
    <w:rPr>
      <w:szCs w:val="3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774549">
      <w:bodyDiv w:val="1"/>
      <w:marLeft w:val="0"/>
      <w:marRight w:val="0"/>
      <w:marTop w:val="0"/>
      <w:marBottom w:val="0"/>
      <w:divBdr>
        <w:top w:val="none" w:sz="0" w:space="0" w:color="auto"/>
        <w:left w:val="none" w:sz="0" w:space="0" w:color="auto"/>
        <w:bottom w:val="none" w:sz="0" w:space="0" w:color="auto"/>
        <w:right w:val="none" w:sz="0" w:space="0" w:color="auto"/>
      </w:divBdr>
    </w:div>
    <w:div w:id="692388122">
      <w:bodyDiv w:val="1"/>
      <w:marLeft w:val="0"/>
      <w:marRight w:val="0"/>
      <w:marTop w:val="0"/>
      <w:marBottom w:val="0"/>
      <w:divBdr>
        <w:top w:val="none" w:sz="0" w:space="0" w:color="auto"/>
        <w:left w:val="none" w:sz="0" w:space="0" w:color="auto"/>
        <w:bottom w:val="none" w:sz="0" w:space="0" w:color="auto"/>
        <w:right w:val="none" w:sz="0" w:space="0" w:color="auto"/>
      </w:divBdr>
    </w:div>
    <w:div w:id="1256014309">
      <w:bodyDiv w:val="1"/>
      <w:marLeft w:val="0"/>
      <w:marRight w:val="0"/>
      <w:marTop w:val="0"/>
      <w:marBottom w:val="0"/>
      <w:divBdr>
        <w:top w:val="none" w:sz="0" w:space="0" w:color="auto"/>
        <w:left w:val="none" w:sz="0" w:space="0" w:color="auto"/>
        <w:bottom w:val="none" w:sz="0" w:space="0" w:color="auto"/>
        <w:right w:val="none" w:sz="0" w:space="0" w:color="auto"/>
      </w:divBdr>
    </w:div>
    <w:div w:id="1540388396">
      <w:bodyDiv w:val="1"/>
      <w:marLeft w:val="0"/>
      <w:marRight w:val="0"/>
      <w:marTop w:val="0"/>
      <w:marBottom w:val="0"/>
      <w:divBdr>
        <w:top w:val="none" w:sz="0" w:space="0" w:color="auto"/>
        <w:left w:val="none" w:sz="0" w:space="0" w:color="auto"/>
        <w:bottom w:val="none" w:sz="0" w:space="0" w:color="auto"/>
        <w:right w:val="none" w:sz="0" w:space="0" w:color="auto"/>
      </w:divBdr>
    </w:div>
    <w:div w:id="15430585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1544612323009741" TargetMode="External"/><Relationship Id="rId21" Type="http://schemas.openxmlformats.org/officeDocument/2006/relationships/hyperlink" Target="https://www.academia.edu/download/106769993/cash-conversion-cycle-and-firms-performance.pdf" TargetMode="External"/><Relationship Id="rId34" Type="http://schemas.openxmlformats.org/officeDocument/2006/relationships/hyperlink" Target="https://www.emerald.com/jaar/article-pdf/26/6/205/9873185/jaar-12-2022-0325.pdf" TargetMode="External"/><Relationship Id="rId42" Type="http://schemas.openxmlformats.org/officeDocument/2006/relationships/hyperlink" Target="http://jurnal.universitasdarmaagung.ac.id/jurnaluda/article/download/2280/2041" TargetMode="External"/><Relationship Id="rId47" Type="http://schemas.openxmlformats.org/officeDocument/2006/relationships/hyperlink" Target="https://www.mdpi.com/2071-1050/12/4/1661" TargetMode="External"/><Relationship Id="rId50" Type="http://schemas.openxmlformats.org/officeDocument/2006/relationships/hyperlink" Target="https://www.tandfonline.com/doi/abs/10.1080/00036846.2022.2102128" TargetMode="External"/><Relationship Id="rId55" Type="http://schemas.openxmlformats.org/officeDocument/2006/relationships/chart" Target="charts/chart1.xml"/><Relationship Id="rId63" Type="http://schemas.openxmlformats.org/officeDocument/2006/relationships/image" Target="media/image18.emf"/><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atlantis-press.com/article/125971510.pdf" TargetMode="External"/><Relationship Id="rId11" Type="http://schemas.openxmlformats.org/officeDocument/2006/relationships/image" Target="media/image6.png"/><Relationship Id="rId24" Type="http://schemas.openxmlformats.org/officeDocument/2006/relationships/hyperlink" Target="https://academic.oup.com/rcfs/article-pdf/12/1/78/48710380/cfac029.pdf" TargetMode="External"/><Relationship Id="rId32" Type="http://schemas.openxmlformats.org/officeDocument/2006/relationships/hyperlink" Target="http://xiaohedyhuang.com/HOME_files/BDF.pdf" TargetMode="External"/><Relationship Id="rId37" Type="http://schemas.openxmlformats.org/officeDocument/2006/relationships/hyperlink" Target="https://scholar.archive.org/work/pvm7udmihraytoe2thn5ewuroi/access/wayback/https://ejournal.stei.ac.id/index.php/ijbam/article/download/218/138/" TargetMode="External"/><Relationship Id="rId40" Type="http://schemas.openxmlformats.org/officeDocument/2006/relationships/hyperlink" Target="https://www.atlantis-press.com/article/125975449.pdf" TargetMode="External"/><Relationship Id="rId45" Type="http://schemas.openxmlformats.org/officeDocument/2006/relationships/hyperlink" Target="http://revistagt.fpl.emnuvens.com.br/get/article/download/2845/1563" TargetMode="External"/><Relationship Id="rId53" Type="http://schemas.openxmlformats.org/officeDocument/2006/relationships/image" Target="media/image15.emf"/><Relationship Id="rId58" Type="http://schemas.openxmlformats.org/officeDocument/2006/relationships/chart" Target="charts/chart4.xml"/><Relationship Id="rId66"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chart" Target="charts/chart7.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hyperlink" Target="https://www.sciencedirect.com/science/article/pii/S1319016422002699" TargetMode="External"/><Relationship Id="rId27" Type="http://schemas.openxmlformats.org/officeDocument/2006/relationships/hyperlink" Target="https://www.researchgate.net/profile/Mario-Coccia/publication/369844594_Comparative_Evaluation_Systems/links/6436883120f25554da296c56/Comparative-Evaluation-Systems.pdf" TargetMode="External"/><Relationship Id="rId30" Type="http://schemas.openxmlformats.org/officeDocument/2006/relationships/hyperlink" Target="https://faculty.wharton.upenn.edu/wp-content/uploads/2016/11/Resource-and-Redeployment_Feldman-Sakhartov_2021.pdf" TargetMode="External"/><Relationship Id="rId35" Type="http://schemas.openxmlformats.org/officeDocument/2006/relationships/hyperlink" Target="https://link.springer.com/content/pdf/10.1186/s43093-021-00058-9.pdf" TargetMode="External"/><Relationship Id="rId43" Type="http://schemas.openxmlformats.org/officeDocument/2006/relationships/hyperlink" Target="https://www.researchgate.net/profile/Septa-Nabella/publication/371806850_The_Effect_of_Profitability_Liquidity_Leverage_and_Activity_Ratios_on_Dividend_Policy_in_Manufacturing_Companies_in_the_Food_and_Beverage_Industry_Sector_Listed_on_the_Indonesia_Stock_Exchange_in_the_/links/6495e2458de7ed28ba4eecd5/The-Effect-of-Profitability-Liquidity-Leverage-and-Activity-Ratios-on-Dividend-Policy-in-Manufacturing-Companies-in-the-Food-and-Beverage-Industry-Sector-Listed-on-the-Indonesia-Stock-Exchange-in-t.pdf" TargetMode="External"/><Relationship Id="rId48" Type="http://schemas.openxmlformats.org/officeDocument/2006/relationships/hyperlink" Target="https://journal.jnec.edu.bt/index.php/jaetm/article/download/55/26" TargetMode="External"/><Relationship Id="rId56" Type="http://schemas.openxmlformats.org/officeDocument/2006/relationships/chart" Target="charts/chart2.xml"/><Relationship Id="rId64" Type="http://schemas.openxmlformats.org/officeDocument/2006/relationships/image" Target="media/image19.emf"/><Relationship Id="rId8" Type="http://schemas.openxmlformats.org/officeDocument/2006/relationships/image" Target="media/image3.png"/><Relationship Id="rId51" Type="http://schemas.openxmlformats.org/officeDocument/2006/relationships/hyperlink" Target="https://www.francis-press.com/uploads/papers/9GMjGzMYvCQOZuwLnKRvHAlcwhUS6joBMehWjdnf.pdf"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repository.bilkent.edu.tr/server/api/core/bitstreams/c7c42daf-9f97-422b-9fd1-3e46ec6a93f2/content" TargetMode="External"/><Relationship Id="rId33" Type="http://schemas.openxmlformats.org/officeDocument/2006/relationships/hyperlink" Target="http://www.nlbaeai.org/static/upload/file/20240806/1722910655361171.pdf" TargetMode="External"/><Relationship Id="rId38" Type="http://schemas.openxmlformats.org/officeDocument/2006/relationships/hyperlink" Target="https://integrumpublication.org/index.php/ajste/article/download/101/103" TargetMode="External"/><Relationship Id="rId46" Type="http://schemas.openxmlformats.org/officeDocument/2006/relationships/hyperlink" Target="https://oiccpress.com/amc/article/download/17100/18761" TargetMode="External"/><Relationship Id="rId59" Type="http://schemas.openxmlformats.org/officeDocument/2006/relationships/chart" Target="charts/chart5.xml"/><Relationship Id="rId67" Type="http://schemas.openxmlformats.org/officeDocument/2006/relationships/theme" Target="theme/theme1.xml"/><Relationship Id="rId20" Type="http://schemas.openxmlformats.org/officeDocument/2006/relationships/hyperlink" Target="http://e-journal.uac.ac.id/index.php/iijse/article/download/2195/990" TargetMode="External"/><Relationship Id="rId41" Type="http://schemas.openxmlformats.org/officeDocument/2006/relationships/hyperlink" Target="https://www.ijsat.org/papers/2025/3/6874.pdf" TargetMode="External"/><Relationship Id="rId54" Type="http://schemas.openxmlformats.org/officeDocument/2006/relationships/image" Target="media/image16.emf"/><Relationship Id="rId62" Type="http://schemas.openxmlformats.org/officeDocument/2006/relationships/image" Target="media/image17.emf"/><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ibn.idsi.md/sites/default/files/imag_file/1632-Article%20Text-1383-1-10-20220917.pdf" TargetMode="External"/><Relationship Id="rId28" Type="http://schemas.openxmlformats.org/officeDocument/2006/relationships/hyperlink" Target="https://scholarworks.wmich.edu/cgi/viewcontent.cgi?article=4808&amp;context=honors_theses" TargetMode="External"/><Relationship Id="rId36" Type="http://schemas.openxmlformats.org/officeDocument/2006/relationships/hyperlink" Target="http://41.89.128.53/index.php/tummj/article/download/86/104" TargetMode="External"/><Relationship Id="rId49" Type="http://schemas.openxmlformats.org/officeDocument/2006/relationships/hyperlink" Target="https://www.jstage.jst.go.jp/article/jamsjsaam/31/0/31_3/_pdf" TargetMode="External"/><Relationship Id="rId57" Type="http://schemas.openxmlformats.org/officeDocument/2006/relationships/chart" Target="charts/chart3.xml"/><Relationship Id="rId10" Type="http://schemas.openxmlformats.org/officeDocument/2006/relationships/image" Target="media/image5.png"/><Relationship Id="rId31" Type="http://schemas.openxmlformats.org/officeDocument/2006/relationships/hyperlink" Target="https://www.mdpi.com/2227-7072/10/3/55" TargetMode="External"/><Relationship Id="rId44" Type="http://schemas.openxmlformats.org/officeDocument/2006/relationships/hyperlink" Target="https://www.tandfonline.com/doi/pdf/10.1080/13691066.2022.2063092" TargetMode="External"/><Relationship Id="rId52" Type="http://schemas.openxmlformats.org/officeDocument/2006/relationships/hyperlink" Target="https://www.sciencedirect.com/science/article/pii/S0148296323001510" TargetMode="External"/><Relationship Id="rId60" Type="http://schemas.openxmlformats.org/officeDocument/2006/relationships/chart" Target="charts/chart6.xml"/><Relationship Id="rId65"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stratfordjournalpublishers.org/journals/index.php/journal-of-accounting/article/download/1996/2554"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utta\OneDrive\Documents\WORD%20CREATION\2026\April\22%20April\Task%20268.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'[Task 268.xlsx]Ratios'!$H$4:$I$4</c:f>
              <c:strCache>
                <c:ptCount val="2"/>
                <c:pt idx="0">
                  <c:v>Gross Profit Ratio</c:v>
                </c:pt>
                <c:pt idx="1">
                  <c:v>(Gross Profit / Revenue) × 100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268.xlsx]Ratios'!$J$3:$N$3</c:f>
              <c:numCache>
                <c:formatCode>General</c:formatCode>
                <c:ptCount val="5"/>
                <c:pt idx="0">
                  <c:v>2025</c:v>
                </c:pt>
                <c:pt idx="1">
                  <c:v>2024</c:v>
                </c:pt>
                <c:pt idx="2">
                  <c:v>2023</c:v>
                </c:pt>
                <c:pt idx="3">
                  <c:v>2022</c:v>
                </c:pt>
                <c:pt idx="4">
                  <c:v>2021</c:v>
                </c:pt>
              </c:numCache>
            </c:numRef>
          </c:cat>
          <c:val>
            <c:numRef>
              <c:f>'[Task 268.xlsx]Ratios'!$J$4:$N$4</c:f>
              <c:numCache>
                <c:formatCode>0.0%</c:formatCode>
                <c:ptCount val="5"/>
                <c:pt idx="0">
                  <c:v>0.17744529233573883</c:v>
                </c:pt>
                <c:pt idx="1">
                  <c:v>0.1943834278582996</c:v>
                </c:pt>
                <c:pt idx="2">
                  <c:v>0.18581032055178193</c:v>
                </c:pt>
                <c:pt idx="3">
                  <c:v>0.170364681456462</c:v>
                </c:pt>
                <c:pt idx="4">
                  <c:v>0.13021372322630181</c:v>
                </c:pt>
              </c:numCache>
            </c:numRef>
          </c:val>
          <c:extLst>
            <c:ext xmlns:c16="http://schemas.microsoft.com/office/drawing/2014/chart" uri="{C3380CC4-5D6E-409C-BE32-E72D297353CC}">
              <c16:uniqueId val="{00000000-EDCA-4B36-BC24-5C5C45E1F46B}"/>
            </c:ext>
          </c:extLst>
        </c:ser>
        <c:ser>
          <c:idx val="1"/>
          <c:order val="1"/>
          <c:tx>
            <c:strRef>
              <c:f>'[Task 268.xlsx]Ratios'!$H$5:$I$5</c:f>
              <c:strCache>
                <c:ptCount val="2"/>
                <c:pt idx="0">
                  <c:v>Net Profit Ratio</c:v>
                </c:pt>
                <c:pt idx="1">
                  <c:v>(Net Profit / Revenue) × 100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268.xlsx]Ratios'!$J$3:$N$3</c:f>
              <c:numCache>
                <c:formatCode>General</c:formatCode>
                <c:ptCount val="5"/>
                <c:pt idx="0">
                  <c:v>2025</c:v>
                </c:pt>
                <c:pt idx="1">
                  <c:v>2024</c:v>
                </c:pt>
                <c:pt idx="2">
                  <c:v>2023</c:v>
                </c:pt>
                <c:pt idx="3">
                  <c:v>2022</c:v>
                </c:pt>
                <c:pt idx="4">
                  <c:v>2021</c:v>
                </c:pt>
              </c:numCache>
            </c:numRef>
          </c:cat>
          <c:val>
            <c:numRef>
              <c:f>'[Task 268.xlsx]Ratios'!$J$5:$N$5</c:f>
              <c:numCache>
                <c:formatCode>0.0%</c:formatCode>
                <c:ptCount val="5"/>
                <c:pt idx="0">
                  <c:v>4.1992822776736001E-2</c:v>
                </c:pt>
                <c:pt idx="1">
                  <c:v>5.3516675610039088E-2</c:v>
                </c:pt>
                <c:pt idx="2">
                  <c:v>5.2039300993811294E-2</c:v>
                </c:pt>
                <c:pt idx="3">
                  <c:v>4.1770215242921571E-2</c:v>
                </c:pt>
                <c:pt idx="4">
                  <c:v>1.8354872027766696E-2</c:v>
                </c:pt>
              </c:numCache>
            </c:numRef>
          </c:val>
          <c:extLst>
            <c:ext xmlns:c16="http://schemas.microsoft.com/office/drawing/2014/chart" uri="{C3380CC4-5D6E-409C-BE32-E72D297353CC}">
              <c16:uniqueId val="{00000001-EDCA-4B36-BC24-5C5C45E1F46B}"/>
            </c:ext>
          </c:extLst>
        </c:ser>
        <c:ser>
          <c:idx val="2"/>
          <c:order val="2"/>
          <c:tx>
            <c:strRef>
              <c:f>'[Task 268.xlsx]Ratios'!$H$6:$I$6</c:f>
              <c:strCache>
                <c:ptCount val="2"/>
                <c:pt idx="0">
                  <c:v>ROA</c:v>
                </c:pt>
                <c:pt idx="1">
                  <c:v>(Net Profit / Total Assets) × 100</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268.xlsx]Ratios'!$J$3:$N$3</c:f>
              <c:numCache>
                <c:formatCode>General</c:formatCode>
                <c:ptCount val="5"/>
                <c:pt idx="0">
                  <c:v>2025</c:v>
                </c:pt>
                <c:pt idx="1">
                  <c:v>2024</c:v>
                </c:pt>
                <c:pt idx="2">
                  <c:v>2023</c:v>
                </c:pt>
                <c:pt idx="3">
                  <c:v>2022</c:v>
                </c:pt>
                <c:pt idx="4">
                  <c:v>2021</c:v>
                </c:pt>
              </c:numCache>
            </c:numRef>
          </c:cat>
          <c:val>
            <c:numRef>
              <c:f>'[Task 268.xlsx]Ratios'!$J$6:$N$6</c:f>
              <c:numCache>
                <c:formatCode>0.0%</c:formatCode>
                <c:ptCount val="5"/>
                <c:pt idx="0">
                  <c:v>3.8202575978750736E-2</c:v>
                </c:pt>
                <c:pt idx="1">
                  <c:v>5.3089460855564805E-2</c:v>
                </c:pt>
                <c:pt idx="2">
                  <c:v>4.6124902466371492E-2</c:v>
                </c:pt>
                <c:pt idx="3">
                  <c:v>3.5866603551966358E-2</c:v>
                </c:pt>
                <c:pt idx="4">
                  <c:v>1.3412888052963203E-2</c:v>
                </c:pt>
              </c:numCache>
            </c:numRef>
          </c:val>
          <c:extLst>
            <c:ext xmlns:c16="http://schemas.microsoft.com/office/drawing/2014/chart" uri="{C3380CC4-5D6E-409C-BE32-E72D297353CC}">
              <c16:uniqueId val="{00000002-EDCA-4B36-BC24-5C5C45E1F46B}"/>
            </c:ext>
          </c:extLst>
        </c:ser>
        <c:ser>
          <c:idx val="3"/>
          <c:order val="3"/>
          <c:tx>
            <c:strRef>
              <c:f>'[Task 268.xlsx]Ratios'!$H$7:$I$7</c:f>
              <c:strCache>
                <c:ptCount val="2"/>
                <c:pt idx="0">
                  <c:v>ROE</c:v>
                </c:pt>
                <c:pt idx="1">
                  <c:v>(Net Profit / Equity) × 100</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268.xlsx]Ratios'!$J$3:$N$3</c:f>
              <c:numCache>
                <c:formatCode>General</c:formatCode>
                <c:ptCount val="5"/>
                <c:pt idx="0">
                  <c:v>2025</c:v>
                </c:pt>
                <c:pt idx="1">
                  <c:v>2024</c:v>
                </c:pt>
                <c:pt idx="2">
                  <c:v>2023</c:v>
                </c:pt>
                <c:pt idx="3">
                  <c:v>2022</c:v>
                </c:pt>
                <c:pt idx="4">
                  <c:v>2021</c:v>
                </c:pt>
              </c:numCache>
            </c:numRef>
          </c:cat>
          <c:val>
            <c:numRef>
              <c:f>'[Task 268.xlsx]Ratios'!$J$7:$N$7</c:f>
              <c:numCache>
                <c:formatCode>0.0%</c:formatCode>
                <c:ptCount val="5"/>
                <c:pt idx="0">
                  <c:v>3.8202575978750736E-2</c:v>
                </c:pt>
                <c:pt idx="1">
                  <c:v>0.20931257173897017</c:v>
                </c:pt>
                <c:pt idx="2">
                  <c:v>0.20831868817367996</c:v>
                </c:pt>
                <c:pt idx="3">
                  <c:v>0.14591916784598696</c:v>
                </c:pt>
                <c:pt idx="4">
                  <c:v>3.8057423410445754E-2</c:v>
                </c:pt>
              </c:numCache>
            </c:numRef>
          </c:val>
          <c:extLst>
            <c:ext xmlns:c16="http://schemas.microsoft.com/office/drawing/2014/chart" uri="{C3380CC4-5D6E-409C-BE32-E72D297353CC}">
              <c16:uniqueId val="{00000003-EDCA-4B36-BC24-5C5C45E1F46B}"/>
            </c:ext>
          </c:extLst>
        </c:ser>
        <c:dLbls>
          <c:dLblPos val="outEnd"/>
          <c:showLegendKey val="0"/>
          <c:showVal val="1"/>
          <c:showCatName val="0"/>
          <c:showSerName val="0"/>
          <c:showPercent val="0"/>
          <c:showBubbleSize val="0"/>
        </c:dLbls>
        <c:gapWidth val="219"/>
        <c:overlap val="-27"/>
        <c:axId val="1169677264"/>
        <c:axId val="1169690160"/>
      </c:barChart>
      <c:catAx>
        <c:axId val="1169677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690160"/>
        <c:crosses val="autoZero"/>
        <c:auto val="1"/>
        <c:lblAlgn val="ctr"/>
        <c:lblOffset val="100"/>
        <c:noMultiLvlLbl val="0"/>
      </c:catAx>
      <c:valAx>
        <c:axId val="116969016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67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Liquidity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'[Task 268.xlsx]Ratios'!$H$13:$I$13</c:f>
              <c:strCache>
                <c:ptCount val="2"/>
                <c:pt idx="0">
                  <c:v>Current Ratio</c:v>
                </c:pt>
                <c:pt idx="1">
                  <c:v>Current Assets / Current Liabilities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268.xlsx]Ratios'!$J$11:$N$12</c:f>
              <c:strCache>
                <c:ptCount val="5"/>
                <c:pt idx="0">
                  <c:v>2025</c:v>
                </c:pt>
                <c:pt idx="1">
                  <c:v>2024</c:v>
                </c:pt>
                <c:pt idx="2">
                  <c:v>2023</c:v>
                </c:pt>
                <c:pt idx="3">
                  <c:v>2022</c:v>
                </c:pt>
                <c:pt idx="4">
                  <c:v>2021</c:v>
                </c:pt>
              </c:strCache>
            </c:strRef>
          </c:cat>
          <c:val>
            <c:numRef>
              <c:f>'[Task 268.xlsx]Ratios'!$J$13:$N$13</c:f>
              <c:numCache>
                <c:formatCode>0.00</c:formatCode>
                <c:ptCount val="5"/>
                <c:pt idx="0">
                  <c:v>0.79296932851023849</c:v>
                </c:pt>
                <c:pt idx="1">
                  <c:v>0.74714378963616446</c:v>
                </c:pt>
                <c:pt idx="2">
                  <c:v>0.66595468724657536</c:v>
                </c:pt>
                <c:pt idx="3">
                  <c:v>0.72238618886600048</c:v>
                </c:pt>
                <c:pt idx="4">
                  <c:v>0.96968105416183525</c:v>
                </c:pt>
              </c:numCache>
            </c:numRef>
          </c:val>
          <c:extLst>
            <c:ext xmlns:c16="http://schemas.microsoft.com/office/drawing/2014/chart" uri="{C3380CC4-5D6E-409C-BE32-E72D297353CC}">
              <c16:uniqueId val="{00000000-BFAD-4759-A073-9CB86F53FEF9}"/>
            </c:ext>
          </c:extLst>
        </c:ser>
        <c:ser>
          <c:idx val="1"/>
          <c:order val="1"/>
          <c:tx>
            <c:strRef>
              <c:f>'[Task 268.xlsx]Ratios'!$H$14:$I$14</c:f>
              <c:strCache>
                <c:ptCount val="2"/>
                <c:pt idx="0">
                  <c:v>Quick Ratio</c:v>
                </c:pt>
                <c:pt idx="1">
                  <c:v>(CA − Inventory) / CL</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268.xlsx]Ratios'!$J$11:$N$12</c:f>
              <c:strCache>
                <c:ptCount val="5"/>
                <c:pt idx="0">
                  <c:v>2025</c:v>
                </c:pt>
                <c:pt idx="1">
                  <c:v>2024</c:v>
                </c:pt>
                <c:pt idx="2">
                  <c:v>2023</c:v>
                </c:pt>
                <c:pt idx="3">
                  <c:v>2022</c:v>
                </c:pt>
                <c:pt idx="4">
                  <c:v>2021</c:v>
                </c:pt>
              </c:strCache>
            </c:strRef>
          </c:cat>
          <c:val>
            <c:numRef>
              <c:f>'[Task 268.xlsx]Ratios'!$J$14:$N$14</c:f>
              <c:numCache>
                <c:formatCode>0.00</c:formatCode>
                <c:ptCount val="5"/>
                <c:pt idx="0">
                  <c:v>0.49748383587241907</c:v>
                </c:pt>
                <c:pt idx="1">
                  <c:v>0.51319277130976193</c:v>
                </c:pt>
                <c:pt idx="2">
                  <c:v>0.47269220268552636</c:v>
                </c:pt>
                <c:pt idx="3">
                  <c:v>0.48507258530010933</c:v>
                </c:pt>
                <c:pt idx="4">
                  <c:v>0.71659416668188325</c:v>
                </c:pt>
              </c:numCache>
            </c:numRef>
          </c:val>
          <c:extLst>
            <c:ext xmlns:c16="http://schemas.microsoft.com/office/drawing/2014/chart" uri="{C3380CC4-5D6E-409C-BE32-E72D297353CC}">
              <c16:uniqueId val="{00000001-BFAD-4759-A073-9CB86F53FEF9}"/>
            </c:ext>
          </c:extLst>
        </c:ser>
        <c:dLbls>
          <c:dLblPos val="outEnd"/>
          <c:showLegendKey val="0"/>
          <c:showVal val="1"/>
          <c:showCatName val="0"/>
          <c:showSerName val="0"/>
          <c:showPercent val="0"/>
          <c:showBubbleSize val="0"/>
        </c:dLbls>
        <c:gapWidth val="219"/>
        <c:overlap val="-27"/>
        <c:axId val="1172685520"/>
        <c:axId val="1172690928"/>
      </c:barChart>
      <c:catAx>
        <c:axId val="1172685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2690928"/>
        <c:crosses val="autoZero"/>
        <c:auto val="1"/>
        <c:lblAlgn val="ctr"/>
        <c:lblOffset val="100"/>
        <c:noMultiLvlLbl val="0"/>
      </c:catAx>
      <c:valAx>
        <c:axId val="11726909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26855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'[Task 268.xlsx]Ratios'!$H$21:$I$21</c:f>
              <c:strCache>
                <c:ptCount val="2"/>
                <c:pt idx="0">
                  <c:v>Trade Receivables Ratio</c:v>
                </c:pt>
                <c:pt idx="1">
                  <c:v>(Trade Receivable/Revenue) x 365</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268.xlsx]Ratios'!$J$19:$N$20</c:f>
              <c:strCache>
                <c:ptCount val="5"/>
                <c:pt idx="0">
                  <c:v>2025</c:v>
                </c:pt>
                <c:pt idx="1">
                  <c:v>2024</c:v>
                </c:pt>
                <c:pt idx="2">
                  <c:v>2023</c:v>
                </c:pt>
                <c:pt idx="3">
                  <c:v>2022</c:v>
                </c:pt>
                <c:pt idx="4">
                  <c:v>2021</c:v>
                </c:pt>
              </c:strCache>
            </c:strRef>
          </c:cat>
          <c:val>
            <c:numRef>
              <c:f>'[Task 268.xlsx]Ratios'!$J$21:$N$21</c:f>
              <c:numCache>
                <c:formatCode>0.0</c:formatCode>
                <c:ptCount val="5"/>
                <c:pt idx="0">
                  <c:v>16.800122804606119</c:v>
                </c:pt>
                <c:pt idx="1">
                  <c:v>29.261431969096019</c:v>
                </c:pt>
                <c:pt idx="2">
                  <c:v>37.490488636954119</c:v>
                </c:pt>
                <c:pt idx="3">
                  <c:v>33.420693033674304</c:v>
                </c:pt>
                <c:pt idx="4">
                  <c:v>61.217593151958923</c:v>
                </c:pt>
              </c:numCache>
            </c:numRef>
          </c:val>
          <c:extLst>
            <c:ext xmlns:c16="http://schemas.microsoft.com/office/drawing/2014/chart" uri="{C3380CC4-5D6E-409C-BE32-E72D297353CC}">
              <c16:uniqueId val="{00000000-43AA-4CD4-B498-0E13717D1988}"/>
            </c:ext>
          </c:extLst>
        </c:ser>
        <c:ser>
          <c:idx val="1"/>
          <c:order val="1"/>
          <c:tx>
            <c:strRef>
              <c:f>'[Task 268.xlsx]Ratios'!$H$22:$I$22</c:f>
              <c:strCache>
                <c:ptCount val="2"/>
                <c:pt idx="0">
                  <c:v>Inventory Turnover Ratio</c:v>
                </c:pt>
                <c:pt idx="1">
                  <c:v>(Inventories/Cost of Sales) x 365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268.xlsx]Ratios'!$J$19:$N$20</c:f>
              <c:strCache>
                <c:ptCount val="5"/>
                <c:pt idx="0">
                  <c:v>2025</c:v>
                </c:pt>
                <c:pt idx="1">
                  <c:v>2024</c:v>
                </c:pt>
                <c:pt idx="2">
                  <c:v>2023</c:v>
                </c:pt>
                <c:pt idx="3">
                  <c:v>2022</c:v>
                </c:pt>
                <c:pt idx="4">
                  <c:v>2021</c:v>
                </c:pt>
              </c:strCache>
            </c:strRef>
          </c:cat>
          <c:val>
            <c:numRef>
              <c:f>'[Task 268.xlsx]Ratios'!$J$22:$N$22</c:f>
              <c:numCache>
                <c:formatCode>0.0</c:formatCode>
                <c:ptCount val="5"/>
                <c:pt idx="0">
                  <c:v>76.399693635537801</c:v>
                </c:pt>
                <c:pt idx="1">
                  <c:v>67.651873554732219</c:v>
                </c:pt>
                <c:pt idx="2">
                  <c:v>65.257100053508481</c:v>
                </c:pt>
                <c:pt idx="3">
                  <c:v>4779.4536435269019</c:v>
                </c:pt>
                <c:pt idx="4">
                  <c:v>2121.5386720232586</c:v>
                </c:pt>
              </c:numCache>
            </c:numRef>
          </c:val>
          <c:extLst>
            <c:ext xmlns:c16="http://schemas.microsoft.com/office/drawing/2014/chart" uri="{C3380CC4-5D6E-409C-BE32-E72D297353CC}">
              <c16:uniqueId val="{00000001-43AA-4CD4-B498-0E13717D1988}"/>
            </c:ext>
          </c:extLst>
        </c:ser>
        <c:ser>
          <c:idx val="2"/>
          <c:order val="2"/>
          <c:tx>
            <c:strRef>
              <c:f>'[Task 268.xlsx]Ratios'!$H$23:$I$23</c:f>
              <c:strCache>
                <c:ptCount val="2"/>
                <c:pt idx="0">
                  <c:v>Total Asset Turnover</c:v>
                </c:pt>
                <c:pt idx="1">
                  <c:v>Revenue / Total Assets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268.xlsx]Ratios'!$J$19:$N$20</c:f>
              <c:strCache>
                <c:ptCount val="5"/>
                <c:pt idx="0">
                  <c:v>2025</c:v>
                </c:pt>
                <c:pt idx="1">
                  <c:v>2024</c:v>
                </c:pt>
                <c:pt idx="2">
                  <c:v>2023</c:v>
                </c:pt>
                <c:pt idx="3">
                  <c:v>2022</c:v>
                </c:pt>
                <c:pt idx="4">
                  <c:v>2021</c:v>
                </c:pt>
              </c:strCache>
            </c:strRef>
          </c:cat>
          <c:val>
            <c:numRef>
              <c:f>'[Task 268.xlsx]Ratios'!$J$23:$N$23</c:f>
              <c:numCache>
                <c:formatCode>0.0</c:formatCode>
                <c:ptCount val="5"/>
                <c:pt idx="0">
                  <c:v>0.90974060452813721</c:v>
                </c:pt>
                <c:pt idx="1">
                  <c:v>0.99201716568519172</c:v>
                </c:pt>
                <c:pt idx="2">
                  <c:v>0.88634746404177944</c:v>
                </c:pt>
                <c:pt idx="3">
                  <c:v>0.85866456141961955</c:v>
                </c:pt>
                <c:pt idx="4">
                  <c:v>0.73075355865584857</c:v>
                </c:pt>
              </c:numCache>
            </c:numRef>
          </c:val>
          <c:extLst>
            <c:ext xmlns:c16="http://schemas.microsoft.com/office/drawing/2014/chart" uri="{C3380CC4-5D6E-409C-BE32-E72D297353CC}">
              <c16:uniqueId val="{00000002-43AA-4CD4-B498-0E13717D1988}"/>
            </c:ext>
          </c:extLst>
        </c:ser>
        <c:ser>
          <c:idx val="3"/>
          <c:order val="3"/>
          <c:tx>
            <c:strRef>
              <c:f>'[Task 268.xlsx]Ratios'!$H$24:$I$24</c:f>
              <c:strCache>
                <c:ptCount val="2"/>
                <c:pt idx="0">
                  <c:v>Trade Payable Ratio</c:v>
                </c:pt>
                <c:pt idx="1">
                  <c:v>(Trade Payable Days/Cost of Sales) x 365</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268.xlsx]Ratios'!$J$19:$N$20</c:f>
              <c:strCache>
                <c:ptCount val="5"/>
                <c:pt idx="0">
                  <c:v>2025</c:v>
                </c:pt>
                <c:pt idx="1">
                  <c:v>2024</c:v>
                </c:pt>
                <c:pt idx="2">
                  <c:v>2023</c:v>
                </c:pt>
                <c:pt idx="3">
                  <c:v>2022</c:v>
                </c:pt>
                <c:pt idx="4">
                  <c:v>2021</c:v>
                </c:pt>
              </c:strCache>
            </c:strRef>
          </c:cat>
          <c:val>
            <c:numRef>
              <c:f>'[Task 268.xlsx]Ratios'!$J$24:$N$24</c:f>
              <c:numCache>
                <c:formatCode>0.0</c:formatCode>
                <c:ptCount val="5"/>
                <c:pt idx="0">
                  <c:v>103.07036886258324</c:v>
                </c:pt>
                <c:pt idx="1">
                  <c:v>140.88383757033196</c:v>
                </c:pt>
                <c:pt idx="2">
                  <c:v>144.71255276660514</c:v>
                </c:pt>
                <c:pt idx="3">
                  <c:v>8484.8613204800367</c:v>
                </c:pt>
                <c:pt idx="4">
                  <c:v>3580.0462228637166</c:v>
                </c:pt>
              </c:numCache>
            </c:numRef>
          </c:val>
          <c:extLst>
            <c:ext xmlns:c16="http://schemas.microsoft.com/office/drawing/2014/chart" uri="{C3380CC4-5D6E-409C-BE32-E72D297353CC}">
              <c16:uniqueId val="{00000003-43AA-4CD4-B498-0E13717D1988}"/>
            </c:ext>
          </c:extLst>
        </c:ser>
        <c:dLbls>
          <c:dLblPos val="outEnd"/>
          <c:showLegendKey val="0"/>
          <c:showVal val="1"/>
          <c:showCatName val="0"/>
          <c:showSerName val="0"/>
          <c:showPercent val="0"/>
          <c:showBubbleSize val="0"/>
        </c:dLbls>
        <c:gapWidth val="219"/>
        <c:overlap val="-27"/>
        <c:axId val="1169691408"/>
        <c:axId val="1169688912"/>
      </c:barChart>
      <c:catAx>
        <c:axId val="11696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688912"/>
        <c:crosses val="autoZero"/>
        <c:auto val="1"/>
        <c:lblAlgn val="ctr"/>
        <c:lblOffset val="100"/>
        <c:noMultiLvlLbl val="0"/>
      </c:catAx>
      <c:valAx>
        <c:axId val="1169688912"/>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691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Gearing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268.xlsx]Ratios'!$H$28:$I$28</c:f>
              <c:strCache>
                <c:ptCount val="2"/>
                <c:pt idx="0">
                  <c:v>Gearing Ratio</c:v>
                </c:pt>
                <c:pt idx="1">
                  <c:v>Total Debts/ Total Assets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268.xlsx]Ratios'!$J$27:$N$27</c:f>
              <c:numCache>
                <c:formatCode>General</c:formatCode>
                <c:ptCount val="5"/>
                <c:pt idx="0">
                  <c:v>2025</c:v>
                </c:pt>
                <c:pt idx="1">
                  <c:v>2024</c:v>
                </c:pt>
                <c:pt idx="2">
                  <c:v>2023</c:v>
                </c:pt>
                <c:pt idx="3">
                  <c:v>2022</c:v>
                </c:pt>
                <c:pt idx="4">
                  <c:v>2021</c:v>
                </c:pt>
              </c:numCache>
            </c:numRef>
          </c:cat>
          <c:val>
            <c:numRef>
              <c:f>'[Task 268.xlsx]Ratios'!$J$28:$N$28</c:f>
              <c:numCache>
                <c:formatCode>0.0%</c:formatCode>
                <c:ptCount val="5"/>
                <c:pt idx="0">
                  <c:v>6.8692447961500022E-2</c:v>
                </c:pt>
                <c:pt idx="1">
                  <c:v>1.0541551387268306E-2</c:v>
                </c:pt>
                <c:pt idx="2">
                  <c:v>1.762222067511467E-2</c:v>
                </c:pt>
                <c:pt idx="3">
                  <c:v>1.5375989282612326E-2</c:v>
                </c:pt>
                <c:pt idx="4">
                  <c:v>2.9560871778185976E-2</c:v>
                </c:pt>
              </c:numCache>
            </c:numRef>
          </c:val>
          <c:smooth val="0"/>
          <c:extLst>
            <c:ext xmlns:c16="http://schemas.microsoft.com/office/drawing/2014/chart" uri="{C3380CC4-5D6E-409C-BE32-E72D297353CC}">
              <c16:uniqueId val="{00000000-6330-4889-95DF-E1E9404FACE8}"/>
            </c:ext>
          </c:extLst>
        </c:ser>
        <c:ser>
          <c:idx val="1"/>
          <c:order val="1"/>
          <c:tx>
            <c:strRef>
              <c:f>'[Task 268.xlsx]Ratios'!$H$29:$I$29</c:f>
              <c:strCache>
                <c:ptCount val="2"/>
                <c:pt idx="0">
                  <c:v>Debt-Equity Ratio</c:v>
                </c:pt>
                <c:pt idx="1">
                  <c:v>Total Debt / Equity</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268.xlsx]Ratios'!$J$27:$N$27</c:f>
              <c:numCache>
                <c:formatCode>General</c:formatCode>
                <c:ptCount val="5"/>
                <c:pt idx="0">
                  <c:v>2025</c:v>
                </c:pt>
                <c:pt idx="1">
                  <c:v>2024</c:v>
                </c:pt>
                <c:pt idx="2">
                  <c:v>2023</c:v>
                </c:pt>
                <c:pt idx="3">
                  <c:v>2022</c:v>
                </c:pt>
                <c:pt idx="4">
                  <c:v>2021</c:v>
                </c:pt>
              </c:numCache>
            </c:numRef>
          </c:cat>
          <c:val>
            <c:numRef>
              <c:f>'[Task 268.xlsx]Ratios'!$J$29:$N$29</c:f>
              <c:numCache>
                <c:formatCode>0.00</c:formatCode>
                <c:ptCount val="5"/>
                <c:pt idx="0">
                  <c:v>6.8692447961500022E-2</c:v>
                </c:pt>
                <c:pt idx="1">
                  <c:v>4.156153020635462E-2</c:v>
                </c:pt>
                <c:pt idx="2">
                  <c:v>7.9589065720484728E-2</c:v>
                </c:pt>
                <c:pt idx="3">
                  <c:v>6.2555450997104481E-2</c:v>
                </c:pt>
                <c:pt idx="4">
                  <c:v>8.3875345056337855E-2</c:v>
                </c:pt>
              </c:numCache>
            </c:numRef>
          </c:val>
          <c:smooth val="0"/>
          <c:extLst>
            <c:ext xmlns:c16="http://schemas.microsoft.com/office/drawing/2014/chart" uri="{C3380CC4-5D6E-409C-BE32-E72D297353CC}">
              <c16:uniqueId val="{00000001-6330-4889-95DF-E1E9404FACE8}"/>
            </c:ext>
          </c:extLst>
        </c:ser>
        <c:dLbls>
          <c:dLblPos val="t"/>
          <c:showLegendKey val="0"/>
          <c:showVal val="1"/>
          <c:showCatName val="0"/>
          <c:showSerName val="0"/>
          <c:showPercent val="0"/>
          <c:showBubbleSize val="0"/>
        </c:dLbls>
        <c:smooth val="0"/>
        <c:axId val="1124223872"/>
        <c:axId val="1124224288"/>
      </c:lineChart>
      <c:catAx>
        <c:axId val="1124223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224288"/>
        <c:crosses val="autoZero"/>
        <c:auto val="1"/>
        <c:lblAlgn val="ctr"/>
        <c:lblOffset val="100"/>
        <c:noMultiLvlLbl val="0"/>
      </c:catAx>
      <c:valAx>
        <c:axId val="112422428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223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Investment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'[Task 268.xlsx]Ratios'!$H$34:$I$34</c:f>
              <c:strCache>
                <c:ptCount val="2"/>
                <c:pt idx="0">
                  <c:v>EPS</c:v>
                </c:pt>
                <c:pt idx="1">
                  <c:v>Profit / No. of shares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268.xlsx]Ratios'!$J$33:$N$33</c:f>
              <c:numCache>
                <c:formatCode>General</c:formatCode>
                <c:ptCount val="5"/>
                <c:pt idx="0">
                  <c:v>2025</c:v>
                </c:pt>
                <c:pt idx="1">
                  <c:v>2024</c:v>
                </c:pt>
                <c:pt idx="2">
                  <c:v>2023</c:v>
                </c:pt>
                <c:pt idx="3">
                  <c:v>2022</c:v>
                </c:pt>
                <c:pt idx="4">
                  <c:v>2021</c:v>
                </c:pt>
              </c:numCache>
            </c:numRef>
          </c:cat>
          <c:val>
            <c:numRef>
              <c:f>'[Task 268.xlsx]Ratios'!$J$34:$N$34</c:f>
              <c:numCache>
                <c:formatCode>0.0</c:formatCode>
                <c:ptCount val="5"/>
                <c:pt idx="0">
                  <c:v>3.58</c:v>
                </c:pt>
                <c:pt idx="1">
                  <c:v>13.84</c:v>
                </c:pt>
                <c:pt idx="2">
                  <c:v>10.32</c:v>
                </c:pt>
                <c:pt idx="3">
                  <c:v>5.71</c:v>
                </c:pt>
                <c:pt idx="4">
                  <c:v>1.06</c:v>
                </c:pt>
              </c:numCache>
            </c:numRef>
          </c:val>
          <c:extLst>
            <c:ext xmlns:c16="http://schemas.microsoft.com/office/drawing/2014/chart" uri="{C3380CC4-5D6E-409C-BE32-E72D297353CC}">
              <c16:uniqueId val="{00000000-F56A-4B1C-9985-453599BF55C2}"/>
            </c:ext>
          </c:extLst>
        </c:ser>
        <c:ser>
          <c:idx val="1"/>
          <c:order val="1"/>
          <c:tx>
            <c:strRef>
              <c:f>'[Task 268.xlsx]Ratios'!$H$35:$I$35</c:f>
              <c:strCache>
                <c:ptCount val="2"/>
                <c:pt idx="0">
                  <c:v>Dividend per Share</c:v>
                </c:pt>
                <c:pt idx="1">
                  <c:v>Dividend / Shares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268.xlsx]Ratios'!$J$33:$N$33</c:f>
              <c:numCache>
                <c:formatCode>General</c:formatCode>
                <c:ptCount val="5"/>
                <c:pt idx="0">
                  <c:v>2025</c:v>
                </c:pt>
                <c:pt idx="1">
                  <c:v>2024</c:v>
                </c:pt>
                <c:pt idx="2">
                  <c:v>2023</c:v>
                </c:pt>
                <c:pt idx="3">
                  <c:v>2022</c:v>
                </c:pt>
                <c:pt idx="4">
                  <c:v>2021</c:v>
                </c:pt>
              </c:numCache>
            </c:numRef>
          </c:cat>
          <c:val>
            <c:numRef>
              <c:f>'[Task 268.xlsx]Ratios'!$J$35:$N$35</c:f>
              <c:numCache>
                <c:formatCode>0.0</c:formatCode>
                <c:ptCount val="5"/>
                <c:pt idx="0">
                  <c:v>0.35799999999999998</c:v>
                </c:pt>
                <c:pt idx="1">
                  <c:v>3.9740000000000002</c:v>
                </c:pt>
                <c:pt idx="2">
                  <c:v>3.0960000000000001</c:v>
                </c:pt>
                <c:pt idx="3">
                  <c:v>1.1419999999999999</c:v>
                </c:pt>
                <c:pt idx="4">
                  <c:v>0.105</c:v>
                </c:pt>
              </c:numCache>
            </c:numRef>
          </c:val>
          <c:extLst>
            <c:ext xmlns:c16="http://schemas.microsoft.com/office/drawing/2014/chart" uri="{C3380CC4-5D6E-409C-BE32-E72D297353CC}">
              <c16:uniqueId val="{00000001-F56A-4B1C-9985-453599BF55C2}"/>
            </c:ext>
          </c:extLst>
        </c:ser>
        <c:dLbls>
          <c:dLblPos val="outEnd"/>
          <c:showLegendKey val="0"/>
          <c:showVal val="1"/>
          <c:showCatName val="0"/>
          <c:showSerName val="0"/>
          <c:showPercent val="0"/>
          <c:showBubbleSize val="0"/>
        </c:dLbls>
        <c:gapWidth val="219"/>
        <c:overlap val="-27"/>
        <c:axId val="1125964032"/>
        <c:axId val="1125964448"/>
      </c:barChart>
      <c:catAx>
        <c:axId val="112596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5964448"/>
        <c:crosses val="autoZero"/>
        <c:auto val="1"/>
        <c:lblAlgn val="ctr"/>
        <c:lblOffset val="100"/>
        <c:noMultiLvlLbl val="0"/>
      </c:catAx>
      <c:valAx>
        <c:axId val="112596444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596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Operating Cash Flow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'[Task 268.xlsx]Ratios'!$H$42:$I$42</c:f>
              <c:strCache>
                <c:ptCount val="2"/>
                <c:pt idx="0">
                  <c:v>Operating Cash Flow Ratio</c:v>
                </c:pt>
                <c:pt idx="1">
                  <c:v>Operating Cash Flow / Current liabilities</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268.xlsx]Ratios'!$J$41:$N$41</c:f>
              <c:numCache>
                <c:formatCode>General</c:formatCode>
                <c:ptCount val="5"/>
                <c:pt idx="0">
                  <c:v>2025</c:v>
                </c:pt>
                <c:pt idx="1">
                  <c:v>2024</c:v>
                </c:pt>
                <c:pt idx="2">
                  <c:v>2023</c:v>
                </c:pt>
                <c:pt idx="3">
                  <c:v>2022</c:v>
                </c:pt>
                <c:pt idx="4">
                  <c:v>2021</c:v>
                </c:pt>
              </c:numCache>
            </c:numRef>
          </c:cat>
          <c:val>
            <c:numRef>
              <c:f>'[Task 268.xlsx]Ratios'!$J$42:$N$42</c:f>
              <c:numCache>
                <c:formatCode>0.00</c:formatCode>
                <c:ptCount val="5"/>
                <c:pt idx="0">
                  <c:v>0.12623625295635552</c:v>
                </c:pt>
                <c:pt idx="1">
                  <c:v>0.26906826949198981</c:v>
                </c:pt>
                <c:pt idx="2">
                  <c:v>0.37411834690408635</c:v>
                </c:pt>
                <c:pt idx="3">
                  <c:v>0.42249873997494142</c:v>
                </c:pt>
                <c:pt idx="4">
                  <c:v>0.38216681105719319</c:v>
                </c:pt>
              </c:numCache>
            </c:numRef>
          </c:val>
          <c:smooth val="0"/>
          <c:extLst>
            <c:ext xmlns:c16="http://schemas.microsoft.com/office/drawing/2014/chart" uri="{C3380CC4-5D6E-409C-BE32-E72D297353CC}">
              <c16:uniqueId val="{00000000-6B11-4C57-AA4C-DE1E243A36E6}"/>
            </c:ext>
          </c:extLst>
        </c:ser>
        <c:dLbls>
          <c:dLblPos val="t"/>
          <c:showLegendKey val="0"/>
          <c:showVal val="1"/>
          <c:showCatName val="0"/>
          <c:showSerName val="0"/>
          <c:showPercent val="0"/>
          <c:showBubbleSize val="0"/>
        </c:dLbls>
        <c:smooth val="0"/>
        <c:axId val="1064686736"/>
        <c:axId val="1064687568"/>
      </c:lineChart>
      <c:catAx>
        <c:axId val="1064686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687568"/>
        <c:crosses val="autoZero"/>
        <c:auto val="1"/>
        <c:lblAlgn val="ctr"/>
        <c:lblOffset val="100"/>
        <c:noMultiLvlLbl val="0"/>
      </c:catAx>
      <c:valAx>
        <c:axId val="10646875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686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Free Cash Flow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'[Task 268.xlsx]Ratios'!$H$43:$I$43</c:f>
              <c:strCache>
                <c:ptCount val="2"/>
                <c:pt idx="0">
                  <c:v>Free Cash Flow</c:v>
                </c:pt>
                <c:pt idx="1">
                  <c:v>Operating Cash Flow - Capital Expenditure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'[Task 268.xlsx]Ratios'!$J$41:$N$41</c:f>
              <c:numCache>
                <c:formatCode>General</c:formatCode>
                <c:ptCount val="5"/>
                <c:pt idx="0">
                  <c:v>2025</c:v>
                </c:pt>
                <c:pt idx="1">
                  <c:v>2024</c:v>
                </c:pt>
                <c:pt idx="2">
                  <c:v>2023</c:v>
                </c:pt>
                <c:pt idx="3">
                  <c:v>2022</c:v>
                </c:pt>
                <c:pt idx="4">
                  <c:v>2021</c:v>
                </c:pt>
              </c:numCache>
            </c:numRef>
          </c:cat>
          <c:val>
            <c:numRef>
              <c:f>'[Task 268.xlsx]Ratios'!$J$43:$N$43</c:f>
              <c:numCache>
                <c:formatCode>#,##0</c:formatCode>
                <c:ptCount val="5"/>
                <c:pt idx="0">
                  <c:v>-81086587</c:v>
                </c:pt>
                <c:pt idx="1">
                  <c:v>40919758</c:v>
                </c:pt>
                <c:pt idx="2">
                  <c:v>28982217</c:v>
                </c:pt>
                <c:pt idx="3">
                  <c:v>10551731</c:v>
                </c:pt>
                <c:pt idx="4">
                  <c:v>14112768</c:v>
                </c:pt>
              </c:numCache>
            </c:numRef>
          </c:val>
          <c:extLst>
            <c:ext xmlns:c16="http://schemas.microsoft.com/office/drawing/2014/chart" uri="{C3380CC4-5D6E-409C-BE32-E72D297353CC}">
              <c16:uniqueId val="{00000000-3E5A-4590-BD45-27F58F78551C}"/>
            </c:ext>
          </c:extLst>
        </c:ser>
        <c:dLbls>
          <c:dLblPos val="outEnd"/>
          <c:showLegendKey val="0"/>
          <c:showVal val="1"/>
          <c:showCatName val="0"/>
          <c:showSerName val="0"/>
          <c:showPercent val="0"/>
          <c:showBubbleSize val="0"/>
        </c:dLbls>
        <c:gapWidth val="219"/>
        <c:overlap val="-27"/>
        <c:axId val="1124225952"/>
        <c:axId val="1124226784"/>
        <c:extLst>
          <c:ext xmlns:c15="http://schemas.microsoft.com/office/drawing/2012/chart" uri="{02D57815-91ED-43cb-92C2-25804820EDAC}">
            <c15:filteredBarSeries>
              <c15:ser>
                <c:idx val="0"/>
                <c:order val="0"/>
                <c:tx>
                  <c:strRef>
                    <c:extLst>
                      <c:ext uri="{02D57815-91ED-43cb-92C2-25804820EDAC}">
                        <c15:formulaRef>
                          <c15:sqref>'[Task 268.xlsx]Ratios'!$H$42:$I$42</c15:sqref>
                        </c15:formulaRef>
                      </c:ext>
                    </c:extLst>
                    <c:strCache>
                      <c:ptCount val="2"/>
                      <c:pt idx="0">
                        <c:v>Operating Cash Flow Ratio</c:v>
                      </c:pt>
                      <c:pt idx="1">
                        <c:v>Operating Cash Flow / Current liabilities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numRef>
                    <c:extLst>
                      <c:ext uri="{02D57815-91ED-43cb-92C2-25804820EDAC}">
                        <c15:formulaRef>
                          <c15:sqref>'[Task 268.xlsx]Ratios'!$J$41:$N$41</c15:sqref>
                        </c15:formulaRef>
                      </c:ext>
                    </c:extLst>
                    <c:numCache>
                      <c:formatCode>General</c:formatCode>
                      <c:ptCount val="5"/>
                      <c:pt idx="0">
                        <c:v>2025</c:v>
                      </c:pt>
                      <c:pt idx="1">
                        <c:v>2024</c:v>
                      </c:pt>
                      <c:pt idx="2">
                        <c:v>2023</c:v>
                      </c:pt>
                      <c:pt idx="3">
                        <c:v>2022</c:v>
                      </c:pt>
                      <c:pt idx="4">
                        <c:v>2021</c:v>
                      </c:pt>
                    </c:numCache>
                  </c:numRef>
                </c:cat>
                <c:val>
                  <c:numRef>
                    <c:extLst>
                      <c:ext uri="{02D57815-91ED-43cb-92C2-25804820EDAC}">
                        <c15:formulaRef>
                          <c15:sqref>'[Task 268.xlsx]Ratios'!$J$42:$N$42</c15:sqref>
                        </c15:formulaRef>
                      </c:ext>
                    </c:extLst>
                    <c:numCache>
                      <c:formatCode>0.00</c:formatCode>
                      <c:ptCount val="5"/>
                      <c:pt idx="0">
                        <c:v>0.12623625295635552</c:v>
                      </c:pt>
                      <c:pt idx="1">
                        <c:v>0.26906826949198981</c:v>
                      </c:pt>
                      <c:pt idx="2">
                        <c:v>0.37411834690408635</c:v>
                      </c:pt>
                      <c:pt idx="3">
                        <c:v>0.42249873997494142</c:v>
                      </c:pt>
                      <c:pt idx="4">
                        <c:v>0.38216681105719319</c:v>
                      </c:pt>
                    </c:numCache>
                  </c:numRef>
                </c:val>
                <c:extLst>
                  <c:ext xmlns:c16="http://schemas.microsoft.com/office/drawing/2014/chart" uri="{C3380CC4-5D6E-409C-BE32-E72D297353CC}">
                    <c16:uniqueId val="{00000001-3E5A-4590-BD45-27F58F78551C}"/>
                  </c:ext>
                </c:extLst>
              </c15:ser>
            </c15:filteredBarSeries>
          </c:ext>
        </c:extLst>
      </c:barChart>
      <c:catAx>
        <c:axId val="1124225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226784"/>
        <c:crosses val="autoZero"/>
        <c:auto val="1"/>
        <c:lblAlgn val="ctr"/>
        <c:lblOffset val="100"/>
        <c:noMultiLvlLbl val="0"/>
      </c:catAx>
      <c:valAx>
        <c:axId val="11242267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4225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6">
  <a:schemeClr val="accent3"/>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38</Pages>
  <Words>7408</Words>
  <Characters>42227</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3</cp:revision>
  <dcterms:created xsi:type="dcterms:W3CDTF">2026-04-24T05:47:00Z</dcterms:created>
  <dcterms:modified xsi:type="dcterms:W3CDTF">2026-04-24T05:47:00Z</dcterms:modified>
</cp:coreProperties>
</file>