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A9B708" w14:textId="77777777" w:rsidR="00034F63" w:rsidRPr="00F65372" w:rsidRDefault="00034F63" w:rsidP="00F65372">
      <w:pPr>
        <w:spacing w:after="0" w:line="480" w:lineRule="auto"/>
        <w:jc w:val="center"/>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UNIVERSITY OF WALES TRINITY SAINT DAVID</w:t>
      </w:r>
    </w:p>
    <w:p w14:paraId="21DF9B74" w14:textId="77777777" w:rsidR="00034F63" w:rsidRPr="00F65372" w:rsidRDefault="00034F63" w:rsidP="00F65372">
      <w:pPr>
        <w:spacing w:after="0" w:line="480" w:lineRule="auto"/>
        <w:jc w:val="center"/>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BA Leadership and Management Skills in the Workplace</w:t>
      </w:r>
    </w:p>
    <w:p w14:paraId="1A5B7A33" w14:textId="77777777" w:rsidR="00034F63" w:rsidRPr="00F65372" w:rsidRDefault="00034F63" w:rsidP="00F65372">
      <w:pPr>
        <w:spacing w:after="0" w:line="480" w:lineRule="auto"/>
        <w:jc w:val="center"/>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RuralLink Collective</w:t>
      </w:r>
    </w:p>
    <w:p w14:paraId="426BADD3" w14:textId="77777777" w:rsidR="00034F63" w:rsidRDefault="00034F63" w:rsidP="00F65372">
      <w:pPr>
        <w:spacing w:after="0" w:line="480" w:lineRule="auto"/>
        <w:jc w:val="center"/>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A Design Thinking Portfolio for Inclusive Local E-Commerce and Sustainable Last-Mile Fulfillment</w:t>
      </w:r>
    </w:p>
    <w:p w14:paraId="76B88A74" w14:textId="08C30EFE" w:rsidR="0072029F" w:rsidRPr="00F65372" w:rsidRDefault="0072029F" w:rsidP="0072029F">
      <w:pPr>
        <w:spacing w:after="0" w:line="480" w:lineRule="auto"/>
        <w:jc w:val="center"/>
        <w:rPr>
          <w:rFonts w:ascii="Times New Roman" w:hAnsi="Times New Roman" w:cs="Times New Roman"/>
          <w:color w:val="000000" w:themeColor="text1"/>
          <w:sz w:val="24"/>
          <w:szCs w:val="24"/>
        </w:rPr>
      </w:pPr>
    </w:p>
    <w:tbl>
      <w:tblPr>
        <w:tblW w:w="6751" w:type="dxa"/>
        <w:jc w:val="center"/>
        <w:tblBorders>
          <w:top w:val="single" w:sz="8" w:space="0" w:color="B7C9D6"/>
          <w:left w:val="single" w:sz="8" w:space="0" w:color="B7C9D6"/>
          <w:bottom w:val="single" w:sz="8" w:space="0" w:color="B7C9D6"/>
          <w:right w:val="single" w:sz="8" w:space="0" w:color="B7C9D6"/>
          <w:insideH w:val="single" w:sz="8" w:space="0" w:color="B7C9D6"/>
          <w:insideV w:val="single" w:sz="8" w:space="0" w:color="B7C9D6"/>
        </w:tblBorders>
        <w:tblLayout w:type="fixed"/>
        <w:tblLook w:val="04A0" w:firstRow="1" w:lastRow="0" w:firstColumn="1" w:lastColumn="0" w:noHBand="0" w:noVBand="1"/>
      </w:tblPr>
      <w:tblGrid>
        <w:gridCol w:w="2246"/>
        <w:gridCol w:w="4505"/>
      </w:tblGrid>
      <w:tr w:rsidR="00034F63" w:rsidRPr="00F65372" w14:paraId="121F4FF7" w14:textId="77777777" w:rsidTr="007D5110">
        <w:trPr>
          <w:jc w:val="center"/>
        </w:trPr>
        <w:tc>
          <w:tcPr>
            <w:tcW w:w="2246" w:type="dxa"/>
            <w:shd w:val="clear" w:color="auto" w:fill="EAF1F7"/>
            <w:tcMar>
              <w:top w:w="100" w:type="dxa"/>
              <w:left w:w="120" w:type="dxa"/>
              <w:bottom w:w="100" w:type="dxa"/>
              <w:right w:w="120" w:type="dxa"/>
            </w:tcMar>
            <w:vAlign w:val="center"/>
          </w:tcPr>
          <w:p w14:paraId="37F85371" w14:textId="77777777" w:rsidR="00034F63" w:rsidRPr="00F65372" w:rsidRDefault="00034F63"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Module</w:t>
            </w:r>
          </w:p>
        </w:tc>
        <w:tc>
          <w:tcPr>
            <w:tcW w:w="4505" w:type="dxa"/>
            <w:tcMar>
              <w:top w:w="100" w:type="dxa"/>
              <w:left w:w="120" w:type="dxa"/>
              <w:bottom w:w="100" w:type="dxa"/>
              <w:right w:w="120" w:type="dxa"/>
            </w:tcMar>
            <w:vAlign w:val="center"/>
          </w:tcPr>
          <w:p w14:paraId="4CA5DD15" w14:textId="77777777" w:rsidR="00034F63" w:rsidRPr="00F65372" w:rsidRDefault="00034F63"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LCLM6002 - Design Thinking and Innovation</w:t>
            </w:r>
          </w:p>
        </w:tc>
      </w:tr>
      <w:tr w:rsidR="00034F63" w:rsidRPr="00F65372" w14:paraId="461EBA38" w14:textId="77777777" w:rsidTr="007D5110">
        <w:trPr>
          <w:jc w:val="center"/>
        </w:trPr>
        <w:tc>
          <w:tcPr>
            <w:tcW w:w="2246" w:type="dxa"/>
            <w:shd w:val="clear" w:color="auto" w:fill="EAF1F7"/>
            <w:tcMar>
              <w:top w:w="100" w:type="dxa"/>
              <w:left w:w="120" w:type="dxa"/>
              <w:bottom w:w="100" w:type="dxa"/>
              <w:right w:w="120" w:type="dxa"/>
            </w:tcMar>
            <w:vAlign w:val="center"/>
          </w:tcPr>
          <w:p w14:paraId="564B6855" w14:textId="77777777" w:rsidR="00034F63" w:rsidRPr="00F65372" w:rsidRDefault="00034F63"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Assessment title</w:t>
            </w:r>
          </w:p>
        </w:tc>
        <w:tc>
          <w:tcPr>
            <w:tcW w:w="4505" w:type="dxa"/>
            <w:tcMar>
              <w:top w:w="100" w:type="dxa"/>
              <w:left w:w="120" w:type="dxa"/>
              <w:bottom w:w="100" w:type="dxa"/>
              <w:right w:w="120" w:type="dxa"/>
            </w:tcMar>
            <w:vAlign w:val="center"/>
          </w:tcPr>
          <w:p w14:paraId="25EE6829" w14:textId="77777777" w:rsidR="00034F63" w:rsidRPr="00F65372" w:rsidRDefault="00034F63"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Design Thinking and Innovation through Digital Transformation</w:t>
            </w:r>
          </w:p>
        </w:tc>
      </w:tr>
      <w:tr w:rsidR="00034F63" w:rsidRPr="00F65372" w14:paraId="3635AB69" w14:textId="77777777" w:rsidTr="007D5110">
        <w:trPr>
          <w:jc w:val="center"/>
        </w:trPr>
        <w:tc>
          <w:tcPr>
            <w:tcW w:w="2246" w:type="dxa"/>
            <w:shd w:val="clear" w:color="auto" w:fill="EAF1F7"/>
            <w:tcMar>
              <w:top w:w="100" w:type="dxa"/>
              <w:left w:w="120" w:type="dxa"/>
              <w:bottom w:w="100" w:type="dxa"/>
              <w:right w:w="120" w:type="dxa"/>
            </w:tcMar>
            <w:vAlign w:val="center"/>
          </w:tcPr>
          <w:p w14:paraId="23DAE191" w14:textId="77777777" w:rsidR="00034F63" w:rsidRPr="00F65372" w:rsidRDefault="00034F63"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Lecturer</w:t>
            </w:r>
          </w:p>
        </w:tc>
        <w:tc>
          <w:tcPr>
            <w:tcW w:w="4505" w:type="dxa"/>
            <w:tcMar>
              <w:top w:w="100" w:type="dxa"/>
              <w:left w:w="120" w:type="dxa"/>
              <w:bottom w:w="100" w:type="dxa"/>
              <w:right w:w="120" w:type="dxa"/>
            </w:tcMar>
            <w:vAlign w:val="center"/>
          </w:tcPr>
          <w:p w14:paraId="1F0C4EBF" w14:textId="77777777" w:rsidR="00034F63" w:rsidRPr="00F65372" w:rsidRDefault="00034F63"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Dr Sharin McDowall-Emefiele</w:t>
            </w:r>
          </w:p>
        </w:tc>
      </w:tr>
      <w:tr w:rsidR="00034F63" w:rsidRPr="00F65372" w14:paraId="1C636EDD" w14:textId="77777777" w:rsidTr="007D5110">
        <w:trPr>
          <w:jc w:val="center"/>
        </w:trPr>
        <w:tc>
          <w:tcPr>
            <w:tcW w:w="2246" w:type="dxa"/>
            <w:shd w:val="clear" w:color="auto" w:fill="EAF1F7"/>
            <w:tcMar>
              <w:top w:w="100" w:type="dxa"/>
              <w:left w:w="120" w:type="dxa"/>
              <w:bottom w:w="100" w:type="dxa"/>
              <w:right w:w="120" w:type="dxa"/>
            </w:tcMar>
            <w:vAlign w:val="center"/>
          </w:tcPr>
          <w:p w14:paraId="1C90B0D2" w14:textId="77777777" w:rsidR="00034F63" w:rsidRPr="00F65372" w:rsidRDefault="00034F63"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Student name</w:t>
            </w:r>
          </w:p>
        </w:tc>
        <w:tc>
          <w:tcPr>
            <w:tcW w:w="4505" w:type="dxa"/>
            <w:tcMar>
              <w:top w:w="100" w:type="dxa"/>
              <w:left w:w="120" w:type="dxa"/>
              <w:bottom w:w="100" w:type="dxa"/>
              <w:right w:w="120" w:type="dxa"/>
            </w:tcMar>
            <w:vAlign w:val="center"/>
          </w:tcPr>
          <w:p w14:paraId="75DC3829" w14:textId="105312F9" w:rsidR="00034F63" w:rsidRPr="00F65372" w:rsidRDefault="0072029F" w:rsidP="00F65372">
            <w:pPr>
              <w:spacing w:after="0" w:line="480" w:lineRule="auto"/>
              <w:jc w:val="both"/>
              <w:rPr>
                <w:rFonts w:ascii="Times New Roman" w:hAnsi="Times New Roman" w:cs="Times New Roman"/>
                <w:color w:val="000000" w:themeColor="text1"/>
                <w:sz w:val="24"/>
                <w:szCs w:val="24"/>
              </w:rPr>
            </w:pPr>
            <w:r w:rsidRPr="0072029F">
              <w:rPr>
                <w:rFonts w:ascii="Times New Roman" w:hAnsi="Times New Roman" w:cs="Times New Roman"/>
                <w:color w:val="000000" w:themeColor="text1"/>
                <w:sz w:val="24"/>
                <w:szCs w:val="24"/>
              </w:rPr>
              <w:t>Khaled Abdelhadi</w:t>
            </w:r>
          </w:p>
        </w:tc>
      </w:tr>
      <w:tr w:rsidR="00034F63" w:rsidRPr="00F65372" w14:paraId="61181874" w14:textId="77777777" w:rsidTr="007D5110">
        <w:trPr>
          <w:jc w:val="center"/>
        </w:trPr>
        <w:tc>
          <w:tcPr>
            <w:tcW w:w="2246" w:type="dxa"/>
            <w:shd w:val="clear" w:color="auto" w:fill="EAF1F7"/>
            <w:tcMar>
              <w:top w:w="100" w:type="dxa"/>
              <w:left w:w="120" w:type="dxa"/>
              <w:bottom w:w="100" w:type="dxa"/>
              <w:right w:w="120" w:type="dxa"/>
            </w:tcMar>
            <w:vAlign w:val="center"/>
          </w:tcPr>
          <w:p w14:paraId="2DA0D267" w14:textId="77777777" w:rsidR="00034F63" w:rsidRPr="00F65372" w:rsidRDefault="00034F63"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Student ID</w:t>
            </w:r>
          </w:p>
        </w:tc>
        <w:tc>
          <w:tcPr>
            <w:tcW w:w="4505" w:type="dxa"/>
            <w:tcMar>
              <w:top w:w="100" w:type="dxa"/>
              <w:left w:w="120" w:type="dxa"/>
              <w:bottom w:w="100" w:type="dxa"/>
              <w:right w:w="120" w:type="dxa"/>
            </w:tcMar>
            <w:vAlign w:val="center"/>
          </w:tcPr>
          <w:p w14:paraId="0DB48327" w14:textId="4AD2730B" w:rsidR="00034F63" w:rsidRPr="00F65372" w:rsidRDefault="0072029F" w:rsidP="00F65372">
            <w:pPr>
              <w:spacing w:after="0" w:line="480" w:lineRule="auto"/>
              <w:jc w:val="both"/>
              <w:rPr>
                <w:rFonts w:ascii="Times New Roman" w:hAnsi="Times New Roman" w:cs="Times New Roman"/>
                <w:color w:val="000000" w:themeColor="text1"/>
                <w:sz w:val="24"/>
                <w:szCs w:val="24"/>
              </w:rPr>
            </w:pPr>
            <w:r w:rsidRPr="0072029F">
              <w:rPr>
                <w:rFonts w:ascii="Times New Roman" w:hAnsi="Times New Roman" w:cs="Times New Roman"/>
                <w:color w:val="000000" w:themeColor="text1"/>
                <w:sz w:val="24"/>
                <w:szCs w:val="24"/>
              </w:rPr>
              <w:t>2241680</w:t>
            </w:r>
          </w:p>
        </w:tc>
      </w:tr>
    </w:tbl>
    <w:p w14:paraId="746EF733" w14:textId="77777777" w:rsidR="00034F63" w:rsidRPr="00F65372" w:rsidRDefault="00034F63"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br w:type="page"/>
      </w:r>
    </w:p>
    <w:p w14:paraId="600E504B" w14:textId="77777777" w:rsidR="00034F63" w:rsidRPr="00F65372" w:rsidRDefault="00034F63" w:rsidP="00F65372">
      <w:pPr>
        <w:keepNext/>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RuralLink Collective: Design Thinking and Innovation through Digital Transformation</w:t>
      </w:r>
    </w:p>
    <w:p w14:paraId="202B3553" w14:textId="77777777" w:rsidR="00034F63" w:rsidRPr="00F65372" w:rsidRDefault="00034F63" w:rsidP="00F65372">
      <w:pPr>
        <w:spacing w:after="0" w:line="480" w:lineRule="auto"/>
        <w:jc w:val="both"/>
        <w:rPr>
          <w:rFonts w:ascii="Times New Roman" w:hAnsi="Times New Roman" w:cs="Times New Roman"/>
          <w:b/>
          <w:color w:val="000000" w:themeColor="text1"/>
          <w:sz w:val="24"/>
          <w:szCs w:val="24"/>
        </w:rPr>
      </w:pPr>
      <w:r w:rsidRPr="00F65372">
        <w:rPr>
          <w:rFonts w:ascii="Times New Roman" w:hAnsi="Times New Roman" w:cs="Times New Roman"/>
          <w:b/>
          <w:color w:val="000000" w:themeColor="text1"/>
          <w:sz w:val="24"/>
          <w:szCs w:val="24"/>
        </w:rPr>
        <w:t>Portfolio</w:t>
      </w:r>
    </w:p>
    <w:p w14:paraId="34A97018" w14:textId="77777777" w:rsidR="00034F63" w:rsidRPr="00F65372" w:rsidRDefault="00034F63" w:rsidP="00F65372">
      <w:pPr>
        <w:keepNext/>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Introduction</w:t>
      </w:r>
    </w:p>
    <w:p w14:paraId="4F62261A" w14:textId="77777777"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In the UK, digital transformation has shifted the way that deliveries are made, with a shift from both UK consumers and small businesses. The chance is not just about having a web-based shop. It's about revamping the journey of discovery, payments, delivery and local assistance. Demand in the UK has already been renormalized; UK online adults are “98%” likely to have used a UK online retail service in May 2025, and in the UK small businesses have identified products suitable for larger businesses, high switching costs and limited confidence in the use of digital tools as reasons for not switching to other providers (Ofcom, 2025; Department for Business and Trade, 2025). As such, this portfolio explores rural and suburban commerce as a soft system, in which user needs and their relationships to each other and to the places the goods come from and the delivery capacities, as well as technology, interact, rather than act as separate problems (Vial, 2019; Verhoef et al., 2021).</w:t>
      </w:r>
    </w:p>
    <w:p w14:paraId="035C9502" w14:textId="77777777"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Four taught tools are used in the portfolio: causal mapping, customer journey mapping, desirability - viability - feasibility and the Innovation Ambition Matrix. Tools are used in conjunction with user research as a map and/or matrix are credible only if both their assumptions and their evidence are made clear (University of Wales Trinity Saint David, 2026a; University of Wales Trinity Saint David, 2026b; University of Wales Trinity Saint David, 2026c; University of Wales Trinity Saint David, 2026d).</w:t>
      </w:r>
    </w:p>
    <w:p w14:paraId="11CD0DE0" w14:textId="77777777"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This analysis is based on the DT sequence that taught—PTEE (Empathize, problem defining, ideate, prototype, and test), with the incorporation of systems thinking, casual mapping, customer journey mapping, Innovation Ambition Matrix and the desirability-viability-feasibility assessment. It is important to use design thinking as it creates an "assumption trap" where the initial business idea can be seen and then treated as a learning opportunity rather than a business solution (Liedtka, 2015; Micheli et al., 2019). But it is not a key to successful business ventures. It can fail when the evidence that the user will offer doesn't support it, teams are not allowed to try it, or the concept is not worth the delivery costs (Carlgren, Elmquist and Rauth, 2016; Teece, 2010).</w:t>
      </w:r>
    </w:p>
    <w:p w14:paraId="38DCF499" w14:textId="77777777" w:rsidR="00034F63" w:rsidRPr="00F65372" w:rsidRDefault="00034F63" w:rsidP="00F65372">
      <w:pPr>
        <w:keepNext/>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Task 1: Opportunity Area Analysis</w:t>
      </w:r>
    </w:p>
    <w:p w14:paraId="70B52F0A" w14:textId="58DF748A"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There are several opportunities in the scenario that encompass the entire ecosystem, namely the basic tools digital commerce has for the SME; for those who do not access digital channels, what role can be played by the local producer marketplaces, and finally, what changes are possible for more reliable last-mile delivery. If they were viewed in isolation, in the narrow interpretation of technology first, this effect would not be discerned. Rural retail outlets, consumers, delivery partners, local authorities and community 'hubs' have varying interests and interact with each other. This corresponds to a problem situation where there are several legitimate perspectives (Mingers and Rosenhead, 2004; Abuabara and Paucar-Caceres, 2021) and would warrant the use of a soft systems and problem-structuring approach. It is not supposed to be an experience of the same rural sector, but a venture that might learn from variations at the local level.</w:t>
      </w:r>
    </w:p>
    <w:p w14:paraId="71DA95E8" w14:textId="3BF08799"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One of the best affected groups is the independent retailers and producers. They've had good customer relationships and unique inventory, but haven't had the time, digital savvy, catalog management and good local delivery. Their sufferings are not just from a lost website. It’s done many times over the phone, online, in person, or another medium of answering emails, accessing inventory, accepting checks, and innumerable other elements of the transaction. This makes up opportunities and increases pain like a risky business. Other barriers are seen by the UK SME Digital Adoption Taskforce, including products that may be more suitable for large businesses, the cost of adopting digital products and fragmented support (Department for Business and Trade, 2025). Digital transformation should, therefore, enhance the entire value creation journey, rather than install another stand-alone tool (Vial, 2019).</w:t>
      </w:r>
    </w:p>
    <w:p w14:paraId="69B5C81C" w14:textId="77777777"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The types of pain points are different for rural and suburban consumers. They appreciate convenience, but may find restricted delivery windows, increased delivery costs and fees, missed deliveries, and unreachable interfaces, as well as a limited selection of local products. Individual home drops are expensive and difficult because populations, especially in rural areas, are low-density, and socioeconomic and demographic variations imply that lessons or other findings across dense urban markets may not reflect other types of markets. Population density is a key obstacle: home drops are challenging and costly in low-density areas, and socioeconomic and demographic characteristics vary, which means that what is seen and learned in dense urban and dropout markets may not be applicable to other types. Delivery partners also suffer from an unsuccessfully managed transition of clients' accounts and tasks, unproductive mileage and fragmented demand. As revealed by the last mile research, the last mile can also incur high operational, social and environmental costs, and that alone is not enough to consider it as a valid success indicator (Srinivas and Marathe, 2021; Silva, Amaral and Fontes, 2023).</w:t>
      </w:r>
    </w:p>
    <w:p w14:paraId="7DCACA7C" w14:textId="56039BD7"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These connections are then reflected in Figure 1, which is a cause-and-effect map. It begins with poor levels of skills in digital and weak and disjointed retail systems. Conditions lead to increased manual work and poor stock visibility, which decreases online reliability and also stops repeat orders. Retailers are therefore less inclined to invest due to the less efficient routes as well as higher expenses when the order density of the route gets lower. On this map, one possible reinforcing implementation loop is identified – the ability to share ordering, and to consolidate deliveries at specific times will increase order density and, of course, enhance delivery reliability as well as make local digital participation more valuable. Because of this, causal mapping was appropriate since it did not elide relations between stakeholder perceptions as it would elide them in a single technical variable (Eden and Ackermann, 2018; Paucar-Caceres and Abuabara, 2021).</w:t>
      </w:r>
    </w:p>
    <w:p w14:paraId="0B9C4408" w14:textId="77777777" w:rsidR="00034F63" w:rsidRPr="00F65372" w:rsidRDefault="00034F63"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noProof/>
          <w:color w:val="000000" w:themeColor="text1"/>
          <w:sz w:val="24"/>
          <w:szCs w:val="24"/>
        </w:rPr>
        <w:drawing>
          <wp:inline distT="0" distB="0" distL="0" distR="0" wp14:anchorId="72649A2A" wp14:editId="187B23EA">
            <wp:extent cx="6125633" cy="320040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causal_map.png"/>
                    <pic:cNvPicPr/>
                  </pic:nvPicPr>
                  <pic:blipFill rotWithShape="1">
                    <a:blip r:embed="rId6"/>
                    <a:srcRect b="12924"/>
                    <a:stretch>
                      <a:fillRect/>
                    </a:stretch>
                  </pic:blipFill>
                  <pic:spPr bwMode="auto">
                    <a:xfrm>
                      <a:off x="0" y="0"/>
                      <a:ext cx="6126480" cy="3200842"/>
                    </a:xfrm>
                    <a:prstGeom prst="rect">
                      <a:avLst/>
                    </a:prstGeom>
                    <a:ln>
                      <a:noFill/>
                    </a:ln>
                    <a:extLst>
                      <a:ext uri="{53640926-AAD7-44D8-BBD7-CCE9431645EC}">
                        <a14:shadowObscured xmlns:a14="http://schemas.microsoft.com/office/drawing/2010/main"/>
                      </a:ext>
                    </a:extLst>
                  </pic:spPr>
                </pic:pic>
              </a:graphicData>
            </a:graphic>
          </wp:inline>
        </w:drawing>
      </w:r>
    </w:p>
    <w:p w14:paraId="04EA95D1" w14:textId="77777777" w:rsidR="00034F63" w:rsidRPr="00F65372" w:rsidRDefault="00034F63" w:rsidP="00F65372">
      <w:pPr>
        <w:keepLines/>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Figure 1. Evidence-informed causal map of the rural local-commerce system.</w:t>
      </w:r>
      <w:r w:rsidRPr="00F65372">
        <w:rPr>
          <w:rFonts w:ascii="Times New Roman" w:hAnsi="Times New Roman" w:cs="Times New Roman"/>
          <w:i/>
          <w:color w:val="000000" w:themeColor="text1"/>
          <w:sz w:val="24"/>
          <w:szCs w:val="24"/>
        </w:rPr>
        <w:t xml:space="preserve"> Source:   Eden and Ackermann (2018) and Abuabara and Paucar-Caceres (2021).</w:t>
      </w:r>
    </w:p>
    <w:p w14:paraId="307D11D5" w14:textId="01432222"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Three opportunities present themselves. Three opportunity areas open up. The first is a common e-commerce entity where individual stores and manufacturers can set up storefronts and manage orders. Assisted commerce is the second, as it offers a mobile interface that allows users to place an order from their mobile, even without complex applications, using the phone or WhatsApp. The third one is ensured local fulfilment, which is based on collection points and time-tabled neighborhood routes. Such zones must be considered as not being equally attractive. Its pages can be copied using a generic web builder, which does not have a high risk for operations, but would be more difficult if it were a standalone delivery service. A unified platform where local supply, flexible ordering and planned fulfillment lockstep are the best shared pain and generate more local network effects (Sousa et al., 2020; Teece, 2010).</w:t>
      </w:r>
    </w:p>
    <w:p w14:paraId="4921DDFD" w14:textId="4404E627"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The key market opportunity is thus not the lack of online marketplaces. The lack of a system with low complexity and multiple merchants, which is in place for rural local trade. However, although capable of reaching the mass customer, large platforms come at a price, impose liberties on the customer experience, and may leave smaller merchants to deal with local fulfillment. There are e-commerce tools that the individual seller can use to create a catalogue, but they are not necessarily designed to coordinate a number of local sellers, a shared drop off or routine pick-up. The UK has over 5.5 million SMEs accounting for 99.8% of businesses; uptake by these SMEs is limited due to time, cash, knowledge and confidence issues (Department for Business and Trade, 2025). The point of this opportunity is to minimize coordination costs, rather than guarantee that everyone in business has to be using state-of-the-art technology.</w:t>
      </w:r>
    </w:p>
    <w:p w14:paraId="334E02EF" w14:textId="77777777"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Technological feasibility is when there is an advantage in developing a business feature that relies on tried components and building a complex platform to start. Low data mobile access can be supported by a Progressive Web App, Stock is accessible via cloud-based catalogs, payments are accepted by payment providers, and delivery day and area clustering can be provided by route clustering software. There's a simple dashboard that can display the number of orders handled by merchants, as well as order substitutions and merchant collection time. These features bring digitalization to the service trigger level, instead of merely an application. Studies on digital transformation reveal a difference between the value created because technology is used to transform business models and the value created because it is embedded in business processes (Verhoef et al., 2021; Rösch, Tiberius and Kraus, 2023).</w:t>
      </w:r>
    </w:p>
    <w:p w14:paraId="52D3645D" w14:textId="17DDF42D"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Table 1 filters use the desirability, viability &amp; feasibility filter. The most effective layout is one that shares local commerce since it incorporates evidence of user trouble, moderate MVP technology, and recurring revenue possibilities. This leads to a prioritizing judgement, rather than a prediction. Even so, it will still be dependent on the desirability within each locality, and the viability will rely on the number of merchants and orders that exist within each route area. The table thus enables a phased piloting of the launch rather than a big launch. This pedantic behavior is the “innovation before value creation and value capture” principle that Silva and Zancul (2023) and Ghezzi (2019) have emphasized before initiating significant investments.</w:t>
      </w:r>
    </w:p>
    <w:p w14:paraId="442AE870" w14:textId="5881BB21" w:rsidR="00034F63" w:rsidRPr="00F65372" w:rsidRDefault="00034F63" w:rsidP="00F65372">
      <w:pPr>
        <w:keepNext/>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 xml:space="preserve">Table 1. Opportunity screening using desirability, viability, and </w:t>
      </w:r>
      <w:r w:rsidR="00F65372" w:rsidRPr="00F65372">
        <w:rPr>
          <w:rFonts w:ascii="Times New Roman" w:hAnsi="Times New Roman" w:cs="Times New Roman"/>
          <w:b/>
          <w:color w:val="000000" w:themeColor="text1"/>
          <w:sz w:val="24"/>
          <w:szCs w:val="24"/>
        </w:rPr>
        <w:t>feasibility.</w:t>
      </w:r>
    </w:p>
    <w:tbl>
      <w:tblPr>
        <w:tblStyle w:val="TableGrid"/>
        <w:tblW w:w="0" w:type="auto"/>
        <w:tblLayout w:type="fixed"/>
        <w:tblLook w:val="04A0" w:firstRow="1" w:lastRow="0" w:firstColumn="1" w:lastColumn="0" w:noHBand="0" w:noVBand="1"/>
      </w:tblPr>
      <w:tblGrid>
        <w:gridCol w:w="3671"/>
        <w:gridCol w:w="964"/>
        <w:gridCol w:w="964"/>
        <w:gridCol w:w="1036"/>
        <w:gridCol w:w="835"/>
        <w:gridCol w:w="1411"/>
      </w:tblGrid>
      <w:tr w:rsidR="00034F63" w:rsidRPr="00F65372" w14:paraId="3A886FB9" w14:textId="77777777" w:rsidTr="00F65372">
        <w:tc>
          <w:tcPr>
            <w:tcW w:w="3671" w:type="dxa"/>
          </w:tcPr>
          <w:p w14:paraId="3D23F265"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Opportunity area</w:t>
            </w:r>
          </w:p>
        </w:tc>
        <w:tc>
          <w:tcPr>
            <w:tcW w:w="964" w:type="dxa"/>
          </w:tcPr>
          <w:p w14:paraId="2716E123"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Desirability</w:t>
            </w:r>
            <w:r w:rsidRPr="00F65372">
              <w:rPr>
                <w:rFonts w:ascii="Times New Roman" w:hAnsi="Times New Roman" w:cs="Times New Roman"/>
                <w:b/>
                <w:color w:val="000000" w:themeColor="text1"/>
                <w:sz w:val="24"/>
                <w:szCs w:val="24"/>
              </w:rPr>
              <w:br/>
              <w:t>(1-5)</w:t>
            </w:r>
          </w:p>
        </w:tc>
        <w:tc>
          <w:tcPr>
            <w:tcW w:w="964" w:type="dxa"/>
          </w:tcPr>
          <w:p w14:paraId="33C7CA64"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Viability</w:t>
            </w:r>
            <w:r w:rsidRPr="00F65372">
              <w:rPr>
                <w:rFonts w:ascii="Times New Roman" w:hAnsi="Times New Roman" w:cs="Times New Roman"/>
                <w:b/>
                <w:color w:val="000000" w:themeColor="text1"/>
                <w:sz w:val="24"/>
                <w:szCs w:val="24"/>
              </w:rPr>
              <w:br/>
              <w:t>(1-5)</w:t>
            </w:r>
          </w:p>
        </w:tc>
        <w:tc>
          <w:tcPr>
            <w:tcW w:w="1036" w:type="dxa"/>
          </w:tcPr>
          <w:p w14:paraId="12AC2D88"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Feasibility</w:t>
            </w:r>
            <w:r w:rsidRPr="00F65372">
              <w:rPr>
                <w:rFonts w:ascii="Times New Roman" w:hAnsi="Times New Roman" w:cs="Times New Roman"/>
                <w:b/>
                <w:color w:val="000000" w:themeColor="text1"/>
                <w:sz w:val="24"/>
                <w:szCs w:val="24"/>
              </w:rPr>
              <w:br/>
              <w:t>(1-5)</w:t>
            </w:r>
          </w:p>
        </w:tc>
        <w:tc>
          <w:tcPr>
            <w:tcW w:w="835" w:type="dxa"/>
          </w:tcPr>
          <w:p w14:paraId="725B6DA8"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Total</w:t>
            </w:r>
            <w:r w:rsidRPr="00F65372">
              <w:rPr>
                <w:rFonts w:ascii="Times New Roman" w:hAnsi="Times New Roman" w:cs="Times New Roman"/>
                <w:b/>
                <w:color w:val="000000" w:themeColor="text1"/>
                <w:sz w:val="24"/>
                <w:szCs w:val="24"/>
              </w:rPr>
              <w:br/>
              <w:t>/15</w:t>
            </w:r>
          </w:p>
        </w:tc>
        <w:tc>
          <w:tcPr>
            <w:tcW w:w="1411" w:type="dxa"/>
          </w:tcPr>
          <w:p w14:paraId="388AA92A"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Decision</w:t>
            </w:r>
          </w:p>
        </w:tc>
      </w:tr>
      <w:tr w:rsidR="00034F63" w:rsidRPr="00F65372" w14:paraId="21B3739A" w14:textId="77777777" w:rsidTr="00F65372">
        <w:tc>
          <w:tcPr>
            <w:tcW w:w="3671" w:type="dxa"/>
          </w:tcPr>
          <w:p w14:paraId="1F32E047"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Shared local commerce and planned fulfillment</w:t>
            </w:r>
          </w:p>
        </w:tc>
        <w:tc>
          <w:tcPr>
            <w:tcW w:w="964" w:type="dxa"/>
          </w:tcPr>
          <w:p w14:paraId="7DD2D5FC"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5</w:t>
            </w:r>
          </w:p>
        </w:tc>
        <w:tc>
          <w:tcPr>
            <w:tcW w:w="964" w:type="dxa"/>
          </w:tcPr>
          <w:p w14:paraId="1C682EB8"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4</w:t>
            </w:r>
          </w:p>
        </w:tc>
        <w:tc>
          <w:tcPr>
            <w:tcW w:w="1036" w:type="dxa"/>
          </w:tcPr>
          <w:p w14:paraId="63D4FA38"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4</w:t>
            </w:r>
          </w:p>
        </w:tc>
        <w:tc>
          <w:tcPr>
            <w:tcW w:w="835" w:type="dxa"/>
          </w:tcPr>
          <w:p w14:paraId="7C902B14"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13</w:t>
            </w:r>
          </w:p>
        </w:tc>
        <w:tc>
          <w:tcPr>
            <w:tcW w:w="1411" w:type="dxa"/>
          </w:tcPr>
          <w:p w14:paraId="41D19E51"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Selected</w:t>
            </w:r>
          </w:p>
        </w:tc>
      </w:tr>
      <w:tr w:rsidR="00034F63" w:rsidRPr="00F65372" w14:paraId="4DD03A5F" w14:textId="77777777" w:rsidTr="00F65372">
        <w:tc>
          <w:tcPr>
            <w:tcW w:w="3671" w:type="dxa"/>
          </w:tcPr>
          <w:p w14:paraId="7C669D2E"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SME e-commerce setup agency</w:t>
            </w:r>
          </w:p>
        </w:tc>
        <w:tc>
          <w:tcPr>
            <w:tcW w:w="964" w:type="dxa"/>
          </w:tcPr>
          <w:p w14:paraId="07A8DD6F"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3</w:t>
            </w:r>
          </w:p>
        </w:tc>
        <w:tc>
          <w:tcPr>
            <w:tcW w:w="964" w:type="dxa"/>
          </w:tcPr>
          <w:p w14:paraId="74439834"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3</w:t>
            </w:r>
          </w:p>
        </w:tc>
        <w:tc>
          <w:tcPr>
            <w:tcW w:w="1036" w:type="dxa"/>
          </w:tcPr>
          <w:p w14:paraId="6032FB86"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5</w:t>
            </w:r>
          </w:p>
        </w:tc>
        <w:tc>
          <w:tcPr>
            <w:tcW w:w="835" w:type="dxa"/>
          </w:tcPr>
          <w:p w14:paraId="1EE82E9B"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11</w:t>
            </w:r>
          </w:p>
        </w:tc>
        <w:tc>
          <w:tcPr>
            <w:tcW w:w="1411" w:type="dxa"/>
          </w:tcPr>
          <w:p w14:paraId="4C50AB80"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Support activity</w:t>
            </w:r>
          </w:p>
        </w:tc>
      </w:tr>
      <w:tr w:rsidR="00034F63" w:rsidRPr="00F65372" w14:paraId="0C34D317" w14:textId="77777777" w:rsidTr="00F65372">
        <w:tc>
          <w:tcPr>
            <w:tcW w:w="3671" w:type="dxa"/>
          </w:tcPr>
          <w:p w14:paraId="485C256E"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On-demand rural delivery</w:t>
            </w:r>
          </w:p>
        </w:tc>
        <w:tc>
          <w:tcPr>
            <w:tcW w:w="964" w:type="dxa"/>
          </w:tcPr>
          <w:p w14:paraId="1214BB6A"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4</w:t>
            </w:r>
          </w:p>
        </w:tc>
        <w:tc>
          <w:tcPr>
            <w:tcW w:w="964" w:type="dxa"/>
          </w:tcPr>
          <w:p w14:paraId="40668BCD"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2</w:t>
            </w:r>
          </w:p>
        </w:tc>
        <w:tc>
          <w:tcPr>
            <w:tcW w:w="1036" w:type="dxa"/>
          </w:tcPr>
          <w:p w14:paraId="390E1D73"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3</w:t>
            </w:r>
          </w:p>
        </w:tc>
        <w:tc>
          <w:tcPr>
            <w:tcW w:w="835" w:type="dxa"/>
          </w:tcPr>
          <w:p w14:paraId="6D8CA6C8"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9</w:t>
            </w:r>
          </w:p>
        </w:tc>
        <w:tc>
          <w:tcPr>
            <w:tcW w:w="1411" w:type="dxa"/>
          </w:tcPr>
          <w:p w14:paraId="47E736F9"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Not selected</w:t>
            </w:r>
          </w:p>
        </w:tc>
      </w:tr>
      <w:tr w:rsidR="00034F63" w:rsidRPr="00F65372" w14:paraId="2EE55492" w14:textId="77777777" w:rsidTr="00F65372">
        <w:tc>
          <w:tcPr>
            <w:tcW w:w="3671" w:type="dxa"/>
          </w:tcPr>
          <w:p w14:paraId="6192CAA8"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Digital-skills clinic</w:t>
            </w:r>
          </w:p>
        </w:tc>
        <w:tc>
          <w:tcPr>
            <w:tcW w:w="964" w:type="dxa"/>
          </w:tcPr>
          <w:p w14:paraId="57757CCD"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3</w:t>
            </w:r>
          </w:p>
        </w:tc>
        <w:tc>
          <w:tcPr>
            <w:tcW w:w="964" w:type="dxa"/>
          </w:tcPr>
          <w:p w14:paraId="5141A248"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2</w:t>
            </w:r>
          </w:p>
        </w:tc>
        <w:tc>
          <w:tcPr>
            <w:tcW w:w="1036" w:type="dxa"/>
          </w:tcPr>
          <w:p w14:paraId="5DFB8DE1"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5</w:t>
            </w:r>
          </w:p>
        </w:tc>
        <w:tc>
          <w:tcPr>
            <w:tcW w:w="835" w:type="dxa"/>
          </w:tcPr>
          <w:p w14:paraId="167ED5E5"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10</w:t>
            </w:r>
          </w:p>
        </w:tc>
        <w:tc>
          <w:tcPr>
            <w:tcW w:w="1411" w:type="dxa"/>
          </w:tcPr>
          <w:p w14:paraId="1AE06DE9"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Onboarding support</w:t>
            </w:r>
          </w:p>
        </w:tc>
      </w:tr>
    </w:tbl>
    <w:p w14:paraId="2EEA1F1C" w14:textId="77777777" w:rsidR="00034F63" w:rsidRPr="00F65372" w:rsidRDefault="00034F63" w:rsidP="00F65372">
      <w:pPr>
        <w:keepLines/>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 xml:space="preserve"> </w:t>
      </w:r>
    </w:p>
    <w:p w14:paraId="78371A6B" w14:textId="609312F6"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Other priorities would include a rural digital-skills clinic. This is highly achievable, can boost confidence and doesn't really impact the transaction unless followed by a practical transaction and fulfillment path. The same applies to a delivery business based on demand, which can seem very attractive to consumers, but can be lacklustre and counterproductive by operating where demand doesn't exist. The Clinic is chosen as an onboarding support activity for the Runtime of RuralLink, and the scheduled delivery is a service constraint used for RuralLink. This is a no less glamorous option to instant delivery but a more secure process toward reliable service and mutual local values (Department for Business and Trade, 2025; Srinivas and Marathe, 2021).</w:t>
      </w:r>
    </w:p>
    <w:p w14:paraId="74FD65A4" w14:textId="32BB23CF"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Governance is also an enabler. Having some ground rules on who owns the data, substitutions, pricing, and how to communicate with the customer is important for the merchants before they enter a shared storefront. Hubs must be incentivized and agreed on opening times, and couriers must have safe and realistic route information. RuralLink is a socio-technical service, specifically: The greater transparency in pilot participation that occurs by having reversible participation also mitigates the possible problem of re-creating the power dynamic of a large marketplace (Mingers and Rosenhead, 2004; Verhoef et al., 2021).</w:t>
      </w:r>
    </w:p>
    <w:p w14:paraId="38313EA3" w14:textId="77777777"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This is because scalability is to be viewed as an 'operating model' that can be replicated, rather than as a national expansion because of a lack of readiness. RuralLink can begin by implementing a single cluster, capture the process of merchant onboarding, and then add to these clusters (ones with local merchant density plus a trusted hub partner) located in the surrounding area. It is economically scalable due to some of its common processes, like the use of easy-to-use software, a reusable merchant template and also a standardized day of delivery. While there are benefits regarding its sustainability potential (such as the reduction in the number of separate trips, collection point options and enhanced demand visibility), not everything can be guaranteed. Digital shopping can push up demand in packages as well as transportation (González-Romero, Ortiz-Bas and Prado-Prado, 2025; Silva, Amaral and Fontes, 2023).</w:t>
      </w:r>
    </w:p>
    <w:p w14:paraId="543CC902" w14:textId="77777777"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The opportunity, therefore, is a RuralLink Collective: a pooled, local commerce and planned delivery service for rural independent commerce, local producers and consumers. Adjacent innovation is one of the two types of innovation in the Innovation Ambition Matrix. Implements a local network, user base and uses tried and true ecommerce and delivery processes to the new network and user base. It would only be transformative if it were able to create a more sustainable regional infrastructure that would restructure local trade. This distinction is important because there would be a value in having a disciplined approach and partnerships to carry out the adjacent innovation, while the validity of claims for transformational innovation would be premature until a demand and unit economics are proven (University of Wales Trinity Saint David, 2026d; Teece, 2010).</w:t>
      </w:r>
    </w:p>
    <w:p w14:paraId="46F496F9" w14:textId="77777777" w:rsidR="00034F63" w:rsidRPr="00F65372" w:rsidRDefault="00034F63" w:rsidP="00F65372">
      <w:pPr>
        <w:keepNext/>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Task 2: New Venture Concept via Design Thinking</w:t>
      </w:r>
    </w:p>
    <w:p w14:paraId="3050BABB" w14:textId="77777777" w:rsidR="00034F63" w:rsidRPr="00F65372" w:rsidRDefault="00034F63" w:rsidP="00F65372">
      <w:pPr>
        <w:keepNext/>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Empathize</w:t>
      </w:r>
    </w:p>
    <w:p w14:paraId="1C61A06E" w14:textId="52F467E1"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Empathy starts with hypotheses based on evidence but doesn't end with an inventory of what is obviously true. The main character is a 58-year-old bakery and small grocery store owner, 'Mari'. She gets orders over the phone, by text and via social media pages, and it's at night when she has to balance the orders and set up delivery. The second person is a 72-year-old rural customer who may prefer the local products but has no wish to have several accounts or have to wait at home for an erratic package. A third user is local delivery worker Aisha, who desires to know accurate and dependable routes and proper payment for her services. These personas are based on research that outlined the fact that customers' journeys are multi-touch, emotional and can deviate from the trail (Lemon and Verhoef, 2016; Halvorsrud, Kvale and Følstad, 2016).</w:t>
      </w:r>
    </w:p>
    <w:p w14:paraId="68545055" w14:textId="77777777"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While this program describes the steps David takes in his journey from a search for things locally to an order, this relationship is exemplified in the following table. The biggest challenges he has are arriving at or knowing which shops are reliable for delivery, availability, multiple checkouts at various systems, and late or missed deliveries. The different friction in the connected trip includes keeping a catalog, verifying stocks and arranging a couple of values. The map is meant to be a prototype of knowledge. However, if Customer journey maps are used, they can lead to spurious service decisions, such as establishing fixed rules for services for customers if it is assumed that all customers travel the same path. RuralLink needs to conduct real local journeys and consider every option before deciding on any fixed services (Rosenbaum, Otalora and Ramírez, 2017; Lemon and Verhoef, 2016).</w:t>
      </w:r>
    </w:p>
    <w:p w14:paraId="3D34F6F7" w14:textId="77777777" w:rsidR="00034F63" w:rsidRPr="00F65372" w:rsidRDefault="00034F63" w:rsidP="00F65372">
      <w:pPr>
        <w:keepNext/>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Table 2. Evidence-informed current customer journey: rural consumer</w:t>
      </w:r>
    </w:p>
    <w:tbl>
      <w:tblPr>
        <w:tblStyle w:val="TableGrid"/>
        <w:tblW w:w="0" w:type="auto"/>
        <w:tblLayout w:type="fixed"/>
        <w:tblLook w:val="04A0" w:firstRow="1" w:lastRow="0" w:firstColumn="1" w:lastColumn="0" w:noHBand="0" w:noVBand="1"/>
      </w:tblPr>
      <w:tblGrid>
        <w:gridCol w:w="1512"/>
        <w:gridCol w:w="2520"/>
        <w:gridCol w:w="2664"/>
        <w:gridCol w:w="2951"/>
      </w:tblGrid>
      <w:tr w:rsidR="00034F63" w:rsidRPr="00F65372" w14:paraId="7E758E7C" w14:textId="77777777" w:rsidTr="00F65372">
        <w:tc>
          <w:tcPr>
            <w:tcW w:w="1512" w:type="dxa"/>
          </w:tcPr>
          <w:p w14:paraId="33F33D85"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Journey phase</w:t>
            </w:r>
          </w:p>
        </w:tc>
        <w:tc>
          <w:tcPr>
            <w:tcW w:w="2520" w:type="dxa"/>
          </w:tcPr>
          <w:p w14:paraId="158BDE5A"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David's action / touchpoint</w:t>
            </w:r>
          </w:p>
        </w:tc>
        <w:tc>
          <w:tcPr>
            <w:tcW w:w="2664" w:type="dxa"/>
          </w:tcPr>
          <w:p w14:paraId="31DDDDAA"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Main sentiment or pain point</w:t>
            </w:r>
          </w:p>
        </w:tc>
        <w:tc>
          <w:tcPr>
            <w:tcW w:w="2951" w:type="dxa"/>
          </w:tcPr>
          <w:p w14:paraId="278D9ABA"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RuralLink response</w:t>
            </w:r>
          </w:p>
        </w:tc>
      </w:tr>
      <w:tr w:rsidR="00034F63" w:rsidRPr="00F65372" w14:paraId="48A0495E" w14:textId="77777777" w:rsidTr="00F65372">
        <w:tc>
          <w:tcPr>
            <w:tcW w:w="1512" w:type="dxa"/>
          </w:tcPr>
          <w:p w14:paraId="7EE81EBC"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Discover</w:t>
            </w:r>
          </w:p>
        </w:tc>
        <w:tc>
          <w:tcPr>
            <w:tcW w:w="2520" w:type="dxa"/>
          </w:tcPr>
          <w:p w14:paraId="29EFFD85" w14:textId="4DE59E0F"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Searches Facebook pages and </w:t>
            </w:r>
            <w:r w:rsidR="00F65372" w:rsidRPr="00F65372">
              <w:rPr>
                <w:rFonts w:ascii="Times New Roman" w:hAnsi="Times New Roman" w:cs="Times New Roman"/>
                <w:color w:val="000000" w:themeColor="text1"/>
                <w:sz w:val="24"/>
                <w:szCs w:val="24"/>
              </w:rPr>
              <w:t>ask</w:t>
            </w:r>
            <w:r w:rsidRPr="00F65372">
              <w:rPr>
                <w:rFonts w:ascii="Times New Roman" w:hAnsi="Times New Roman" w:cs="Times New Roman"/>
                <w:color w:val="000000" w:themeColor="text1"/>
                <w:sz w:val="24"/>
                <w:szCs w:val="24"/>
              </w:rPr>
              <w:t xml:space="preserve"> neighbors which stores deliver.</w:t>
            </w:r>
          </w:p>
        </w:tc>
        <w:tc>
          <w:tcPr>
            <w:tcW w:w="2664" w:type="dxa"/>
          </w:tcPr>
          <w:p w14:paraId="76DDAE74"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Uncertain; options are scattered.</w:t>
            </w:r>
          </w:p>
        </w:tc>
        <w:tc>
          <w:tcPr>
            <w:tcW w:w="2951" w:type="dxa"/>
          </w:tcPr>
          <w:p w14:paraId="317AA1DC"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Shared local catalog and assisted ordering.</w:t>
            </w:r>
          </w:p>
        </w:tc>
      </w:tr>
      <w:tr w:rsidR="00034F63" w:rsidRPr="00F65372" w14:paraId="02634246" w14:textId="77777777" w:rsidTr="00F65372">
        <w:tc>
          <w:tcPr>
            <w:tcW w:w="1512" w:type="dxa"/>
          </w:tcPr>
          <w:p w14:paraId="482B69D3"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Compare</w:t>
            </w:r>
          </w:p>
        </w:tc>
        <w:tc>
          <w:tcPr>
            <w:tcW w:w="2520" w:type="dxa"/>
          </w:tcPr>
          <w:p w14:paraId="448792DA"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Checks availability across several shops and messages sellers.</w:t>
            </w:r>
          </w:p>
        </w:tc>
        <w:tc>
          <w:tcPr>
            <w:tcW w:w="2664" w:type="dxa"/>
          </w:tcPr>
          <w:p w14:paraId="20198ED0"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Frustrated; stock is not visible.</w:t>
            </w:r>
          </w:p>
        </w:tc>
        <w:tc>
          <w:tcPr>
            <w:tcW w:w="2951" w:type="dxa"/>
          </w:tcPr>
          <w:p w14:paraId="0F887E55"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One basket with merchant stock confirmation.</w:t>
            </w:r>
          </w:p>
        </w:tc>
      </w:tr>
      <w:tr w:rsidR="00034F63" w:rsidRPr="00F65372" w14:paraId="31EEA5D0" w14:textId="77777777" w:rsidTr="00F65372">
        <w:tc>
          <w:tcPr>
            <w:tcW w:w="1512" w:type="dxa"/>
          </w:tcPr>
          <w:p w14:paraId="34F21E2B"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Order</w:t>
            </w:r>
          </w:p>
        </w:tc>
        <w:tc>
          <w:tcPr>
            <w:tcW w:w="2520" w:type="dxa"/>
          </w:tcPr>
          <w:p w14:paraId="477C2DF1" w14:textId="40D9AD4B" w:rsidR="00034F63" w:rsidRPr="00F65372" w:rsidRDefault="00F65372"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Use</w:t>
            </w:r>
            <w:r w:rsidR="00034F63" w:rsidRPr="00F65372">
              <w:rPr>
                <w:rFonts w:ascii="Times New Roman" w:hAnsi="Times New Roman" w:cs="Times New Roman"/>
                <w:color w:val="000000" w:themeColor="text1"/>
                <w:sz w:val="24"/>
                <w:szCs w:val="24"/>
              </w:rPr>
              <w:t xml:space="preserve"> separate forms, links, or payment methods.</w:t>
            </w:r>
          </w:p>
        </w:tc>
        <w:tc>
          <w:tcPr>
            <w:tcW w:w="2664" w:type="dxa"/>
          </w:tcPr>
          <w:p w14:paraId="01FB4AA0"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Low confidence; repeated steps.</w:t>
            </w:r>
          </w:p>
        </w:tc>
        <w:tc>
          <w:tcPr>
            <w:tcW w:w="2951" w:type="dxa"/>
          </w:tcPr>
          <w:p w14:paraId="206A87F6"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One checkout and phone/WhatsApp support.</w:t>
            </w:r>
          </w:p>
        </w:tc>
      </w:tr>
      <w:tr w:rsidR="00034F63" w:rsidRPr="00F65372" w14:paraId="2687E4D0" w14:textId="77777777" w:rsidTr="00F65372">
        <w:tc>
          <w:tcPr>
            <w:tcW w:w="1512" w:type="dxa"/>
          </w:tcPr>
          <w:p w14:paraId="2B5BE4F2"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Fulfill</w:t>
            </w:r>
          </w:p>
        </w:tc>
        <w:tc>
          <w:tcPr>
            <w:tcW w:w="2520" w:type="dxa"/>
          </w:tcPr>
          <w:p w14:paraId="7F6ADD38" w14:textId="3801D77E"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Waits for an uncertain delivery or </w:t>
            </w:r>
            <w:r w:rsidR="00F65372" w:rsidRPr="00F65372">
              <w:rPr>
                <w:rFonts w:ascii="Times New Roman" w:hAnsi="Times New Roman" w:cs="Times New Roman"/>
                <w:color w:val="000000" w:themeColor="text1"/>
                <w:sz w:val="24"/>
                <w:szCs w:val="24"/>
              </w:rPr>
              <w:t>make</w:t>
            </w:r>
            <w:r w:rsidRPr="00F65372">
              <w:rPr>
                <w:rFonts w:ascii="Times New Roman" w:hAnsi="Times New Roman" w:cs="Times New Roman"/>
                <w:color w:val="000000" w:themeColor="text1"/>
                <w:sz w:val="24"/>
                <w:szCs w:val="24"/>
              </w:rPr>
              <w:t xml:space="preserve"> a separate collection trip.</w:t>
            </w:r>
          </w:p>
        </w:tc>
        <w:tc>
          <w:tcPr>
            <w:tcW w:w="2664" w:type="dxa"/>
          </w:tcPr>
          <w:p w14:paraId="41B5AE38"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Anxious; missed delivery risk.</w:t>
            </w:r>
          </w:p>
        </w:tc>
        <w:tc>
          <w:tcPr>
            <w:tcW w:w="2951" w:type="dxa"/>
          </w:tcPr>
          <w:p w14:paraId="71E9845D"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Scheduled route and collection-point choice.</w:t>
            </w:r>
          </w:p>
        </w:tc>
      </w:tr>
      <w:tr w:rsidR="00034F63" w:rsidRPr="00F65372" w14:paraId="313460F0" w14:textId="77777777" w:rsidTr="00F65372">
        <w:tc>
          <w:tcPr>
            <w:tcW w:w="1512" w:type="dxa"/>
          </w:tcPr>
          <w:p w14:paraId="4661D14F"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Reorder</w:t>
            </w:r>
          </w:p>
        </w:tc>
        <w:tc>
          <w:tcPr>
            <w:tcW w:w="2520" w:type="dxa"/>
          </w:tcPr>
          <w:p w14:paraId="31A7A40F" w14:textId="6A800C5C" w:rsidR="00034F63" w:rsidRPr="00F65372" w:rsidRDefault="00F65372"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Remember</w:t>
            </w:r>
            <w:r w:rsidR="00034F63" w:rsidRPr="00F65372">
              <w:rPr>
                <w:rFonts w:ascii="Times New Roman" w:hAnsi="Times New Roman" w:cs="Times New Roman"/>
                <w:color w:val="000000" w:themeColor="text1"/>
                <w:sz w:val="24"/>
                <w:szCs w:val="24"/>
              </w:rPr>
              <w:t xml:space="preserve"> a good local seller but not the ordering process.</w:t>
            </w:r>
          </w:p>
        </w:tc>
        <w:tc>
          <w:tcPr>
            <w:tcW w:w="2664" w:type="dxa"/>
          </w:tcPr>
          <w:p w14:paraId="074D9D8F"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Effort outweighs loyalty.</w:t>
            </w:r>
          </w:p>
        </w:tc>
        <w:tc>
          <w:tcPr>
            <w:tcW w:w="2951" w:type="dxa"/>
          </w:tcPr>
          <w:p w14:paraId="47A21CB7"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Simple repeat order and saved preferences.</w:t>
            </w:r>
          </w:p>
        </w:tc>
      </w:tr>
    </w:tbl>
    <w:p w14:paraId="4177A377" w14:textId="77777777" w:rsidR="00034F63" w:rsidRPr="00F65372" w:rsidRDefault="00034F63" w:rsidP="00F65372">
      <w:pPr>
        <w:keepLines/>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 xml:space="preserve"> </w:t>
      </w:r>
    </w:p>
    <w:p w14:paraId="6BA37838" w14:textId="4F01BD16"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The research plan will be based on differentiated acceptance criteria concerning the various levels of confidence, mobility and shopping habits of its users rather than on that of early adopters. Not all rural users are "Mari, David and Aisha.” Mari, David and Aisha are work personas, not necessarily representative of all rural users. Questions in interviews will cover users' reactions when they have no access to an item, it is very costly to buy it, it is not paid for, or they need help. These workarounds can be seen with the eyes to highlight facets that are often not covered by the survey, such as trust, dignity, control of substitutions, etc. It does not matter in soft systems where relationships and values, more than just technical elements, play a role in the definition of the problem; this corresponds to the above-mentioned by Rosenbaum, Otalora and Ramírez (2017) and the University of Wales Trinity Saint David (2026b).</w:t>
      </w:r>
    </w:p>
    <w:p w14:paraId="59F0D829" w14:textId="77777777" w:rsidR="00034F63" w:rsidRPr="00F65372" w:rsidRDefault="00034F63" w:rsidP="00F65372">
      <w:pPr>
        <w:keepNext/>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Define</w:t>
      </w:r>
    </w:p>
    <w:p w14:paraId="58BC4B71" w14:textId="77777777"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The challenge was to imagine how RuralLink can support local retailers whose feet-in-the-door time constraints and serve local consumers whose mobility challenges say they should be able to do all their shopping locally, but they can't without all local retailers having to develop and administer independent online and delivery operations. This definition is explicit on what users, what desired construct and what low complexity are. It also does not state that it's “no app,” because the causal map reveals that the causal roots of fulfillment coordination and trust are a key and important determinant. It helps to not 'fixate' on the solution, and to allow the solution to be digital or non-digital, as in the case of collection hub and assisted ordering, the former (Liedtka, 2015; Eden and Ackermann, 2018).</w:t>
      </w:r>
    </w:p>
    <w:p w14:paraId="57ED60A0" w14:textId="77777777" w:rsidR="00034F63" w:rsidRPr="00F65372" w:rsidRDefault="00034F63" w:rsidP="00F65372">
      <w:pPr>
        <w:keepNext/>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Ideate</w:t>
      </w:r>
    </w:p>
    <w:p w14:paraId="4F75A8A9" w14:textId="77777777"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Six ideas have emerged through the structured brainstorming meeting: shared local marketplace, click and collect hub, weekly consolidated delivery route, digital skills clinic for retailers, a capability board of couriers and a WhatsApp order assistant. A multiple storefront to single basket, multiple orders across merchants, single orders at existing community sites, change from immediate to scheduled delivery, eliminate duplication of catalog work, and reverse the usual model – plan routes after finding aggregated orders – were all done with the SCAMPER prompts. This is because of the necessity for diversity and variation (divergent thinking) in creativity, but it is also vital to undertake screening analysis (convergent thinking) before resources are invested (Micheli et al., 2019; Rösch, Tiberius and Kraus, 2023).</w:t>
      </w:r>
    </w:p>
    <w:p w14:paraId="6FD42918" w14:textId="4EE89A15"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These ideas were then measured from a user value, an operational burden, a four-week testing requirement and potential for repeatable revenue basis. The theory chosen is a collaborative marketplace, support for ordering and planned collection/delivery. Confusion among consumers and merchants would be difficult to do away with by using the courier board alone. A skills clinic is not a pathway for a transaction to take place. There was a compromise made towards immediate delivery; however, this made route density and sustainability more difficult. This bundle is more complicated than the simplest marketplace but narrows down the various causes identified as connected in Task 1 and can be reduced to an MVP (Ghezzi, 2019; Srinivas and Marathe, 2021).</w:t>
      </w:r>
    </w:p>
    <w:p w14:paraId="3939656C" w14:textId="07E647AB"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This is not a transformational concept; it is an adjacent concept. Alters the existing retailer relationships, payment mechanisms and couriers to a local network of them. This helps to minimize Technical Uncertainty, thereby allowing local learning to take place. Rural Link must be found to be repeatable before looking for regional partners, not viable as a way to remodernize rural trade. A staged ambition level safeguards learning and maintains the option of the future (University of Wales Trinity Saint David, 2026d; Silva and Zancul, 2023).</w:t>
      </w:r>
    </w:p>
    <w:p w14:paraId="426F886B" w14:textId="77777777" w:rsidR="00034F63" w:rsidRPr="00F65372" w:rsidRDefault="00034F63" w:rsidP="00F65372">
      <w:pPr>
        <w:keepNext/>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Prototype / Minimum Viable Product</w:t>
      </w:r>
    </w:p>
    <w:p w14:paraId="672D1E78" w14:textId="58F6759B"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RuralLink Collective is an MVP – a web-based service for mobile use. It includes any shared local catalog for 10 selected local merchants, 1 basket and payment checkout, the selected delivery day for the week and a choice between picking up the basket in the community and having it delivered to the people's home. Simple dashboard for merchants for confirmation of stock, giving them alternatives, and printing orders with labels. Customers can place their orders on their own or contact a staffed phone/WhatsApp line to order. A paid order coordinator exports the orders, packages them in terms of points and tasks and assigns them to the participant of the courier. This purposely low flow is displayed in Figure 2. It's not as comprehensive as some would hope, excluding such elements as live driver tracking, algorithmic surge pricing, shipping nationwide, loyalty points, and AI capabilities that go beyond initial core features.</w:t>
      </w:r>
    </w:p>
    <w:p w14:paraId="399E9D99" w14:textId="77777777" w:rsidR="00034F63" w:rsidRPr="00F65372" w:rsidRDefault="00034F63"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noProof/>
          <w:color w:val="000000" w:themeColor="text1"/>
          <w:sz w:val="24"/>
          <w:szCs w:val="24"/>
        </w:rPr>
        <w:drawing>
          <wp:inline distT="0" distB="0" distL="0" distR="0" wp14:anchorId="471D75CA" wp14:editId="503C9F8C">
            <wp:extent cx="6126480" cy="275691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mvp_flow.png"/>
                    <pic:cNvPicPr/>
                  </pic:nvPicPr>
                  <pic:blipFill>
                    <a:blip r:embed="rId7"/>
                    <a:stretch>
                      <a:fillRect/>
                    </a:stretch>
                  </pic:blipFill>
                  <pic:spPr>
                    <a:xfrm>
                      <a:off x="0" y="0"/>
                      <a:ext cx="6126480" cy="2756916"/>
                    </a:xfrm>
                    <a:prstGeom prst="rect">
                      <a:avLst/>
                    </a:prstGeom>
                  </pic:spPr>
                </pic:pic>
              </a:graphicData>
            </a:graphic>
          </wp:inline>
        </w:drawing>
      </w:r>
    </w:p>
    <w:p w14:paraId="1510BFF1" w14:textId="77777777" w:rsidR="00034F63" w:rsidRPr="00F65372" w:rsidRDefault="00034F63" w:rsidP="00F65372">
      <w:pPr>
        <w:keepLines/>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Figure 2. RuralLink Collective MVP flow.</w:t>
      </w:r>
      <w:r w:rsidRPr="00F65372">
        <w:rPr>
          <w:rFonts w:ascii="Times New Roman" w:hAnsi="Times New Roman" w:cs="Times New Roman"/>
          <w:i/>
          <w:color w:val="000000" w:themeColor="text1"/>
          <w:sz w:val="24"/>
          <w:szCs w:val="24"/>
        </w:rPr>
        <w:t xml:space="preserve">  </w:t>
      </w:r>
    </w:p>
    <w:p w14:paraId="1415FBEF" w14:textId="4D3136A3"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The pilot business model merges £39 per month per merchant (subscription fee), with a visible £1.50 coordination fee per order. The following prices are at best a guess. If there were 20 merchants and 800 orders completed per month, with an average basket size of £30, then it would cost the merchants £780 per month in subscriptions, £960 per month in transaction fees, and £1,200 per month in coordination fees for a total of £2,940 per month. With an estimated contribution of £440 per month (before marketing and founder income), the model is self-supported with an estimated platform, coordination, payment and local delivery cost of approximately £2500/month. This implies that in certain cases, early viability can be achieved, but it is fragile, and high-order density combined with low churn is needed, together with testing willingness to pay (Teece, 2010; Ghezzi, 2019).</w:t>
      </w:r>
    </w:p>
    <w:p w14:paraId="2A6EBD1E" w14:textId="77777777"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The calculation is also very simple, revealing the important sensitivity. With the same average basket and 400 orders in any given month, the transaction + coordination revenues would drop by £1,080, and the total income from all revenues for any given month would be £1,860 before expenses. The pilot would then be loss-making, at the above-stated £2,500 cost base. However, contribution can increase in the same planned delivery without adding cost by supporting delivery with additional orders of the same delivery route. RuralLink should establish a minimum route length prior to accepting home-delivery orders and instead focus on a move towards collection points, with certain marginal demand. Furthermore, a crucial aspect of the calculation is that it lets them know, before they enter into a service-level agreement with their customers, that they are dealing with a business model that may not be profitable; an “user-friendly” service level promise could be misleading (Teece, 2010; González-Romero et al., 2025).</w:t>
      </w:r>
    </w:p>
    <w:p w14:paraId="7559F1B3" w14:textId="77777777"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The desirability-viability-feasibility analysis is good, but it is based on conditions. Desirability comes down to one trip, not a lot of payment steps, scheduled deliveries and the possibility for manual support. Repeat orders and customer retention at merchants, route density and the ability to control customer-acquisition cost are all keys to viability. Key to feasibility are community connections with merchants and “hubs,” web tools and existing payment services and routing services. However, the weakest assumption is one of delivery density, meaning if there are not enough orders on a route, then prices will increase and/or the couriers will be underutilized. As a result, the first pilot has chosen to serve just one delivery day and have two collection points – as opposed to an irregular daily service (Sousa et al., 2020; González-Romero, Ortiz-Bas and Prado-Prado, 2025).</w:t>
      </w:r>
    </w:p>
    <w:p w14:paraId="4830D5B1" w14:textId="77777777" w:rsidR="00034F63" w:rsidRPr="00F65372" w:rsidRDefault="00034F63" w:rsidP="00F65372">
      <w:pPr>
        <w:keepNext/>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Test and Refine</w:t>
      </w:r>
    </w:p>
    <w:p w14:paraId="3806ED35" w14:textId="77777777"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Tests will be conducted in a fixed locality for 8 weeks. Prior to launch, RuralLink will recruit 10 merchants, 30 consumers, one hub, and two delivery partners. In weeks one and two, the ability to locate the catalog, order through it, access the information, have confidence in the payment process, and the process of taking orders will be tested via short interviews. The live MVP will be tested during weeks three through eight. The key success metrics are at 60%+ successful completion of first orders, 35%+ repeat purchases within 30 days, 85%+ on-time collection/delivery, merchant satisfaction rating of 4 or more out of 5, and less than 5% of orders that have manual corrections. These measures are aimed at tying user experience and quality to an experience rather than downloads, which are a false measure of value (Halvorsrud, Kvale and Følstad, 2016; Ghezzi, 2019).</w:t>
      </w:r>
    </w:p>
    <w:p w14:paraId="761600CF" w14:textId="77777777" w:rsidR="00034F63" w:rsidRPr="00F65372" w:rsidRDefault="00034F63" w:rsidP="00F65372">
      <w:pPr>
        <w:keepNext/>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Table 3. Pilot test design and decision rules</w:t>
      </w:r>
    </w:p>
    <w:tbl>
      <w:tblPr>
        <w:tblStyle w:val="TableGrid"/>
        <w:tblW w:w="0" w:type="auto"/>
        <w:tblLayout w:type="fixed"/>
        <w:tblLook w:val="04A0" w:firstRow="1" w:lastRow="0" w:firstColumn="1" w:lastColumn="0" w:noHBand="0" w:noVBand="1"/>
      </w:tblPr>
      <w:tblGrid>
        <w:gridCol w:w="2160"/>
        <w:gridCol w:w="1728"/>
        <w:gridCol w:w="2376"/>
        <w:gridCol w:w="3384"/>
      </w:tblGrid>
      <w:tr w:rsidR="00034F63" w:rsidRPr="00F65372" w14:paraId="620F14FA" w14:textId="77777777" w:rsidTr="00F65372">
        <w:tc>
          <w:tcPr>
            <w:tcW w:w="2160" w:type="dxa"/>
          </w:tcPr>
          <w:p w14:paraId="4529FF2F"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Measure</w:t>
            </w:r>
          </w:p>
        </w:tc>
        <w:tc>
          <w:tcPr>
            <w:tcW w:w="1728" w:type="dxa"/>
          </w:tcPr>
          <w:p w14:paraId="772F7CD2"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Pilot target</w:t>
            </w:r>
          </w:p>
        </w:tc>
        <w:tc>
          <w:tcPr>
            <w:tcW w:w="2376" w:type="dxa"/>
          </w:tcPr>
          <w:p w14:paraId="73D480D1"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Evidence source</w:t>
            </w:r>
          </w:p>
        </w:tc>
        <w:tc>
          <w:tcPr>
            <w:tcW w:w="3384" w:type="dxa"/>
          </w:tcPr>
          <w:p w14:paraId="3A5ECDEF"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Decision use</w:t>
            </w:r>
          </w:p>
        </w:tc>
      </w:tr>
      <w:tr w:rsidR="00034F63" w:rsidRPr="00F65372" w14:paraId="2B180D28" w14:textId="77777777" w:rsidTr="00F65372">
        <w:tc>
          <w:tcPr>
            <w:tcW w:w="2160" w:type="dxa"/>
          </w:tcPr>
          <w:p w14:paraId="77A49BC6"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Successful first orders</w:t>
            </w:r>
          </w:p>
        </w:tc>
        <w:tc>
          <w:tcPr>
            <w:tcW w:w="1728" w:type="dxa"/>
          </w:tcPr>
          <w:p w14:paraId="00F8FCC9"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At least 60%</w:t>
            </w:r>
          </w:p>
        </w:tc>
        <w:tc>
          <w:tcPr>
            <w:tcW w:w="2376" w:type="dxa"/>
          </w:tcPr>
          <w:p w14:paraId="6B065640"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Order completion data</w:t>
            </w:r>
          </w:p>
        </w:tc>
        <w:tc>
          <w:tcPr>
            <w:tcW w:w="3384" w:type="dxa"/>
          </w:tcPr>
          <w:p w14:paraId="6D27CE08"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Simplify discovery or checkout if below target.</w:t>
            </w:r>
          </w:p>
        </w:tc>
      </w:tr>
      <w:tr w:rsidR="00034F63" w:rsidRPr="00F65372" w14:paraId="0287E83F" w14:textId="77777777" w:rsidTr="00F65372">
        <w:tc>
          <w:tcPr>
            <w:tcW w:w="2160" w:type="dxa"/>
          </w:tcPr>
          <w:p w14:paraId="54BD81EF"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Repeat purchase in 30 days</w:t>
            </w:r>
          </w:p>
        </w:tc>
        <w:tc>
          <w:tcPr>
            <w:tcW w:w="1728" w:type="dxa"/>
          </w:tcPr>
          <w:p w14:paraId="052E95D4"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At least 35%</w:t>
            </w:r>
          </w:p>
        </w:tc>
        <w:tc>
          <w:tcPr>
            <w:tcW w:w="2376" w:type="dxa"/>
          </w:tcPr>
          <w:p w14:paraId="67369DFC"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Transaction data</w:t>
            </w:r>
          </w:p>
        </w:tc>
        <w:tc>
          <w:tcPr>
            <w:tcW w:w="3384" w:type="dxa"/>
          </w:tcPr>
          <w:p w14:paraId="3557C0B0"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Assess recurring user value and onboarding.</w:t>
            </w:r>
          </w:p>
        </w:tc>
      </w:tr>
      <w:tr w:rsidR="00034F63" w:rsidRPr="00F65372" w14:paraId="6DE62A8F" w14:textId="77777777" w:rsidTr="00F65372">
        <w:tc>
          <w:tcPr>
            <w:tcW w:w="2160" w:type="dxa"/>
          </w:tcPr>
          <w:p w14:paraId="32E5773A"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On-time collection / delivery</w:t>
            </w:r>
          </w:p>
        </w:tc>
        <w:tc>
          <w:tcPr>
            <w:tcW w:w="1728" w:type="dxa"/>
          </w:tcPr>
          <w:p w14:paraId="281BCAB5"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At least 85%</w:t>
            </w:r>
          </w:p>
        </w:tc>
        <w:tc>
          <w:tcPr>
            <w:tcW w:w="2376" w:type="dxa"/>
          </w:tcPr>
          <w:p w14:paraId="4D3C5C0B"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Courier and hub logs</w:t>
            </w:r>
          </w:p>
        </w:tc>
        <w:tc>
          <w:tcPr>
            <w:tcW w:w="3384" w:type="dxa"/>
          </w:tcPr>
          <w:p w14:paraId="1FA3E71E"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Adjust route area, hub hours, or capacity.</w:t>
            </w:r>
          </w:p>
        </w:tc>
      </w:tr>
      <w:tr w:rsidR="00034F63" w:rsidRPr="00F65372" w14:paraId="3D1E46D2" w14:textId="77777777" w:rsidTr="00F65372">
        <w:tc>
          <w:tcPr>
            <w:tcW w:w="2160" w:type="dxa"/>
          </w:tcPr>
          <w:p w14:paraId="31FBA6C9"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Merchant satisfaction</w:t>
            </w:r>
          </w:p>
        </w:tc>
        <w:tc>
          <w:tcPr>
            <w:tcW w:w="1728" w:type="dxa"/>
          </w:tcPr>
          <w:p w14:paraId="1E3A4A28"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At least 4/5</w:t>
            </w:r>
          </w:p>
        </w:tc>
        <w:tc>
          <w:tcPr>
            <w:tcW w:w="2376" w:type="dxa"/>
          </w:tcPr>
          <w:p w14:paraId="3D3BB1E7"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Weekly debrief</w:t>
            </w:r>
          </w:p>
        </w:tc>
        <w:tc>
          <w:tcPr>
            <w:tcW w:w="3384" w:type="dxa"/>
          </w:tcPr>
          <w:p w14:paraId="3624CECC"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Revise dashboard, fees, and substitution workflow.</w:t>
            </w:r>
          </w:p>
        </w:tc>
      </w:tr>
      <w:tr w:rsidR="00034F63" w:rsidRPr="00F65372" w14:paraId="12EE73E4" w14:textId="77777777" w:rsidTr="00F65372">
        <w:tc>
          <w:tcPr>
            <w:tcW w:w="2160" w:type="dxa"/>
          </w:tcPr>
          <w:p w14:paraId="4D8FB08B"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Manual corrections</w:t>
            </w:r>
          </w:p>
        </w:tc>
        <w:tc>
          <w:tcPr>
            <w:tcW w:w="1728" w:type="dxa"/>
          </w:tcPr>
          <w:p w14:paraId="1C749E90"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Under 5% of orders</w:t>
            </w:r>
          </w:p>
        </w:tc>
        <w:tc>
          <w:tcPr>
            <w:tcW w:w="2376" w:type="dxa"/>
          </w:tcPr>
          <w:p w14:paraId="40F3BA87"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Support log</w:t>
            </w:r>
          </w:p>
        </w:tc>
        <w:tc>
          <w:tcPr>
            <w:tcW w:w="3384" w:type="dxa"/>
          </w:tcPr>
          <w:p w14:paraId="61479A11" w14:textId="77777777" w:rsidR="00034F63" w:rsidRPr="00F65372" w:rsidRDefault="00034F63" w:rsidP="00F65372">
            <w:pPr>
              <w:spacing w:line="24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Identify catalog, payment, or handover failures.</w:t>
            </w:r>
          </w:p>
        </w:tc>
      </w:tr>
    </w:tbl>
    <w:p w14:paraId="60E0B304" w14:textId="77777777" w:rsidR="00034F63" w:rsidRPr="00F65372" w:rsidRDefault="00034F63" w:rsidP="00F65372">
      <w:pPr>
        <w:keepLines/>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 xml:space="preserve"> </w:t>
      </w:r>
    </w:p>
    <w:p w14:paraId="285E8439" w14:textId="01FE9874"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A brief user survey and merchant debrief to review feedback weekly; a log of couriers' routes and a map of cancellations will be used to review this. Support will be enhanced for booking without payment. Simplify checkout/reduce customer drop off on the way to checkout. If substitutions are problematic, the MVP will include previously agreed satisfaction substitutions. If the level of route efficiency is not high enough, RuralLink will reduce the delivery area, add more volume to its collection centers or uprate the minimum basket level. While it can be done without being backed up by metrics, metrics need to be interpreted: A high rate of repetition with a small number of users might indicate a higher number of users in the broader population, but a low rate of repetition might instead be an issue in the onboarding process than in user value (Ghezzi, 2019; Carlgren, Elmquist and Rauth, 2016).</w:t>
      </w:r>
    </w:p>
    <w:p w14:paraId="4D033435" w14:textId="143A431B"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Ethically and practically, limits are set. Assisted ordering is to be provided as an everyday service channel and does not demean old or less technology savvy people. Data should be gathered for specific operational and business purposes, and with a proper understanding at the point of data collection, and the controls around access to the data provide security. There should be sufficient and clear route details provided to the delivery partners, a fair contract process for receiving the prices they are owed (or should be paid for the work), and a way to claim under unsafe or unrealistic routes. Environmental claims must be conservative and be audited based on delivery distance per order, collection-point uptake, failed-delivery rate and packaging returned/reused. Those safeguards are deemed necessary because any innovation that makes it easier for one interest group to reap gains while passing the hidden opportunity cost or risk to another interest group is not true value creation (Verhoef et al., 2021; González-Romero, Ortiz-Bas and Prado-Prado, 2025).</w:t>
      </w:r>
    </w:p>
    <w:p w14:paraId="7E8CBB3A" w14:textId="77777777" w:rsidR="00034F63" w:rsidRPr="00F65372" w:rsidRDefault="00034F63" w:rsidP="00F65372">
      <w:pPr>
        <w:keepNext/>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Conclusion</w:t>
      </w:r>
    </w:p>
    <w:p w14:paraId="619AF902" w14:textId="77777777" w:rsidR="00F65372" w:rsidRPr="00F65372" w:rsidRDefault="00F65372" w:rsidP="00F65372">
      <w:pPr>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This portfolio prioritizes one innovation idea that is undoubtedly realized by the "overnight" digital transformation: the shared local commerce and planned fulfillment. RuralLink Collective addresses challenges of connection: disjointed digital solutions for SMEs, the challenges of fulfilling in rural areas, consumer uncertainty, and untapped local delivery. What it has going for it is not a new technology, but an evidence-informed service design which brings together a common marketplace, collection/orders facilitated by staff and order collection or delivery. The concept is a hypothesis until it is validated and accepted as required by real users, acceptable orders received, amounts that can be spent on it, and conditions of normal operation. The problem-solving process described by Design Thinking, causal mapping, customer journey mapping and desirability-viability-feasibility analysis fundamentals the above-mentioned learning process (Micheli et al., 2019; Abuabara and Paucar-Caceres, 2021).</w:t>
      </w:r>
    </w:p>
    <w:p w14:paraId="70AFDB7F" w14:textId="77777777" w:rsidR="00F65372" w:rsidRDefault="00F65372">
      <w:pPr>
        <w:spacing w:line="278"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1BB732F8" w14:textId="65BF2308" w:rsidR="00034F63" w:rsidRPr="00F65372" w:rsidRDefault="00034F63" w:rsidP="00F65372">
      <w:pPr>
        <w:keepNext/>
        <w:spacing w:after="0" w:line="480" w:lineRule="auto"/>
        <w:jc w:val="both"/>
        <w:rPr>
          <w:rFonts w:ascii="Times New Roman" w:hAnsi="Times New Roman" w:cs="Times New Roman"/>
          <w:color w:val="000000" w:themeColor="text1"/>
          <w:sz w:val="24"/>
          <w:szCs w:val="24"/>
        </w:rPr>
      </w:pPr>
      <w:r w:rsidRPr="00F65372">
        <w:rPr>
          <w:rFonts w:ascii="Times New Roman" w:hAnsi="Times New Roman" w:cs="Times New Roman"/>
          <w:b/>
          <w:color w:val="000000" w:themeColor="text1"/>
          <w:sz w:val="24"/>
          <w:szCs w:val="24"/>
        </w:rPr>
        <w:t>References</w:t>
      </w:r>
    </w:p>
    <w:p w14:paraId="338940D1"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Abuabara, L. and Paucar-Caceres, A. (2021) ‘Surveying applications of Strategic Options Development and Analysis (SODA) from 1989 to 2018’, European Journal of Operational Research, 292(3), pp. 1051-1065. Available at: </w:t>
      </w:r>
      <w:hyperlink r:id="rId8">
        <w:r w:rsidRPr="00F65372">
          <w:rPr>
            <w:rFonts w:ascii="Times New Roman" w:hAnsi="Times New Roman" w:cs="Times New Roman"/>
            <w:color w:val="000000" w:themeColor="text1"/>
            <w:sz w:val="24"/>
            <w:szCs w:val="24"/>
            <w:u w:val="single"/>
          </w:rPr>
          <w:t>https://doi.org/10.1016/j.ejor.2020.11.032</w:t>
        </w:r>
      </w:hyperlink>
    </w:p>
    <w:p w14:paraId="33885B22"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Carlgren, L., Elmquist, M. and Rauth, I. (2016) ‘The challenges of using design thinking in industry - experiences from five large firms’, Creativity and Innovation Management, 25(3), pp. 344-362. Available at: </w:t>
      </w:r>
      <w:hyperlink r:id="rId9">
        <w:r w:rsidRPr="00F65372">
          <w:rPr>
            <w:rFonts w:ascii="Times New Roman" w:hAnsi="Times New Roman" w:cs="Times New Roman"/>
            <w:color w:val="000000" w:themeColor="text1"/>
            <w:sz w:val="24"/>
            <w:szCs w:val="24"/>
            <w:u w:val="single"/>
          </w:rPr>
          <w:t>https://doi.org/10.1111/caim.12176</w:t>
        </w:r>
      </w:hyperlink>
    </w:p>
    <w:p w14:paraId="111CEC97"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Eden, C. and Ackermann, F. (2018) ‘Theory into practice, practice to theory: Action research in method development’, European Journal of Operational Research, 271(3), pp. 1145-1155. Available at: </w:t>
      </w:r>
      <w:hyperlink r:id="rId10">
        <w:r w:rsidRPr="00F65372">
          <w:rPr>
            <w:rFonts w:ascii="Times New Roman" w:hAnsi="Times New Roman" w:cs="Times New Roman"/>
            <w:color w:val="000000" w:themeColor="text1"/>
            <w:sz w:val="24"/>
            <w:szCs w:val="24"/>
            <w:u w:val="single"/>
          </w:rPr>
          <w:t>https://doi.org/10.1016/j.ejor.2018.05.061</w:t>
        </w:r>
      </w:hyperlink>
    </w:p>
    <w:p w14:paraId="1DAD0A0A"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Ghezzi, A. (2019) ‘Digital startups and the adoption and implementation of lean startup approaches: Effectuation, bricolage and opportunity creation in practice’, Technological Forecasting and Social Change, 146, pp. 945-960. Available at: </w:t>
      </w:r>
      <w:hyperlink r:id="rId11">
        <w:r w:rsidRPr="00F65372">
          <w:rPr>
            <w:rFonts w:ascii="Times New Roman" w:hAnsi="Times New Roman" w:cs="Times New Roman"/>
            <w:color w:val="000000" w:themeColor="text1"/>
            <w:sz w:val="24"/>
            <w:szCs w:val="24"/>
            <w:u w:val="single"/>
          </w:rPr>
          <w:t>https://doi.org/10.1016/j.techfore.2018.09.017</w:t>
        </w:r>
      </w:hyperlink>
    </w:p>
    <w:p w14:paraId="1266E96B"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González-Romero, I., Ortiz-Bas, Á. and Prado-Prado, J.C. (2025) ‘Last-mile strategies in e-commerce: Identifying barriers to sustainability from online retailers’ perspectives’, Research in Transportation Business &amp; Management, 60, 101367. Available at: </w:t>
      </w:r>
      <w:hyperlink r:id="rId12">
        <w:r w:rsidRPr="00F65372">
          <w:rPr>
            <w:rFonts w:ascii="Times New Roman" w:hAnsi="Times New Roman" w:cs="Times New Roman"/>
            <w:color w:val="000000" w:themeColor="text1"/>
            <w:sz w:val="24"/>
            <w:szCs w:val="24"/>
            <w:u w:val="single"/>
          </w:rPr>
          <w:t>https://doi.org/10.1016/j.rtbm.2025.101367</w:t>
        </w:r>
      </w:hyperlink>
    </w:p>
    <w:p w14:paraId="111561CD"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Halvorsrud, R., Kvale, K. and Følstad, A. (2016) ‘Improving service quality through customer journey analysis’, Journal of Service Theory and Practice, 26(6), pp. 840-867. Available at: </w:t>
      </w:r>
      <w:hyperlink r:id="rId13">
        <w:r w:rsidRPr="00F65372">
          <w:rPr>
            <w:rFonts w:ascii="Times New Roman" w:hAnsi="Times New Roman" w:cs="Times New Roman"/>
            <w:color w:val="000000" w:themeColor="text1"/>
            <w:sz w:val="24"/>
            <w:szCs w:val="24"/>
            <w:u w:val="single"/>
          </w:rPr>
          <w:t>https://doi.org/10.1108/JSTP-05-2015-0111</w:t>
        </w:r>
      </w:hyperlink>
    </w:p>
    <w:p w14:paraId="7C55A439"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Lemon, K.N. and Verhoef, P.C. (2016) ‘Understanding customer experience throughout the customer journey’, Journal of Marketing, 80(6), pp. 69-96. Available at: </w:t>
      </w:r>
      <w:hyperlink r:id="rId14">
        <w:r w:rsidRPr="00F65372">
          <w:rPr>
            <w:rFonts w:ascii="Times New Roman" w:hAnsi="Times New Roman" w:cs="Times New Roman"/>
            <w:color w:val="000000" w:themeColor="text1"/>
            <w:sz w:val="24"/>
            <w:szCs w:val="24"/>
            <w:u w:val="single"/>
          </w:rPr>
          <w:t>https://doi.org/10.1509/jm.15.0420</w:t>
        </w:r>
      </w:hyperlink>
    </w:p>
    <w:p w14:paraId="7C8A2C18"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Liedtka, J. (2015) ‘Perspective: Linking design thinking with innovation outcomes through cognitive bias reduction’, Journal of Product Innovation Management, 32(6), pp. 925-938. Available at: </w:t>
      </w:r>
      <w:hyperlink r:id="rId15">
        <w:r w:rsidRPr="00F65372">
          <w:rPr>
            <w:rFonts w:ascii="Times New Roman" w:hAnsi="Times New Roman" w:cs="Times New Roman"/>
            <w:color w:val="000000" w:themeColor="text1"/>
            <w:sz w:val="24"/>
            <w:szCs w:val="24"/>
            <w:u w:val="single"/>
          </w:rPr>
          <w:t>https://doi.org/10.1111/jpim.12163</w:t>
        </w:r>
      </w:hyperlink>
    </w:p>
    <w:p w14:paraId="5BCA8BA1"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Micheli, P., Wilner, S.J.S., Bhatti, S.H., Mura, M. and Beverland, M.B. (2019) ‘Doing design thinking: Conceptual review, synthesis, and research agenda’, Journal of Product Innovation Management, 36(2), pp. 124-148. Available at: </w:t>
      </w:r>
      <w:hyperlink r:id="rId16">
        <w:r w:rsidRPr="00F65372">
          <w:rPr>
            <w:rFonts w:ascii="Times New Roman" w:hAnsi="Times New Roman" w:cs="Times New Roman"/>
            <w:color w:val="000000" w:themeColor="text1"/>
            <w:sz w:val="24"/>
            <w:szCs w:val="24"/>
            <w:u w:val="single"/>
          </w:rPr>
          <w:t>https://doi.org/10.1111/jpim.12466</w:t>
        </w:r>
      </w:hyperlink>
    </w:p>
    <w:p w14:paraId="045B8386"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Mingers, J. and Rosenhead, J. (2004) ‘Problem structuring methods in action’, European Journal of Operational Research, 152(3), pp. 530-554. Available at: </w:t>
      </w:r>
      <w:hyperlink r:id="rId17">
        <w:r w:rsidRPr="00F65372">
          <w:rPr>
            <w:rFonts w:ascii="Times New Roman" w:hAnsi="Times New Roman" w:cs="Times New Roman"/>
            <w:color w:val="000000" w:themeColor="text1"/>
            <w:sz w:val="24"/>
            <w:szCs w:val="24"/>
            <w:u w:val="single"/>
          </w:rPr>
          <w:t>https://doi.org/10.1016/S0377-2217(03)00056-0</w:t>
        </w:r>
      </w:hyperlink>
    </w:p>
    <w:p w14:paraId="45D14B99"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Rösch, N., Tiberius, V. and Kraus, S. (2023) ‘Design thinking for innovation: Context factors, process, and outcomes’, European Journal of Innovation Management, 26(7), pp. 160-176. Available at: </w:t>
      </w:r>
      <w:hyperlink r:id="rId18">
        <w:r w:rsidRPr="00F65372">
          <w:rPr>
            <w:rFonts w:ascii="Times New Roman" w:hAnsi="Times New Roman" w:cs="Times New Roman"/>
            <w:color w:val="000000" w:themeColor="text1"/>
            <w:sz w:val="24"/>
            <w:szCs w:val="24"/>
            <w:u w:val="single"/>
          </w:rPr>
          <w:t>https://doi.org/10.1108/EJIM-03-2022-0164</w:t>
        </w:r>
      </w:hyperlink>
    </w:p>
    <w:p w14:paraId="094E14F6"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Rosenbaum, M.S., Otalora, M.L. and Ramírez, G.C. (2017) ‘How to create a realistic customer journey map’, Business Horizons, 60(1), pp. 143-150. Available at: </w:t>
      </w:r>
      <w:hyperlink r:id="rId19">
        <w:r w:rsidRPr="00F65372">
          <w:rPr>
            <w:rFonts w:ascii="Times New Roman" w:hAnsi="Times New Roman" w:cs="Times New Roman"/>
            <w:color w:val="000000" w:themeColor="text1"/>
            <w:sz w:val="24"/>
            <w:szCs w:val="24"/>
            <w:u w:val="single"/>
          </w:rPr>
          <w:t>https://doi.org/10.1016/j.bushor.2016.09.010</w:t>
        </w:r>
      </w:hyperlink>
    </w:p>
    <w:p w14:paraId="1386D5D2"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Silva, G.D. e, Amaral, A. and Fontes, T. (2023) ‘Sustainable urban last-mile logistics: A systematic literature review’, Sustainability, 15(3), 2285. Available at: </w:t>
      </w:r>
      <w:hyperlink r:id="rId20">
        <w:r w:rsidRPr="00F65372">
          <w:rPr>
            <w:rFonts w:ascii="Times New Roman" w:hAnsi="Times New Roman" w:cs="Times New Roman"/>
            <w:color w:val="000000" w:themeColor="text1"/>
            <w:sz w:val="24"/>
            <w:szCs w:val="24"/>
            <w:u w:val="single"/>
          </w:rPr>
          <w:t>https://doi.org/10.3390/su15032285</w:t>
        </w:r>
      </w:hyperlink>
    </w:p>
    <w:p w14:paraId="36C59276"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Silva, G.D.e. and Zancul, E. de S. (2023) ‘Design thinking impact on value creation and value capture on innovation projects’, Creativity and Innovation Management, 32(3), pp. 362-377. Available at: </w:t>
      </w:r>
      <w:hyperlink r:id="rId21">
        <w:r w:rsidRPr="00F65372">
          <w:rPr>
            <w:rFonts w:ascii="Times New Roman" w:hAnsi="Times New Roman" w:cs="Times New Roman"/>
            <w:color w:val="000000" w:themeColor="text1"/>
            <w:sz w:val="24"/>
            <w:szCs w:val="24"/>
            <w:u w:val="single"/>
          </w:rPr>
          <w:t>https://doi.org/10.1111/caim.12565</w:t>
        </w:r>
      </w:hyperlink>
    </w:p>
    <w:p w14:paraId="5490830C"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Sousa, R., Horta, C., Ribeiro, R. and Rabinovich, E. (2020) ‘How to serve online consumers in rural markets: Evidence-based recommendations’, Business Horizons, 63(3), pp. 351-362. Available at: </w:t>
      </w:r>
      <w:hyperlink r:id="rId22">
        <w:r w:rsidRPr="00F65372">
          <w:rPr>
            <w:rFonts w:ascii="Times New Roman" w:hAnsi="Times New Roman" w:cs="Times New Roman"/>
            <w:color w:val="000000" w:themeColor="text1"/>
            <w:sz w:val="24"/>
            <w:szCs w:val="24"/>
            <w:u w:val="single"/>
          </w:rPr>
          <w:t>https://doi.org/10.1016/j.bushor.2020.01.007</w:t>
        </w:r>
      </w:hyperlink>
    </w:p>
    <w:p w14:paraId="47003674"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Srinivas, S.S. and Marathe, R.R. (2021) ‘Moving towards “mobile warehouse”: Last-mile logistics during COVID-19 and beyond’, Transportation Research Interdisciplinary Perspectives, 10, 100339. Available at: </w:t>
      </w:r>
      <w:hyperlink r:id="rId23">
        <w:r w:rsidRPr="00F65372">
          <w:rPr>
            <w:rFonts w:ascii="Times New Roman" w:hAnsi="Times New Roman" w:cs="Times New Roman"/>
            <w:color w:val="000000" w:themeColor="text1"/>
            <w:sz w:val="24"/>
            <w:szCs w:val="24"/>
            <w:u w:val="single"/>
          </w:rPr>
          <w:t>https://doi.org/10.1016/j.trip.2021.100339</w:t>
        </w:r>
      </w:hyperlink>
    </w:p>
    <w:p w14:paraId="6E35EAD6"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Teece, D.J. (2010) ‘Business models, business strategy and innovation’, Long Range Planning, 43(2-3), pp. 172-194. Available at: </w:t>
      </w:r>
      <w:hyperlink r:id="rId24">
        <w:r w:rsidRPr="00F65372">
          <w:rPr>
            <w:rFonts w:ascii="Times New Roman" w:hAnsi="Times New Roman" w:cs="Times New Roman"/>
            <w:color w:val="000000" w:themeColor="text1"/>
            <w:sz w:val="24"/>
            <w:szCs w:val="24"/>
            <w:u w:val="single"/>
          </w:rPr>
          <w:t>https://doi.org/10.1016/j.lrp.2009.07.003</w:t>
        </w:r>
      </w:hyperlink>
    </w:p>
    <w:p w14:paraId="257F06C2"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Verhoef, P.C., Broekhuizen, T., Bart, Y., Bhattacharya, A., Dong, J.Q., Fabian, N. and Haenlein, M. (2021) ‘Digital transformation: A multidisciplinary reflection and research agenda’, Journal of Business Research, 122, pp. 889-901. Available at: </w:t>
      </w:r>
      <w:hyperlink r:id="rId25">
        <w:r w:rsidRPr="00F65372">
          <w:rPr>
            <w:rFonts w:ascii="Times New Roman" w:hAnsi="Times New Roman" w:cs="Times New Roman"/>
            <w:color w:val="000000" w:themeColor="text1"/>
            <w:sz w:val="24"/>
            <w:szCs w:val="24"/>
            <w:u w:val="single"/>
          </w:rPr>
          <w:t>https://doi.org/10.1016/j.jbusres.2019.09.022</w:t>
        </w:r>
      </w:hyperlink>
    </w:p>
    <w:p w14:paraId="1533136D"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Vial, G. (2019) ‘Understanding digital transformation: A review and a research agenda’, The Journal of Strategic Information Systems, 28(2), pp. 118-144. Available at: </w:t>
      </w:r>
      <w:hyperlink r:id="rId26">
        <w:r w:rsidRPr="00F65372">
          <w:rPr>
            <w:rFonts w:ascii="Times New Roman" w:hAnsi="Times New Roman" w:cs="Times New Roman"/>
            <w:color w:val="000000" w:themeColor="text1"/>
            <w:sz w:val="24"/>
            <w:szCs w:val="24"/>
            <w:u w:val="single"/>
          </w:rPr>
          <w:t>https://doi.org/10.1016/j.jsis.2019.01.003</w:t>
        </w:r>
      </w:hyperlink>
    </w:p>
    <w:p w14:paraId="637CF2FE"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Department for Business and Trade (2025) SME Digital Adoption Taskforce: Final Report.  </w:t>
      </w:r>
    </w:p>
    <w:p w14:paraId="4B82F588"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Ofcom (2025) Online Nation 2025.  </w:t>
      </w:r>
    </w:p>
    <w:p w14:paraId="7A123486"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University of Wales Trinity Saint David (2026a) Causal Mapping for Problem Structuring. Design Thinking and Innovation lecture slides.  </w:t>
      </w:r>
    </w:p>
    <w:p w14:paraId="2775FBE2"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University of Wales Trinity Saint David (2026b) Customer Journey Mapping: Understanding and Applying the Framework. Design Thinking and Innovation lecture slides.  </w:t>
      </w:r>
    </w:p>
    <w:p w14:paraId="744CC2AC"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University of Wales Trinity Saint David (2026c) Desirability, Viability and Feasibility. Design Thinking and Innovation lecture slides.  </w:t>
      </w:r>
    </w:p>
    <w:p w14:paraId="3FD53BD1" w14:textId="77777777" w:rsidR="00034F63" w:rsidRPr="00F65372" w:rsidRDefault="00034F63" w:rsidP="00F65372">
      <w:pPr>
        <w:spacing w:after="0" w:line="480" w:lineRule="auto"/>
        <w:ind w:left="720" w:hanging="720"/>
        <w:rPr>
          <w:rFonts w:ascii="Times New Roman" w:hAnsi="Times New Roman" w:cs="Times New Roman"/>
          <w:color w:val="000000" w:themeColor="text1"/>
          <w:sz w:val="24"/>
          <w:szCs w:val="24"/>
        </w:rPr>
      </w:pPr>
      <w:r w:rsidRPr="00F65372">
        <w:rPr>
          <w:rFonts w:ascii="Times New Roman" w:hAnsi="Times New Roman" w:cs="Times New Roman"/>
          <w:color w:val="000000" w:themeColor="text1"/>
          <w:sz w:val="24"/>
          <w:szCs w:val="24"/>
        </w:rPr>
        <w:t xml:space="preserve">University of Wales Trinity Saint David (2026d) Innovation Ambition Matrix. Design Thinking and Innovation lecture slides.  </w:t>
      </w:r>
    </w:p>
    <w:p w14:paraId="58093EB0" w14:textId="77777777" w:rsidR="00C555E7" w:rsidRPr="00F65372" w:rsidRDefault="00C555E7" w:rsidP="00F65372">
      <w:pPr>
        <w:spacing w:after="0" w:line="480" w:lineRule="auto"/>
        <w:ind w:left="720" w:hanging="720"/>
        <w:rPr>
          <w:rFonts w:ascii="Times New Roman" w:hAnsi="Times New Roman" w:cs="Times New Roman"/>
          <w:color w:val="000000" w:themeColor="text1"/>
          <w:sz w:val="24"/>
          <w:szCs w:val="24"/>
        </w:rPr>
      </w:pPr>
    </w:p>
    <w:sectPr w:rsidR="00C555E7" w:rsidRPr="00F65372" w:rsidSect="00F65372">
      <w:footerReference w:type="default" r:id="rId27"/>
      <w:pgSz w:w="12240" w:h="15840"/>
      <w:pgMar w:top="1440" w:right="1440" w:bottom="1440" w:left="1440" w:header="432" w:footer="43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D620ED" w14:textId="77777777" w:rsidR="00BC25B2" w:rsidRDefault="00BC25B2">
      <w:pPr>
        <w:spacing w:after="0" w:line="240" w:lineRule="auto"/>
      </w:pPr>
      <w:r>
        <w:separator/>
      </w:r>
    </w:p>
  </w:endnote>
  <w:endnote w:type="continuationSeparator" w:id="0">
    <w:p w14:paraId="086D75A1" w14:textId="77777777" w:rsidR="00BC25B2" w:rsidRDefault="00BC25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C19D8B" w14:textId="77777777" w:rsidR="00034F63" w:rsidRDefault="00034F63">
    <w:pPr>
      <w:pStyle w:val="Footer"/>
      <w:jc w:val="center"/>
    </w:pPr>
    <w:r>
      <w:rPr>
        <w:color w:val="6E6E6E"/>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4E7556" w14:textId="77777777" w:rsidR="00BC25B2" w:rsidRDefault="00BC25B2">
      <w:pPr>
        <w:spacing w:after="0" w:line="240" w:lineRule="auto"/>
      </w:pPr>
      <w:r>
        <w:separator/>
      </w:r>
    </w:p>
  </w:footnote>
  <w:footnote w:type="continuationSeparator" w:id="0">
    <w:p w14:paraId="30C22022" w14:textId="77777777" w:rsidR="00BC25B2" w:rsidRDefault="00BC25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F63"/>
    <w:rsid w:val="00034F63"/>
    <w:rsid w:val="00197917"/>
    <w:rsid w:val="003067E4"/>
    <w:rsid w:val="00466BAC"/>
    <w:rsid w:val="004F426A"/>
    <w:rsid w:val="0067709E"/>
    <w:rsid w:val="00712FC1"/>
    <w:rsid w:val="0072029F"/>
    <w:rsid w:val="007D5110"/>
    <w:rsid w:val="0088407C"/>
    <w:rsid w:val="00BC25B2"/>
    <w:rsid w:val="00C555E7"/>
    <w:rsid w:val="00D10288"/>
    <w:rsid w:val="00F65372"/>
  </w:rsids>
  <m:mathPr>
    <m:mathFont m:val="Cambria Math"/>
    <m:brkBin m:val="before"/>
    <m:brkBinSub m:val="--"/>
    <m:smallFrac m:val="0"/>
    <m:dispDef/>
    <m:lMargin m:val="0"/>
    <m:rMargin m:val="0"/>
    <m:defJc m:val="centerGroup"/>
    <m:wrapIndent m:val="1440"/>
    <m:intLim m:val="subSup"/>
    <m:naryLim m:val="undOvr"/>
  </m:mathPr>
  <w:themeFontLang w:val="en-A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B903D"/>
  <w15:chartTrackingRefBased/>
  <w15:docId w15:val="{561CCF0B-68E0-4020-A9D0-DEF9ABE43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A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F63"/>
    <w:pPr>
      <w:spacing w:line="360" w:lineRule="auto"/>
    </w:pPr>
    <w:rPr>
      <w:rFonts w:ascii="Arial" w:eastAsia="Arial" w:hAnsi="Arial"/>
      <w:kern w:val="0"/>
      <w:sz w:val="22"/>
      <w:szCs w:val="22"/>
      <w:lang w:val="en-US"/>
      <w14:ligatures w14:val="none"/>
    </w:rPr>
  </w:style>
  <w:style w:type="paragraph" w:styleId="Heading1">
    <w:name w:val="heading 1"/>
    <w:basedOn w:val="Normal"/>
    <w:next w:val="Normal"/>
    <w:link w:val="Heading1Char"/>
    <w:autoRedefine/>
    <w:uiPriority w:val="9"/>
    <w:qFormat/>
    <w:rsid w:val="00466BAC"/>
    <w:pPr>
      <w:keepNext/>
      <w:keepLines/>
      <w:spacing w:before="360" w:after="80" w:line="278" w:lineRule="auto"/>
      <w:outlineLvl w:val="0"/>
    </w:pPr>
    <w:rPr>
      <w:rFonts w:asciiTheme="majorHAnsi" w:eastAsiaTheme="majorEastAsia" w:hAnsiTheme="majorHAnsi" w:cstheme="majorBidi"/>
      <w:b/>
      <w:color w:val="0F4761" w:themeColor="accent1" w:themeShade="BF"/>
      <w:kern w:val="2"/>
      <w:sz w:val="40"/>
      <w:szCs w:val="40"/>
      <w:lang w:val="en-AU"/>
      <w14:ligatures w14:val="standardContextual"/>
    </w:rPr>
  </w:style>
  <w:style w:type="paragraph" w:styleId="Heading2">
    <w:name w:val="heading 2"/>
    <w:basedOn w:val="Normal"/>
    <w:next w:val="Normal"/>
    <w:link w:val="Heading2Char"/>
    <w:autoRedefine/>
    <w:uiPriority w:val="9"/>
    <w:unhideWhenUsed/>
    <w:qFormat/>
    <w:rsid w:val="00466BAC"/>
    <w:pPr>
      <w:keepNext/>
      <w:keepLines/>
      <w:spacing w:before="160" w:after="80" w:line="278" w:lineRule="auto"/>
      <w:outlineLvl w:val="1"/>
    </w:pPr>
    <w:rPr>
      <w:rFonts w:asciiTheme="majorHAnsi" w:eastAsiaTheme="majorEastAsia" w:hAnsiTheme="majorHAnsi" w:cstheme="majorBidi"/>
      <w:b/>
      <w:color w:val="0F4761" w:themeColor="accent1" w:themeShade="BF"/>
      <w:kern w:val="2"/>
      <w:sz w:val="32"/>
      <w:szCs w:val="32"/>
      <w:lang w:val="en-AU"/>
      <w14:ligatures w14:val="standardContextual"/>
    </w:rPr>
  </w:style>
  <w:style w:type="paragraph" w:styleId="Heading3">
    <w:name w:val="heading 3"/>
    <w:basedOn w:val="Normal"/>
    <w:next w:val="Normal"/>
    <w:link w:val="Heading3Char"/>
    <w:uiPriority w:val="9"/>
    <w:semiHidden/>
    <w:unhideWhenUsed/>
    <w:qFormat/>
    <w:rsid w:val="00034F63"/>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AU"/>
      <w14:ligatures w14:val="standardContextual"/>
    </w:rPr>
  </w:style>
  <w:style w:type="paragraph" w:styleId="Heading4">
    <w:name w:val="heading 4"/>
    <w:basedOn w:val="Normal"/>
    <w:next w:val="Normal"/>
    <w:link w:val="Heading4Char"/>
    <w:uiPriority w:val="9"/>
    <w:semiHidden/>
    <w:unhideWhenUsed/>
    <w:qFormat/>
    <w:rsid w:val="00034F63"/>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AU"/>
      <w14:ligatures w14:val="standardContextual"/>
    </w:rPr>
  </w:style>
  <w:style w:type="paragraph" w:styleId="Heading5">
    <w:name w:val="heading 5"/>
    <w:basedOn w:val="Normal"/>
    <w:next w:val="Normal"/>
    <w:link w:val="Heading5Char"/>
    <w:uiPriority w:val="9"/>
    <w:semiHidden/>
    <w:unhideWhenUsed/>
    <w:qFormat/>
    <w:rsid w:val="00034F63"/>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AU"/>
      <w14:ligatures w14:val="standardContextual"/>
    </w:rPr>
  </w:style>
  <w:style w:type="paragraph" w:styleId="Heading6">
    <w:name w:val="heading 6"/>
    <w:basedOn w:val="Normal"/>
    <w:next w:val="Normal"/>
    <w:link w:val="Heading6Char"/>
    <w:uiPriority w:val="9"/>
    <w:semiHidden/>
    <w:unhideWhenUsed/>
    <w:qFormat/>
    <w:rsid w:val="00034F63"/>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val="en-AU"/>
      <w14:ligatures w14:val="standardContextual"/>
    </w:rPr>
  </w:style>
  <w:style w:type="paragraph" w:styleId="Heading7">
    <w:name w:val="heading 7"/>
    <w:basedOn w:val="Normal"/>
    <w:next w:val="Normal"/>
    <w:link w:val="Heading7Char"/>
    <w:uiPriority w:val="9"/>
    <w:semiHidden/>
    <w:unhideWhenUsed/>
    <w:qFormat/>
    <w:rsid w:val="00034F63"/>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val="en-AU"/>
      <w14:ligatures w14:val="standardContextual"/>
    </w:rPr>
  </w:style>
  <w:style w:type="paragraph" w:styleId="Heading8">
    <w:name w:val="heading 8"/>
    <w:basedOn w:val="Normal"/>
    <w:next w:val="Normal"/>
    <w:link w:val="Heading8Char"/>
    <w:uiPriority w:val="9"/>
    <w:semiHidden/>
    <w:unhideWhenUsed/>
    <w:qFormat/>
    <w:rsid w:val="00034F63"/>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val="en-AU"/>
      <w14:ligatures w14:val="standardContextual"/>
    </w:rPr>
  </w:style>
  <w:style w:type="paragraph" w:styleId="Heading9">
    <w:name w:val="heading 9"/>
    <w:basedOn w:val="Normal"/>
    <w:next w:val="Normal"/>
    <w:link w:val="Heading9Char"/>
    <w:uiPriority w:val="9"/>
    <w:semiHidden/>
    <w:unhideWhenUsed/>
    <w:qFormat/>
    <w:rsid w:val="00034F63"/>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val="en-AU"/>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6BAC"/>
    <w:rPr>
      <w:rFonts w:asciiTheme="majorHAnsi" w:eastAsiaTheme="majorEastAsia" w:hAnsiTheme="majorHAnsi" w:cstheme="majorBidi"/>
      <w:b/>
      <w:color w:val="0F4761" w:themeColor="accent1" w:themeShade="BF"/>
      <w:sz w:val="40"/>
      <w:szCs w:val="40"/>
    </w:rPr>
  </w:style>
  <w:style w:type="character" w:customStyle="1" w:styleId="Heading2Char">
    <w:name w:val="Heading 2 Char"/>
    <w:basedOn w:val="DefaultParagraphFont"/>
    <w:link w:val="Heading2"/>
    <w:uiPriority w:val="9"/>
    <w:rsid w:val="00466BAC"/>
    <w:rPr>
      <w:rFonts w:asciiTheme="majorHAnsi" w:eastAsiaTheme="majorEastAsia" w:hAnsiTheme="majorHAnsi"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034F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4F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4F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4F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4F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4F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4F63"/>
    <w:rPr>
      <w:rFonts w:eastAsiaTheme="majorEastAsia" w:cstheme="majorBidi"/>
      <w:color w:val="272727" w:themeColor="text1" w:themeTint="D8"/>
    </w:rPr>
  </w:style>
  <w:style w:type="paragraph" w:styleId="Title">
    <w:name w:val="Title"/>
    <w:basedOn w:val="Normal"/>
    <w:next w:val="Normal"/>
    <w:link w:val="TitleChar"/>
    <w:uiPriority w:val="10"/>
    <w:qFormat/>
    <w:rsid w:val="00034F63"/>
    <w:pPr>
      <w:spacing w:after="80" w:line="240" w:lineRule="auto"/>
      <w:contextualSpacing/>
    </w:pPr>
    <w:rPr>
      <w:rFonts w:asciiTheme="majorHAnsi" w:eastAsiaTheme="majorEastAsia" w:hAnsiTheme="majorHAnsi" w:cstheme="majorBidi"/>
      <w:spacing w:val="-10"/>
      <w:kern w:val="28"/>
      <w:sz w:val="56"/>
      <w:szCs w:val="56"/>
      <w:lang w:val="en-AU"/>
      <w14:ligatures w14:val="standardContextual"/>
    </w:rPr>
  </w:style>
  <w:style w:type="character" w:customStyle="1" w:styleId="TitleChar">
    <w:name w:val="Title Char"/>
    <w:basedOn w:val="DefaultParagraphFont"/>
    <w:link w:val="Title"/>
    <w:uiPriority w:val="10"/>
    <w:rsid w:val="00034F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4F63"/>
    <w:pPr>
      <w:numPr>
        <w:ilvl w:val="1"/>
      </w:numPr>
      <w:spacing w:line="278" w:lineRule="auto"/>
    </w:pPr>
    <w:rPr>
      <w:rFonts w:asciiTheme="minorHAnsi" w:eastAsiaTheme="majorEastAsia" w:hAnsiTheme="minorHAnsi" w:cstheme="majorBidi"/>
      <w:color w:val="595959" w:themeColor="text1" w:themeTint="A6"/>
      <w:spacing w:val="15"/>
      <w:kern w:val="2"/>
      <w:sz w:val="28"/>
      <w:szCs w:val="28"/>
      <w:lang w:val="en-AU"/>
      <w14:ligatures w14:val="standardContextual"/>
    </w:rPr>
  </w:style>
  <w:style w:type="character" w:customStyle="1" w:styleId="SubtitleChar">
    <w:name w:val="Subtitle Char"/>
    <w:basedOn w:val="DefaultParagraphFont"/>
    <w:link w:val="Subtitle"/>
    <w:uiPriority w:val="11"/>
    <w:rsid w:val="00034F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4F63"/>
    <w:pPr>
      <w:spacing w:before="160" w:line="278" w:lineRule="auto"/>
      <w:jc w:val="center"/>
    </w:pPr>
    <w:rPr>
      <w:rFonts w:asciiTheme="minorHAnsi" w:eastAsiaTheme="minorHAnsi" w:hAnsiTheme="minorHAnsi"/>
      <w:i/>
      <w:iCs/>
      <w:color w:val="404040" w:themeColor="text1" w:themeTint="BF"/>
      <w:kern w:val="2"/>
      <w:sz w:val="24"/>
      <w:szCs w:val="24"/>
      <w:lang w:val="en-AU"/>
      <w14:ligatures w14:val="standardContextual"/>
    </w:rPr>
  </w:style>
  <w:style w:type="character" w:customStyle="1" w:styleId="QuoteChar">
    <w:name w:val="Quote Char"/>
    <w:basedOn w:val="DefaultParagraphFont"/>
    <w:link w:val="Quote"/>
    <w:uiPriority w:val="29"/>
    <w:rsid w:val="00034F63"/>
    <w:rPr>
      <w:i/>
      <w:iCs/>
      <w:color w:val="404040" w:themeColor="text1" w:themeTint="BF"/>
    </w:rPr>
  </w:style>
  <w:style w:type="paragraph" w:styleId="ListParagraph">
    <w:name w:val="List Paragraph"/>
    <w:basedOn w:val="Normal"/>
    <w:uiPriority w:val="34"/>
    <w:qFormat/>
    <w:rsid w:val="00034F63"/>
    <w:pPr>
      <w:spacing w:line="278" w:lineRule="auto"/>
      <w:ind w:left="720"/>
      <w:contextualSpacing/>
    </w:pPr>
    <w:rPr>
      <w:rFonts w:asciiTheme="minorHAnsi" w:eastAsiaTheme="minorHAnsi" w:hAnsiTheme="minorHAnsi"/>
      <w:kern w:val="2"/>
      <w:sz w:val="24"/>
      <w:szCs w:val="24"/>
      <w:lang w:val="en-AU"/>
      <w14:ligatures w14:val="standardContextual"/>
    </w:rPr>
  </w:style>
  <w:style w:type="character" w:styleId="IntenseEmphasis">
    <w:name w:val="Intense Emphasis"/>
    <w:basedOn w:val="DefaultParagraphFont"/>
    <w:uiPriority w:val="21"/>
    <w:qFormat/>
    <w:rsid w:val="00034F63"/>
    <w:rPr>
      <w:i/>
      <w:iCs/>
      <w:color w:val="0F4761" w:themeColor="accent1" w:themeShade="BF"/>
    </w:rPr>
  </w:style>
  <w:style w:type="paragraph" w:styleId="IntenseQuote">
    <w:name w:val="Intense Quote"/>
    <w:basedOn w:val="Normal"/>
    <w:next w:val="Normal"/>
    <w:link w:val="IntenseQuoteChar"/>
    <w:uiPriority w:val="30"/>
    <w:qFormat/>
    <w:rsid w:val="00034F6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 w:val="24"/>
      <w:szCs w:val="24"/>
      <w:lang w:val="en-AU"/>
      <w14:ligatures w14:val="standardContextual"/>
    </w:rPr>
  </w:style>
  <w:style w:type="character" w:customStyle="1" w:styleId="IntenseQuoteChar">
    <w:name w:val="Intense Quote Char"/>
    <w:basedOn w:val="DefaultParagraphFont"/>
    <w:link w:val="IntenseQuote"/>
    <w:uiPriority w:val="30"/>
    <w:rsid w:val="00034F63"/>
    <w:rPr>
      <w:i/>
      <w:iCs/>
      <w:color w:val="0F4761" w:themeColor="accent1" w:themeShade="BF"/>
    </w:rPr>
  </w:style>
  <w:style w:type="character" w:styleId="IntenseReference">
    <w:name w:val="Intense Reference"/>
    <w:basedOn w:val="DefaultParagraphFont"/>
    <w:uiPriority w:val="32"/>
    <w:qFormat/>
    <w:rsid w:val="00034F63"/>
    <w:rPr>
      <w:b/>
      <w:bCs/>
      <w:smallCaps/>
      <w:color w:val="0F4761" w:themeColor="accent1" w:themeShade="BF"/>
      <w:spacing w:val="5"/>
    </w:rPr>
  </w:style>
  <w:style w:type="paragraph" w:styleId="Footer">
    <w:name w:val="footer"/>
    <w:basedOn w:val="Normal"/>
    <w:link w:val="FooterChar"/>
    <w:uiPriority w:val="99"/>
    <w:unhideWhenUsed/>
    <w:rsid w:val="00034F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4F63"/>
    <w:rPr>
      <w:rFonts w:ascii="Arial" w:eastAsia="Arial" w:hAnsi="Arial"/>
      <w:kern w:val="0"/>
      <w:sz w:val="22"/>
      <w:szCs w:val="22"/>
      <w:lang w:val="en-US"/>
      <w14:ligatures w14:val="none"/>
    </w:rPr>
  </w:style>
  <w:style w:type="table" w:styleId="TableGrid">
    <w:name w:val="Table Grid"/>
    <w:basedOn w:val="TableNormal"/>
    <w:uiPriority w:val="39"/>
    <w:rsid w:val="00F653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ejor.2020.11.032" TargetMode="External" /><Relationship Id="rId13" Type="http://schemas.openxmlformats.org/officeDocument/2006/relationships/hyperlink" Target="https://doi.org/10.1108/JSTP-05-2015-0111" TargetMode="External" /><Relationship Id="rId18" Type="http://schemas.openxmlformats.org/officeDocument/2006/relationships/hyperlink" Target="https://doi.org/10.1108/EJIM-03-2022-0164" TargetMode="External" /><Relationship Id="rId26" Type="http://schemas.openxmlformats.org/officeDocument/2006/relationships/hyperlink" Target="https://doi.org/10.1016/j.jsis.2019.01.003" TargetMode="External" /><Relationship Id="rId3" Type="http://schemas.openxmlformats.org/officeDocument/2006/relationships/webSettings" Target="webSettings.xml" /><Relationship Id="rId21" Type="http://schemas.openxmlformats.org/officeDocument/2006/relationships/hyperlink" Target="https://doi.org/10.1111/caim.12565" TargetMode="External" /><Relationship Id="rId7" Type="http://schemas.openxmlformats.org/officeDocument/2006/relationships/image" Target="media/image2.png" /><Relationship Id="rId12" Type="http://schemas.openxmlformats.org/officeDocument/2006/relationships/hyperlink" Target="https://doi.org/10.1016/j.rtbm.2025.101367" TargetMode="External" /><Relationship Id="rId17" Type="http://schemas.openxmlformats.org/officeDocument/2006/relationships/hyperlink" Target="https://doi.org/10.1016/S0377-2217(03)00056-0" TargetMode="External" /><Relationship Id="rId25" Type="http://schemas.openxmlformats.org/officeDocument/2006/relationships/hyperlink" Target="https://doi.org/10.1016/j.jbusres.2019.09.022" TargetMode="External" /><Relationship Id="rId2" Type="http://schemas.openxmlformats.org/officeDocument/2006/relationships/settings" Target="settings.xml" /><Relationship Id="rId16" Type="http://schemas.openxmlformats.org/officeDocument/2006/relationships/hyperlink" Target="https://doi.org/10.1111/jpim.12466" TargetMode="External" /><Relationship Id="rId20" Type="http://schemas.openxmlformats.org/officeDocument/2006/relationships/hyperlink" Target="https://doi.org/10.3390/su15032285" TargetMode="External" /><Relationship Id="rId29"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doi.org/10.1016/j.techfore.2018.09.017" TargetMode="External" /><Relationship Id="rId24" Type="http://schemas.openxmlformats.org/officeDocument/2006/relationships/hyperlink" Target="https://doi.org/10.1016/j.lrp.2009.07.003" TargetMode="External" /><Relationship Id="rId5" Type="http://schemas.openxmlformats.org/officeDocument/2006/relationships/endnotes" Target="endnotes.xml" /><Relationship Id="rId15" Type="http://schemas.openxmlformats.org/officeDocument/2006/relationships/hyperlink" Target="https://doi.org/10.1111/jpim.12163" TargetMode="External" /><Relationship Id="rId23" Type="http://schemas.openxmlformats.org/officeDocument/2006/relationships/hyperlink" Target="https://doi.org/10.1016/j.trip.2021.100339" TargetMode="External" /><Relationship Id="rId28" Type="http://schemas.openxmlformats.org/officeDocument/2006/relationships/fontTable" Target="fontTable.xml" /><Relationship Id="rId10" Type="http://schemas.openxmlformats.org/officeDocument/2006/relationships/hyperlink" Target="https://doi.org/10.1016/j.ejor.2018.05.061" TargetMode="External" /><Relationship Id="rId19" Type="http://schemas.openxmlformats.org/officeDocument/2006/relationships/hyperlink" Target="https://doi.org/10.1016/j.bushor.2016.09.010" TargetMode="External" /><Relationship Id="rId4" Type="http://schemas.openxmlformats.org/officeDocument/2006/relationships/footnotes" Target="footnotes.xml" /><Relationship Id="rId9" Type="http://schemas.openxmlformats.org/officeDocument/2006/relationships/hyperlink" Target="https://doi.org/10.1111/caim.12176" TargetMode="External" /><Relationship Id="rId14" Type="http://schemas.openxmlformats.org/officeDocument/2006/relationships/hyperlink" Target="https://doi.org/10.1509/jm.15.0420" TargetMode="External" /><Relationship Id="rId22" Type="http://schemas.openxmlformats.org/officeDocument/2006/relationships/hyperlink" Target="https://doi.org/10.1016/j.bushor.2020.01.007" TargetMode="External" /><Relationship Id="rId27"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5280</Words>
  <Characters>30100</Characters>
  <Application>Microsoft Office Word</Application>
  <DocSecurity>0</DocSecurity>
  <Lines>250</Lines>
  <Paragraphs>70</Paragraphs>
  <ScaleCrop>false</ScaleCrop>
  <Company/>
  <LinksUpToDate>false</LinksUpToDate>
  <CharactersWithSpaces>35310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 afaq</dc:creator>
  <cp:keywords/>
  <dc:description/>
  <cp:lastModifiedBy>Reed Graves</cp:lastModifiedBy>
  <cp:revision>2</cp:revision>
  <dcterms:created xsi:type="dcterms:W3CDTF">2026-07-06T16:25:00Z</dcterms:created>
  <dcterms:modified xsi:type="dcterms:W3CDTF">2026-07-06T16:25:00Z</dcterms:modified>
</cp:coreProperties>
</file>