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4844B6" w14:textId="77777777" w:rsidR="006A3CEB" w:rsidRDefault="00115BF0" w:rsidP="006A3CEB">
      <w:pPr>
        <w:jc w:val="center"/>
        <w:rPr>
          <w:sz w:val="34"/>
          <w:szCs w:val="34"/>
        </w:rPr>
      </w:pPr>
      <w:r>
        <w:rPr>
          <w:noProof/>
          <w:lang w:val="en-US"/>
        </w:rPr>
        <w:drawing>
          <wp:inline distT="0" distB="0" distL="0" distR="0" wp14:anchorId="56D86450" wp14:editId="468D3EAF">
            <wp:extent cx="2816225" cy="673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7480D84D" w14:textId="77777777" w:rsidR="006A3CEB" w:rsidRPr="009C063A" w:rsidRDefault="009C063A" w:rsidP="009D6F1A">
      <w:pPr>
        <w:spacing w:line="240" w:lineRule="auto"/>
        <w:jc w:val="center"/>
        <w:rPr>
          <w:sz w:val="38"/>
          <w:szCs w:val="38"/>
        </w:rPr>
      </w:pPr>
      <w:r w:rsidRPr="009C063A">
        <w:rPr>
          <w:sz w:val="38"/>
          <w:szCs w:val="38"/>
        </w:rPr>
        <w:t>Master of Business Administration</w:t>
      </w:r>
    </w:p>
    <w:p w14:paraId="0DF6E82E" w14:textId="77777777" w:rsidR="009D6F1A" w:rsidRPr="009C063A" w:rsidRDefault="009C063A" w:rsidP="009D6F1A">
      <w:pPr>
        <w:spacing w:line="240" w:lineRule="auto"/>
        <w:jc w:val="center"/>
        <w:rPr>
          <w:sz w:val="32"/>
          <w:szCs w:val="32"/>
        </w:rPr>
      </w:pPr>
      <w:r w:rsidRPr="009C063A">
        <w:rPr>
          <w:sz w:val="32"/>
          <w:szCs w:val="32"/>
        </w:rPr>
        <w:t>International Business pathway</w:t>
      </w:r>
    </w:p>
    <w:p w14:paraId="5435D6E5" w14:textId="77777777" w:rsidR="00043B72" w:rsidRDefault="00043B72" w:rsidP="00043B72">
      <w:pPr>
        <w:jc w:val="center"/>
        <w:rPr>
          <w:sz w:val="28"/>
          <w:szCs w:val="28"/>
        </w:rPr>
      </w:pPr>
    </w:p>
    <w:p w14:paraId="3081F326" w14:textId="77777777" w:rsidR="002D4596" w:rsidRDefault="00B901A0" w:rsidP="00D62C51">
      <w:pPr>
        <w:jc w:val="center"/>
        <w:rPr>
          <w:sz w:val="28"/>
          <w:szCs w:val="28"/>
        </w:rPr>
      </w:pPr>
      <w:r>
        <w:rPr>
          <w:noProof/>
          <w:sz w:val="28"/>
          <w:szCs w:val="28"/>
          <w:lang w:val="en-US"/>
        </w:rPr>
        <w:drawing>
          <wp:inline distT="0" distB="0" distL="0" distR="0" wp14:anchorId="33AA8F73" wp14:editId="314DFA62">
            <wp:extent cx="2257425" cy="225742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0459B820" w14:textId="77777777" w:rsidR="00F17846" w:rsidRPr="00E80B98" w:rsidRDefault="000D7BCC" w:rsidP="006A3CEB">
      <w:pPr>
        <w:jc w:val="center"/>
        <w:rPr>
          <w:color w:val="EE0000"/>
          <w:sz w:val="32"/>
          <w:szCs w:val="32"/>
        </w:rPr>
      </w:pPr>
      <w:r>
        <w:rPr>
          <w:b/>
          <w:color w:val="EE0000"/>
          <w:sz w:val="40"/>
        </w:rPr>
        <w:t>Accessible differentiation in Marks &amp; Spencer UK Food</w:t>
      </w:r>
    </w:p>
    <w:p w14:paraId="00F94366" w14:textId="2A6EA424" w:rsidR="006A3CEB" w:rsidRPr="00402BCB" w:rsidRDefault="006A3CEB" w:rsidP="006A3CEB">
      <w:pPr>
        <w:jc w:val="center"/>
        <w:rPr>
          <w:color w:val="FF0000"/>
          <w:sz w:val="28"/>
          <w:szCs w:val="28"/>
        </w:rPr>
      </w:pPr>
      <w:r>
        <w:rPr>
          <w:color w:val="000000"/>
        </w:rPr>
        <w:t xml:space="preserve">Assessment </w:t>
      </w:r>
      <w:r w:rsidRPr="00402BCB">
        <w:rPr>
          <w:color w:val="FF0000"/>
        </w:rPr>
        <w:t>1: Individual report</w:t>
      </w:r>
      <w:r>
        <w:rPr>
          <w:color w:val="000000"/>
        </w:rPr>
        <w:t xml:space="preserve">. Weight: </w:t>
      </w:r>
      <w:r w:rsidR="00402BCB" w:rsidRPr="00402BCB">
        <w:rPr>
          <w:color w:val="FF0000"/>
        </w:rPr>
        <w:t>50%</w:t>
      </w:r>
    </w:p>
    <w:p w14:paraId="759B5420" w14:textId="77777777" w:rsidR="002D4596" w:rsidRPr="00043B72" w:rsidRDefault="002D4596" w:rsidP="00E55CB9">
      <w:pPr>
        <w:jc w:val="center"/>
        <w:rPr>
          <w:sz w:val="28"/>
          <w:szCs w:val="28"/>
        </w:rPr>
      </w:pPr>
      <w:r>
        <w:rPr>
          <w:b/>
          <w:color w:val="000000"/>
        </w:rPr>
        <w:t xml:space="preserve">Module name: </w:t>
      </w:r>
      <w:r>
        <w:rPr>
          <w:color w:val="000000"/>
        </w:rPr>
        <w:t>Strategic Management</w:t>
      </w:r>
    </w:p>
    <w:p w14:paraId="62F7590B" w14:textId="77777777" w:rsidR="006A3CEB" w:rsidRPr="00043B72" w:rsidRDefault="002D4596" w:rsidP="00E55CB9">
      <w:pPr>
        <w:jc w:val="center"/>
        <w:rPr>
          <w:sz w:val="28"/>
          <w:szCs w:val="28"/>
        </w:rPr>
      </w:pPr>
      <w:r>
        <w:rPr>
          <w:b/>
          <w:color w:val="000000"/>
        </w:rPr>
        <w:t xml:space="preserve">Module code: </w:t>
      </w:r>
      <w:r>
        <w:rPr>
          <w:color w:val="000000"/>
        </w:rPr>
        <w:t>LCMB7003</w:t>
      </w:r>
    </w:p>
    <w:p w14:paraId="461FE552" w14:textId="77777777" w:rsidR="00DB439F" w:rsidRPr="00043B72" w:rsidRDefault="00DB439F" w:rsidP="00E55CB9">
      <w:pPr>
        <w:jc w:val="center"/>
        <w:rPr>
          <w:sz w:val="28"/>
          <w:szCs w:val="28"/>
        </w:rPr>
      </w:pPr>
      <w:r>
        <w:rPr>
          <w:b/>
          <w:color w:val="000000"/>
        </w:rPr>
        <w:t xml:space="preserve">Lecturer name: </w:t>
      </w:r>
      <w:r>
        <w:rPr>
          <w:color w:val="000000"/>
        </w:rPr>
        <w:t>Hoang Nguyen</w:t>
      </w:r>
    </w:p>
    <w:p w14:paraId="50AD4AF6" w14:textId="77777777" w:rsidR="00DB439F" w:rsidRPr="00043B72" w:rsidRDefault="00DB439F" w:rsidP="00E55CB9">
      <w:pPr>
        <w:jc w:val="center"/>
        <w:rPr>
          <w:sz w:val="28"/>
          <w:szCs w:val="28"/>
        </w:rPr>
      </w:pPr>
      <w:r>
        <w:rPr>
          <w:b/>
          <w:color w:val="000000"/>
        </w:rPr>
        <w:t xml:space="preserve">Student name: </w:t>
      </w:r>
      <w:proofErr w:type="spellStart"/>
      <w:r>
        <w:rPr>
          <w:color w:val="000000"/>
        </w:rPr>
        <w:t>Md</w:t>
      </w:r>
      <w:proofErr w:type="spellEnd"/>
      <w:r>
        <w:rPr>
          <w:color w:val="000000"/>
        </w:rPr>
        <w:t xml:space="preserve"> </w:t>
      </w:r>
      <w:proofErr w:type="spellStart"/>
      <w:r>
        <w:rPr>
          <w:color w:val="000000"/>
        </w:rPr>
        <w:t>Rakibul</w:t>
      </w:r>
      <w:proofErr w:type="spellEnd"/>
      <w:r>
        <w:rPr>
          <w:color w:val="000000"/>
        </w:rPr>
        <w:t xml:space="preserve"> Islam Raj</w:t>
      </w:r>
      <w:bookmarkStart w:id="0" w:name="_GoBack"/>
      <w:bookmarkEnd w:id="0"/>
    </w:p>
    <w:p w14:paraId="2321A6D8" w14:textId="77777777" w:rsidR="00DB439F" w:rsidRPr="00043B72" w:rsidRDefault="00DB439F" w:rsidP="00E55CB9">
      <w:pPr>
        <w:jc w:val="center"/>
        <w:rPr>
          <w:sz w:val="28"/>
          <w:szCs w:val="28"/>
        </w:rPr>
      </w:pPr>
      <w:r>
        <w:rPr>
          <w:b/>
          <w:color w:val="000000"/>
        </w:rPr>
        <w:t xml:space="preserve">Student ID: </w:t>
      </w:r>
      <w:r>
        <w:rPr>
          <w:color w:val="000000"/>
        </w:rPr>
        <w:t>2527048</w:t>
      </w:r>
    </w:p>
    <w:p w14:paraId="5D0A8063" w14:textId="7FCD91D8" w:rsidR="00DB439F" w:rsidRPr="00043B72" w:rsidRDefault="00DB439F" w:rsidP="00E55CB9">
      <w:pPr>
        <w:jc w:val="center"/>
        <w:rPr>
          <w:sz w:val="28"/>
          <w:szCs w:val="28"/>
        </w:rPr>
      </w:pPr>
      <w:r>
        <w:rPr>
          <w:b/>
          <w:color w:val="000000"/>
        </w:rPr>
        <w:t xml:space="preserve">Word count: </w:t>
      </w:r>
      <w:r>
        <w:rPr>
          <w:color w:val="000000"/>
        </w:rPr>
        <w:t>5,</w:t>
      </w:r>
      <w:r w:rsidR="00E55CB9">
        <w:rPr>
          <w:color w:val="000000"/>
        </w:rPr>
        <w:t>488</w:t>
      </w:r>
      <w:r>
        <w:rPr>
          <w:color w:val="000000"/>
        </w:rPr>
        <w:t xml:space="preserve"> words</w:t>
      </w:r>
    </w:p>
    <w:p w14:paraId="76EC4096" w14:textId="77777777" w:rsidR="00DB439F" w:rsidRPr="00043B72" w:rsidRDefault="00DB439F" w:rsidP="00E55CB9">
      <w:pPr>
        <w:jc w:val="center"/>
        <w:rPr>
          <w:sz w:val="28"/>
          <w:szCs w:val="28"/>
        </w:rPr>
      </w:pPr>
      <w:r>
        <w:rPr>
          <w:b/>
          <w:color w:val="000000"/>
        </w:rPr>
        <w:t xml:space="preserve">Submission date: </w:t>
      </w:r>
      <w:r>
        <w:rPr>
          <w:color w:val="000000"/>
        </w:rPr>
        <w:t>12 August 2026</w:t>
      </w:r>
      <w:r>
        <w:br w:type="page"/>
      </w:r>
    </w:p>
    <w:p w14:paraId="6076A68A" w14:textId="77777777" w:rsidR="00740C4A" w:rsidRDefault="00740C4A" w:rsidP="006A3CEB">
      <w:pPr>
        <w:pStyle w:val="FrontHeading"/>
      </w:pPr>
      <w:r>
        <w:lastRenderedPageBreak/>
        <w:t>AI Use Acknowledgement</w:t>
      </w:r>
    </w:p>
    <w:p w14:paraId="42DFD320" w14:textId="77777777" w:rsidR="00276E5D" w:rsidRDefault="008B4A12">
      <w:pPr>
        <w:spacing w:before="400" w:after="160"/>
        <w:jc w:val="both"/>
      </w:pPr>
      <w:r>
        <w:rPr>
          <w:color w:val="000000"/>
        </w:rPr>
        <w:t xml:space="preserve">I acknowledge the use of </w:t>
      </w:r>
      <w:proofErr w:type="spellStart"/>
      <w:r>
        <w:rPr>
          <w:color w:val="000000"/>
        </w:rPr>
        <w:t>ChatGPT</w:t>
      </w:r>
      <w:proofErr w:type="spellEnd"/>
      <w:r>
        <w:rPr>
          <w:color w:val="000000"/>
        </w:rPr>
        <w:t xml:space="preserve"> (</w:t>
      </w:r>
      <w:proofErr w:type="spellStart"/>
      <w:r>
        <w:rPr>
          <w:color w:val="000000"/>
        </w:rPr>
        <w:t>OpenAI</w:t>
      </w:r>
      <w:proofErr w:type="spellEnd"/>
      <w:r>
        <w:rPr>
          <w:color w:val="000000"/>
        </w:rPr>
        <w:t xml:space="preserve">) during the preparation of this assignment to support source discovery, initial </w:t>
      </w:r>
      <w:r>
        <w:rPr>
          <w:color w:val="000000"/>
        </w:rPr>
        <w:t>planning, language checking and document formatting. Examples of the prompts used were: ‘Identify credible academic, company and official sources relevant to the strategic position of Marks &amp; Spencer’s UK Food division’ and ‘Review selected passages for gr</w:t>
      </w:r>
      <w:r>
        <w:rPr>
          <w:color w:val="000000"/>
        </w:rPr>
        <w:t>ammar, tone and clarity while retaining their original meaning and structure’. I independently reviewed and verified the evidence against the cited sources, selected and applied the strategic-management frameworks, evaluated the findings, developed the rec</w:t>
      </w:r>
      <w:r>
        <w:rPr>
          <w:color w:val="000000"/>
        </w:rPr>
        <w:t>ommendations and completed the reflective account. I have read the final document and confirm that it is accurately referenced, represents my understanding and meets the University’s assessment requirements.</w:t>
      </w:r>
      <w:r>
        <w:br w:type="page"/>
      </w:r>
    </w:p>
    <w:p w14:paraId="1FB3480C" w14:textId="77777777" w:rsidR="00D85508" w:rsidRPr="00E55CB9" w:rsidRDefault="008B4A12" w:rsidP="00E55CB9">
      <w:pPr>
        <w:pStyle w:val="Heading1"/>
      </w:pPr>
      <w:bookmarkStart w:id="1" w:name="_Toc237388991"/>
      <w:r w:rsidRPr="00E55CB9">
        <w:lastRenderedPageBreak/>
        <w:t>Executive Summary</w:t>
      </w:r>
      <w:bookmarkEnd w:id="1"/>
    </w:p>
    <w:p w14:paraId="3BDFAA88" w14:textId="77777777" w:rsidR="00D85508" w:rsidRDefault="008B4A12">
      <w:pPr>
        <w:jc w:val="both"/>
        <w:rPr>
          <w:color w:val="000000"/>
        </w:rPr>
      </w:pPr>
      <w:r>
        <w:rPr>
          <w:color w:val="000000"/>
        </w:rPr>
        <w:t>Marks &amp; Spencer food function</w:t>
      </w:r>
      <w:r>
        <w:rPr>
          <w:color w:val="000000"/>
        </w:rPr>
        <w:t xml:space="preserve">s as a quality oriented retail business. But the economics of access is not one of its strongest suits. This food company has created a distinguishable image through its own brand quality, innovation, sourcing standards, and trust. It is handling business </w:t>
      </w:r>
      <w:r>
        <w:rPr>
          <w:color w:val="000000"/>
        </w:rPr>
        <w:t>in a UK grocery market where discounts have an extra edge and sensitivity towards value is very high. Accessible differentiation is the best way forward. The company needs to maintain the quality halo, scale the operation process that can generate reliable</w:t>
      </w:r>
      <w:r>
        <w:rPr>
          <w:color w:val="000000"/>
        </w:rPr>
        <w:t xml:space="preserve"> availability of products and develop ways for everyday value to be more visible and repeatable. This will be more </w:t>
      </w:r>
      <w:proofErr w:type="spellStart"/>
      <w:r>
        <w:rPr>
          <w:color w:val="000000"/>
        </w:rPr>
        <w:t>favorable</w:t>
      </w:r>
      <w:proofErr w:type="spellEnd"/>
      <w:r>
        <w:rPr>
          <w:color w:val="000000"/>
        </w:rPr>
        <w:t xml:space="preserve"> compared to pure cost leadership as imitating price would negatively impact the resources that distinguishes M&amp;S food from other co</w:t>
      </w:r>
      <w:r>
        <w:rPr>
          <w:color w:val="000000"/>
        </w:rPr>
        <w:t>mpetitors. A stage- gated delivery should focus on three points: protect the proposition, prepare, and everyday value system and scale out stores as well as supply chain capability. Sales growth should be proportionate to customer preference, margin qualit</w:t>
      </w:r>
      <w:r>
        <w:rPr>
          <w:color w:val="000000"/>
        </w:rPr>
        <w:t>y, lower waste, and organizational learning</w:t>
      </w:r>
      <w:r>
        <w:br w:type="page"/>
      </w:r>
    </w:p>
    <w:p w14:paraId="0E9E09C3" w14:textId="77777777" w:rsidR="00276E5D" w:rsidRPr="00E55CB9" w:rsidRDefault="008B4A12">
      <w:pPr>
        <w:pStyle w:val="TOCTitle"/>
        <w:spacing w:after="0" w:line="360" w:lineRule="auto"/>
        <w:rPr>
          <w:szCs w:val="32"/>
        </w:rPr>
      </w:pPr>
      <w:r w:rsidRPr="00E55CB9">
        <w:rPr>
          <w:color w:val="000000"/>
          <w:szCs w:val="32"/>
        </w:rPr>
        <w:lastRenderedPageBreak/>
        <w:t>Table of Contents</w:t>
      </w:r>
    </w:p>
    <w:p w14:paraId="602892E3" w14:textId="33C5A4F7" w:rsidR="00E55CB9" w:rsidRDefault="008B4A12">
      <w:pPr>
        <w:pStyle w:val="TOC1"/>
        <w:tabs>
          <w:tab w:val="right" w:leader="dot" w:pos="9016"/>
        </w:tabs>
        <w:rPr>
          <w:rFonts w:asciiTheme="minorHAnsi" w:eastAsiaTheme="minorEastAsia" w:hAnsiTheme="minorHAnsi"/>
          <w:noProof/>
          <w:lang w:val="en-US"/>
        </w:rPr>
      </w:pPr>
      <w:r>
        <w:rPr>
          <w:rFonts w:cs="Times New Roman"/>
        </w:rPr>
        <w:fldChar w:fldCharType="begin"/>
      </w:r>
      <w:r>
        <w:rPr>
          <w:rFonts w:cs="Times New Roman"/>
        </w:rPr>
        <w:instrText xml:space="preserve"> TOC \o "1-3" \h \z \u </w:instrText>
      </w:r>
      <w:r>
        <w:rPr>
          <w:rFonts w:cs="Times New Roman"/>
        </w:rPr>
        <w:fldChar w:fldCharType="separate"/>
      </w:r>
      <w:hyperlink w:anchor="_Toc237388991" w:history="1">
        <w:r w:rsidR="00E55CB9" w:rsidRPr="00C772C9">
          <w:rPr>
            <w:rStyle w:val="Hyperlink"/>
            <w:noProof/>
          </w:rPr>
          <w:t>Executive Summary</w:t>
        </w:r>
        <w:r w:rsidR="00E55CB9">
          <w:rPr>
            <w:noProof/>
            <w:webHidden/>
          </w:rPr>
          <w:tab/>
        </w:r>
        <w:r w:rsidR="00E55CB9">
          <w:rPr>
            <w:noProof/>
            <w:webHidden/>
          </w:rPr>
          <w:fldChar w:fldCharType="begin"/>
        </w:r>
        <w:r w:rsidR="00E55CB9">
          <w:rPr>
            <w:noProof/>
            <w:webHidden/>
          </w:rPr>
          <w:instrText xml:space="preserve"> PAGEREF _Toc237388991 \h </w:instrText>
        </w:r>
        <w:r w:rsidR="00E55CB9">
          <w:rPr>
            <w:noProof/>
            <w:webHidden/>
          </w:rPr>
        </w:r>
        <w:r w:rsidR="00E55CB9">
          <w:rPr>
            <w:noProof/>
            <w:webHidden/>
          </w:rPr>
          <w:fldChar w:fldCharType="separate"/>
        </w:r>
        <w:r w:rsidR="00E55CB9">
          <w:rPr>
            <w:noProof/>
            <w:webHidden/>
          </w:rPr>
          <w:t>3</w:t>
        </w:r>
        <w:r w:rsidR="00E55CB9">
          <w:rPr>
            <w:noProof/>
            <w:webHidden/>
          </w:rPr>
          <w:fldChar w:fldCharType="end"/>
        </w:r>
      </w:hyperlink>
    </w:p>
    <w:p w14:paraId="0F97F545" w14:textId="4B3F2E87" w:rsidR="00E55CB9" w:rsidRDefault="008B4A12">
      <w:pPr>
        <w:pStyle w:val="TOC1"/>
        <w:tabs>
          <w:tab w:val="right" w:leader="dot" w:pos="9016"/>
        </w:tabs>
        <w:rPr>
          <w:rFonts w:asciiTheme="minorHAnsi" w:eastAsiaTheme="minorEastAsia" w:hAnsiTheme="minorHAnsi"/>
          <w:noProof/>
          <w:lang w:val="en-US"/>
        </w:rPr>
      </w:pPr>
      <w:hyperlink w:anchor="_Toc237388992" w:history="1">
        <w:r w:rsidR="00E55CB9" w:rsidRPr="00C772C9">
          <w:rPr>
            <w:rStyle w:val="Hyperlink"/>
            <w:noProof/>
          </w:rPr>
          <w:t>Introduction</w:t>
        </w:r>
        <w:r w:rsidR="00E55CB9">
          <w:rPr>
            <w:noProof/>
            <w:webHidden/>
          </w:rPr>
          <w:tab/>
        </w:r>
        <w:r w:rsidR="00E55CB9">
          <w:rPr>
            <w:noProof/>
            <w:webHidden/>
          </w:rPr>
          <w:fldChar w:fldCharType="begin"/>
        </w:r>
        <w:r w:rsidR="00E55CB9">
          <w:rPr>
            <w:noProof/>
            <w:webHidden/>
          </w:rPr>
          <w:instrText xml:space="preserve"> PAGEREF _Toc237388992 \h </w:instrText>
        </w:r>
        <w:r w:rsidR="00E55CB9">
          <w:rPr>
            <w:noProof/>
            <w:webHidden/>
          </w:rPr>
        </w:r>
        <w:r w:rsidR="00E55CB9">
          <w:rPr>
            <w:noProof/>
            <w:webHidden/>
          </w:rPr>
          <w:fldChar w:fldCharType="separate"/>
        </w:r>
        <w:r w:rsidR="00E55CB9">
          <w:rPr>
            <w:noProof/>
            <w:webHidden/>
          </w:rPr>
          <w:t>6</w:t>
        </w:r>
        <w:r w:rsidR="00E55CB9">
          <w:rPr>
            <w:noProof/>
            <w:webHidden/>
          </w:rPr>
          <w:fldChar w:fldCharType="end"/>
        </w:r>
      </w:hyperlink>
    </w:p>
    <w:p w14:paraId="53A913A2" w14:textId="6A041A0C" w:rsidR="00E55CB9" w:rsidRDefault="008B4A12">
      <w:pPr>
        <w:pStyle w:val="TOC1"/>
        <w:tabs>
          <w:tab w:val="right" w:leader="dot" w:pos="9016"/>
        </w:tabs>
        <w:rPr>
          <w:rFonts w:asciiTheme="minorHAnsi" w:eastAsiaTheme="minorEastAsia" w:hAnsiTheme="minorHAnsi"/>
          <w:noProof/>
          <w:lang w:val="en-US"/>
        </w:rPr>
      </w:pPr>
      <w:hyperlink w:anchor="_Toc237388993" w:history="1">
        <w:r w:rsidR="00E55CB9" w:rsidRPr="00C772C9">
          <w:rPr>
            <w:rStyle w:val="Hyperlink"/>
            <w:noProof/>
          </w:rPr>
          <w:t>1. Organisational Context and Overview</w:t>
        </w:r>
        <w:r w:rsidR="00E55CB9">
          <w:rPr>
            <w:noProof/>
            <w:webHidden/>
          </w:rPr>
          <w:tab/>
        </w:r>
        <w:r w:rsidR="00E55CB9">
          <w:rPr>
            <w:noProof/>
            <w:webHidden/>
          </w:rPr>
          <w:fldChar w:fldCharType="begin"/>
        </w:r>
        <w:r w:rsidR="00E55CB9">
          <w:rPr>
            <w:noProof/>
            <w:webHidden/>
          </w:rPr>
          <w:instrText xml:space="preserve"> PAGEREF _Toc237388993 \h </w:instrText>
        </w:r>
        <w:r w:rsidR="00E55CB9">
          <w:rPr>
            <w:noProof/>
            <w:webHidden/>
          </w:rPr>
        </w:r>
        <w:r w:rsidR="00E55CB9">
          <w:rPr>
            <w:noProof/>
            <w:webHidden/>
          </w:rPr>
          <w:fldChar w:fldCharType="separate"/>
        </w:r>
        <w:r w:rsidR="00E55CB9">
          <w:rPr>
            <w:noProof/>
            <w:webHidden/>
          </w:rPr>
          <w:t>7</w:t>
        </w:r>
        <w:r w:rsidR="00E55CB9">
          <w:rPr>
            <w:noProof/>
            <w:webHidden/>
          </w:rPr>
          <w:fldChar w:fldCharType="end"/>
        </w:r>
      </w:hyperlink>
    </w:p>
    <w:p w14:paraId="18631734" w14:textId="4B6BB509" w:rsidR="00E55CB9" w:rsidRDefault="008B4A12">
      <w:pPr>
        <w:pStyle w:val="TOC2"/>
        <w:tabs>
          <w:tab w:val="right" w:leader="dot" w:pos="9016"/>
        </w:tabs>
        <w:rPr>
          <w:rFonts w:asciiTheme="minorHAnsi" w:eastAsiaTheme="minorEastAsia" w:hAnsiTheme="minorHAnsi"/>
          <w:noProof/>
          <w:lang w:val="en-US"/>
        </w:rPr>
      </w:pPr>
      <w:hyperlink w:anchor="_Toc237388994" w:history="1">
        <w:r w:rsidR="00E55CB9" w:rsidRPr="00C772C9">
          <w:rPr>
            <w:rStyle w:val="Hyperlink"/>
            <w:noProof/>
          </w:rPr>
          <w:t>1.1 Mission, vision and business model</w:t>
        </w:r>
        <w:r w:rsidR="00E55CB9">
          <w:rPr>
            <w:noProof/>
            <w:webHidden/>
          </w:rPr>
          <w:tab/>
        </w:r>
        <w:r w:rsidR="00E55CB9">
          <w:rPr>
            <w:noProof/>
            <w:webHidden/>
          </w:rPr>
          <w:fldChar w:fldCharType="begin"/>
        </w:r>
        <w:r w:rsidR="00E55CB9">
          <w:rPr>
            <w:noProof/>
            <w:webHidden/>
          </w:rPr>
          <w:instrText xml:space="preserve"> PAGEREF _Toc237388994 \h </w:instrText>
        </w:r>
        <w:r w:rsidR="00E55CB9">
          <w:rPr>
            <w:noProof/>
            <w:webHidden/>
          </w:rPr>
        </w:r>
        <w:r w:rsidR="00E55CB9">
          <w:rPr>
            <w:noProof/>
            <w:webHidden/>
          </w:rPr>
          <w:fldChar w:fldCharType="separate"/>
        </w:r>
        <w:r w:rsidR="00E55CB9">
          <w:rPr>
            <w:noProof/>
            <w:webHidden/>
          </w:rPr>
          <w:t>7</w:t>
        </w:r>
        <w:r w:rsidR="00E55CB9">
          <w:rPr>
            <w:noProof/>
            <w:webHidden/>
          </w:rPr>
          <w:fldChar w:fldCharType="end"/>
        </w:r>
      </w:hyperlink>
    </w:p>
    <w:p w14:paraId="2C7DE834" w14:textId="54E90638" w:rsidR="00E55CB9" w:rsidRDefault="008B4A12">
      <w:pPr>
        <w:pStyle w:val="TOC2"/>
        <w:tabs>
          <w:tab w:val="right" w:leader="dot" w:pos="9016"/>
        </w:tabs>
        <w:rPr>
          <w:rFonts w:asciiTheme="minorHAnsi" w:eastAsiaTheme="minorEastAsia" w:hAnsiTheme="minorHAnsi"/>
          <w:noProof/>
          <w:lang w:val="en-US"/>
        </w:rPr>
      </w:pPr>
      <w:hyperlink w:anchor="_Toc237388995" w:history="1">
        <w:r w:rsidR="00E55CB9" w:rsidRPr="00C772C9">
          <w:rPr>
            <w:rStyle w:val="Hyperlink"/>
            <w:noProof/>
          </w:rPr>
          <w:t>1.2 Performance and market position</w:t>
        </w:r>
        <w:r w:rsidR="00E55CB9">
          <w:rPr>
            <w:noProof/>
            <w:webHidden/>
          </w:rPr>
          <w:tab/>
        </w:r>
        <w:r w:rsidR="00E55CB9">
          <w:rPr>
            <w:noProof/>
            <w:webHidden/>
          </w:rPr>
          <w:fldChar w:fldCharType="begin"/>
        </w:r>
        <w:r w:rsidR="00E55CB9">
          <w:rPr>
            <w:noProof/>
            <w:webHidden/>
          </w:rPr>
          <w:instrText xml:space="preserve"> PAGEREF _Toc237388995 \h </w:instrText>
        </w:r>
        <w:r w:rsidR="00E55CB9">
          <w:rPr>
            <w:noProof/>
            <w:webHidden/>
          </w:rPr>
        </w:r>
        <w:r w:rsidR="00E55CB9">
          <w:rPr>
            <w:noProof/>
            <w:webHidden/>
          </w:rPr>
          <w:fldChar w:fldCharType="separate"/>
        </w:r>
        <w:r w:rsidR="00E55CB9">
          <w:rPr>
            <w:noProof/>
            <w:webHidden/>
          </w:rPr>
          <w:t>8</w:t>
        </w:r>
        <w:r w:rsidR="00E55CB9">
          <w:rPr>
            <w:noProof/>
            <w:webHidden/>
          </w:rPr>
          <w:fldChar w:fldCharType="end"/>
        </w:r>
      </w:hyperlink>
    </w:p>
    <w:p w14:paraId="7541E336" w14:textId="47B954DE" w:rsidR="00E55CB9" w:rsidRDefault="008B4A12">
      <w:pPr>
        <w:pStyle w:val="TOC1"/>
        <w:tabs>
          <w:tab w:val="right" w:leader="dot" w:pos="9016"/>
        </w:tabs>
        <w:rPr>
          <w:rFonts w:asciiTheme="minorHAnsi" w:eastAsiaTheme="minorEastAsia" w:hAnsiTheme="minorHAnsi"/>
          <w:noProof/>
          <w:lang w:val="en-US"/>
        </w:rPr>
      </w:pPr>
      <w:hyperlink w:anchor="_Toc237388996" w:history="1">
        <w:r w:rsidR="00E55CB9" w:rsidRPr="00C772C9">
          <w:rPr>
            <w:rStyle w:val="Hyperlink"/>
            <w:noProof/>
          </w:rPr>
          <w:t>2. External and Internal Analysis</w:t>
        </w:r>
        <w:r w:rsidR="00E55CB9">
          <w:rPr>
            <w:noProof/>
            <w:webHidden/>
          </w:rPr>
          <w:tab/>
        </w:r>
        <w:r w:rsidR="00E55CB9">
          <w:rPr>
            <w:noProof/>
            <w:webHidden/>
          </w:rPr>
          <w:fldChar w:fldCharType="begin"/>
        </w:r>
        <w:r w:rsidR="00E55CB9">
          <w:rPr>
            <w:noProof/>
            <w:webHidden/>
          </w:rPr>
          <w:instrText xml:space="preserve"> PAGEREF _Toc237388996 \h </w:instrText>
        </w:r>
        <w:r w:rsidR="00E55CB9">
          <w:rPr>
            <w:noProof/>
            <w:webHidden/>
          </w:rPr>
        </w:r>
        <w:r w:rsidR="00E55CB9">
          <w:rPr>
            <w:noProof/>
            <w:webHidden/>
          </w:rPr>
          <w:fldChar w:fldCharType="separate"/>
        </w:r>
        <w:r w:rsidR="00E55CB9">
          <w:rPr>
            <w:noProof/>
            <w:webHidden/>
          </w:rPr>
          <w:t>10</w:t>
        </w:r>
        <w:r w:rsidR="00E55CB9">
          <w:rPr>
            <w:noProof/>
            <w:webHidden/>
          </w:rPr>
          <w:fldChar w:fldCharType="end"/>
        </w:r>
      </w:hyperlink>
    </w:p>
    <w:p w14:paraId="7BB68407" w14:textId="2182769A" w:rsidR="00E55CB9" w:rsidRDefault="008B4A12">
      <w:pPr>
        <w:pStyle w:val="TOC2"/>
        <w:tabs>
          <w:tab w:val="right" w:leader="dot" w:pos="9016"/>
        </w:tabs>
        <w:rPr>
          <w:rFonts w:asciiTheme="minorHAnsi" w:eastAsiaTheme="minorEastAsia" w:hAnsiTheme="minorHAnsi"/>
          <w:noProof/>
          <w:lang w:val="en-US"/>
        </w:rPr>
      </w:pPr>
      <w:hyperlink w:anchor="_Toc237388997" w:history="1">
        <w:r w:rsidR="00E55CB9" w:rsidRPr="00C772C9">
          <w:rPr>
            <w:rStyle w:val="Hyperlink"/>
            <w:noProof/>
          </w:rPr>
          <w:t>2.1 PESTEL: the external pressures that matter</w:t>
        </w:r>
        <w:r w:rsidR="00E55CB9">
          <w:rPr>
            <w:noProof/>
            <w:webHidden/>
          </w:rPr>
          <w:tab/>
        </w:r>
        <w:r w:rsidR="00E55CB9">
          <w:rPr>
            <w:noProof/>
            <w:webHidden/>
          </w:rPr>
          <w:fldChar w:fldCharType="begin"/>
        </w:r>
        <w:r w:rsidR="00E55CB9">
          <w:rPr>
            <w:noProof/>
            <w:webHidden/>
          </w:rPr>
          <w:instrText xml:space="preserve"> PAGEREF _Toc237388997 \h </w:instrText>
        </w:r>
        <w:r w:rsidR="00E55CB9">
          <w:rPr>
            <w:noProof/>
            <w:webHidden/>
          </w:rPr>
        </w:r>
        <w:r w:rsidR="00E55CB9">
          <w:rPr>
            <w:noProof/>
            <w:webHidden/>
          </w:rPr>
          <w:fldChar w:fldCharType="separate"/>
        </w:r>
        <w:r w:rsidR="00E55CB9">
          <w:rPr>
            <w:noProof/>
            <w:webHidden/>
          </w:rPr>
          <w:t>10</w:t>
        </w:r>
        <w:r w:rsidR="00E55CB9">
          <w:rPr>
            <w:noProof/>
            <w:webHidden/>
          </w:rPr>
          <w:fldChar w:fldCharType="end"/>
        </w:r>
      </w:hyperlink>
    </w:p>
    <w:p w14:paraId="23F3F2A9" w14:textId="764077B5" w:rsidR="00E55CB9" w:rsidRDefault="008B4A12">
      <w:pPr>
        <w:pStyle w:val="TOC2"/>
        <w:tabs>
          <w:tab w:val="right" w:leader="dot" w:pos="9016"/>
        </w:tabs>
        <w:rPr>
          <w:rFonts w:asciiTheme="minorHAnsi" w:eastAsiaTheme="minorEastAsia" w:hAnsiTheme="minorHAnsi"/>
          <w:noProof/>
          <w:lang w:val="en-US"/>
        </w:rPr>
      </w:pPr>
      <w:hyperlink w:anchor="_Toc237388998" w:history="1">
        <w:r w:rsidR="00E55CB9" w:rsidRPr="00C772C9">
          <w:rPr>
            <w:rStyle w:val="Hyperlink"/>
            <w:noProof/>
          </w:rPr>
          <w:t>2.2 VRIO: whether M&amp;S Food's resources can support advantage</w:t>
        </w:r>
        <w:r w:rsidR="00E55CB9">
          <w:rPr>
            <w:noProof/>
            <w:webHidden/>
          </w:rPr>
          <w:tab/>
        </w:r>
        <w:r w:rsidR="00E55CB9">
          <w:rPr>
            <w:noProof/>
            <w:webHidden/>
          </w:rPr>
          <w:fldChar w:fldCharType="begin"/>
        </w:r>
        <w:r w:rsidR="00E55CB9">
          <w:rPr>
            <w:noProof/>
            <w:webHidden/>
          </w:rPr>
          <w:instrText xml:space="preserve"> PAGEREF _Toc237388998 \h </w:instrText>
        </w:r>
        <w:r w:rsidR="00E55CB9">
          <w:rPr>
            <w:noProof/>
            <w:webHidden/>
          </w:rPr>
        </w:r>
        <w:r w:rsidR="00E55CB9">
          <w:rPr>
            <w:noProof/>
            <w:webHidden/>
          </w:rPr>
          <w:fldChar w:fldCharType="separate"/>
        </w:r>
        <w:r w:rsidR="00E55CB9">
          <w:rPr>
            <w:noProof/>
            <w:webHidden/>
          </w:rPr>
          <w:t>14</w:t>
        </w:r>
        <w:r w:rsidR="00E55CB9">
          <w:rPr>
            <w:noProof/>
            <w:webHidden/>
          </w:rPr>
          <w:fldChar w:fldCharType="end"/>
        </w:r>
      </w:hyperlink>
    </w:p>
    <w:p w14:paraId="60B10972" w14:textId="24D1D208" w:rsidR="00E55CB9" w:rsidRDefault="008B4A12">
      <w:pPr>
        <w:pStyle w:val="TOC2"/>
        <w:tabs>
          <w:tab w:val="right" w:leader="dot" w:pos="9016"/>
        </w:tabs>
        <w:rPr>
          <w:rFonts w:asciiTheme="minorHAnsi" w:eastAsiaTheme="minorEastAsia" w:hAnsiTheme="minorHAnsi"/>
          <w:noProof/>
          <w:lang w:val="en-US"/>
        </w:rPr>
      </w:pPr>
      <w:hyperlink w:anchor="_Toc237388999" w:history="1">
        <w:r w:rsidR="00E55CB9" w:rsidRPr="00C772C9">
          <w:rPr>
            <w:rStyle w:val="Hyperlink"/>
            <w:noProof/>
          </w:rPr>
          <w:t>2.3 SWOT synthesis</w:t>
        </w:r>
        <w:r w:rsidR="00E55CB9">
          <w:rPr>
            <w:noProof/>
            <w:webHidden/>
          </w:rPr>
          <w:tab/>
        </w:r>
        <w:r w:rsidR="00E55CB9">
          <w:rPr>
            <w:noProof/>
            <w:webHidden/>
          </w:rPr>
          <w:fldChar w:fldCharType="begin"/>
        </w:r>
        <w:r w:rsidR="00E55CB9">
          <w:rPr>
            <w:noProof/>
            <w:webHidden/>
          </w:rPr>
          <w:instrText xml:space="preserve"> PAGEREF _Toc237388999 \h </w:instrText>
        </w:r>
        <w:r w:rsidR="00E55CB9">
          <w:rPr>
            <w:noProof/>
            <w:webHidden/>
          </w:rPr>
        </w:r>
        <w:r w:rsidR="00E55CB9">
          <w:rPr>
            <w:noProof/>
            <w:webHidden/>
          </w:rPr>
          <w:fldChar w:fldCharType="separate"/>
        </w:r>
        <w:r w:rsidR="00E55CB9">
          <w:rPr>
            <w:noProof/>
            <w:webHidden/>
          </w:rPr>
          <w:t>17</w:t>
        </w:r>
        <w:r w:rsidR="00E55CB9">
          <w:rPr>
            <w:noProof/>
            <w:webHidden/>
          </w:rPr>
          <w:fldChar w:fldCharType="end"/>
        </w:r>
      </w:hyperlink>
    </w:p>
    <w:p w14:paraId="02C44245" w14:textId="00FC6FC8" w:rsidR="00E55CB9" w:rsidRDefault="008B4A12">
      <w:pPr>
        <w:pStyle w:val="TOC3"/>
        <w:tabs>
          <w:tab w:val="right" w:leader="dot" w:pos="9016"/>
        </w:tabs>
        <w:rPr>
          <w:rFonts w:asciiTheme="minorHAnsi" w:eastAsiaTheme="minorEastAsia" w:hAnsiTheme="minorHAnsi"/>
          <w:noProof/>
          <w:lang w:val="en-US"/>
        </w:rPr>
      </w:pPr>
      <w:hyperlink w:anchor="_Toc237389000" w:history="1">
        <w:r w:rsidR="00E55CB9" w:rsidRPr="00C772C9">
          <w:rPr>
            <w:rStyle w:val="Hyperlink"/>
            <w:noProof/>
          </w:rPr>
          <w:t>2.3.1 SWOT-derived strategic action plan</w:t>
        </w:r>
        <w:r w:rsidR="00E55CB9">
          <w:rPr>
            <w:noProof/>
            <w:webHidden/>
          </w:rPr>
          <w:tab/>
        </w:r>
        <w:r w:rsidR="00E55CB9">
          <w:rPr>
            <w:noProof/>
            <w:webHidden/>
          </w:rPr>
          <w:fldChar w:fldCharType="begin"/>
        </w:r>
        <w:r w:rsidR="00E55CB9">
          <w:rPr>
            <w:noProof/>
            <w:webHidden/>
          </w:rPr>
          <w:instrText xml:space="preserve"> PAGEREF _Toc237389000 \h </w:instrText>
        </w:r>
        <w:r w:rsidR="00E55CB9">
          <w:rPr>
            <w:noProof/>
            <w:webHidden/>
          </w:rPr>
        </w:r>
        <w:r w:rsidR="00E55CB9">
          <w:rPr>
            <w:noProof/>
            <w:webHidden/>
          </w:rPr>
          <w:fldChar w:fldCharType="separate"/>
        </w:r>
        <w:r w:rsidR="00E55CB9">
          <w:rPr>
            <w:noProof/>
            <w:webHidden/>
          </w:rPr>
          <w:t>17</w:t>
        </w:r>
        <w:r w:rsidR="00E55CB9">
          <w:rPr>
            <w:noProof/>
            <w:webHidden/>
          </w:rPr>
          <w:fldChar w:fldCharType="end"/>
        </w:r>
      </w:hyperlink>
    </w:p>
    <w:p w14:paraId="3E2EFB1A" w14:textId="4534E208" w:rsidR="00E55CB9" w:rsidRDefault="008B4A12">
      <w:pPr>
        <w:pStyle w:val="TOC1"/>
        <w:tabs>
          <w:tab w:val="right" w:leader="dot" w:pos="9016"/>
        </w:tabs>
        <w:rPr>
          <w:rFonts w:asciiTheme="minorHAnsi" w:eastAsiaTheme="minorEastAsia" w:hAnsiTheme="minorHAnsi"/>
          <w:noProof/>
          <w:lang w:val="en-US"/>
        </w:rPr>
      </w:pPr>
      <w:hyperlink w:anchor="_Toc237389001" w:history="1">
        <w:r w:rsidR="00E55CB9" w:rsidRPr="00C772C9">
          <w:rPr>
            <w:rStyle w:val="Hyperlink"/>
            <w:noProof/>
          </w:rPr>
          <w:t>3. Comprehensive and Holistic View of the Organisation</w:t>
        </w:r>
        <w:r w:rsidR="00E55CB9">
          <w:rPr>
            <w:noProof/>
            <w:webHidden/>
          </w:rPr>
          <w:tab/>
        </w:r>
        <w:r w:rsidR="00E55CB9">
          <w:rPr>
            <w:noProof/>
            <w:webHidden/>
          </w:rPr>
          <w:fldChar w:fldCharType="begin"/>
        </w:r>
        <w:r w:rsidR="00E55CB9">
          <w:rPr>
            <w:noProof/>
            <w:webHidden/>
          </w:rPr>
          <w:instrText xml:space="preserve"> PAGEREF _Toc237389001 \h </w:instrText>
        </w:r>
        <w:r w:rsidR="00E55CB9">
          <w:rPr>
            <w:noProof/>
            <w:webHidden/>
          </w:rPr>
        </w:r>
        <w:r w:rsidR="00E55CB9">
          <w:rPr>
            <w:noProof/>
            <w:webHidden/>
          </w:rPr>
          <w:fldChar w:fldCharType="separate"/>
        </w:r>
        <w:r w:rsidR="00E55CB9">
          <w:rPr>
            <w:noProof/>
            <w:webHidden/>
          </w:rPr>
          <w:t>19</w:t>
        </w:r>
        <w:r w:rsidR="00E55CB9">
          <w:rPr>
            <w:noProof/>
            <w:webHidden/>
          </w:rPr>
          <w:fldChar w:fldCharType="end"/>
        </w:r>
      </w:hyperlink>
    </w:p>
    <w:p w14:paraId="2B63EA78" w14:textId="055134B7" w:rsidR="00E55CB9" w:rsidRDefault="008B4A12">
      <w:pPr>
        <w:pStyle w:val="TOC2"/>
        <w:tabs>
          <w:tab w:val="right" w:leader="dot" w:pos="9016"/>
        </w:tabs>
        <w:rPr>
          <w:rFonts w:asciiTheme="minorHAnsi" w:eastAsiaTheme="minorEastAsia" w:hAnsiTheme="minorHAnsi"/>
          <w:noProof/>
          <w:lang w:val="en-US"/>
        </w:rPr>
      </w:pPr>
      <w:hyperlink w:anchor="_Toc237389002" w:history="1">
        <w:r w:rsidR="00E55CB9" w:rsidRPr="00C772C9">
          <w:rPr>
            <w:rStyle w:val="Hyperlink"/>
            <w:noProof/>
          </w:rPr>
          <w:t>3.1 CSR and strategic alignment</w:t>
        </w:r>
        <w:r w:rsidR="00E55CB9">
          <w:rPr>
            <w:noProof/>
            <w:webHidden/>
          </w:rPr>
          <w:tab/>
        </w:r>
        <w:r w:rsidR="00E55CB9">
          <w:rPr>
            <w:noProof/>
            <w:webHidden/>
          </w:rPr>
          <w:fldChar w:fldCharType="begin"/>
        </w:r>
        <w:r w:rsidR="00E55CB9">
          <w:rPr>
            <w:noProof/>
            <w:webHidden/>
          </w:rPr>
          <w:instrText xml:space="preserve"> PAGEREF _Toc237389002 \h </w:instrText>
        </w:r>
        <w:r w:rsidR="00E55CB9">
          <w:rPr>
            <w:noProof/>
            <w:webHidden/>
          </w:rPr>
        </w:r>
        <w:r w:rsidR="00E55CB9">
          <w:rPr>
            <w:noProof/>
            <w:webHidden/>
          </w:rPr>
          <w:fldChar w:fldCharType="separate"/>
        </w:r>
        <w:r w:rsidR="00E55CB9">
          <w:rPr>
            <w:noProof/>
            <w:webHidden/>
          </w:rPr>
          <w:t>19</w:t>
        </w:r>
        <w:r w:rsidR="00E55CB9">
          <w:rPr>
            <w:noProof/>
            <w:webHidden/>
          </w:rPr>
          <w:fldChar w:fldCharType="end"/>
        </w:r>
      </w:hyperlink>
    </w:p>
    <w:p w14:paraId="3326B5CB" w14:textId="5BC9458D" w:rsidR="00E55CB9" w:rsidRDefault="008B4A12">
      <w:pPr>
        <w:pStyle w:val="TOC2"/>
        <w:tabs>
          <w:tab w:val="right" w:leader="dot" w:pos="9016"/>
        </w:tabs>
        <w:rPr>
          <w:rFonts w:asciiTheme="minorHAnsi" w:eastAsiaTheme="minorEastAsia" w:hAnsiTheme="minorHAnsi"/>
          <w:noProof/>
          <w:lang w:val="en-US"/>
        </w:rPr>
      </w:pPr>
      <w:hyperlink w:anchor="_Toc237389003" w:history="1">
        <w:r w:rsidR="00E55CB9" w:rsidRPr="00C772C9">
          <w:rPr>
            <w:rStyle w:val="Hyperlink"/>
            <w:noProof/>
          </w:rPr>
          <w:t>3.2 Balanced Scorecard</w:t>
        </w:r>
        <w:r w:rsidR="00E55CB9">
          <w:rPr>
            <w:noProof/>
            <w:webHidden/>
          </w:rPr>
          <w:tab/>
        </w:r>
        <w:r w:rsidR="00E55CB9">
          <w:rPr>
            <w:noProof/>
            <w:webHidden/>
          </w:rPr>
          <w:fldChar w:fldCharType="begin"/>
        </w:r>
        <w:r w:rsidR="00E55CB9">
          <w:rPr>
            <w:noProof/>
            <w:webHidden/>
          </w:rPr>
          <w:instrText xml:space="preserve"> PAGEREF _Toc237389003 \h </w:instrText>
        </w:r>
        <w:r w:rsidR="00E55CB9">
          <w:rPr>
            <w:noProof/>
            <w:webHidden/>
          </w:rPr>
        </w:r>
        <w:r w:rsidR="00E55CB9">
          <w:rPr>
            <w:noProof/>
            <w:webHidden/>
          </w:rPr>
          <w:fldChar w:fldCharType="separate"/>
        </w:r>
        <w:r w:rsidR="00E55CB9">
          <w:rPr>
            <w:noProof/>
            <w:webHidden/>
          </w:rPr>
          <w:t>20</w:t>
        </w:r>
        <w:r w:rsidR="00E55CB9">
          <w:rPr>
            <w:noProof/>
            <w:webHidden/>
          </w:rPr>
          <w:fldChar w:fldCharType="end"/>
        </w:r>
      </w:hyperlink>
    </w:p>
    <w:p w14:paraId="6F18E910" w14:textId="274B0059" w:rsidR="00E55CB9" w:rsidRDefault="008B4A12">
      <w:pPr>
        <w:pStyle w:val="TOC1"/>
        <w:tabs>
          <w:tab w:val="right" w:leader="dot" w:pos="9016"/>
        </w:tabs>
        <w:rPr>
          <w:rFonts w:asciiTheme="minorHAnsi" w:eastAsiaTheme="minorEastAsia" w:hAnsiTheme="minorHAnsi"/>
          <w:noProof/>
          <w:lang w:val="en-US"/>
        </w:rPr>
      </w:pPr>
      <w:hyperlink w:anchor="_Toc237389004" w:history="1">
        <w:r w:rsidR="00E55CB9" w:rsidRPr="00C772C9">
          <w:rPr>
            <w:rStyle w:val="Hyperlink"/>
            <w:noProof/>
          </w:rPr>
          <w:t>4. Strategic Choices and Implementation</w:t>
        </w:r>
        <w:r w:rsidR="00E55CB9">
          <w:rPr>
            <w:noProof/>
            <w:webHidden/>
          </w:rPr>
          <w:tab/>
        </w:r>
        <w:r w:rsidR="00E55CB9">
          <w:rPr>
            <w:noProof/>
            <w:webHidden/>
          </w:rPr>
          <w:fldChar w:fldCharType="begin"/>
        </w:r>
        <w:r w:rsidR="00E55CB9">
          <w:rPr>
            <w:noProof/>
            <w:webHidden/>
          </w:rPr>
          <w:instrText xml:space="preserve"> PAGEREF _Toc237389004 \h </w:instrText>
        </w:r>
        <w:r w:rsidR="00E55CB9">
          <w:rPr>
            <w:noProof/>
            <w:webHidden/>
          </w:rPr>
        </w:r>
        <w:r w:rsidR="00E55CB9">
          <w:rPr>
            <w:noProof/>
            <w:webHidden/>
          </w:rPr>
          <w:fldChar w:fldCharType="separate"/>
        </w:r>
        <w:r w:rsidR="00E55CB9">
          <w:rPr>
            <w:noProof/>
            <w:webHidden/>
          </w:rPr>
          <w:t>23</w:t>
        </w:r>
        <w:r w:rsidR="00E55CB9">
          <w:rPr>
            <w:noProof/>
            <w:webHidden/>
          </w:rPr>
          <w:fldChar w:fldCharType="end"/>
        </w:r>
      </w:hyperlink>
    </w:p>
    <w:p w14:paraId="29B1ED1F" w14:textId="0A5E55ED" w:rsidR="00E55CB9" w:rsidRDefault="008B4A12">
      <w:pPr>
        <w:pStyle w:val="TOC2"/>
        <w:tabs>
          <w:tab w:val="right" w:leader="dot" w:pos="9016"/>
        </w:tabs>
        <w:rPr>
          <w:rFonts w:asciiTheme="minorHAnsi" w:eastAsiaTheme="minorEastAsia" w:hAnsiTheme="minorHAnsi"/>
          <w:noProof/>
          <w:lang w:val="en-US"/>
        </w:rPr>
      </w:pPr>
      <w:hyperlink w:anchor="_Toc237389005" w:history="1">
        <w:r w:rsidR="00E55CB9" w:rsidRPr="00C772C9">
          <w:rPr>
            <w:rStyle w:val="Hyperlink"/>
            <w:noProof/>
          </w:rPr>
          <w:t>4.1 Strategic choice</w:t>
        </w:r>
        <w:r w:rsidR="00E55CB9">
          <w:rPr>
            <w:noProof/>
            <w:webHidden/>
          </w:rPr>
          <w:tab/>
        </w:r>
        <w:r w:rsidR="00E55CB9">
          <w:rPr>
            <w:noProof/>
            <w:webHidden/>
          </w:rPr>
          <w:fldChar w:fldCharType="begin"/>
        </w:r>
        <w:r w:rsidR="00E55CB9">
          <w:rPr>
            <w:noProof/>
            <w:webHidden/>
          </w:rPr>
          <w:instrText xml:space="preserve"> PAGEREF _Toc237389005 \h </w:instrText>
        </w:r>
        <w:r w:rsidR="00E55CB9">
          <w:rPr>
            <w:noProof/>
            <w:webHidden/>
          </w:rPr>
        </w:r>
        <w:r w:rsidR="00E55CB9">
          <w:rPr>
            <w:noProof/>
            <w:webHidden/>
          </w:rPr>
          <w:fldChar w:fldCharType="separate"/>
        </w:r>
        <w:r w:rsidR="00E55CB9">
          <w:rPr>
            <w:noProof/>
            <w:webHidden/>
          </w:rPr>
          <w:t>23</w:t>
        </w:r>
        <w:r w:rsidR="00E55CB9">
          <w:rPr>
            <w:noProof/>
            <w:webHidden/>
          </w:rPr>
          <w:fldChar w:fldCharType="end"/>
        </w:r>
      </w:hyperlink>
    </w:p>
    <w:p w14:paraId="29E27DBA" w14:textId="57E78DF8" w:rsidR="00E55CB9" w:rsidRDefault="008B4A12">
      <w:pPr>
        <w:pStyle w:val="TOC3"/>
        <w:tabs>
          <w:tab w:val="right" w:leader="dot" w:pos="9016"/>
        </w:tabs>
        <w:rPr>
          <w:rFonts w:asciiTheme="minorHAnsi" w:eastAsiaTheme="minorEastAsia" w:hAnsiTheme="minorHAnsi"/>
          <w:noProof/>
          <w:lang w:val="en-US"/>
        </w:rPr>
      </w:pPr>
      <w:hyperlink w:anchor="_Toc237389006" w:history="1">
        <w:r w:rsidR="00E55CB9" w:rsidRPr="00C772C9">
          <w:rPr>
            <w:rStyle w:val="Hyperlink"/>
            <w:noProof/>
          </w:rPr>
          <w:t>4.1.1 Alignment between evidence, models and strategic choice</w:t>
        </w:r>
        <w:r w:rsidR="00E55CB9">
          <w:rPr>
            <w:noProof/>
            <w:webHidden/>
          </w:rPr>
          <w:tab/>
        </w:r>
        <w:r w:rsidR="00E55CB9">
          <w:rPr>
            <w:noProof/>
            <w:webHidden/>
          </w:rPr>
          <w:fldChar w:fldCharType="begin"/>
        </w:r>
        <w:r w:rsidR="00E55CB9">
          <w:rPr>
            <w:noProof/>
            <w:webHidden/>
          </w:rPr>
          <w:instrText xml:space="preserve"> PAGEREF _Toc237389006 \h </w:instrText>
        </w:r>
        <w:r w:rsidR="00E55CB9">
          <w:rPr>
            <w:noProof/>
            <w:webHidden/>
          </w:rPr>
        </w:r>
        <w:r w:rsidR="00E55CB9">
          <w:rPr>
            <w:noProof/>
            <w:webHidden/>
          </w:rPr>
          <w:fldChar w:fldCharType="separate"/>
        </w:r>
        <w:r w:rsidR="00E55CB9">
          <w:rPr>
            <w:noProof/>
            <w:webHidden/>
          </w:rPr>
          <w:t>23</w:t>
        </w:r>
        <w:r w:rsidR="00E55CB9">
          <w:rPr>
            <w:noProof/>
            <w:webHidden/>
          </w:rPr>
          <w:fldChar w:fldCharType="end"/>
        </w:r>
      </w:hyperlink>
    </w:p>
    <w:p w14:paraId="70FE1CA3" w14:textId="16101357" w:rsidR="00E55CB9" w:rsidRDefault="008B4A12">
      <w:pPr>
        <w:pStyle w:val="TOC2"/>
        <w:tabs>
          <w:tab w:val="right" w:leader="dot" w:pos="9016"/>
        </w:tabs>
        <w:rPr>
          <w:rFonts w:asciiTheme="minorHAnsi" w:eastAsiaTheme="minorEastAsia" w:hAnsiTheme="minorHAnsi"/>
          <w:noProof/>
          <w:lang w:val="en-US"/>
        </w:rPr>
      </w:pPr>
      <w:hyperlink w:anchor="_Toc237389007" w:history="1">
        <w:r w:rsidR="00E55CB9" w:rsidRPr="00C772C9">
          <w:rPr>
            <w:rStyle w:val="Hyperlink"/>
            <w:noProof/>
          </w:rPr>
          <w:t>4.2 Validation and development path</w:t>
        </w:r>
        <w:r w:rsidR="00E55CB9">
          <w:rPr>
            <w:noProof/>
            <w:webHidden/>
          </w:rPr>
          <w:tab/>
        </w:r>
        <w:r w:rsidR="00E55CB9">
          <w:rPr>
            <w:noProof/>
            <w:webHidden/>
          </w:rPr>
          <w:fldChar w:fldCharType="begin"/>
        </w:r>
        <w:r w:rsidR="00E55CB9">
          <w:rPr>
            <w:noProof/>
            <w:webHidden/>
          </w:rPr>
          <w:instrText xml:space="preserve"> PAGEREF _Toc237389007 \h </w:instrText>
        </w:r>
        <w:r w:rsidR="00E55CB9">
          <w:rPr>
            <w:noProof/>
            <w:webHidden/>
          </w:rPr>
        </w:r>
        <w:r w:rsidR="00E55CB9">
          <w:rPr>
            <w:noProof/>
            <w:webHidden/>
          </w:rPr>
          <w:fldChar w:fldCharType="separate"/>
        </w:r>
        <w:r w:rsidR="00E55CB9">
          <w:rPr>
            <w:noProof/>
            <w:webHidden/>
          </w:rPr>
          <w:t>24</w:t>
        </w:r>
        <w:r w:rsidR="00E55CB9">
          <w:rPr>
            <w:noProof/>
            <w:webHidden/>
          </w:rPr>
          <w:fldChar w:fldCharType="end"/>
        </w:r>
      </w:hyperlink>
    </w:p>
    <w:p w14:paraId="5F9D91C6" w14:textId="2595EEDA" w:rsidR="00E55CB9" w:rsidRDefault="008B4A12">
      <w:pPr>
        <w:pStyle w:val="TOC3"/>
        <w:tabs>
          <w:tab w:val="right" w:leader="dot" w:pos="9016"/>
        </w:tabs>
        <w:rPr>
          <w:rFonts w:asciiTheme="minorHAnsi" w:eastAsiaTheme="minorEastAsia" w:hAnsiTheme="minorHAnsi"/>
          <w:noProof/>
          <w:lang w:val="en-US"/>
        </w:rPr>
      </w:pPr>
      <w:hyperlink w:anchor="_Toc237389008" w:history="1">
        <w:r w:rsidR="00E55CB9" w:rsidRPr="00C772C9">
          <w:rPr>
            <w:rStyle w:val="Hyperlink"/>
            <w:noProof/>
          </w:rPr>
          <w:t>4.2.1 Product-development challenges and solutions</w:t>
        </w:r>
        <w:r w:rsidR="00E55CB9">
          <w:rPr>
            <w:noProof/>
            <w:webHidden/>
          </w:rPr>
          <w:tab/>
        </w:r>
        <w:r w:rsidR="00E55CB9">
          <w:rPr>
            <w:noProof/>
            <w:webHidden/>
          </w:rPr>
          <w:fldChar w:fldCharType="begin"/>
        </w:r>
        <w:r w:rsidR="00E55CB9">
          <w:rPr>
            <w:noProof/>
            <w:webHidden/>
          </w:rPr>
          <w:instrText xml:space="preserve"> PAGEREF _Toc237389008 \h </w:instrText>
        </w:r>
        <w:r w:rsidR="00E55CB9">
          <w:rPr>
            <w:noProof/>
            <w:webHidden/>
          </w:rPr>
        </w:r>
        <w:r w:rsidR="00E55CB9">
          <w:rPr>
            <w:noProof/>
            <w:webHidden/>
          </w:rPr>
          <w:fldChar w:fldCharType="separate"/>
        </w:r>
        <w:r w:rsidR="00E55CB9">
          <w:rPr>
            <w:noProof/>
            <w:webHidden/>
          </w:rPr>
          <w:t>25</w:t>
        </w:r>
        <w:r w:rsidR="00E55CB9">
          <w:rPr>
            <w:noProof/>
            <w:webHidden/>
          </w:rPr>
          <w:fldChar w:fldCharType="end"/>
        </w:r>
      </w:hyperlink>
    </w:p>
    <w:p w14:paraId="3AEE3CCF" w14:textId="7E0EDB9E" w:rsidR="00E55CB9" w:rsidRDefault="008B4A12">
      <w:pPr>
        <w:pStyle w:val="TOC2"/>
        <w:tabs>
          <w:tab w:val="right" w:leader="dot" w:pos="9016"/>
        </w:tabs>
        <w:rPr>
          <w:rFonts w:asciiTheme="minorHAnsi" w:eastAsiaTheme="minorEastAsia" w:hAnsiTheme="minorHAnsi"/>
          <w:noProof/>
          <w:lang w:val="en-US"/>
        </w:rPr>
      </w:pPr>
      <w:hyperlink w:anchor="_Toc237389009" w:history="1">
        <w:r w:rsidR="00E55CB9" w:rsidRPr="00C772C9">
          <w:rPr>
            <w:rStyle w:val="Hyperlink"/>
            <w:noProof/>
          </w:rPr>
          <w:t>4.3 Implementation and mitigation</w:t>
        </w:r>
        <w:r w:rsidR="00E55CB9">
          <w:rPr>
            <w:noProof/>
            <w:webHidden/>
          </w:rPr>
          <w:tab/>
        </w:r>
        <w:r w:rsidR="00E55CB9">
          <w:rPr>
            <w:noProof/>
            <w:webHidden/>
          </w:rPr>
          <w:fldChar w:fldCharType="begin"/>
        </w:r>
        <w:r w:rsidR="00E55CB9">
          <w:rPr>
            <w:noProof/>
            <w:webHidden/>
          </w:rPr>
          <w:instrText xml:space="preserve"> PAGEREF _Toc237389009 \h </w:instrText>
        </w:r>
        <w:r w:rsidR="00E55CB9">
          <w:rPr>
            <w:noProof/>
            <w:webHidden/>
          </w:rPr>
        </w:r>
        <w:r w:rsidR="00E55CB9">
          <w:rPr>
            <w:noProof/>
            <w:webHidden/>
          </w:rPr>
          <w:fldChar w:fldCharType="separate"/>
        </w:r>
        <w:r w:rsidR="00E55CB9">
          <w:rPr>
            <w:noProof/>
            <w:webHidden/>
          </w:rPr>
          <w:t>26</w:t>
        </w:r>
        <w:r w:rsidR="00E55CB9">
          <w:rPr>
            <w:noProof/>
            <w:webHidden/>
          </w:rPr>
          <w:fldChar w:fldCharType="end"/>
        </w:r>
      </w:hyperlink>
    </w:p>
    <w:p w14:paraId="609FAFE8" w14:textId="40A5C44C" w:rsidR="00E55CB9" w:rsidRDefault="008B4A12">
      <w:pPr>
        <w:pStyle w:val="TOC2"/>
        <w:tabs>
          <w:tab w:val="right" w:leader="dot" w:pos="9016"/>
        </w:tabs>
        <w:rPr>
          <w:rFonts w:asciiTheme="minorHAnsi" w:eastAsiaTheme="minorEastAsia" w:hAnsiTheme="minorHAnsi"/>
          <w:noProof/>
          <w:lang w:val="en-US"/>
        </w:rPr>
      </w:pPr>
      <w:hyperlink w:anchor="_Toc237389010" w:history="1">
        <w:r w:rsidR="00E55CB9" w:rsidRPr="00C772C9">
          <w:rPr>
            <w:rStyle w:val="Hyperlink"/>
            <w:noProof/>
          </w:rPr>
          <w:t>4.4 Overall conclusion</w:t>
        </w:r>
        <w:r w:rsidR="00E55CB9">
          <w:rPr>
            <w:noProof/>
            <w:webHidden/>
          </w:rPr>
          <w:tab/>
        </w:r>
        <w:r w:rsidR="00E55CB9">
          <w:rPr>
            <w:noProof/>
            <w:webHidden/>
          </w:rPr>
          <w:fldChar w:fldCharType="begin"/>
        </w:r>
        <w:r w:rsidR="00E55CB9">
          <w:rPr>
            <w:noProof/>
            <w:webHidden/>
          </w:rPr>
          <w:instrText xml:space="preserve"> PAGEREF _Toc237389010 \h </w:instrText>
        </w:r>
        <w:r w:rsidR="00E55CB9">
          <w:rPr>
            <w:noProof/>
            <w:webHidden/>
          </w:rPr>
        </w:r>
        <w:r w:rsidR="00E55CB9">
          <w:rPr>
            <w:noProof/>
            <w:webHidden/>
          </w:rPr>
          <w:fldChar w:fldCharType="separate"/>
        </w:r>
        <w:r w:rsidR="00E55CB9">
          <w:rPr>
            <w:noProof/>
            <w:webHidden/>
          </w:rPr>
          <w:t>28</w:t>
        </w:r>
        <w:r w:rsidR="00E55CB9">
          <w:rPr>
            <w:noProof/>
            <w:webHidden/>
          </w:rPr>
          <w:fldChar w:fldCharType="end"/>
        </w:r>
      </w:hyperlink>
    </w:p>
    <w:p w14:paraId="692C47E5" w14:textId="6B64FF7E" w:rsidR="00E55CB9" w:rsidRDefault="008B4A12">
      <w:pPr>
        <w:pStyle w:val="TOC1"/>
        <w:tabs>
          <w:tab w:val="right" w:leader="dot" w:pos="9016"/>
        </w:tabs>
        <w:rPr>
          <w:rFonts w:asciiTheme="minorHAnsi" w:eastAsiaTheme="minorEastAsia" w:hAnsiTheme="minorHAnsi"/>
          <w:noProof/>
          <w:lang w:val="en-US"/>
        </w:rPr>
      </w:pPr>
      <w:hyperlink w:anchor="_Toc237389011" w:history="1">
        <w:r w:rsidR="00E55CB9" w:rsidRPr="00C772C9">
          <w:rPr>
            <w:rStyle w:val="Hyperlink"/>
            <w:noProof/>
          </w:rPr>
          <w:t>5. Reflective Account Using Gibbs' Cycle</w:t>
        </w:r>
        <w:r w:rsidR="00E55CB9">
          <w:rPr>
            <w:noProof/>
            <w:webHidden/>
          </w:rPr>
          <w:tab/>
        </w:r>
        <w:r w:rsidR="00E55CB9">
          <w:rPr>
            <w:noProof/>
            <w:webHidden/>
          </w:rPr>
          <w:fldChar w:fldCharType="begin"/>
        </w:r>
        <w:r w:rsidR="00E55CB9">
          <w:rPr>
            <w:noProof/>
            <w:webHidden/>
          </w:rPr>
          <w:instrText xml:space="preserve"> PAGEREF _Toc237389011 \h </w:instrText>
        </w:r>
        <w:r w:rsidR="00E55CB9">
          <w:rPr>
            <w:noProof/>
            <w:webHidden/>
          </w:rPr>
        </w:r>
        <w:r w:rsidR="00E55CB9">
          <w:rPr>
            <w:noProof/>
            <w:webHidden/>
          </w:rPr>
          <w:fldChar w:fldCharType="separate"/>
        </w:r>
        <w:r w:rsidR="00E55CB9">
          <w:rPr>
            <w:noProof/>
            <w:webHidden/>
          </w:rPr>
          <w:t>29</w:t>
        </w:r>
        <w:r w:rsidR="00E55CB9">
          <w:rPr>
            <w:noProof/>
            <w:webHidden/>
          </w:rPr>
          <w:fldChar w:fldCharType="end"/>
        </w:r>
      </w:hyperlink>
    </w:p>
    <w:p w14:paraId="62CF1C9E" w14:textId="500212F0" w:rsidR="00E55CB9" w:rsidRDefault="008B4A12">
      <w:pPr>
        <w:pStyle w:val="TOC2"/>
        <w:tabs>
          <w:tab w:val="right" w:leader="dot" w:pos="9016"/>
        </w:tabs>
        <w:rPr>
          <w:rFonts w:asciiTheme="minorHAnsi" w:eastAsiaTheme="minorEastAsia" w:hAnsiTheme="minorHAnsi"/>
          <w:noProof/>
          <w:lang w:val="en-US"/>
        </w:rPr>
      </w:pPr>
      <w:hyperlink w:anchor="_Toc237389012" w:history="1">
        <w:r w:rsidR="00E55CB9" w:rsidRPr="00C772C9">
          <w:rPr>
            <w:rStyle w:val="Hyperlink"/>
            <w:noProof/>
          </w:rPr>
          <w:t>Description</w:t>
        </w:r>
        <w:r w:rsidR="00E55CB9">
          <w:rPr>
            <w:noProof/>
            <w:webHidden/>
          </w:rPr>
          <w:tab/>
        </w:r>
        <w:r w:rsidR="00E55CB9">
          <w:rPr>
            <w:noProof/>
            <w:webHidden/>
          </w:rPr>
          <w:fldChar w:fldCharType="begin"/>
        </w:r>
        <w:r w:rsidR="00E55CB9">
          <w:rPr>
            <w:noProof/>
            <w:webHidden/>
          </w:rPr>
          <w:instrText xml:space="preserve"> PAGEREF _Toc237389012 \h </w:instrText>
        </w:r>
        <w:r w:rsidR="00E55CB9">
          <w:rPr>
            <w:noProof/>
            <w:webHidden/>
          </w:rPr>
        </w:r>
        <w:r w:rsidR="00E55CB9">
          <w:rPr>
            <w:noProof/>
            <w:webHidden/>
          </w:rPr>
          <w:fldChar w:fldCharType="separate"/>
        </w:r>
        <w:r w:rsidR="00E55CB9">
          <w:rPr>
            <w:noProof/>
            <w:webHidden/>
          </w:rPr>
          <w:t>29</w:t>
        </w:r>
        <w:r w:rsidR="00E55CB9">
          <w:rPr>
            <w:noProof/>
            <w:webHidden/>
          </w:rPr>
          <w:fldChar w:fldCharType="end"/>
        </w:r>
      </w:hyperlink>
    </w:p>
    <w:p w14:paraId="3E89BFFA" w14:textId="02F33F1F" w:rsidR="00E55CB9" w:rsidRDefault="008B4A12">
      <w:pPr>
        <w:pStyle w:val="TOC2"/>
        <w:tabs>
          <w:tab w:val="right" w:leader="dot" w:pos="9016"/>
        </w:tabs>
        <w:rPr>
          <w:rFonts w:asciiTheme="minorHAnsi" w:eastAsiaTheme="minorEastAsia" w:hAnsiTheme="minorHAnsi"/>
          <w:noProof/>
          <w:lang w:val="en-US"/>
        </w:rPr>
      </w:pPr>
      <w:hyperlink w:anchor="_Toc237389013" w:history="1">
        <w:r w:rsidR="00E55CB9" w:rsidRPr="00C772C9">
          <w:rPr>
            <w:rStyle w:val="Hyperlink"/>
            <w:noProof/>
          </w:rPr>
          <w:t>Feelings</w:t>
        </w:r>
        <w:r w:rsidR="00E55CB9">
          <w:rPr>
            <w:noProof/>
            <w:webHidden/>
          </w:rPr>
          <w:tab/>
        </w:r>
        <w:r w:rsidR="00E55CB9">
          <w:rPr>
            <w:noProof/>
            <w:webHidden/>
          </w:rPr>
          <w:fldChar w:fldCharType="begin"/>
        </w:r>
        <w:r w:rsidR="00E55CB9">
          <w:rPr>
            <w:noProof/>
            <w:webHidden/>
          </w:rPr>
          <w:instrText xml:space="preserve"> PAGEREF _Toc237389013 \h </w:instrText>
        </w:r>
        <w:r w:rsidR="00E55CB9">
          <w:rPr>
            <w:noProof/>
            <w:webHidden/>
          </w:rPr>
        </w:r>
        <w:r w:rsidR="00E55CB9">
          <w:rPr>
            <w:noProof/>
            <w:webHidden/>
          </w:rPr>
          <w:fldChar w:fldCharType="separate"/>
        </w:r>
        <w:r w:rsidR="00E55CB9">
          <w:rPr>
            <w:noProof/>
            <w:webHidden/>
          </w:rPr>
          <w:t>29</w:t>
        </w:r>
        <w:r w:rsidR="00E55CB9">
          <w:rPr>
            <w:noProof/>
            <w:webHidden/>
          </w:rPr>
          <w:fldChar w:fldCharType="end"/>
        </w:r>
      </w:hyperlink>
    </w:p>
    <w:p w14:paraId="4596A6D9" w14:textId="6CA380B6" w:rsidR="00E55CB9" w:rsidRDefault="008B4A12">
      <w:pPr>
        <w:pStyle w:val="TOC2"/>
        <w:tabs>
          <w:tab w:val="right" w:leader="dot" w:pos="9016"/>
        </w:tabs>
        <w:rPr>
          <w:rFonts w:asciiTheme="minorHAnsi" w:eastAsiaTheme="minorEastAsia" w:hAnsiTheme="minorHAnsi"/>
          <w:noProof/>
          <w:lang w:val="en-US"/>
        </w:rPr>
      </w:pPr>
      <w:hyperlink w:anchor="_Toc237389014" w:history="1">
        <w:r w:rsidR="00E55CB9" w:rsidRPr="00C772C9">
          <w:rPr>
            <w:rStyle w:val="Hyperlink"/>
            <w:noProof/>
          </w:rPr>
          <w:t>Evaluation</w:t>
        </w:r>
        <w:r w:rsidR="00E55CB9">
          <w:rPr>
            <w:noProof/>
            <w:webHidden/>
          </w:rPr>
          <w:tab/>
        </w:r>
        <w:r w:rsidR="00E55CB9">
          <w:rPr>
            <w:noProof/>
            <w:webHidden/>
          </w:rPr>
          <w:fldChar w:fldCharType="begin"/>
        </w:r>
        <w:r w:rsidR="00E55CB9">
          <w:rPr>
            <w:noProof/>
            <w:webHidden/>
          </w:rPr>
          <w:instrText xml:space="preserve"> PAGEREF _Toc237389014 \h </w:instrText>
        </w:r>
        <w:r w:rsidR="00E55CB9">
          <w:rPr>
            <w:noProof/>
            <w:webHidden/>
          </w:rPr>
        </w:r>
        <w:r w:rsidR="00E55CB9">
          <w:rPr>
            <w:noProof/>
            <w:webHidden/>
          </w:rPr>
          <w:fldChar w:fldCharType="separate"/>
        </w:r>
        <w:r w:rsidR="00E55CB9">
          <w:rPr>
            <w:noProof/>
            <w:webHidden/>
          </w:rPr>
          <w:t>29</w:t>
        </w:r>
        <w:r w:rsidR="00E55CB9">
          <w:rPr>
            <w:noProof/>
            <w:webHidden/>
          </w:rPr>
          <w:fldChar w:fldCharType="end"/>
        </w:r>
      </w:hyperlink>
    </w:p>
    <w:p w14:paraId="3F8BA22E" w14:textId="6FEDA3C9" w:rsidR="00E55CB9" w:rsidRDefault="008B4A12">
      <w:pPr>
        <w:pStyle w:val="TOC2"/>
        <w:tabs>
          <w:tab w:val="right" w:leader="dot" w:pos="9016"/>
        </w:tabs>
        <w:rPr>
          <w:rFonts w:asciiTheme="minorHAnsi" w:eastAsiaTheme="minorEastAsia" w:hAnsiTheme="minorHAnsi"/>
          <w:noProof/>
          <w:lang w:val="en-US"/>
        </w:rPr>
      </w:pPr>
      <w:hyperlink w:anchor="_Toc237389015" w:history="1">
        <w:r w:rsidR="00E55CB9" w:rsidRPr="00C772C9">
          <w:rPr>
            <w:rStyle w:val="Hyperlink"/>
            <w:noProof/>
          </w:rPr>
          <w:t>Analysis</w:t>
        </w:r>
        <w:r w:rsidR="00E55CB9">
          <w:rPr>
            <w:noProof/>
            <w:webHidden/>
          </w:rPr>
          <w:tab/>
        </w:r>
        <w:r w:rsidR="00E55CB9">
          <w:rPr>
            <w:noProof/>
            <w:webHidden/>
          </w:rPr>
          <w:fldChar w:fldCharType="begin"/>
        </w:r>
        <w:r w:rsidR="00E55CB9">
          <w:rPr>
            <w:noProof/>
            <w:webHidden/>
          </w:rPr>
          <w:instrText xml:space="preserve"> PAGEREF _Toc237389015 \h </w:instrText>
        </w:r>
        <w:r w:rsidR="00E55CB9">
          <w:rPr>
            <w:noProof/>
            <w:webHidden/>
          </w:rPr>
        </w:r>
        <w:r w:rsidR="00E55CB9">
          <w:rPr>
            <w:noProof/>
            <w:webHidden/>
          </w:rPr>
          <w:fldChar w:fldCharType="separate"/>
        </w:r>
        <w:r w:rsidR="00E55CB9">
          <w:rPr>
            <w:noProof/>
            <w:webHidden/>
          </w:rPr>
          <w:t>30</w:t>
        </w:r>
        <w:r w:rsidR="00E55CB9">
          <w:rPr>
            <w:noProof/>
            <w:webHidden/>
          </w:rPr>
          <w:fldChar w:fldCharType="end"/>
        </w:r>
      </w:hyperlink>
    </w:p>
    <w:p w14:paraId="6AD9A642" w14:textId="4D06DFC1" w:rsidR="00E55CB9" w:rsidRDefault="008B4A12">
      <w:pPr>
        <w:pStyle w:val="TOC2"/>
        <w:tabs>
          <w:tab w:val="right" w:leader="dot" w:pos="9016"/>
        </w:tabs>
        <w:rPr>
          <w:rFonts w:asciiTheme="minorHAnsi" w:eastAsiaTheme="minorEastAsia" w:hAnsiTheme="minorHAnsi"/>
          <w:noProof/>
          <w:lang w:val="en-US"/>
        </w:rPr>
      </w:pPr>
      <w:hyperlink w:anchor="_Toc237389016" w:history="1">
        <w:r w:rsidR="00E55CB9" w:rsidRPr="00C772C9">
          <w:rPr>
            <w:rStyle w:val="Hyperlink"/>
            <w:noProof/>
          </w:rPr>
          <w:t>Conclusion</w:t>
        </w:r>
        <w:r w:rsidR="00E55CB9">
          <w:rPr>
            <w:noProof/>
            <w:webHidden/>
          </w:rPr>
          <w:tab/>
        </w:r>
        <w:r w:rsidR="00E55CB9">
          <w:rPr>
            <w:noProof/>
            <w:webHidden/>
          </w:rPr>
          <w:fldChar w:fldCharType="begin"/>
        </w:r>
        <w:r w:rsidR="00E55CB9">
          <w:rPr>
            <w:noProof/>
            <w:webHidden/>
          </w:rPr>
          <w:instrText xml:space="preserve"> PAGEREF _Toc237389016 \h </w:instrText>
        </w:r>
        <w:r w:rsidR="00E55CB9">
          <w:rPr>
            <w:noProof/>
            <w:webHidden/>
          </w:rPr>
        </w:r>
        <w:r w:rsidR="00E55CB9">
          <w:rPr>
            <w:noProof/>
            <w:webHidden/>
          </w:rPr>
          <w:fldChar w:fldCharType="separate"/>
        </w:r>
        <w:r w:rsidR="00E55CB9">
          <w:rPr>
            <w:noProof/>
            <w:webHidden/>
          </w:rPr>
          <w:t>30</w:t>
        </w:r>
        <w:r w:rsidR="00E55CB9">
          <w:rPr>
            <w:noProof/>
            <w:webHidden/>
          </w:rPr>
          <w:fldChar w:fldCharType="end"/>
        </w:r>
      </w:hyperlink>
    </w:p>
    <w:p w14:paraId="3ACC333A" w14:textId="1AD4E81E" w:rsidR="00E55CB9" w:rsidRDefault="008B4A12">
      <w:pPr>
        <w:pStyle w:val="TOC2"/>
        <w:tabs>
          <w:tab w:val="right" w:leader="dot" w:pos="9016"/>
        </w:tabs>
        <w:rPr>
          <w:rFonts w:asciiTheme="minorHAnsi" w:eastAsiaTheme="minorEastAsia" w:hAnsiTheme="minorHAnsi"/>
          <w:noProof/>
          <w:lang w:val="en-US"/>
        </w:rPr>
      </w:pPr>
      <w:hyperlink w:anchor="_Toc237389017" w:history="1">
        <w:r w:rsidR="00E55CB9" w:rsidRPr="00C772C9">
          <w:rPr>
            <w:rStyle w:val="Hyperlink"/>
            <w:noProof/>
          </w:rPr>
          <w:t>Action plan</w:t>
        </w:r>
        <w:r w:rsidR="00E55CB9">
          <w:rPr>
            <w:noProof/>
            <w:webHidden/>
          </w:rPr>
          <w:tab/>
        </w:r>
        <w:r w:rsidR="00E55CB9">
          <w:rPr>
            <w:noProof/>
            <w:webHidden/>
          </w:rPr>
          <w:fldChar w:fldCharType="begin"/>
        </w:r>
        <w:r w:rsidR="00E55CB9">
          <w:rPr>
            <w:noProof/>
            <w:webHidden/>
          </w:rPr>
          <w:instrText xml:space="preserve"> PAGEREF _Toc237389017 \h </w:instrText>
        </w:r>
        <w:r w:rsidR="00E55CB9">
          <w:rPr>
            <w:noProof/>
            <w:webHidden/>
          </w:rPr>
        </w:r>
        <w:r w:rsidR="00E55CB9">
          <w:rPr>
            <w:noProof/>
            <w:webHidden/>
          </w:rPr>
          <w:fldChar w:fldCharType="separate"/>
        </w:r>
        <w:r w:rsidR="00E55CB9">
          <w:rPr>
            <w:noProof/>
            <w:webHidden/>
          </w:rPr>
          <w:t>30</w:t>
        </w:r>
        <w:r w:rsidR="00E55CB9">
          <w:rPr>
            <w:noProof/>
            <w:webHidden/>
          </w:rPr>
          <w:fldChar w:fldCharType="end"/>
        </w:r>
      </w:hyperlink>
    </w:p>
    <w:p w14:paraId="46D61EA6" w14:textId="57271BD0" w:rsidR="00E55CB9" w:rsidRDefault="008B4A12">
      <w:pPr>
        <w:pStyle w:val="TOC1"/>
        <w:tabs>
          <w:tab w:val="right" w:leader="dot" w:pos="9016"/>
        </w:tabs>
        <w:rPr>
          <w:rFonts w:asciiTheme="minorHAnsi" w:eastAsiaTheme="minorEastAsia" w:hAnsiTheme="minorHAnsi"/>
          <w:noProof/>
          <w:lang w:val="en-US"/>
        </w:rPr>
      </w:pPr>
      <w:hyperlink w:anchor="_Toc237389018" w:history="1">
        <w:r w:rsidR="00E55CB9" w:rsidRPr="00C772C9">
          <w:rPr>
            <w:rStyle w:val="Hyperlink"/>
            <w:noProof/>
          </w:rPr>
          <w:t>References</w:t>
        </w:r>
        <w:r w:rsidR="00E55CB9">
          <w:rPr>
            <w:noProof/>
            <w:webHidden/>
          </w:rPr>
          <w:tab/>
        </w:r>
        <w:r w:rsidR="00E55CB9">
          <w:rPr>
            <w:noProof/>
            <w:webHidden/>
          </w:rPr>
          <w:fldChar w:fldCharType="begin"/>
        </w:r>
        <w:r w:rsidR="00E55CB9">
          <w:rPr>
            <w:noProof/>
            <w:webHidden/>
          </w:rPr>
          <w:instrText xml:space="preserve"> PAGEREF _Toc237389018 \h </w:instrText>
        </w:r>
        <w:r w:rsidR="00E55CB9">
          <w:rPr>
            <w:noProof/>
            <w:webHidden/>
          </w:rPr>
        </w:r>
        <w:r w:rsidR="00E55CB9">
          <w:rPr>
            <w:noProof/>
            <w:webHidden/>
          </w:rPr>
          <w:fldChar w:fldCharType="separate"/>
        </w:r>
        <w:r w:rsidR="00E55CB9">
          <w:rPr>
            <w:noProof/>
            <w:webHidden/>
          </w:rPr>
          <w:t>32</w:t>
        </w:r>
        <w:r w:rsidR="00E55CB9">
          <w:rPr>
            <w:noProof/>
            <w:webHidden/>
          </w:rPr>
          <w:fldChar w:fldCharType="end"/>
        </w:r>
      </w:hyperlink>
    </w:p>
    <w:p w14:paraId="1F629355" w14:textId="74E8802C" w:rsidR="00E55CB9" w:rsidRDefault="008B4A12">
      <w:pPr>
        <w:pStyle w:val="TOC1"/>
        <w:tabs>
          <w:tab w:val="right" w:leader="dot" w:pos="9016"/>
        </w:tabs>
        <w:rPr>
          <w:rFonts w:asciiTheme="minorHAnsi" w:eastAsiaTheme="minorEastAsia" w:hAnsiTheme="minorHAnsi"/>
          <w:noProof/>
          <w:lang w:val="en-US"/>
        </w:rPr>
      </w:pPr>
      <w:hyperlink w:anchor="_Toc237389019" w:history="1">
        <w:r w:rsidR="00E55CB9" w:rsidRPr="00C772C9">
          <w:rPr>
            <w:rStyle w:val="Hyperlink"/>
            <w:noProof/>
          </w:rPr>
          <w:t>Appendix</w:t>
        </w:r>
        <w:r w:rsidR="00E55CB9">
          <w:rPr>
            <w:noProof/>
            <w:webHidden/>
          </w:rPr>
          <w:tab/>
        </w:r>
        <w:r w:rsidR="00E55CB9">
          <w:rPr>
            <w:noProof/>
            <w:webHidden/>
          </w:rPr>
          <w:fldChar w:fldCharType="begin"/>
        </w:r>
        <w:r w:rsidR="00E55CB9">
          <w:rPr>
            <w:noProof/>
            <w:webHidden/>
          </w:rPr>
          <w:instrText xml:space="preserve"> PAGEREF _Toc237389019 \h </w:instrText>
        </w:r>
        <w:r w:rsidR="00E55CB9">
          <w:rPr>
            <w:noProof/>
            <w:webHidden/>
          </w:rPr>
        </w:r>
        <w:r w:rsidR="00E55CB9">
          <w:rPr>
            <w:noProof/>
            <w:webHidden/>
          </w:rPr>
          <w:fldChar w:fldCharType="separate"/>
        </w:r>
        <w:r w:rsidR="00E55CB9">
          <w:rPr>
            <w:noProof/>
            <w:webHidden/>
          </w:rPr>
          <w:t>37</w:t>
        </w:r>
        <w:r w:rsidR="00E55CB9">
          <w:rPr>
            <w:noProof/>
            <w:webHidden/>
          </w:rPr>
          <w:fldChar w:fldCharType="end"/>
        </w:r>
      </w:hyperlink>
    </w:p>
    <w:p w14:paraId="23BAF33B" w14:textId="4A44C164" w:rsidR="00E55CB9" w:rsidRDefault="008B4A12">
      <w:pPr>
        <w:pStyle w:val="TOC2"/>
        <w:tabs>
          <w:tab w:val="right" w:leader="dot" w:pos="9016"/>
        </w:tabs>
        <w:rPr>
          <w:rFonts w:asciiTheme="minorHAnsi" w:eastAsiaTheme="minorEastAsia" w:hAnsiTheme="minorHAnsi"/>
          <w:noProof/>
          <w:lang w:val="en-US"/>
        </w:rPr>
      </w:pPr>
      <w:hyperlink w:anchor="_Toc237389020" w:history="1">
        <w:r w:rsidR="00E55CB9" w:rsidRPr="00C772C9">
          <w:rPr>
            <w:rStyle w:val="Hyperlink"/>
            <w:noProof/>
          </w:rPr>
          <w:t>Appendix A: Strategic assumptions and sensitivity register</w:t>
        </w:r>
        <w:r w:rsidR="00E55CB9">
          <w:rPr>
            <w:noProof/>
            <w:webHidden/>
          </w:rPr>
          <w:tab/>
        </w:r>
        <w:r w:rsidR="00E55CB9">
          <w:rPr>
            <w:noProof/>
            <w:webHidden/>
          </w:rPr>
          <w:fldChar w:fldCharType="begin"/>
        </w:r>
        <w:r w:rsidR="00E55CB9">
          <w:rPr>
            <w:noProof/>
            <w:webHidden/>
          </w:rPr>
          <w:instrText xml:space="preserve"> PAGEREF _Toc237389020 \h </w:instrText>
        </w:r>
        <w:r w:rsidR="00E55CB9">
          <w:rPr>
            <w:noProof/>
            <w:webHidden/>
          </w:rPr>
        </w:r>
        <w:r w:rsidR="00E55CB9">
          <w:rPr>
            <w:noProof/>
            <w:webHidden/>
          </w:rPr>
          <w:fldChar w:fldCharType="separate"/>
        </w:r>
        <w:r w:rsidR="00E55CB9">
          <w:rPr>
            <w:noProof/>
            <w:webHidden/>
          </w:rPr>
          <w:t>37</w:t>
        </w:r>
        <w:r w:rsidR="00E55CB9">
          <w:rPr>
            <w:noProof/>
            <w:webHidden/>
          </w:rPr>
          <w:fldChar w:fldCharType="end"/>
        </w:r>
      </w:hyperlink>
    </w:p>
    <w:p w14:paraId="25A6F628" w14:textId="5611DF9F" w:rsidR="00276E5D" w:rsidRDefault="008B4A12">
      <w:pPr>
        <w:tabs>
          <w:tab w:val="right" w:leader="dot" w:pos="9000"/>
        </w:tabs>
        <w:spacing w:after="60" w:line="240" w:lineRule="auto"/>
        <w:ind w:left="360"/>
      </w:pPr>
      <w:r>
        <w:rPr>
          <w:rFonts w:cs="Times New Roman"/>
        </w:rPr>
        <w:fldChar w:fldCharType="end"/>
      </w:r>
      <w:r>
        <w:br w:type="page"/>
      </w:r>
    </w:p>
    <w:p w14:paraId="113E12EF" w14:textId="77777777" w:rsidR="00276E5D" w:rsidRDefault="008B4A12" w:rsidP="00E55CB9">
      <w:pPr>
        <w:pStyle w:val="Heading1"/>
      </w:pPr>
      <w:bookmarkStart w:id="2" w:name="_Toc237388992"/>
      <w:r>
        <w:lastRenderedPageBreak/>
        <w:t>Introduction</w:t>
      </w:r>
      <w:bookmarkEnd w:id="2"/>
    </w:p>
    <w:p w14:paraId="1569095C" w14:textId="77777777" w:rsidR="00276E5D" w:rsidRDefault="008B4A12">
      <w:pPr>
        <w:jc w:val="both"/>
      </w:pPr>
      <w:r>
        <w:rPr>
          <w:color w:val="000000"/>
        </w:rPr>
        <w:t xml:space="preserve">This report evaluates the strategic position of Marks &amp; Spencer's UK Food division and recommends how it can broaden everyday relevance without weakening the quality, innovation and trust that distinguish the </w:t>
      </w:r>
      <w:r>
        <w:rPr>
          <w:color w:val="000000"/>
        </w:rPr>
        <w:t>brand. Accessible differentiation is treated as the central strategic question. PESTEL, VRIO and SWOT connect external opportunities and threats with internal strengths and weaknesses. CSR and the Balanced Scorecard test whether growth is responsible, meas</w:t>
      </w:r>
      <w:r>
        <w:rPr>
          <w:color w:val="000000"/>
        </w:rPr>
        <w:t xml:space="preserve">urable and aligned with strategic purpose. Generic strategy, Five Forces, </w:t>
      </w:r>
      <w:proofErr w:type="spellStart"/>
      <w:r>
        <w:rPr>
          <w:color w:val="000000"/>
        </w:rPr>
        <w:t>Ansoff</w:t>
      </w:r>
      <w:proofErr w:type="spellEnd"/>
      <w:r>
        <w:rPr>
          <w:color w:val="000000"/>
        </w:rPr>
        <w:t xml:space="preserve"> and </w:t>
      </w:r>
      <w:proofErr w:type="spellStart"/>
      <w:r>
        <w:rPr>
          <w:color w:val="000000"/>
        </w:rPr>
        <w:t>SAFe</w:t>
      </w:r>
      <w:proofErr w:type="spellEnd"/>
      <w:r>
        <w:rPr>
          <w:color w:val="000000"/>
        </w:rPr>
        <w:t xml:space="preserve"> then evaluate the available choices and implementation conditions. The evidence is secondary.</w:t>
      </w:r>
    </w:p>
    <w:p w14:paraId="7998BA2D" w14:textId="77777777" w:rsidR="00D85508" w:rsidRDefault="008B4A12">
      <w:pPr>
        <w:rPr>
          <w:rFonts w:cs="Times New Roman"/>
        </w:rPr>
      </w:pPr>
      <w:r>
        <w:rPr>
          <w:color w:val="000000"/>
        </w:rPr>
        <w:br w:type="page"/>
      </w:r>
    </w:p>
    <w:p w14:paraId="732B538B" w14:textId="77777777" w:rsidR="00D85508" w:rsidRDefault="008B4A12" w:rsidP="00E55CB9">
      <w:pPr>
        <w:pStyle w:val="Heading1"/>
      </w:pPr>
      <w:bookmarkStart w:id="3" w:name="_Toc237388993"/>
      <w:r>
        <w:lastRenderedPageBreak/>
        <w:t>1. Organisational Context and Overview</w:t>
      </w:r>
      <w:bookmarkEnd w:id="3"/>
    </w:p>
    <w:p w14:paraId="6030FDCB" w14:textId="77777777" w:rsidR="00D85508" w:rsidRDefault="008B4A12">
      <w:pPr>
        <w:jc w:val="both"/>
      </w:pPr>
      <w:r>
        <w:rPr>
          <w:color w:val="000000"/>
        </w:rPr>
        <w:t xml:space="preserve">M&amp;S is a renowned name in the </w:t>
      </w:r>
      <w:r>
        <w:rPr>
          <w:color w:val="000000"/>
        </w:rPr>
        <w:t xml:space="preserve">old and established UK retail business. It's current strategic identity revolves only around product. The company offers exceptional quality when it comes to food, better value for money and the </w:t>
      </w:r>
      <w:proofErr w:type="spellStart"/>
      <w:r>
        <w:rPr>
          <w:color w:val="000000"/>
        </w:rPr>
        <w:t>Ocado</w:t>
      </w:r>
      <w:proofErr w:type="spellEnd"/>
      <w:r>
        <w:rPr>
          <w:color w:val="000000"/>
        </w:rPr>
        <w:t xml:space="preserve"> partnership (Marks &amp; Spencer Group plc, 2026c; Marks &amp; </w:t>
      </w:r>
      <w:r>
        <w:rPr>
          <w:color w:val="000000"/>
        </w:rPr>
        <w:t xml:space="preserve">Spencer Group plc, </w:t>
      </w:r>
      <w:proofErr w:type="spellStart"/>
      <w:r>
        <w:rPr>
          <w:color w:val="000000"/>
        </w:rPr>
        <w:t>n.d.</w:t>
      </w:r>
      <w:proofErr w:type="spellEnd"/>
      <w:r>
        <w:rPr>
          <w:color w:val="000000"/>
        </w:rPr>
        <w:t>). Along with good location and price, the division is surviving the competition through their design and credibility.</w:t>
      </w:r>
    </w:p>
    <w:p w14:paraId="52855027" w14:textId="77777777" w:rsidR="00D85508" w:rsidRDefault="008B4A12">
      <w:pPr>
        <w:jc w:val="both"/>
      </w:pPr>
      <w:r>
        <w:rPr>
          <w:color w:val="000000"/>
        </w:rPr>
        <w:t>Since its birth in the nineteenth century, the M&amp;S brand has been able to accumulate trust of its customers and an</w:t>
      </w:r>
      <w:r>
        <w:rPr>
          <w:color w:val="000000"/>
        </w:rPr>
        <w:t xml:space="preserve"> association with quality. While this inheritance can retain a premium and niche customer </w:t>
      </w:r>
      <w:proofErr w:type="spellStart"/>
      <w:proofErr w:type="gramStart"/>
      <w:r>
        <w:rPr>
          <w:color w:val="000000"/>
        </w:rPr>
        <w:t>base,M</w:t>
      </w:r>
      <w:proofErr w:type="gramEnd"/>
      <w:r>
        <w:rPr>
          <w:color w:val="000000"/>
        </w:rPr>
        <w:t>&amp;S</w:t>
      </w:r>
      <w:proofErr w:type="spellEnd"/>
      <w:r>
        <w:rPr>
          <w:color w:val="000000"/>
        </w:rPr>
        <w:t xml:space="preserve"> lack a proper mission and vision statement for their business model. The company’s objective is to safeguard its unique products, develop supply chains and i</w:t>
      </w:r>
      <w:r>
        <w:rPr>
          <w:color w:val="000000"/>
        </w:rPr>
        <w:t>mplement technology Marks &amp; Spencer Group plc, 2026b; Marks &amp; Spencer Group plc, 2026c). The inherent intention is to acquire more orders through their quality, innovation, and brand value.</w:t>
      </w:r>
    </w:p>
    <w:p w14:paraId="5F60C839" w14:textId="77777777" w:rsidR="00D85508" w:rsidRDefault="008B4A12">
      <w:pPr>
        <w:jc w:val="both"/>
      </w:pPr>
      <w:r>
        <w:rPr>
          <w:color w:val="000000"/>
        </w:rPr>
        <w:t>The model works through the combination of their unique product ra</w:t>
      </w:r>
      <w:r>
        <w:rPr>
          <w:color w:val="000000"/>
        </w:rPr>
        <w:t xml:space="preserve">nge, a growing estate and customer relationship. The model allows the division to utilize group assets rather than expecting automatically transferable benefits. The company’s large chain of stores </w:t>
      </w:r>
      <w:proofErr w:type="gramStart"/>
      <w:r>
        <w:rPr>
          <w:color w:val="000000"/>
        </w:rPr>
        <w:t>provide</w:t>
      </w:r>
      <w:proofErr w:type="gramEnd"/>
      <w:r>
        <w:rPr>
          <w:color w:val="000000"/>
        </w:rPr>
        <w:t xml:space="preserve"> proper visibility. The </w:t>
      </w:r>
      <w:proofErr w:type="spellStart"/>
      <w:r>
        <w:rPr>
          <w:color w:val="000000"/>
        </w:rPr>
        <w:t>Ocado</w:t>
      </w:r>
      <w:proofErr w:type="spellEnd"/>
      <w:r>
        <w:rPr>
          <w:color w:val="000000"/>
        </w:rPr>
        <w:t xml:space="preserve"> relationship expands </w:t>
      </w:r>
      <w:r>
        <w:rPr>
          <w:color w:val="000000"/>
        </w:rPr>
        <w:t>their market reach. Innovation in the product line can attract new customers and sourcing standards will maintain the trust. A unique product will only be successful if it can satisfy customers with its price as well as quality assurance.</w:t>
      </w:r>
    </w:p>
    <w:p w14:paraId="1EEE2DAB" w14:textId="77777777" w:rsidR="00276E5D" w:rsidRDefault="008B4A12" w:rsidP="00E55CB9">
      <w:pPr>
        <w:pStyle w:val="Heading2"/>
      </w:pPr>
      <w:bookmarkStart w:id="4" w:name="_Toc237388994"/>
      <w:r>
        <w:t>1.1 Mission, visi</w:t>
      </w:r>
      <w:r>
        <w:t>on and business model</w:t>
      </w:r>
      <w:bookmarkEnd w:id="4"/>
    </w:p>
    <w:p w14:paraId="325AAF5F" w14:textId="77777777" w:rsidR="00276E5D" w:rsidRDefault="008B4A12">
      <w:pPr>
        <w:spacing w:before="160"/>
        <w:rPr>
          <w:b/>
          <w:color w:val="000000"/>
          <w:sz w:val="20"/>
        </w:rPr>
      </w:pPr>
      <w:r>
        <w:rPr>
          <w:b/>
          <w:color w:val="000000"/>
          <w:sz w:val="20"/>
        </w:rPr>
        <w:t>Table 1: Strategic identity and business model of M&amp;S Food</w:t>
      </w:r>
    </w:p>
    <w:p w14:paraId="04CEC9D1" w14:textId="5081FB45" w:rsidR="00E55CB9" w:rsidRDefault="00E55CB9">
      <w:pPr>
        <w:spacing w:before="160"/>
      </w:pPr>
      <w:r w:rsidRPr="00E55CB9">
        <w:rPr>
          <w:noProof/>
          <w:lang w:val="en-US"/>
        </w:rPr>
        <w:drawing>
          <wp:inline distT="0" distB="0" distL="0" distR="0" wp14:anchorId="2591586A" wp14:editId="371DFC25">
            <wp:extent cx="5731510" cy="2872105"/>
            <wp:effectExtent l="0" t="0" r="0" b="0"/>
            <wp:docPr id="1045865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865606" name=""/>
                    <pic:cNvPicPr/>
                  </pic:nvPicPr>
                  <pic:blipFill>
                    <a:blip r:embed="rId9"/>
                    <a:stretch>
                      <a:fillRect/>
                    </a:stretch>
                  </pic:blipFill>
                  <pic:spPr>
                    <a:xfrm>
                      <a:off x="0" y="0"/>
                      <a:ext cx="5731510" cy="2872105"/>
                    </a:xfrm>
                    <a:prstGeom prst="rect">
                      <a:avLst/>
                    </a:prstGeom>
                  </pic:spPr>
                </pic:pic>
              </a:graphicData>
            </a:graphic>
          </wp:inline>
        </w:drawing>
      </w:r>
    </w:p>
    <w:p w14:paraId="4455B8E6" w14:textId="77777777" w:rsidR="00276E5D" w:rsidRDefault="008B4A12" w:rsidP="00E55CB9">
      <w:pPr>
        <w:pStyle w:val="Heading2"/>
      </w:pPr>
      <w:bookmarkStart w:id="5" w:name="_Toc237388995"/>
      <w:r>
        <w:lastRenderedPageBreak/>
        <w:t>1.2 Performance and market position</w:t>
      </w:r>
      <w:bookmarkEnd w:id="5"/>
    </w:p>
    <w:p w14:paraId="27A3189D" w14:textId="77777777" w:rsidR="00D85508" w:rsidRDefault="008B4A12">
      <w:pPr>
        <w:jc w:val="both"/>
      </w:pPr>
      <w:r>
        <w:rPr>
          <w:color w:val="000000"/>
        </w:rPr>
        <w:t>M&amp;S Food’s current performance trajectory shows momentum as well as a need for strategic discipline. M&amp;S currently holds a 4.1% market sh</w:t>
      </w:r>
      <w:r>
        <w:rPr>
          <w:color w:val="000000"/>
        </w:rPr>
        <w:t xml:space="preserve">are and has demonstrated an impressive sales growth of 7.0%. </w:t>
      </w:r>
      <w:proofErr w:type="spellStart"/>
      <w:r>
        <w:rPr>
          <w:color w:val="000000"/>
        </w:rPr>
        <w:t>Additionally,This</w:t>
      </w:r>
      <w:proofErr w:type="spellEnd"/>
      <w:r>
        <w:rPr>
          <w:color w:val="000000"/>
        </w:rPr>
        <w:t xml:space="preserve"> company has managed to achieve a staggering £444.5 million profit in its latest records (Marks &amp; Spencer Group plc, 2026b).This stats show a positive direction, however, also po</w:t>
      </w:r>
      <w:r>
        <w:rPr>
          <w:color w:val="000000"/>
        </w:rPr>
        <w:t xml:space="preserve">ints out to several negative constraints, such as </w:t>
      </w:r>
      <w:proofErr w:type="spellStart"/>
      <w:r>
        <w:rPr>
          <w:color w:val="000000"/>
        </w:rPr>
        <w:t>markdown,waste</w:t>
      </w:r>
      <w:proofErr w:type="spellEnd"/>
      <w:r>
        <w:rPr>
          <w:color w:val="000000"/>
        </w:rPr>
        <w:t xml:space="preserve"> and increasing serve </w:t>
      </w:r>
      <w:proofErr w:type="spellStart"/>
      <w:r>
        <w:rPr>
          <w:color w:val="000000"/>
        </w:rPr>
        <w:t>cost.The</w:t>
      </w:r>
      <w:proofErr w:type="spellEnd"/>
      <w:r>
        <w:rPr>
          <w:color w:val="000000"/>
        </w:rPr>
        <w:t xml:space="preserve"> primary question therefore does not </w:t>
      </w:r>
      <w:proofErr w:type="spellStart"/>
      <w:r>
        <w:rPr>
          <w:color w:val="000000"/>
        </w:rPr>
        <w:t>center</w:t>
      </w:r>
      <w:proofErr w:type="spellEnd"/>
      <w:r>
        <w:rPr>
          <w:color w:val="000000"/>
        </w:rPr>
        <w:t xml:space="preserve"> around  whether M&amp;S should ignore differentiation but in what possible ways can the company expand its customer freque</w:t>
      </w:r>
      <w:r>
        <w:rPr>
          <w:color w:val="000000"/>
        </w:rPr>
        <w:t>ncy without turning premium products into a high-cost, low-repeat scheme.</w:t>
      </w:r>
    </w:p>
    <w:p w14:paraId="36F3F655" w14:textId="77777777" w:rsidR="00276E5D" w:rsidRDefault="008B4A12">
      <w:pPr>
        <w:jc w:val="both"/>
      </w:pPr>
      <w:r>
        <w:rPr>
          <w:color w:val="000000"/>
        </w:rPr>
        <w:t>The latest result is strategically mixed rather than simply positive. Food adjusted operating profit fell from £491.8 million to £444.5 million and margin declined from 5.4% to 4.6%,</w:t>
      </w:r>
      <w:r>
        <w:rPr>
          <w:color w:val="000000"/>
        </w:rPr>
        <w:t xml:space="preserve"> even while sales and customer numbers increased. Management associated the reduction with higher markdown and waste in the first half. Long-term growth should therefore be judged through margin quality, availability, waste and repeat purchasing, not sales</w:t>
      </w:r>
      <w:r>
        <w:rPr>
          <w:color w:val="000000"/>
        </w:rPr>
        <w:t xml:space="preserve"> alone (Marks &amp; Spencer Group plc, 2026b; Marks &amp; Spencer Group plc, 2026c).</w:t>
      </w:r>
    </w:p>
    <w:p w14:paraId="483DF6AA" w14:textId="77777777" w:rsidR="00D85508" w:rsidRDefault="008B4A12">
      <w:pPr>
        <w:jc w:val="both"/>
      </w:pPr>
      <w:r>
        <w:rPr>
          <w:color w:val="000000"/>
        </w:rPr>
        <w:t>The UK retail market indicates frequent but smaller shopping trips, increasing cost-of-living, and a 19% market share swept away by Aldi and Lidl (Ward, 2026). Competition and Mar</w:t>
      </w:r>
      <w:r>
        <w:rPr>
          <w:color w:val="000000"/>
        </w:rPr>
        <w:t xml:space="preserve">kets Authority(CMA) warns that </w:t>
      </w:r>
      <w:proofErr w:type="gramStart"/>
      <w:r>
        <w:rPr>
          <w:color w:val="000000"/>
        </w:rPr>
        <w:t>expecting  profitability</w:t>
      </w:r>
      <w:proofErr w:type="gramEnd"/>
      <w:r>
        <w:rPr>
          <w:color w:val="000000"/>
        </w:rPr>
        <w:t xml:space="preserve"> alone might stem from either weak competition or consumer harm (Competition and Markets Authority, 2024). A proper competition set will include discounters, premium segment of supermarket, specialist,</w:t>
      </w:r>
      <w:r>
        <w:rPr>
          <w:color w:val="000000"/>
        </w:rPr>
        <w:t xml:space="preserve"> food retailers, and well known </w:t>
      </w:r>
      <w:proofErr w:type="spellStart"/>
      <w:r>
        <w:rPr>
          <w:color w:val="000000"/>
        </w:rPr>
        <w:t>groceries.M&amp;S</w:t>
      </w:r>
      <w:proofErr w:type="spellEnd"/>
      <w:r>
        <w:rPr>
          <w:color w:val="000000"/>
        </w:rPr>
        <w:t xml:space="preserve"> Food has been targeting a premium leaning position within the above mentioned categories. However, accessibility is a strategic stronghold in order to satisfy growth requirements. Hence, the strategic approach </w:t>
      </w:r>
      <w:r>
        <w:rPr>
          <w:color w:val="000000"/>
        </w:rPr>
        <w:t>should be accessible differentiation. The company needs to make quality easier to purchase while safeguarding the distinguishable features of the products which is crucial to their business model.</w:t>
      </w:r>
    </w:p>
    <w:p w14:paraId="0C2CC528" w14:textId="77777777" w:rsidR="00D85508" w:rsidRDefault="008B4A12">
      <w:pPr>
        <w:spacing w:before="120"/>
        <w:jc w:val="center"/>
        <w:rPr>
          <w:rFonts w:cs="Times New Roman"/>
        </w:rPr>
      </w:pPr>
      <w:r>
        <w:rPr>
          <w:rFonts w:cs="Times New Roman"/>
          <w:noProof/>
          <w:color w:val="000000"/>
          <w:lang w:val="en-US"/>
        </w:rPr>
        <w:lastRenderedPageBreak/>
        <w:drawing>
          <wp:inline distT="0" distB="0" distL="0" distR="0" wp14:anchorId="178B3FA5" wp14:editId="54155FB4">
            <wp:extent cx="5544000" cy="3700111"/>
            <wp:effectExtent l="0" t="0" r="0" b="0"/>
            <wp:docPr id="3" name="image3.png" descr="Figure 1: Marks &amp; Spencer Food store environment (downloaded from Marks &amp; Spencer Group plc, 2025)."/>
            <wp:cNvGraphicFramePr/>
            <a:graphic xmlns:a="http://schemas.openxmlformats.org/drawingml/2006/main">
              <a:graphicData uri="http://schemas.openxmlformats.org/drawingml/2006/picture">
                <pic:pic xmlns:pic="http://schemas.openxmlformats.org/drawingml/2006/picture">
                  <pic:nvPicPr>
                    <pic:cNvPr id="3" name="image3.png" descr="Figure 1: Marks &amp; Spencer Food store environment (downloaded from Marks &amp; Spencer Group plc, 2025)."/>
                    <pic:cNvPicPr preferRelativeResize="0"/>
                  </pic:nvPicPr>
                  <pic:blipFill>
                    <a:blip r:embed="rId10"/>
                    <a:srcRect/>
                    <a:stretch>
                      <a:fillRect/>
                    </a:stretch>
                  </pic:blipFill>
                  <pic:spPr>
                    <a:xfrm>
                      <a:off x="0" y="0"/>
                      <a:ext cx="5544000" cy="3700111"/>
                    </a:xfrm>
                    <a:prstGeom prst="rect">
                      <a:avLst/>
                    </a:prstGeom>
                    <a:ln/>
                  </pic:spPr>
                </pic:pic>
              </a:graphicData>
            </a:graphic>
          </wp:inline>
        </w:drawing>
      </w:r>
    </w:p>
    <w:p w14:paraId="2C944A80" w14:textId="77777777" w:rsidR="00D85508" w:rsidRDefault="008B4A12">
      <w:pPr>
        <w:spacing w:before="40"/>
        <w:jc w:val="center"/>
        <w:rPr>
          <w:rFonts w:cs="Times New Roman"/>
        </w:rPr>
      </w:pPr>
      <w:r>
        <w:rPr>
          <w:rFonts w:cs="Times New Roman"/>
          <w:i/>
          <w:iCs/>
          <w:color w:val="000000"/>
          <w:sz w:val="20"/>
          <w:szCs w:val="18"/>
        </w:rPr>
        <w:t>Figure 1: Marks &amp; Spencer Food store environment (downloa</w:t>
      </w:r>
      <w:r>
        <w:rPr>
          <w:rFonts w:cs="Times New Roman"/>
          <w:i/>
          <w:iCs/>
          <w:color w:val="000000"/>
          <w:sz w:val="20"/>
          <w:szCs w:val="18"/>
        </w:rPr>
        <w:t>ded from Marks &amp; Spencer Group plc, 2025).</w:t>
      </w:r>
    </w:p>
    <w:p w14:paraId="4FFAE877" w14:textId="77777777" w:rsidR="00D85508" w:rsidRDefault="008B4A12">
      <w:pPr>
        <w:rPr>
          <w:rFonts w:cs="Times New Roman"/>
        </w:rPr>
      </w:pPr>
      <w:r>
        <w:rPr>
          <w:color w:val="000000"/>
        </w:rPr>
        <w:br w:type="page"/>
      </w:r>
    </w:p>
    <w:p w14:paraId="67B50082" w14:textId="77777777" w:rsidR="00D85508" w:rsidRDefault="008B4A12" w:rsidP="00E55CB9">
      <w:pPr>
        <w:pStyle w:val="Heading1"/>
      </w:pPr>
      <w:bookmarkStart w:id="6" w:name="_Toc237388996"/>
      <w:r>
        <w:lastRenderedPageBreak/>
        <w:t>2. External and Internal Analysis</w:t>
      </w:r>
      <w:bookmarkEnd w:id="6"/>
    </w:p>
    <w:p w14:paraId="25E16EEB" w14:textId="77777777" w:rsidR="00D85508" w:rsidRDefault="008B4A12">
      <w:pPr>
        <w:jc w:val="both"/>
      </w:pPr>
      <w:r>
        <w:rPr>
          <w:color w:val="000000"/>
        </w:rPr>
        <w:t>The fit between market adversities and organizational capabilities shape the nature of accessible differentiation. For this reason, a combination of external and internal analys</w:t>
      </w:r>
      <w:r>
        <w:rPr>
          <w:color w:val="000000"/>
        </w:rPr>
        <w:t xml:space="preserve">is is </w:t>
      </w:r>
      <w:proofErr w:type="spellStart"/>
      <w:proofErr w:type="gramStart"/>
      <w:r>
        <w:rPr>
          <w:color w:val="000000"/>
        </w:rPr>
        <w:t>pertinent.PESTEL</w:t>
      </w:r>
      <w:proofErr w:type="spellEnd"/>
      <w:proofErr w:type="gramEnd"/>
      <w:r>
        <w:rPr>
          <w:color w:val="000000"/>
        </w:rPr>
        <w:t xml:space="preserve"> dissects the factors which make trust, sustainability, value, and availability </w:t>
      </w:r>
      <w:proofErr w:type="spellStart"/>
      <w:r>
        <w:rPr>
          <w:color w:val="000000"/>
        </w:rPr>
        <w:t>substantial.VRIO</w:t>
      </w:r>
      <w:proofErr w:type="spellEnd"/>
      <w:r>
        <w:rPr>
          <w:color w:val="000000"/>
        </w:rPr>
        <w:t xml:space="preserve"> conducts tests on how much M&amp;S Food can utilize valuable, relatively scarce, difficult to limited resources. SWOT analysis is applied as </w:t>
      </w:r>
      <w:r>
        <w:rPr>
          <w:color w:val="000000"/>
        </w:rPr>
        <w:t>a synthesis instead of a second list of observations.</w:t>
      </w:r>
    </w:p>
    <w:p w14:paraId="5468F23B" w14:textId="77777777" w:rsidR="00D85508" w:rsidRDefault="008B4A12" w:rsidP="00E55CB9">
      <w:pPr>
        <w:pStyle w:val="Heading2"/>
      </w:pPr>
      <w:bookmarkStart w:id="7" w:name="_Toc237388997"/>
      <w:r>
        <w:t>2.1 PESTEL: the external pressures that matter</w:t>
      </w:r>
      <w:bookmarkEnd w:id="7"/>
    </w:p>
    <w:p w14:paraId="59219880" w14:textId="77777777" w:rsidR="00D85508" w:rsidRDefault="008B4A12">
      <w:pPr>
        <w:jc w:val="both"/>
      </w:pPr>
      <w:r>
        <w:rPr>
          <w:color w:val="000000"/>
        </w:rPr>
        <w:t>Legal and political constraints can have an impact on the cost and legitimacy of the offer. According to the UK Government Food Strategy for England, equal</w:t>
      </w:r>
      <w:r>
        <w:rPr>
          <w:color w:val="000000"/>
        </w:rPr>
        <w:t xml:space="preserve"> priorities are given to affordability, health and sustainability under the umbrella of a food-system agenda Department for Environment, Food &amp; Rural Affairs, 2025). A quality assurance cannot cover for poor product, safety, </w:t>
      </w:r>
      <w:proofErr w:type="spellStart"/>
      <w:r>
        <w:rPr>
          <w:color w:val="000000"/>
        </w:rPr>
        <w:t>labeling</w:t>
      </w:r>
      <w:proofErr w:type="spellEnd"/>
      <w:r>
        <w:rPr>
          <w:color w:val="000000"/>
        </w:rPr>
        <w:t>, and treatment of supp</w:t>
      </w:r>
      <w:r>
        <w:rPr>
          <w:color w:val="000000"/>
        </w:rPr>
        <w:t>liers. The latest statutory report of the Groceries Code emphasizes on supplier relationships, and implementation of code compliance across the whole sector (Department for Business and Trade, 2026a). As extended producers bear the waste-disposal fees conn</w:t>
      </w:r>
      <w:r>
        <w:rPr>
          <w:color w:val="000000"/>
        </w:rPr>
        <w:t>ected to packaging weight and environmental impact, operating hurdles can arise (Department for Environment, Food and Rural Affairs, 2026). Therefore, accessible differentiation must also focus on packaging redesign as well as supplier collaboration.</w:t>
      </w:r>
    </w:p>
    <w:p w14:paraId="78E442E2" w14:textId="77777777" w:rsidR="00D85508" w:rsidRDefault="008B4A12">
      <w:pPr>
        <w:jc w:val="both"/>
      </w:pPr>
      <w:r>
        <w:rPr>
          <w:color w:val="000000"/>
        </w:rPr>
        <w:t>A dif</w:t>
      </w:r>
      <w:r>
        <w:rPr>
          <w:color w:val="000000"/>
        </w:rPr>
        <w:t xml:space="preserve">ferent cost pressure generates from </w:t>
      </w:r>
      <w:proofErr w:type="spellStart"/>
      <w:r>
        <w:rPr>
          <w:color w:val="000000"/>
        </w:rPr>
        <w:t>labor</w:t>
      </w:r>
      <w:proofErr w:type="spellEnd"/>
      <w:r>
        <w:rPr>
          <w:color w:val="000000"/>
        </w:rPr>
        <w:t xml:space="preserve"> regulation. The national living wage for workers aged over 21 has been increased to £12.71 per hour from April 2026 </w:t>
      </w:r>
      <w:proofErr w:type="gramStart"/>
      <w:r>
        <w:rPr>
          <w:color w:val="000000"/>
        </w:rPr>
        <w:t>onwards(</w:t>
      </w:r>
      <w:proofErr w:type="gramEnd"/>
      <w:r>
        <w:rPr>
          <w:color w:val="000000"/>
        </w:rPr>
        <w:t>Department for Business and Trade, 2026b). M&amp;S’s wage structure is still confidential, but</w:t>
      </w:r>
      <w:r>
        <w:rPr>
          <w:color w:val="000000"/>
        </w:rPr>
        <w:t xml:space="preserve"> the regulations obviously increase the cost of business. This extra cost will have a compounding effect if the division seeks broadening their availability. These political and legal impediments demand productivity, staff training and process redesign ins</w:t>
      </w:r>
      <w:r>
        <w:rPr>
          <w:color w:val="000000"/>
        </w:rPr>
        <w:t>tead of service quality deduction. Poor investment in colleagues might affect availability and shatter the trust it has already established.</w:t>
      </w:r>
    </w:p>
    <w:p w14:paraId="67E6D6E1" w14:textId="77777777" w:rsidR="00D85508" w:rsidRDefault="008B4A12">
      <w:pPr>
        <w:jc w:val="both"/>
      </w:pPr>
      <w:r>
        <w:rPr>
          <w:color w:val="000000"/>
        </w:rPr>
        <w:t>The premium perception problem needs immediate attention if there are bad, economic conditions. In June 2026, an in</w:t>
      </w:r>
      <w:r>
        <w:rPr>
          <w:color w:val="000000"/>
        </w:rPr>
        <w:t>flation of 1.7% on food and non-alcoholic beverages was encountered according to the ONS data report. The report suggests that the inflation has somewhat eased without disrupting the price level already embedded in household budgets (Office for National St</w:t>
      </w:r>
      <w:r>
        <w:rPr>
          <w:color w:val="000000"/>
        </w:rPr>
        <w:t xml:space="preserve">atistics, 2026a). Retail sales have increased 0.6% in the second quarter of 2026. A staggering 11.7% growth has been recorded in online spending year on year and </w:t>
      </w:r>
      <w:r>
        <w:rPr>
          <w:color w:val="000000"/>
        </w:rPr>
        <w:lastRenderedPageBreak/>
        <w:t xml:space="preserve">occupied 29.4% of retail spending in </w:t>
      </w:r>
      <w:proofErr w:type="gramStart"/>
      <w:r>
        <w:rPr>
          <w:color w:val="000000"/>
        </w:rPr>
        <w:t>June  (</w:t>
      </w:r>
      <w:proofErr w:type="gramEnd"/>
      <w:r>
        <w:rPr>
          <w:color w:val="000000"/>
        </w:rPr>
        <w:t>Office for National Statistics, 2026b). These nati</w:t>
      </w:r>
      <w:r>
        <w:rPr>
          <w:color w:val="000000"/>
        </w:rPr>
        <w:t>onal figures support the argument of investing in availability and channel integration.</w:t>
      </w:r>
    </w:p>
    <w:p w14:paraId="1DCE5C78" w14:textId="77777777" w:rsidR="00D85508" w:rsidRDefault="008B4A12">
      <w:pPr>
        <w:jc w:val="both"/>
      </w:pPr>
      <w:r>
        <w:rPr>
          <w:color w:val="000000"/>
        </w:rPr>
        <w:t>Food manufacturing conditions play a significant room in the growth narrative. According to the Food and Drink Federation report, manufacturer confidence dropped to -64</w:t>
      </w:r>
      <w:r>
        <w:rPr>
          <w:color w:val="000000"/>
        </w:rPr>
        <w:t xml:space="preserve">% in the first quarter of 2026. Almost 82% of the respondents demanded to raise prices due to energy and supply chain costs. The report also suggests that some of the farms either post or </w:t>
      </w:r>
      <w:proofErr w:type="spellStart"/>
      <w:r>
        <w:rPr>
          <w:color w:val="000000"/>
        </w:rPr>
        <w:t>canceled</w:t>
      </w:r>
      <w:proofErr w:type="spellEnd"/>
      <w:r>
        <w:rPr>
          <w:color w:val="000000"/>
        </w:rPr>
        <w:t xml:space="preserve"> investment due to this </w:t>
      </w:r>
      <w:proofErr w:type="gramStart"/>
      <w:r>
        <w:rPr>
          <w:color w:val="000000"/>
        </w:rPr>
        <w:t>reason(</w:t>
      </w:r>
      <w:proofErr w:type="gramEnd"/>
      <w:r>
        <w:rPr>
          <w:color w:val="000000"/>
        </w:rPr>
        <w:t>Food and Drink Federation, 20</w:t>
      </w:r>
      <w:r>
        <w:rPr>
          <w:color w:val="000000"/>
        </w:rPr>
        <w:t xml:space="preserve">26a). The previous quarterly report demonstrates low demand, concerns over payroll and a sharp 4.4% increase in production </w:t>
      </w:r>
      <w:proofErr w:type="gramStart"/>
      <w:r>
        <w:rPr>
          <w:color w:val="000000"/>
        </w:rPr>
        <w:t>costs(</w:t>
      </w:r>
      <w:proofErr w:type="gramEnd"/>
      <w:r>
        <w:rPr>
          <w:color w:val="000000"/>
        </w:rPr>
        <w:t>Food and Drink Federation, 2026b). This data is not the result of an M&amp;S diagnosis. This data reinforces the fact that accessib</w:t>
      </w:r>
      <w:r>
        <w:rPr>
          <w:color w:val="000000"/>
        </w:rPr>
        <w:t>le differentiation cannot depend upon price cuts. A more well suited response is to focus on a better value system, low waste, and higher sales productivity.</w:t>
      </w:r>
    </w:p>
    <w:p w14:paraId="10BE1C32" w14:textId="77777777" w:rsidR="00D85508" w:rsidRDefault="008B4A12">
      <w:pPr>
        <w:jc w:val="both"/>
      </w:pPr>
      <w:r>
        <w:rPr>
          <w:color w:val="000000"/>
        </w:rPr>
        <w:t>Trust, health, convenience, and affordability together form social expectations. The food Standard</w:t>
      </w:r>
      <w:r>
        <w:rPr>
          <w:color w:val="000000"/>
        </w:rPr>
        <w:t xml:space="preserve">s Agency found 20% of respondents to be food, insecure, even though high confidence in food safety and label authenticity was also </w:t>
      </w:r>
      <w:proofErr w:type="gramStart"/>
      <w:r>
        <w:rPr>
          <w:color w:val="000000"/>
        </w:rPr>
        <w:t>found(</w:t>
      </w:r>
      <w:proofErr w:type="gramEnd"/>
      <w:r>
        <w:rPr>
          <w:color w:val="000000"/>
        </w:rPr>
        <w:t xml:space="preserve">Food Standards Agency, 2026).M&amp;S Food can offer trust and utmost quality to its customers, however, a premium segment, </w:t>
      </w:r>
      <w:r>
        <w:rPr>
          <w:color w:val="000000"/>
        </w:rPr>
        <w:t xml:space="preserve">which is out of the reach of average households might not be included in the everyday frequency. The government food strategy emphasizes responsibility by connecting food businesses to health, resilient supply and </w:t>
      </w:r>
      <w:proofErr w:type="spellStart"/>
      <w:r>
        <w:rPr>
          <w:color w:val="000000"/>
        </w:rPr>
        <w:t>sustainability.M&amp;S</w:t>
      </w:r>
      <w:proofErr w:type="spellEnd"/>
      <w:r>
        <w:rPr>
          <w:color w:val="000000"/>
        </w:rPr>
        <w:t xml:space="preserve"> apply accessibility thr</w:t>
      </w:r>
      <w:r>
        <w:rPr>
          <w:color w:val="000000"/>
        </w:rPr>
        <w:t>ough participating in more events, not by making every product as cheap as possible.</w:t>
      </w:r>
    </w:p>
    <w:p w14:paraId="684C7145" w14:textId="77777777" w:rsidR="00276E5D" w:rsidRDefault="008B4A12">
      <w:pPr>
        <w:jc w:val="both"/>
      </w:pPr>
      <w:r>
        <w:rPr>
          <w:color w:val="000000"/>
        </w:rPr>
        <w:t>Recent company-reported evidence gives this social pressure a clearer customer focus. During 2025, value for money was the most important grocery-choice factor for familie</w:t>
      </w:r>
      <w:r>
        <w:rPr>
          <w:color w:val="000000"/>
        </w:rPr>
        <w:t xml:space="preserve">s; by the third quarter of 2025/26, sales across M&amp;S value lines were 20% higher (Marks &amp; Spencer, 2026). In the previous year, Bigger Pack, Better Value recorded 34% sales growth and 30% volume growth (Marks &amp; Spencer, 2025). These figures support demand </w:t>
      </w:r>
      <w:r>
        <w:rPr>
          <w:color w:val="000000"/>
        </w:rPr>
        <w:t>for quality at the right price and size, but they do not establish an equivalent profit effect. If a pack reduced unit contribution by an illustrative 30%, volume would need to rise approximately 42.9% merely to preserve contribution. This is a sensitivity</w:t>
      </w:r>
      <w:r>
        <w:rPr>
          <w:color w:val="000000"/>
        </w:rPr>
        <w:t xml:space="preserve"> scenario, not an observed M&amp;S profit change; pack options should therefore be tested through frequency, waste, availability and contribution together.</w:t>
      </w:r>
    </w:p>
    <w:p w14:paraId="57A24C5E" w14:textId="77777777" w:rsidR="00D85508" w:rsidRDefault="008B4A12">
      <w:pPr>
        <w:jc w:val="both"/>
      </w:pPr>
      <w:r>
        <w:rPr>
          <w:color w:val="000000"/>
        </w:rPr>
        <w:t xml:space="preserve">Technology can play a significant role in the overall </w:t>
      </w:r>
      <w:proofErr w:type="spellStart"/>
      <w:r>
        <w:rPr>
          <w:color w:val="000000"/>
        </w:rPr>
        <w:t>system.ONS’s</w:t>
      </w:r>
      <w:proofErr w:type="spellEnd"/>
      <w:r>
        <w:rPr>
          <w:color w:val="000000"/>
        </w:rPr>
        <w:t xml:space="preserve"> online data along with BRC’s current </w:t>
      </w:r>
      <w:r>
        <w:rPr>
          <w:color w:val="000000"/>
        </w:rPr>
        <w:t>retail monitor proves the effect of online sales and channel execution. Although the BRC public records are limited to headline signal (Office for National Statistics, 2026b; British Retail Consortium, 2026</w:t>
      </w:r>
      <w:proofErr w:type="gramStart"/>
      <w:r>
        <w:rPr>
          <w:color w:val="000000"/>
        </w:rPr>
        <w:t>).The</w:t>
      </w:r>
      <w:proofErr w:type="gramEnd"/>
      <w:r>
        <w:rPr>
          <w:color w:val="000000"/>
        </w:rPr>
        <w:t xml:space="preserve"> partnership between M&amp;S and </w:t>
      </w:r>
      <w:proofErr w:type="spellStart"/>
      <w:r>
        <w:rPr>
          <w:color w:val="000000"/>
        </w:rPr>
        <w:t>Ocado</w:t>
      </w:r>
      <w:proofErr w:type="spellEnd"/>
      <w:r>
        <w:rPr>
          <w:color w:val="000000"/>
        </w:rPr>
        <w:t xml:space="preserve"> provide th</w:t>
      </w:r>
      <w:r>
        <w:rPr>
          <w:color w:val="000000"/>
        </w:rPr>
        <w:t xml:space="preserve">e company a basis for exploiting data in order to forecast demand, develop range and share </w:t>
      </w:r>
      <w:proofErr w:type="spellStart"/>
      <w:r>
        <w:rPr>
          <w:color w:val="000000"/>
        </w:rPr>
        <w:lastRenderedPageBreak/>
        <w:t>value.Marks</w:t>
      </w:r>
      <w:proofErr w:type="spellEnd"/>
      <w:r>
        <w:rPr>
          <w:color w:val="000000"/>
        </w:rPr>
        <w:t xml:space="preserve"> &amp; Spencer Group plc, 2026c; Marks &amp; Spencer Group plc, </w:t>
      </w:r>
      <w:proofErr w:type="spellStart"/>
      <w:r>
        <w:rPr>
          <w:color w:val="000000"/>
        </w:rPr>
        <w:t>n.d.</w:t>
      </w:r>
      <w:proofErr w:type="spellEnd"/>
      <w:r>
        <w:rPr>
          <w:color w:val="000000"/>
        </w:rPr>
        <w:t xml:space="preserve">). However, technology is not an autonomous </w:t>
      </w:r>
      <w:proofErr w:type="spellStart"/>
      <w:proofErr w:type="gramStart"/>
      <w:r>
        <w:rPr>
          <w:color w:val="000000"/>
        </w:rPr>
        <w:t>capability.Through</w:t>
      </w:r>
      <w:proofErr w:type="spellEnd"/>
      <w:proofErr w:type="gramEnd"/>
      <w:r>
        <w:rPr>
          <w:color w:val="000000"/>
        </w:rPr>
        <w:t xml:space="preserve"> repeatable sensing, seizing and</w:t>
      </w:r>
      <w:r>
        <w:rPr>
          <w:color w:val="000000"/>
        </w:rPr>
        <w:t xml:space="preserve"> reconfiguring processes, most output can be derived(</w:t>
      </w:r>
      <w:proofErr w:type="spellStart"/>
      <w:r>
        <w:rPr>
          <w:color w:val="000000"/>
        </w:rPr>
        <w:t>Teece</w:t>
      </w:r>
      <w:proofErr w:type="spellEnd"/>
      <w:r>
        <w:rPr>
          <w:color w:val="000000"/>
        </w:rPr>
        <w:t xml:space="preserve">, Pisano and </w:t>
      </w:r>
      <w:proofErr w:type="spellStart"/>
      <w:r>
        <w:rPr>
          <w:color w:val="000000"/>
        </w:rPr>
        <w:t>Shuen</w:t>
      </w:r>
      <w:proofErr w:type="spellEnd"/>
      <w:r>
        <w:rPr>
          <w:color w:val="000000"/>
        </w:rPr>
        <w:t xml:space="preserve">, 1997; </w:t>
      </w:r>
      <w:proofErr w:type="spellStart"/>
      <w:r>
        <w:rPr>
          <w:color w:val="000000"/>
        </w:rPr>
        <w:t>Teece</w:t>
      </w:r>
      <w:proofErr w:type="spellEnd"/>
      <w:r>
        <w:rPr>
          <w:color w:val="000000"/>
        </w:rPr>
        <w:t>, 2007).</w:t>
      </w:r>
    </w:p>
    <w:p w14:paraId="085885FF" w14:textId="77777777" w:rsidR="00D85508" w:rsidRDefault="008B4A12">
      <w:pPr>
        <w:jc w:val="both"/>
      </w:pPr>
      <w:r>
        <w:rPr>
          <w:color w:val="000000"/>
        </w:rPr>
        <w:t xml:space="preserve">Environmental issues can create operational and reputational </w:t>
      </w:r>
      <w:proofErr w:type="spellStart"/>
      <w:proofErr w:type="gramStart"/>
      <w:r>
        <w:rPr>
          <w:color w:val="000000"/>
        </w:rPr>
        <w:t>impact.Vulnerability</w:t>
      </w:r>
      <w:proofErr w:type="spellEnd"/>
      <w:proofErr w:type="gramEnd"/>
      <w:r>
        <w:rPr>
          <w:color w:val="000000"/>
        </w:rPr>
        <w:t xml:space="preserve"> towards energy, input cost, climate and tightly coupled supply chain has bee</w:t>
      </w:r>
      <w:r>
        <w:rPr>
          <w:color w:val="000000"/>
        </w:rPr>
        <w:t xml:space="preserve">n identified by UK Food Security report  (Department for Environment, Food &amp; Rural Affairs, 2024).Food waste study sheds light on retailers influence forecasting, range, markdowns, supplier coordination and customer practices (Pimentel, </w:t>
      </w:r>
      <w:proofErr w:type="spellStart"/>
      <w:r>
        <w:rPr>
          <w:color w:val="000000"/>
        </w:rPr>
        <w:t>Misopoulos</w:t>
      </w:r>
      <w:proofErr w:type="spellEnd"/>
      <w:r>
        <w:rPr>
          <w:color w:val="000000"/>
        </w:rPr>
        <w:t xml:space="preserve"> and Davi</w:t>
      </w:r>
      <w:r>
        <w:rPr>
          <w:color w:val="000000"/>
        </w:rPr>
        <w:t xml:space="preserve">es, 2022). There are opposing evidence as </w:t>
      </w:r>
      <w:proofErr w:type="spellStart"/>
      <w:proofErr w:type="gramStart"/>
      <w:r>
        <w:rPr>
          <w:color w:val="000000"/>
        </w:rPr>
        <w:t>well.Waste</w:t>
      </w:r>
      <w:proofErr w:type="spellEnd"/>
      <w:proofErr w:type="gramEnd"/>
      <w:r>
        <w:rPr>
          <w:color w:val="000000"/>
        </w:rPr>
        <w:t xml:space="preserve"> reduction is possible through resilience and collaboration, whereas redundancy and poor financial-health can raise it  (Costa et al., 2022).A systematic analysis points out that resilience and reduction </w:t>
      </w:r>
      <w:r>
        <w:rPr>
          <w:color w:val="000000"/>
        </w:rPr>
        <w:t>are often studied individually(</w:t>
      </w:r>
      <w:proofErr w:type="spellStart"/>
      <w:r>
        <w:rPr>
          <w:color w:val="000000"/>
        </w:rPr>
        <w:t>Seyama</w:t>
      </w:r>
      <w:proofErr w:type="spellEnd"/>
      <w:r>
        <w:rPr>
          <w:color w:val="000000"/>
        </w:rPr>
        <w:t xml:space="preserve"> et al., 2024).WRAP records a significant rise in household food waste(WRAP, 2025).M&amp;S should categorize waste management as a performance and accountability issue.</w:t>
      </w:r>
    </w:p>
    <w:p w14:paraId="15561721" w14:textId="77777777" w:rsidR="00E55CB9" w:rsidRDefault="00E55CB9">
      <w:pPr>
        <w:spacing w:after="160" w:line="278" w:lineRule="auto"/>
        <w:rPr>
          <w:b/>
          <w:color w:val="000000"/>
          <w:sz w:val="20"/>
        </w:rPr>
      </w:pPr>
      <w:r>
        <w:rPr>
          <w:b/>
          <w:color w:val="000000"/>
          <w:sz w:val="20"/>
        </w:rPr>
        <w:br w:type="page"/>
      </w:r>
    </w:p>
    <w:p w14:paraId="471944EE" w14:textId="145ED676" w:rsidR="00D85508" w:rsidRDefault="008B4A12">
      <w:pPr>
        <w:pBdr>
          <w:top w:val="nil"/>
          <w:left w:val="nil"/>
          <w:bottom w:val="nil"/>
          <w:right w:val="nil"/>
          <w:between w:val="nil"/>
        </w:pBdr>
        <w:spacing w:before="120"/>
        <w:rPr>
          <w:b/>
          <w:color w:val="000000"/>
          <w:sz w:val="20"/>
        </w:rPr>
      </w:pPr>
      <w:r>
        <w:rPr>
          <w:b/>
          <w:color w:val="000000"/>
          <w:sz w:val="20"/>
        </w:rPr>
        <w:lastRenderedPageBreak/>
        <w:t>Table 2: PESTEL opportunities, threats and long-term</w:t>
      </w:r>
      <w:r>
        <w:rPr>
          <w:b/>
          <w:color w:val="000000"/>
          <w:sz w:val="20"/>
        </w:rPr>
        <w:t xml:space="preserve"> responses for M&amp;S Food</w:t>
      </w:r>
    </w:p>
    <w:bookmarkStart w:id="8" w:name="_MON_1848001299"/>
    <w:bookmarkEnd w:id="8"/>
    <w:p w14:paraId="4FE7CB25" w14:textId="020DA00C" w:rsidR="00E55CB9" w:rsidRDefault="00D00D1F">
      <w:pPr>
        <w:pBdr>
          <w:top w:val="nil"/>
          <w:left w:val="nil"/>
          <w:bottom w:val="nil"/>
          <w:right w:val="nil"/>
          <w:between w:val="nil"/>
        </w:pBdr>
        <w:spacing w:before="120"/>
        <w:rPr>
          <w:rFonts w:cs="Times New Roman"/>
          <w:b/>
          <w:bCs/>
          <w:color w:val="5B6B71"/>
          <w:sz w:val="19"/>
          <w:szCs w:val="19"/>
        </w:rPr>
      </w:pPr>
      <w:r>
        <w:rPr>
          <w:rFonts w:cs="Times New Roman"/>
          <w:b/>
          <w:bCs/>
          <w:noProof/>
          <w:color w:val="5B6B71"/>
          <w:sz w:val="19"/>
          <w:szCs w:val="19"/>
        </w:rPr>
        <w:object w:dxaOrig="9360" w:dyaOrig="11960" w14:anchorId="57E4C0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8pt;height:598pt;mso-width-percent:0;mso-height-percent:0;mso-width-percent:0;mso-height-percent:0" o:ole="">
            <v:imagedata r:id="rId11" o:title=""/>
          </v:shape>
          <o:OLEObject Type="Embed" ProgID="Word.Document.12" ShapeID="_x0000_i1025" DrawAspect="Content" ObjectID="_1848007046" r:id="rId12">
            <o:FieldCodes>\s</o:FieldCodes>
          </o:OLEObject>
        </w:object>
      </w:r>
    </w:p>
    <w:p w14:paraId="06B5360A" w14:textId="77777777" w:rsidR="00D85508" w:rsidRDefault="008B4A12">
      <w:pPr>
        <w:jc w:val="both"/>
      </w:pPr>
      <w:r>
        <w:rPr>
          <w:color w:val="000000"/>
        </w:rPr>
        <w:t xml:space="preserve">The PESTEL findings are discriminatory. It does not emphasise every macro trend, but focuses on incorporation </w:t>
      </w:r>
      <w:proofErr w:type="gramStart"/>
      <w:r>
        <w:rPr>
          <w:color w:val="000000"/>
        </w:rPr>
        <w:t>between  affordability</w:t>
      </w:r>
      <w:proofErr w:type="gramEnd"/>
      <w:r>
        <w:rPr>
          <w:color w:val="000000"/>
        </w:rPr>
        <w:t>, inflation supply resilience, digital convenience, and environmenta</w:t>
      </w:r>
      <w:r>
        <w:rPr>
          <w:color w:val="000000"/>
        </w:rPr>
        <w:t xml:space="preserve">l accountability. The strategy is to protect differentiated values while developing </w:t>
      </w:r>
      <w:r>
        <w:rPr>
          <w:color w:val="000000"/>
        </w:rPr>
        <w:lastRenderedPageBreak/>
        <w:t>the whole model. As economic and operational issues determine the sustainability of value investment, they receive top priority. Social and environmental pressures cannot b</w:t>
      </w:r>
      <w:r>
        <w:rPr>
          <w:color w:val="000000"/>
        </w:rPr>
        <w:t>e separated as trust is vulnerable to affordability, sourcing or waste failures. Political and technological factors fall under the category of enablers. As a result, the table sequence protects economics and availability through consistent actions that ca</w:t>
      </w:r>
      <w:r>
        <w:rPr>
          <w:color w:val="000000"/>
        </w:rPr>
        <w:t>n maintain customer trust and maintain responsible supply.</w:t>
      </w:r>
    </w:p>
    <w:p w14:paraId="70E6C7AA" w14:textId="77777777" w:rsidR="00D85508" w:rsidRDefault="008B4A12">
      <w:pPr>
        <w:spacing w:before="120"/>
        <w:jc w:val="center"/>
        <w:rPr>
          <w:rFonts w:cs="Times New Roman"/>
        </w:rPr>
      </w:pPr>
      <w:r>
        <w:rPr>
          <w:rFonts w:cs="Times New Roman"/>
          <w:noProof/>
          <w:color w:val="000000"/>
          <w:lang w:val="en-US"/>
        </w:rPr>
        <w:drawing>
          <wp:inline distT="0" distB="0" distL="0" distR="0" wp14:anchorId="53055029" wp14:editId="0DE11196">
            <wp:extent cx="5328000" cy="2997000"/>
            <wp:effectExtent l="0" t="0" r="0" b="0"/>
            <wp:docPr id="4" name="image2.png" descr="Figure 2: Selected indicators shaping M&amp;S Food's accessibility and growth challenge. Sources: Office for National Statistics (2026a; 2026b) and Marks &amp; Spencer Group plc (2026b). Measures have different reference bases and are not directly comparable."/>
            <wp:cNvGraphicFramePr/>
            <a:graphic xmlns:a="http://schemas.openxmlformats.org/drawingml/2006/main">
              <a:graphicData uri="http://schemas.openxmlformats.org/drawingml/2006/picture">
                <pic:pic xmlns:pic="http://schemas.openxmlformats.org/drawingml/2006/picture">
                  <pic:nvPicPr>
                    <pic:cNvPr id="4" name="image2.png" descr="Figure 2: Selected indicators shaping M&amp;S Food's accessibility and growth challenge. Sources: Office for National Statistics (2026a; 2026b) and Marks &amp; Spencer Group plc (2026b). Measures have different reference bases and are not directly comparable."/>
                    <pic:cNvPicPr preferRelativeResize="0"/>
                  </pic:nvPicPr>
                  <pic:blipFill>
                    <a:blip r:embed="rId13"/>
                    <a:srcRect/>
                    <a:stretch>
                      <a:fillRect/>
                    </a:stretch>
                  </pic:blipFill>
                  <pic:spPr>
                    <a:xfrm>
                      <a:off x="0" y="0"/>
                      <a:ext cx="5328000" cy="2997000"/>
                    </a:xfrm>
                    <a:prstGeom prst="rect">
                      <a:avLst/>
                    </a:prstGeom>
                    <a:ln/>
                  </pic:spPr>
                </pic:pic>
              </a:graphicData>
            </a:graphic>
          </wp:inline>
        </w:drawing>
      </w:r>
    </w:p>
    <w:p w14:paraId="6086C123" w14:textId="77777777" w:rsidR="00D85508" w:rsidRDefault="008B4A12">
      <w:pPr>
        <w:spacing w:before="40"/>
        <w:jc w:val="center"/>
        <w:rPr>
          <w:rFonts w:cs="Times New Roman"/>
        </w:rPr>
      </w:pPr>
      <w:r>
        <w:rPr>
          <w:rFonts w:cs="Times New Roman"/>
          <w:i/>
          <w:iCs/>
          <w:color w:val="000000"/>
          <w:sz w:val="20"/>
          <w:szCs w:val="18"/>
        </w:rPr>
        <w:t>Figure 2: Selected indicators shaping M&amp;S Food's accessibility and growth challenge. Sources: Office for National Statistics (2026a; 2026b) and Marks &amp; Spencer Group plc (2026b). Measures have di</w:t>
      </w:r>
      <w:r>
        <w:rPr>
          <w:rFonts w:cs="Times New Roman"/>
          <w:i/>
          <w:iCs/>
          <w:color w:val="000000"/>
          <w:sz w:val="20"/>
          <w:szCs w:val="18"/>
        </w:rPr>
        <w:t>fferent reference bases and are not directly comparable.</w:t>
      </w:r>
    </w:p>
    <w:p w14:paraId="2CAC49A3" w14:textId="77777777" w:rsidR="00D85508" w:rsidRDefault="008B4A12" w:rsidP="00E55CB9">
      <w:pPr>
        <w:pStyle w:val="Heading2"/>
      </w:pPr>
      <w:bookmarkStart w:id="9" w:name="_Toc237388998"/>
      <w:r>
        <w:t>2.2 VRIO: whether M&amp;S Food's resources can support advantage</w:t>
      </w:r>
      <w:bookmarkEnd w:id="9"/>
    </w:p>
    <w:p w14:paraId="6891B799" w14:textId="77777777" w:rsidR="00D85508" w:rsidRDefault="008B4A12">
      <w:pPr>
        <w:jc w:val="both"/>
      </w:pPr>
      <w:r>
        <w:rPr>
          <w:color w:val="000000"/>
        </w:rPr>
        <w:t xml:space="preserve">The resource based analysis divides advantageous rare, difficult to copy and valuable </w:t>
      </w:r>
      <w:proofErr w:type="gramStart"/>
      <w:r>
        <w:rPr>
          <w:color w:val="000000"/>
        </w:rPr>
        <w:t>resources  (</w:t>
      </w:r>
      <w:proofErr w:type="gramEnd"/>
      <w:r>
        <w:rPr>
          <w:color w:val="000000"/>
        </w:rPr>
        <w:t>Barney, 1991). However, there are two qu</w:t>
      </w:r>
      <w:r>
        <w:rPr>
          <w:color w:val="000000"/>
        </w:rPr>
        <w:t xml:space="preserve">alification requirements that can materialize its benefits. </w:t>
      </w:r>
      <w:proofErr w:type="spellStart"/>
      <w:proofErr w:type="gramStart"/>
      <w:r>
        <w:rPr>
          <w:color w:val="000000"/>
        </w:rPr>
        <w:t>Peteraf</w:t>
      </w:r>
      <w:proofErr w:type="spellEnd"/>
      <w:r>
        <w:rPr>
          <w:color w:val="000000"/>
        </w:rPr>
        <w:t>(</w:t>
      </w:r>
      <w:proofErr w:type="gramEnd"/>
      <w:r>
        <w:rPr>
          <w:color w:val="000000"/>
        </w:rPr>
        <w:t xml:space="preserve">1993) promulgates that sustainability of the benefit depends upon limited competition, imperfect resource mobility, and protection of heterogeneity. </w:t>
      </w:r>
      <w:proofErr w:type="spellStart"/>
      <w:r>
        <w:rPr>
          <w:color w:val="000000"/>
        </w:rPr>
        <w:t>Priem</w:t>
      </w:r>
      <w:proofErr w:type="spellEnd"/>
      <w:r>
        <w:rPr>
          <w:color w:val="000000"/>
        </w:rPr>
        <w:t xml:space="preserve"> and </w:t>
      </w:r>
      <w:proofErr w:type="gramStart"/>
      <w:r>
        <w:rPr>
          <w:color w:val="000000"/>
        </w:rPr>
        <w:t>Butler(</w:t>
      </w:r>
      <w:proofErr w:type="gramEnd"/>
      <w:r>
        <w:rPr>
          <w:color w:val="000000"/>
        </w:rPr>
        <w:t>2001) warns against RB</w:t>
      </w:r>
      <w:r>
        <w:rPr>
          <w:color w:val="000000"/>
        </w:rPr>
        <w:t xml:space="preserve">V being static and tautological, if one mistakes better performance of the farm with value of the </w:t>
      </w:r>
      <w:proofErr w:type="spellStart"/>
      <w:r>
        <w:rPr>
          <w:color w:val="000000"/>
        </w:rPr>
        <w:t>resources.M&amp;S</w:t>
      </w:r>
      <w:proofErr w:type="spellEnd"/>
      <w:r>
        <w:rPr>
          <w:color w:val="000000"/>
        </w:rPr>
        <w:t xml:space="preserve"> Food should consider their resources as hypotheses which must be backed by market requirement and execution evidence.</w:t>
      </w:r>
    </w:p>
    <w:p w14:paraId="4EC5AA71" w14:textId="77777777" w:rsidR="00E55CB9" w:rsidRDefault="00E55CB9">
      <w:pPr>
        <w:spacing w:after="160" w:line="278" w:lineRule="auto"/>
        <w:rPr>
          <w:b/>
          <w:color w:val="000000"/>
          <w:sz w:val="20"/>
        </w:rPr>
      </w:pPr>
      <w:r>
        <w:rPr>
          <w:b/>
          <w:color w:val="000000"/>
          <w:sz w:val="20"/>
        </w:rPr>
        <w:br w:type="page"/>
      </w:r>
    </w:p>
    <w:p w14:paraId="393D4A11" w14:textId="53D5DE80" w:rsidR="00D85508" w:rsidRDefault="008B4A12">
      <w:pPr>
        <w:pBdr>
          <w:top w:val="nil"/>
          <w:left w:val="nil"/>
          <w:bottom w:val="nil"/>
          <w:right w:val="nil"/>
          <w:between w:val="nil"/>
        </w:pBdr>
        <w:spacing w:before="120"/>
        <w:rPr>
          <w:rFonts w:cs="Times New Roman"/>
          <w:b/>
          <w:bCs/>
          <w:color w:val="5B6B71"/>
          <w:sz w:val="19"/>
          <w:szCs w:val="19"/>
        </w:rPr>
      </w:pPr>
      <w:r>
        <w:rPr>
          <w:b/>
          <w:color w:val="000000"/>
          <w:sz w:val="20"/>
        </w:rPr>
        <w:lastRenderedPageBreak/>
        <w:t>Table 3: VRIO assessment</w:t>
      </w:r>
      <w:r>
        <w:rPr>
          <w:b/>
          <w:color w:val="000000"/>
          <w:sz w:val="20"/>
        </w:rPr>
        <w:t xml:space="preserve"> of M&amp;S Food</w:t>
      </w:r>
    </w:p>
    <w:p w14:paraId="0774457A" w14:textId="2888066A" w:rsidR="00E55CB9" w:rsidRDefault="00D00D1F">
      <w:pPr>
        <w:jc w:val="both"/>
        <w:rPr>
          <w:color w:val="000000"/>
        </w:rPr>
      </w:pPr>
      <w:r>
        <w:rPr>
          <w:noProof/>
          <w:color w:val="000000"/>
        </w:rPr>
        <w:object w:dxaOrig="9360" w:dyaOrig="6500" w14:anchorId="07E6AE6F">
          <v:shape id="_x0000_i1026" type="#_x0000_t75" alt="" style="width:468pt;height:325pt;mso-width-percent:0;mso-height-percent:0;mso-width-percent:0;mso-height-percent:0" o:ole="">
            <v:imagedata r:id="rId14" o:title=""/>
          </v:shape>
          <o:OLEObject Type="Embed" ProgID="Word.Document.12" ShapeID="_x0000_i1026" DrawAspect="Content" ObjectID="_1848007047" r:id="rId15">
            <o:FieldCodes>\s</o:FieldCodes>
          </o:OLEObject>
        </w:object>
      </w:r>
    </w:p>
    <w:p w14:paraId="1DF32BA2" w14:textId="2E8034BF" w:rsidR="00D85508" w:rsidRDefault="008B4A12">
      <w:pPr>
        <w:jc w:val="both"/>
      </w:pPr>
      <w:r>
        <w:rPr>
          <w:color w:val="000000"/>
        </w:rPr>
        <w:t xml:space="preserve">Product, brand and sousing assets, our valuable assets of M&amp;S Food as they firmly establish the credibility of quality. However, these features are not unique and can be imitated by any competitor. Any food </w:t>
      </w:r>
      <w:r>
        <w:rPr>
          <w:color w:val="000000"/>
        </w:rPr>
        <w:t>chain can easily copy a particular premium recipe, price promotion and packaging system. On the other hand, a combination model of product development, store locations, customer data, and supplier knowledge is difficult to figure out. This is where dynamic</w:t>
      </w:r>
      <w:r>
        <w:rPr>
          <w:color w:val="000000"/>
        </w:rPr>
        <w:t xml:space="preserve">-capabilities theory reinforces VRIO. </w:t>
      </w:r>
      <w:proofErr w:type="spellStart"/>
      <w:r>
        <w:rPr>
          <w:color w:val="000000"/>
        </w:rPr>
        <w:t>Eisenhardt</w:t>
      </w:r>
      <w:proofErr w:type="spellEnd"/>
      <w:r>
        <w:rPr>
          <w:color w:val="000000"/>
        </w:rPr>
        <w:t xml:space="preserve"> and Martin (2000) explain capabilities as distinctive processes, such as product development and decision-making, while </w:t>
      </w:r>
      <w:proofErr w:type="spellStart"/>
      <w:r>
        <w:rPr>
          <w:color w:val="000000"/>
        </w:rPr>
        <w:t>Teece</w:t>
      </w:r>
      <w:proofErr w:type="spellEnd"/>
      <w:r>
        <w:rPr>
          <w:color w:val="000000"/>
        </w:rPr>
        <w:t xml:space="preserve"> (2007) defends the idea </w:t>
      </w:r>
      <w:proofErr w:type="gramStart"/>
      <w:r>
        <w:rPr>
          <w:color w:val="000000"/>
        </w:rPr>
        <w:t>of  sensing</w:t>
      </w:r>
      <w:proofErr w:type="gramEnd"/>
      <w:r>
        <w:rPr>
          <w:color w:val="000000"/>
        </w:rPr>
        <w:t>, seizing and reconfiguring. The central quest</w:t>
      </w:r>
      <w:r>
        <w:rPr>
          <w:color w:val="000000"/>
        </w:rPr>
        <w:t>ion remains whether M&amp;S Food can go ahead of its competitors in terms of learning and extract every day value out of it.</w:t>
      </w:r>
    </w:p>
    <w:p w14:paraId="14DDA492" w14:textId="77777777" w:rsidR="00D85508" w:rsidRDefault="008B4A12">
      <w:pPr>
        <w:jc w:val="both"/>
      </w:pPr>
      <w:r>
        <w:rPr>
          <w:color w:val="000000"/>
        </w:rPr>
        <w:t xml:space="preserve">The </w:t>
      </w:r>
      <w:proofErr w:type="gramStart"/>
      <w:r>
        <w:rPr>
          <w:color w:val="000000"/>
        </w:rPr>
        <w:t>findings  put</w:t>
      </w:r>
      <w:proofErr w:type="gramEnd"/>
      <w:r>
        <w:rPr>
          <w:color w:val="000000"/>
        </w:rPr>
        <w:t xml:space="preserve"> limitations on any claim of sustainable advantage. According to </w:t>
      </w:r>
      <w:proofErr w:type="gramStart"/>
      <w:r>
        <w:rPr>
          <w:color w:val="000000"/>
        </w:rPr>
        <w:t>Sanchez(</w:t>
      </w:r>
      <w:proofErr w:type="gramEnd"/>
      <w:r>
        <w:rPr>
          <w:color w:val="000000"/>
        </w:rPr>
        <w:t>2008), it is extremely difficult to distingui</w:t>
      </w:r>
      <w:r>
        <w:rPr>
          <w:color w:val="000000"/>
        </w:rPr>
        <w:t xml:space="preserve">sh resource value from the results it produces. </w:t>
      </w:r>
      <w:proofErr w:type="spellStart"/>
      <w:proofErr w:type="gramStart"/>
      <w:r>
        <w:rPr>
          <w:color w:val="000000"/>
        </w:rPr>
        <w:t>Although,M</w:t>
      </w:r>
      <w:proofErr w:type="gramEnd"/>
      <w:r>
        <w:rPr>
          <w:color w:val="000000"/>
        </w:rPr>
        <w:t>&amp;S</w:t>
      </w:r>
      <w:proofErr w:type="spellEnd"/>
      <w:r>
        <w:rPr>
          <w:color w:val="000000"/>
        </w:rPr>
        <w:t xml:space="preserve"> shows a positive trajectory on growth, it does not infer that customers will be willing to pay a premium price on a broader level. Retention of the growth margin is also doubtable. Accessible dif</w:t>
      </w:r>
      <w:r>
        <w:rPr>
          <w:color w:val="000000"/>
        </w:rPr>
        <w:t>ferentiation can only add value if the institution prioritizes on protecting the quality while decreasing avoidable cost.</w:t>
      </w:r>
    </w:p>
    <w:p w14:paraId="15FF29CB" w14:textId="77777777" w:rsidR="00D85508" w:rsidRDefault="008B4A12">
      <w:pPr>
        <w:jc w:val="both"/>
      </w:pPr>
      <w:r>
        <w:rPr>
          <w:color w:val="000000"/>
        </w:rPr>
        <w:lastRenderedPageBreak/>
        <w:t>Organization is a crucial column in the VRIO table. Investment in stores, supply, personalization, and digital systems is supported by</w:t>
      </w:r>
      <w:r>
        <w:rPr>
          <w:color w:val="000000"/>
        </w:rPr>
        <w:t xml:space="preserve"> public data but does not confirm operating in a single learning system at category and store </w:t>
      </w:r>
      <w:proofErr w:type="gramStart"/>
      <w:r>
        <w:rPr>
          <w:color w:val="000000"/>
        </w:rPr>
        <w:t>level(</w:t>
      </w:r>
      <w:proofErr w:type="gramEnd"/>
      <w:r>
        <w:rPr>
          <w:color w:val="000000"/>
        </w:rPr>
        <w:t xml:space="preserve">Marks &amp; Spencer Group plc, 2026b; Marks &amp; Spencer Group plc, 2026c). The resource claim depends upon several conditions, such as innovation and brand which </w:t>
      </w:r>
      <w:r>
        <w:rPr>
          <w:color w:val="000000"/>
        </w:rPr>
        <w:t>produces preference, sustainable advantage, which demands forecasting, faster feedback and proper supplier decisions. The test is conducted with regard to frequency, waste, availability, and implementation of learning. Growth without important capabilities</w:t>
      </w:r>
      <w:r>
        <w:rPr>
          <w:color w:val="000000"/>
        </w:rPr>
        <w:t xml:space="preserve"> stems from divergence.</w:t>
      </w:r>
    </w:p>
    <w:p w14:paraId="78F2FF6C" w14:textId="77777777" w:rsidR="00D85508" w:rsidRDefault="008B4A12">
      <w:pPr>
        <w:rPr>
          <w:rFonts w:cs="Times New Roman"/>
        </w:rPr>
      </w:pPr>
      <w:r>
        <w:rPr>
          <w:color w:val="000000"/>
        </w:rPr>
        <w:br w:type="page"/>
      </w:r>
    </w:p>
    <w:p w14:paraId="1D3DD8A8" w14:textId="77777777" w:rsidR="00D85508" w:rsidRDefault="008B4A12" w:rsidP="00E55CB9">
      <w:pPr>
        <w:pStyle w:val="Heading2"/>
      </w:pPr>
      <w:bookmarkStart w:id="10" w:name="_Toc237388999"/>
      <w:r>
        <w:lastRenderedPageBreak/>
        <w:t>2.3 SWOT synthesis</w:t>
      </w:r>
      <w:bookmarkEnd w:id="10"/>
    </w:p>
    <w:p w14:paraId="68AD79A0" w14:textId="77777777" w:rsidR="00D85508" w:rsidRDefault="008B4A12">
      <w:pPr>
        <w:pBdr>
          <w:top w:val="nil"/>
          <w:left w:val="nil"/>
          <w:bottom w:val="nil"/>
          <w:right w:val="nil"/>
          <w:between w:val="nil"/>
        </w:pBdr>
        <w:spacing w:before="120"/>
        <w:rPr>
          <w:b/>
          <w:color w:val="000000"/>
          <w:sz w:val="20"/>
        </w:rPr>
      </w:pPr>
      <w:r>
        <w:rPr>
          <w:b/>
          <w:color w:val="000000"/>
          <w:sz w:val="20"/>
        </w:rPr>
        <w:t>Table 4: SWOT synthesis for M&amp;S Food</w:t>
      </w:r>
    </w:p>
    <w:p w14:paraId="6929E5D6" w14:textId="2A29BC7B" w:rsidR="00E55CB9" w:rsidRDefault="00D00D1F">
      <w:pPr>
        <w:pBdr>
          <w:top w:val="nil"/>
          <w:left w:val="nil"/>
          <w:bottom w:val="nil"/>
          <w:right w:val="nil"/>
          <w:between w:val="nil"/>
        </w:pBdr>
        <w:spacing w:before="120"/>
        <w:rPr>
          <w:rFonts w:cs="Times New Roman"/>
          <w:b/>
          <w:bCs/>
          <w:color w:val="5B6B71"/>
          <w:sz w:val="19"/>
          <w:szCs w:val="19"/>
        </w:rPr>
      </w:pPr>
      <w:r>
        <w:rPr>
          <w:rFonts w:cs="Times New Roman"/>
          <w:b/>
          <w:bCs/>
          <w:noProof/>
          <w:color w:val="5B6B71"/>
          <w:sz w:val="19"/>
          <w:szCs w:val="19"/>
        </w:rPr>
        <w:object w:dxaOrig="9360" w:dyaOrig="2820" w14:anchorId="0C2F8507">
          <v:shape id="_x0000_i1027" type="#_x0000_t75" alt="" style="width:468pt;height:141pt;mso-width-percent:0;mso-height-percent:0;mso-width-percent:0;mso-height-percent:0" o:ole="">
            <v:imagedata r:id="rId16" o:title=""/>
          </v:shape>
          <o:OLEObject Type="Embed" ProgID="Word.Document.12" ShapeID="_x0000_i1027" DrawAspect="Content" ObjectID="_1848007048" r:id="rId17">
            <o:FieldCodes>\s</o:FieldCodes>
          </o:OLEObject>
        </w:object>
      </w:r>
    </w:p>
    <w:p w14:paraId="53575C5D" w14:textId="77777777" w:rsidR="00D85508" w:rsidRDefault="008B4A12">
      <w:pPr>
        <w:jc w:val="both"/>
      </w:pPr>
      <w:r>
        <w:rPr>
          <w:color w:val="000000"/>
        </w:rPr>
        <w:t xml:space="preserve">Cost leadership is not endorsed by SWOT. The core strengths of M&amp;S Food are linked to quality, unique product range, and preference and does </w:t>
      </w:r>
      <w:r>
        <w:rPr>
          <w:color w:val="000000"/>
        </w:rPr>
        <w:t>not include low operation cost. The weakness segment of this analysis demonstrates that only premium-growth is not sufficient. Current management goal of increasing food, sales and expansion of stores invite opportunities. On the other hand, it has a simil</w:t>
      </w:r>
      <w:r>
        <w:rPr>
          <w:color w:val="000000"/>
        </w:rPr>
        <w:t>ar effect on the exposure to waste, capital discipline, and availability (Marks &amp; Spencer Group plc, 2026a). A strategic trade-off is a must. Growth can have a proportionate effect on resource availability and customer reach but unmonitored growth can resu</w:t>
      </w:r>
      <w:r>
        <w:rPr>
          <w:color w:val="000000"/>
        </w:rPr>
        <w:t>lt in inconsistent outcomes from differentiation. Accessible differentiation is the synthesis which converts every day value into a capability while giving utmost attention to trust and product distinctiveness.</w:t>
      </w:r>
    </w:p>
    <w:p w14:paraId="597F339A" w14:textId="77777777" w:rsidR="00D85508" w:rsidRDefault="008B4A12">
      <w:pPr>
        <w:jc w:val="both"/>
      </w:pPr>
      <w:r>
        <w:rPr>
          <w:color w:val="000000"/>
        </w:rPr>
        <w:t>Utilization of strength and reduction of weak</w:t>
      </w:r>
      <w:r>
        <w:rPr>
          <w:color w:val="000000"/>
        </w:rPr>
        <w:t>ness results in the best strategic fit. Most every day occasions, prioritize credibility, but also demands a transparent value and availability. Store expansion can bring more reach, but needs to be aware of waste control management and replenishment. Depe</w:t>
      </w:r>
      <w:r>
        <w:rPr>
          <w:color w:val="000000"/>
        </w:rPr>
        <w:t xml:space="preserve">nding only on the price card can dilute </w:t>
      </w:r>
      <w:proofErr w:type="spellStart"/>
      <w:proofErr w:type="gramStart"/>
      <w:r>
        <w:rPr>
          <w:color w:val="000000"/>
        </w:rPr>
        <w:t>trust.SWOT</w:t>
      </w:r>
      <w:proofErr w:type="spellEnd"/>
      <w:proofErr w:type="gramEnd"/>
      <w:r>
        <w:rPr>
          <w:color w:val="000000"/>
        </w:rPr>
        <w:t xml:space="preserve"> provides with a choice and rejection system rather than just a summary report.</w:t>
      </w:r>
    </w:p>
    <w:p w14:paraId="7FEB7049" w14:textId="77777777" w:rsidR="00276E5D" w:rsidRPr="00E55CB9" w:rsidRDefault="008B4A12" w:rsidP="00E55CB9">
      <w:pPr>
        <w:pStyle w:val="Heading3"/>
      </w:pPr>
      <w:bookmarkStart w:id="11" w:name="_Toc237389000"/>
      <w:r w:rsidRPr="00E55CB9">
        <w:t>2.3.1 SWOT-derived strategic action plan</w:t>
      </w:r>
      <w:bookmarkEnd w:id="11"/>
    </w:p>
    <w:p w14:paraId="063F9C74" w14:textId="77777777" w:rsidR="00276E5D" w:rsidRDefault="008B4A12">
      <w:pPr>
        <w:jc w:val="both"/>
      </w:pPr>
      <w:r>
        <w:rPr>
          <w:color w:val="000000"/>
        </w:rPr>
        <w:t>The action plan converts external opportunities and threats into responses that use o</w:t>
      </w:r>
      <w:r>
        <w:rPr>
          <w:color w:val="000000"/>
        </w:rPr>
        <w:t>r repair internal conditions. It prevents SWOT from remaining a descriptive list: each action has an owner and a decision measure, while expansion is conditional on evidence that value, quality, availability, waste and financial return can improve together</w:t>
      </w:r>
      <w:r>
        <w:rPr>
          <w:color w:val="000000"/>
        </w:rPr>
        <w:t>.</w:t>
      </w:r>
    </w:p>
    <w:p w14:paraId="4B929665" w14:textId="77777777" w:rsidR="00E55CB9" w:rsidRDefault="00E55CB9">
      <w:pPr>
        <w:spacing w:after="160" w:line="278" w:lineRule="auto"/>
        <w:rPr>
          <w:b/>
          <w:color w:val="000000"/>
          <w:sz w:val="20"/>
        </w:rPr>
      </w:pPr>
      <w:r>
        <w:rPr>
          <w:b/>
          <w:color w:val="000000"/>
          <w:sz w:val="20"/>
        </w:rPr>
        <w:br w:type="page"/>
      </w:r>
    </w:p>
    <w:p w14:paraId="5161D240" w14:textId="08A5614E" w:rsidR="00276E5D" w:rsidRDefault="008B4A12">
      <w:pPr>
        <w:spacing w:before="160"/>
      </w:pPr>
      <w:r>
        <w:rPr>
          <w:b/>
          <w:color w:val="000000"/>
          <w:sz w:val="20"/>
        </w:rPr>
        <w:lastRenderedPageBreak/>
        <w:t>Table 5: SWOT-derived action plan</w:t>
      </w:r>
    </w:p>
    <w:p w14:paraId="51DA3A29" w14:textId="182DE51D" w:rsidR="00D85508" w:rsidRDefault="00D00D1F">
      <w:pPr>
        <w:rPr>
          <w:rFonts w:cs="Times New Roman"/>
        </w:rPr>
      </w:pPr>
      <w:r>
        <w:rPr>
          <w:noProof/>
          <w:color w:val="000000"/>
        </w:rPr>
        <w:object w:dxaOrig="9360" w:dyaOrig="7800" w14:anchorId="1E9817AE">
          <v:shape id="_x0000_i1028" type="#_x0000_t75" alt="" style="width:468pt;height:390.5pt;mso-width-percent:0;mso-height-percent:0;mso-width-percent:0;mso-height-percent:0" o:ole="">
            <v:imagedata r:id="rId18" o:title=""/>
          </v:shape>
          <o:OLEObject Type="Embed" ProgID="Word.Document.12" ShapeID="_x0000_i1028" DrawAspect="Content" ObjectID="_1848007049" r:id="rId19">
            <o:FieldCodes>\s</o:FieldCodes>
          </o:OLEObject>
        </w:object>
      </w:r>
      <w:r>
        <w:rPr>
          <w:color w:val="000000"/>
        </w:rPr>
        <w:br w:type="page"/>
      </w:r>
    </w:p>
    <w:p w14:paraId="3BF60ABD" w14:textId="77777777" w:rsidR="00D85508" w:rsidRDefault="008B4A12" w:rsidP="00E55CB9">
      <w:pPr>
        <w:pStyle w:val="Heading1"/>
      </w:pPr>
      <w:bookmarkStart w:id="12" w:name="_Toc237389001"/>
      <w:r>
        <w:lastRenderedPageBreak/>
        <w:t>3. Comprehensive and Holistic View of the Organisation</w:t>
      </w:r>
      <w:bookmarkEnd w:id="12"/>
    </w:p>
    <w:p w14:paraId="6906D850" w14:textId="77777777" w:rsidR="00D85508" w:rsidRPr="00E55CB9" w:rsidRDefault="008B4A12" w:rsidP="00E55CB9">
      <w:pPr>
        <w:pStyle w:val="Heading2"/>
      </w:pPr>
      <w:bookmarkStart w:id="13" w:name="_Toc237389002"/>
      <w:r w:rsidRPr="00E55CB9">
        <w:t>3.1 CSR and strategic alignment</w:t>
      </w:r>
      <w:bookmarkEnd w:id="13"/>
    </w:p>
    <w:p w14:paraId="46A5653B" w14:textId="77777777" w:rsidR="00D85508" w:rsidRDefault="008B4A12">
      <w:pPr>
        <w:jc w:val="both"/>
      </w:pPr>
      <w:r>
        <w:rPr>
          <w:color w:val="000000"/>
        </w:rPr>
        <w:t xml:space="preserve">CSR has a great strategic value for M&amp;S Food as the theory </w:t>
      </w:r>
      <w:proofErr w:type="spellStart"/>
      <w:r>
        <w:rPr>
          <w:color w:val="000000"/>
        </w:rPr>
        <w:t>analyzes</w:t>
      </w:r>
      <w:proofErr w:type="spellEnd"/>
      <w:r>
        <w:rPr>
          <w:color w:val="000000"/>
        </w:rPr>
        <w:t xml:space="preserve"> how products are sourced, pack</w:t>
      </w:r>
      <w:r>
        <w:rPr>
          <w:color w:val="000000"/>
        </w:rPr>
        <w:t xml:space="preserve">aged, sold and disposed of. </w:t>
      </w:r>
      <w:proofErr w:type="gramStart"/>
      <w:r>
        <w:rPr>
          <w:color w:val="000000"/>
        </w:rPr>
        <w:t>Carroll's(</w:t>
      </w:r>
      <w:proofErr w:type="gramEnd"/>
      <w:r>
        <w:rPr>
          <w:color w:val="000000"/>
        </w:rPr>
        <w:t xml:space="preserve">1991) pyramid provides separate attention to economic, legal, philanthropic, and ethical duties. As a result, CSR is pertinent for commercial performance rather than a mere donation </w:t>
      </w:r>
      <w:proofErr w:type="spellStart"/>
      <w:r>
        <w:rPr>
          <w:color w:val="000000"/>
        </w:rPr>
        <w:t>program.M&amp;S</w:t>
      </w:r>
      <w:proofErr w:type="spellEnd"/>
      <w:r>
        <w:rPr>
          <w:color w:val="000000"/>
        </w:rPr>
        <w:t xml:space="preserve"> Food provides the divisi</w:t>
      </w:r>
      <w:r>
        <w:rPr>
          <w:color w:val="000000"/>
        </w:rPr>
        <w:t xml:space="preserve">on with a suitable platform to incorporate quality, sustainability with customer value. The UK food strategy works with public expectation around health, affordability, and </w:t>
      </w:r>
      <w:proofErr w:type="gramStart"/>
      <w:r>
        <w:rPr>
          <w:color w:val="000000"/>
        </w:rPr>
        <w:t>resilience(</w:t>
      </w:r>
      <w:proofErr w:type="gramEnd"/>
      <w:r>
        <w:rPr>
          <w:color w:val="000000"/>
        </w:rPr>
        <w:t>Marks &amp; Spencer Group plc, 2026c; Department for Environment, Food &amp; Rur</w:t>
      </w:r>
      <w:r>
        <w:rPr>
          <w:color w:val="000000"/>
        </w:rPr>
        <w:t>al Affairs, 2025).According to, Hart’s(1995) natural-resource-based view, product stewardship, prevention of pollution and sustainable development can emerge as strategic strengths if they are embedded into the system.</w:t>
      </w:r>
    </w:p>
    <w:p w14:paraId="52295F0D" w14:textId="77777777" w:rsidR="00276E5D" w:rsidRDefault="008B4A12">
      <w:pPr>
        <w:jc w:val="both"/>
      </w:pPr>
      <w:r>
        <w:rPr>
          <w:color w:val="000000"/>
        </w:rPr>
        <w:t>This connects CSR directly to the mis</w:t>
      </w:r>
      <w:r>
        <w:rPr>
          <w:color w:val="000000"/>
        </w:rPr>
        <w:t>sion-equivalent promise of exceptional products at trusted value. Responsible sourcing, lower waste and appropriate packaging protect product quality and trust, while affordability and supplier fairness determine whether the promise can be sustained as the</w:t>
      </w:r>
      <w:r>
        <w:rPr>
          <w:color w:val="000000"/>
        </w:rPr>
        <w:t xml:space="preserve"> Food business grows.</w:t>
      </w:r>
    </w:p>
    <w:p w14:paraId="18304EAA" w14:textId="77777777" w:rsidR="00D85508" w:rsidRDefault="008B4A12">
      <w:pPr>
        <w:jc w:val="both"/>
      </w:pPr>
      <w:r>
        <w:rPr>
          <w:color w:val="000000"/>
        </w:rPr>
        <w:t xml:space="preserve">The theory is dependable but not proven. Porter and </w:t>
      </w:r>
      <w:proofErr w:type="gramStart"/>
      <w:r>
        <w:rPr>
          <w:color w:val="000000"/>
        </w:rPr>
        <w:t>Kramer(</w:t>
      </w:r>
      <w:proofErr w:type="gramEnd"/>
      <w:r>
        <w:rPr>
          <w:color w:val="000000"/>
        </w:rPr>
        <w:t xml:space="preserve">2011) explain that social issues can contribute to share the value only if they develop the firm's ability to generate value and improve the competitive context. According to </w:t>
      </w:r>
      <w:r>
        <w:rPr>
          <w:color w:val="000000"/>
        </w:rPr>
        <w:t xml:space="preserve">stakeholder theory, customers, suppliers, communities, and investors have three kinds of claims on the corporation, such as descriptive, instrumental and </w:t>
      </w:r>
      <w:proofErr w:type="gramStart"/>
      <w:r>
        <w:rPr>
          <w:color w:val="000000"/>
        </w:rPr>
        <w:t>normative(</w:t>
      </w:r>
      <w:proofErr w:type="gramEnd"/>
      <w:r>
        <w:rPr>
          <w:color w:val="000000"/>
        </w:rPr>
        <w:t>Donaldson and Preston, 1995).M&amp;S can reduce waste by a better calculation for forecasting. T</w:t>
      </w:r>
      <w:r>
        <w:rPr>
          <w:color w:val="000000"/>
        </w:rPr>
        <w:t xml:space="preserve">hey can redesign packaging methods which reduces EPR exposure. </w:t>
      </w:r>
      <w:proofErr w:type="gramStart"/>
      <w:r>
        <w:rPr>
          <w:color w:val="000000"/>
        </w:rPr>
        <w:t>Additionally</w:t>
      </w:r>
      <w:proofErr w:type="gramEnd"/>
      <w:r>
        <w:rPr>
          <w:color w:val="000000"/>
        </w:rPr>
        <w:t xml:space="preserve"> by collaborating with suppliers, they can safeguard their quality and resilience. </w:t>
      </w:r>
      <w:proofErr w:type="spellStart"/>
      <w:proofErr w:type="gramStart"/>
      <w:r>
        <w:rPr>
          <w:color w:val="000000"/>
        </w:rPr>
        <w:t>Rao,Bernaz</w:t>
      </w:r>
      <w:proofErr w:type="spellEnd"/>
      <w:proofErr w:type="gramEnd"/>
      <w:r>
        <w:rPr>
          <w:color w:val="000000"/>
        </w:rPr>
        <w:t xml:space="preserve"> and de Boer (2024) challenges, the CSR proposition by pointing out that demand forecast</w:t>
      </w:r>
      <w:r>
        <w:rPr>
          <w:color w:val="000000"/>
        </w:rPr>
        <w:t xml:space="preserve">ing, cosmetic standards can increase food </w:t>
      </w:r>
      <w:proofErr w:type="spellStart"/>
      <w:r>
        <w:rPr>
          <w:color w:val="000000"/>
        </w:rPr>
        <w:t>waste.Aguinis</w:t>
      </w:r>
      <w:proofErr w:type="spellEnd"/>
      <w:r>
        <w:rPr>
          <w:color w:val="000000"/>
        </w:rPr>
        <w:t xml:space="preserve"> and </w:t>
      </w:r>
      <w:proofErr w:type="spellStart"/>
      <w:r>
        <w:rPr>
          <w:color w:val="000000"/>
        </w:rPr>
        <w:t>Glavas</w:t>
      </w:r>
      <w:proofErr w:type="spellEnd"/>
      <w:r>
        <w:rPr>
          <w:color w:val="000000"/>
        </w:rPr>
        <w:t xml:space="preserve"> (2012) argue that CSR outcomes depend on implementation and context instead of on activity </w:t>
      </w:r>
      <w:proofErr w:type="spellStart"/>
      <w:r>
        <w:rPr>
          <w:color w:val="000000"/>
        </w:rPr>
        <w:t>labels.M&amp;S</w:t>
      </w:r>
      <w:proofErr w:type="spellEnd"/>
      <w:r>
        <w:rPr>
          <w:color w:val="000000"/>
        </w:rPr>
        <w:t xml:space="preserve"> Food must study the connection between taking an initiative, operation change, a stakeh</w:t>
      </w:r>
      <w:r>
        <w:rPr>
          <w:color w:val="000000"/>
        </w:rPr>
        <w:t xml:space="preserve">older outcome and financial outcomes. A sustainability </w:t>
      </w:r>
      <w:proofErr w:type="gramStart"/>
      <w:r>
        <w:rPr>
          <w:color w:val="000000"/>
        </w:rPr>
        <w:t>claim</w:t>
      </w:r>
      <w:proofErr w:type="gramEnd"/>
      <w:r>
        <w:rPr>
          <w:color w:val="000000"/>
        </w:rPr>
        <w:t xml:space="preserve"> without proper focus on availability. waste, supplier treatment will not produce any significant outcome</w:t>
      </w:r>
    </w:p>
    <w:p w14:paraId="10469A8A" w14:textId="77777777" w:rsidR="00D85508" w:rsidRPr="00D30B0B" w:rsidRDefault="008B4A12" w:rsidP="00D30B0B">
      <w:pPr>
        <w:jc w:val="both"/>
      </w:pPr>
      <w:r>
        <w:rPr>
          <w:color w:val="000000"/>
        </w:rPr>
        <w:t>This principal should be monitored by the board. A cross functional committee must be formed, which will review not only returns but also value, waste, supplier, treatment, and packaging. Targets should include a baseline, owner and review date. Every outp</w:t>
      </w:r>
      <w:r>
        <w:rPr>
          <w:color w:val="000000"/>
        </w:rPr>
        <w:t xml:space="preserve">ut should be </w:t>
      </w:r>
      <w:proofErr w:type="spellStart"/>
      <w:r>
        <w:rPr>
          <w:color w:val="000000"/>
        </w:rPr>
        <w:t>analyzed</w:t>
      </w:r>
      <w:proofErr w:type="spellEnd"/>
      <w:r>
        <w:rPr>
          <w:color w:val="000000"/>
        </w:rPr>
        <w:t xml:space="preserve"> </w:t>
      </w:r>
      <w:proofErr w:type="spellStart"/>
      <w:proofErr w:type="gramStart"/>
      <w:r>
        <w:rPr>
          <w:color w:val="000000"/>
        </w:rPr>
        <w:t>separately.For</w:t>
      </w:r>
      <w:proofErr w:type="spellEnd"/>
      <w:proofErr w:type="gramEnd"/>
      <w:r>
        <w:rPr>
          <w:color w:val="000000"/>
        </w:rPr>
        <w:t xml:space="preserve"> example, The outcomes on redesigned packaging should be separated from the </w:t>
      </w:r>
      <w:r>
        <w:rPr>
          <w:color w:val="000000"/>
        </w:rPr>
        <w:lastRenderedPageBreak/>
        <w:t>results of lower material intensity. Independent assurance of material indicators will counter the risk of CSR communication out running operati</w:t>
      </w:r>
      <w:r>
        <w:rPr>
          <w:color w:val="000000"/>
        </w:rPr>
        <w:t>onal evidence.</w:t>
      </w:r>
    </w:p>
    <w:p w14:paraId="7FA35E3F" w14:textId="77777777" w:rsidR="00D85508" w:rsidRDefault="008B4A12" w:rsidP="00E55CB9">
      <w:pPr>
        <w:pStyle w:val="Heading2"/>
      </w:pPr>
      <w:bookmarkStart w:id="14" w:name="_Toc237389003"/>
      <w:r>
        <w:t>3.2 Balanced Scorecard</w:t>
      </w:r>
      <w:bookmarkEnd w:id="14"/>
    </w:p>
    <w:p w14:paraId="396386FB" w14:textId="77777777" w:rsidR="00D85508" w:rsidRDefault="008B4A12">
      <w:pPr>
        <w:jc w:val="both"/>
      </w:pPr>
      <w:r>
        <w:rPr>
          <w:color w:val="000000"/>
        </w:rPr>
        <w:t>Kaplan and Norton (1992) focuses on a connection of four factors, namely, finance, customer, internal business process, and learning and growth. This perspective aligns with M&amp;S Food because it dissolves the idea of sa</w:t>
      </w:r>
      <w:r>
        <w:rPr>
          <w:color w:val="000000"/>
        </w:rPr>
        <w:t xml:space="preserve">les growth becoming the only success factor. Nevertheless, this link of factors should be considered as a hypothesis. </w:t>
      </w:r>
      <w:proofErr w:type="spellStart"/>
      <w:r>
        <w:rPr>
          <w:color w:val="000000"/>
        </w:rPr>
        <w:t>Nørreklit</w:t>
      </w:r>
      <w:proofErr w:type="spellEnd"/>
      <w:r>
        <w:rPr>
          <w:color w:val="000000"/>
        </w:rPr>
        <w:t xml:space="preserve"> (2000) warns a balance scorecard relationships are not casual, and conflict or delay may not be visible if one maintains a prope</w:t>
      </w:r>
      <w:r>
        <w:rPr>
          <w:color w:val="000000"/>
        </w:rPr>
        <w:t>r chain from learning to finance. As a result, the table below incorporates profit, which is a lagging indicator with top indicators, such as supplier performance, colleague, capability, and availability.</w:t>
      </w:r>
    </w:p>
    <w:p w14:paraId="3A3E1AD5" w14:textId="551CF830" w:rsidR="00276E5D" w:rsidRDefault="008B4A12">
      <w:pPr>
        <w:jc w:val="both"/>
      </w:pPr>
      <w:r>
        <w:rPr>
          <w:color w:val="000000"/>
        </w:rPr>
        <w:t>The scorecard operationalises the mission across fo</w:t>
      </w:r>
      <w:r>
        <w:rPr>
          <w:color w:val="000000"/>
        </w:rPr>
        <w:t xml:space="preserve">ur perspectives: finance funds trusted value, customer measures test the promise, processes protect quality and availability, and learning builds repeatable capability. </w:t>
      </w:r>
    </w:p>
    <w:p w14:paraId="1008C417" w14:textId="77777777" w:rsidR="00E55CB9" w:rsidRDefault="00E55CB9">
      <w:pPr>
        <w:spacing w:after="160" w:line="278" w:lineRule="auto"/>
        <w:rPr>
          <w:b/>
          <w:color w:val="000000"/>
          <w:sz w:val="20"/>
        </w:rPr>
      </w:pPr>
      <w:r>
        <w:rPr>
          <w:b/>
          <w:color w:val="000000"/>
          <w:sz w:val="20"/>
        </w:rPr>
        <w:br w:type="page"/>
      </w:r>
    </w:p>
    <w:p w14:paraId="7B983A70" w14:textId="2615090B" w:rsidR="00D85508" w:rsidRDefault="008B4A12">
      <w:pPr>
        <w:pBdr>
          <w:top w:val="nil"/>
          <w:left w:val="nil"/>
          <w:bottom w:val="nil"/>
          <w:right w:val="nil"/>
          <w:between w:val="nil"/>
        </w:pBdr>
        <w:spacing w:before="120"/>
        <w:rPr>
          <w:b/>
          <w:color w:val="000000"/>
          <w:sz w:val="20"/>
        </w:rPr>
      </w:pPr>
      <w:r>
        <w:rPr>
          <w:b/>
          <w:color w:val="000000"/>
          <w:sz w:val="20"/>
        </w:rPr>
        <w:lastRenderedPageBreak/>
        <w:t>Table 6: Mission-linked Balanced Scorecard for accessible differentiation</w:t>
      </w:r>
    </w:p>
    <w:p w14:paraId="249634BD" w14:textId="7FB4FC99" w:rsidR="00E55CB9" w:rsidRDefault="00D00D1F">
      <w:pPr>
        <w:pBdr>
          <w:top w:val="nil"/>
          <w:left w:val="nil"/>
          <w:bottom w:val="nil"/>
          <w:right w:val="nil"/>
          <w:between w:val="nil"/>
        </w:pBdr>
        <w:spacing w:before="120"/>
        <w:rPr>
          <w:rFonts w:cs="Times New Roman"/>
          <w:b/>
          <w:bCs/>
          <w:color w:val="5B6B71"/>
          <w:sz w:val="19"/>
          <w:szCs w:val="19"/>
        </w:rPr>
      </w:pPr>
      <w:r>
        <w:rPr>
          <w:rFonts w:cs="Times New Roman"/>
          <w:b/>
          <w:bCs/>
          <w:noProof/>
          <w:color w:val="5B6B71"/>
          <w:sz w:val="19"/>
          <w:szCs w:val="19"/>
        </w:rPr>
        <w:object w:dxaOrig="9360" w:dyaOrig="7800" w14:anchorId="7F7C0ACB">
          <v:shape id="_x0000_i1029" type="#_x0000_t75" alt="" style="width:468pt;height:390.5pt;mso-width-percent:0;mso-height-percent:0;mso-width-percent:0;mso-height-percent:0" o:ole="">
            <v:imagedata r:id="rId20" o:title=""/>
          </v:shape>
          <o:OLEObject Type="Embed" ProgID="Word.Document.12" ShapeID="_x0000_i1029" DrawAspect="Content" ObjectID="_1848007050" r:id="rId21">
            <o:FieldCodes>\s</o:FieldCodes>
          </o:OLEObject>
        </w:object>
      </w:r>
    </w:p>
    <w:p w14:paraId="1C1086F6" w14:textId="77777777" w:rsidR="00D85508" w:rsidRDefault="008B4A12">
      <w:pPr>
        <w:jc w:val="both"/>
      </w:pPr>
      <w:r>
        <w:rPr>
          <w:color w:val="000000"/>
        </w:rPr>
        <w:t xml:space="preserve">The financial outlook should be in line with the system of accessible differentiation. Although M&amp;S has demonstrated impressive sales growth, and a </w:t>
      </w:r>
      <w:proofErr w:type="spellStart"/>
      <w:r>
        <w:rPr>
          <w:color w:val="000000"/>
        </w:rPr>
        <w:t>well established</w:t>
      </w:r>
      <w:proofErr w:type="spellEnd"/>
      <w:r>
        <w:rPr>
          <w:color w:val="000000"/>
        </w:rPr>
        <w:t xml:space="preserve"> market share, the presence of markdown and waste issues can have a ne</w:t>
      </w:r>
      <w:r>
        <w:rPr>
          <w:color w:val="000000"/>
        </w:rPr>
        <w:t xml:space="preserve">gative impact on the quality of </w:t>
      </w:r>
      <w:proofErr w:type="gramStart"/>
      <w:r>
        <w:rPr>
          <w:color w:val="000000"/>
        </w:rPr>
        <w:t>growth(</w:t>
      </w:r>
      <w:proofErr w:type="gramEnd"/>
      <w:r>
        <w:rPr>
          <w:color w:val="000000"/>
        </w:rPr>
        <w:t>Marks &amp; Spencer Group plc, 2026b). A realistic target with stable or improving profit margin is more valuable than a hypothetical numeric forecast. The same logic can be applied to store expansion calculation of retur</w:t>
      </w:r>
      <w:r>
        <w:rPr>
          <w:color w:val="000000"/>
        </w:rPr>
        <w:t>n on capital, ramp-up time and service performance should be considered before moving forward with the next investment portfolio.</w:t>
      </w:r>
    </w:p>
    <w:p w14:paraId="411640F1" w14:textId="77777777" w:rsidR="00D85508" w:rsidRDefault="008B4A12">
      <w:pPr>
        <w:jc w:val="both"/>
      </w:pPr>
      <w:r>
        <w:rPr>
          <w:color w:val="000000"/>
        </w:rPr>
        <w:t xml:space="preserve">Customer perspective can provide an inner look into </w:t>
      </w:r>
      <w:proofErr w:type="spellStart"/>
      <w:r>
        <w:rPr>
          <w:color w:val="000000"/>
        </w:rPr>
        <w:t>behavior</w:t>
      </w:r>
      <w:proofErr w:type="spellEnd"/>
      <w:r>
        <w:rPr>
          <w:color w:val="000000"/>
        </w:rPr>
        <w:t>. Food Standards Agency proves the coexistence of trust and food i</w:t>
      </w:r>
      <w:r>
        <w:rPr>
          <w:color w:val="000000"/>
        </w:rPr>
        <w:t>nsecurity (Food Standards Agency, 2026). It is therefore mandatory to understand both trust and perceived value instead of expecting that premium reputation justifies higher price across all categories. Frequency and everyday occasion are the top constrain</w:t>
      </w:r>
      <w:r>
        <w:rPr>
          <w:color w:val="000000"/>
        </w:rPr>
        <w:t xml:space="preserve">ts, which can determine the effect of accessible differentiation. Satisfaction, profit </w:t>
      </w:r>
      <w:r>
        <w:rPr>
          <w:color w:val="000000"/>
        </w:rPr>
        <w:lastRenderedPageBreak/>
        <w:t xml:space="preserve">on the other hand, are secondary indicators. Repeat </w:t>
      </w:r>
      <w:proofErr w:type="spellStart"/>
      <w:r>
        <w:rPr>
          <w:color w:val="000000"/>
        </w:rPr>
        <w:t>behavior</w:t>
      </w:r>
      <w:proofErr w:type="spellEnd"/>
      <w:r>
        <w:rPr>
          <w:color w:val="000000"/>
        </w:rPr>
        <w:t xml:space="preserve"> can be derived from loyalty values.</w:t>
      </w:r>
    </w:p>
    <w:p w14:paraId="0DC63286" w14:textId="77777777" w:rsidR="00D85508" w:rsidRDefault="008B4A12">
      <w:pPr>
        <w:jc w:val="both"/>
      </w:pPr>
      <w:r>
        <w:rPr>
          <w:color w:val="000000"/>
        </w:rPr>
        <w:t xml:space="preserve">The operational implementation of the suggestion comes from an internal </w:t>
      </w:r>
      <w:r>
        <w:rPr>
          <w:color w:val="000000"/>
        </w:rPr>
        <w:t xml:space="preserve">process perspective. Literature on food-waste proves the link between range, markdowns, forecasting, and supplier </w:t>
      </w:r>
      <w:proofErr w:type="gramStart"/>
      <w:r>
        <w:rPr>
          <w:color w:val="000000"/>
        </w:rPr>
        <w:t>coordination(</w:t>
      </w:r>
      <w:proofErr w:type="gramEnd"/>
      <w:r>
        <w:rPr>
          <w:color w:val="000000"/>
        </w:rPr>
        <w:t xml:space="preserve">Pimentel, </w:t>
      </w:r>
      <w:proofErr w:type="spellStart"/>
      <w:r>
        <w:rPr>
          <w:color w:val="000000"/>
        </w:rPr>
        <w:t>Misopoulos</w:t>
      </w:r>
      <w:proofErr w:type="spellEnd"/>
      <w:r>
        <w:rPr>
          <w:color w:val="000000"/>
        </w:rPr>
        <w:t xml:space="preserve"> and Davies, 2022). Research on resilience suggests that excessive resource availability might create issues </w:t>
      </w:r>
      <w:r>
        <w:rPr>
          <w:color w:val="000000"/>
        </w:rPr>
        <w:t xml:space="preserve">as it increases waste or compromises financial </w:t>
      </w:r>
      <w:proofErr w:type="gramStart"/>
      <w:r>
        <w:rPr>
          <w:color w:val="000000"/>
        </w:rPr>
        <w:t>health(</w:t>
      </w:r>
      <w:proofErr w:type="gramEnd"/>
      <w:r>
        <w:rPr>
          <w:color w:val="000000"/>
        </w:rPr>
        <w:t xml:space="preserve">Costa et al., 2022).M&amp;S should keep track of availability and waste. A store that does not have </w:t>
      </w:r>
      <w:proofErr w:type="spellStart"/>
      <w:r>
        <w:rPr>
          <w:color w:val="000000"/>
        </w:rPr>
        <w:t>stockout</w:t>
      </w:r>
      <w:proofErr w:type="spellEnd"/>
      <w:r>
        <w:rPr>
          <w:color w:val="000000"/>
        </w:rPr>
        <w:t xml:space="preserve"> issues because of excessive inventory does not mean that it is generating more profit. Packaging </w:t>
      </w:r>
      <w:r>
        <w:rPr>
          <w:color w:val="000000"/>
        </w:rPr>
        <w:t xml:space="preserve">EPR is also significant as material choice and weight can have an impact on future </w:t>
      </w:r>
      <w:proofErr w:type="gramStart"/>
      <w:r>
        <w:rPr>
          <w:color w:val="000000"/>
        </w:rPr>
        <w:t>fees(</w:t>
      </w:r>
      <w:proofErr w:type="gramEnd"/>
      <w:r>
        <w:rPr>
          <w:color w:val="000000"/>
        </w:rPr>
        <w:t>Department for Environment, Food &amp; Rural Affairs, 2026).</w:t>
      </w:r>
    </w:p>
    <w:p w14:paraId="078CF169" w14:textId="77777777" w:rsidR="00D85508" w:rsidRDefault="008B4A12">
      <w:pPr>
        <w:jc w:val="both"/>
      </w:pPr>
      <w:r>
        <w:rPr>
          <w:color w:val="000000"/>
        </w:rPr>
        <w:t xml:space="preserve">Learning and growth are important part of this </w:t>
      </w:r>
      <w:proofErr w:type="spellStart"/>
      <w:r>
        <w:rPr>
          <w:color w:val="000000"/>
        </w:rPr>
        <w:t>strategy.According</w:t>
      </w:r>
      <w:proofErr w:type="spellEnd"/>
      <w:r>
        <w:rPr>
          <w:color w:val="000000"/>
        </w:rPr>
        <w:t xml:space="preserve"> to the proposition by </w:t>
      </w:r>
      <w:proofErr w:type="spellStart"/>
      <w:r>
        <w:rPr>
          <w:color w:val="000000"/>
        </w:rPr>
        <w:t>Teece</w:t>
      </w:r>
      <w:proofErr w:type="spellEnd"/>
      <w:r>
        <w:rPr>
          <w:color w:val="000000"/>
        </w:rPr>
        <w:t xml:space="preserve">, Pisano and </w:t>
      </w:r>
      <w:proofErr w:type="spellStart"/>
      <w:r>
        <w:rPr>
          <w:color w:val="000000"/>
        </w:rPr>
        <w:t>Shuen</w:t>
      </w:r>
      <w:proofErr w:type="spellEnd"/>
      <w:r>
        <w:rPr>
          <w:color w:val="000000"/>
        </w:rPr>
        <w:t xml:space="preserve"> (1997) and </w:t>
      </w:r>
      <w:proofErr w:type="spellStart"/>
      <w:r>
        <w:rPr>
          <w:color w:val="000000"/>
        </w:rPr>
        <w:t>Teece</w:t>
      </w:r>
      <w:proofErr w:type="spellEnd"/>
      <w:r>
        <w:rPr>
          <w:color w:val="000000"/>
        </w:rPr>
        <w:t xml:space="preserve"> (2007),M&amp;S needs to build a system to sense demand shifts, seizing products along with reconfiguring </w:t>
      </w:r>
      <w:proofErr w:type="spellStart"/>
      <w:r>
        <w:rPr>
          <w:color w:val="000000"/>
        </w:rPr>
        <w:t>operations.Eccles</w:t>
      </w:r>
      <w:proofErr w:type="spellEnd"/>
      <w:r>
        <w:rPr>
          <w:color w:val="000000"/>
        </w:rPr>
        <w:t xml:space="preserve">, </w:t>
      </w:r>
      <w:proofErr w:type="spellStart"/>
      <w:r>
        <w:rPr>
          <w:color w:val="000000"/>
        </w:rPr>
        <w:t>Ioannou</w:t>
      </w:r>
      <w:proofErr w:type="spellEnd"/>
      <w:r>
        <w:rPr>
          <w:color w:val="000000"/>
        </w:rPr>
        <w:t xml:space="preserve"> and </w:t>
      </w:r>
      <w:proofErr w:type="spellStart"/>
      <w:r>
        <w:rPr>
          <w:color w:val="000000"/>
        </w:rPr>
        <w:t>Serafeim</w:t>
      </w:r>
      <w:proofErr w:type="spellEnd"/>
      <w:r>
        <w:rPr>
          <w:color w:val="000000"/>
        </w:rPr>
        <w:t xml:space="preserve"> (2014) provide empirical data that support combination between sustainability governance, non-fin</w:t>
      </w:r>
      <w:r>
        <w:rPr>
          <w:color w:val="000000"/>
        </w:rPr>
        <w:t xml:space="preserve">ancial measurements, stakeholder involvement  and long term </w:t>
      </w:r>
      <w:proofErr w:type="spellStart"/>
      <w:r>
        <w:rPr>
          <w:color w:val="000000"/>
        </w:rPr>
        <w:t>performance.However</w:t>
      </w:r>
      <w:proofErr w:type="spellEnd"/>
      <w:r>
        <w:rPr>
          <w:color w:val="000000"/>
        </w:rPr>
        <w:t>, it will be wise to be careful about the sample as it is US based and observation. The scorecard does not prove that every initiative will bring profit rather it can be used as</w:t>
      </w:r>
      <w:r>
        <w:rPr>
          <w:color w:val="000000"/>
        </w:rPr>
        <w:t xml:space="preserve"> a management overview with distinctive review points. A balanced set of measures highlights the trade-offs. In order for accessible differentiation to work out, value, quality, waste and returns must develop simultaneously</w:t>
      </w:r>
    </w:p>
    <w:p w14:paraId="4515FB7F" w14:textId="77777777" w:rsidR="00D85508" w:rsidRDefault="008B4A12">
      <w:pPr>
        <w:rPr>
          <w:rFonts w:cs="Times New Roman"/>
        </w:rPr>
      </w:pPr>
      <w:r>
        <w:rPr>
          <w:color w:val="000000"/>
        </w:rPr>
        <w:br w:type="page"/>
      </w:r>
    </w:p>
    <w:p w14:paraId="775E135F" w14:textId="77777777" w:rsidR="00D85508" w:rsidRDefault="008B4A12" w:rsidP="00E55CB9">
      <w:pPr>
        <w:pStyle w:val="Heading1"/>
      </w:pPr>
      <w:bookmarkStart w:id="15" w:name="_Toc237389004"/>
      <w:r>
        <w:lastRenderedPageBreak/>
        <w:t>4. Strategic Choices and Imple</w:t>
      </w:r>
      <w:r>
        <w:t>mentation</w:t>
      </w:r>
      <w:bookmarkEnd w:id="15"/>
    </w:p>
    <w:p w14:paraId="6F1A145A" w14:textId="77777777" w:rsidR="00D85508" w:rsidRDefault="008B4A12" w:rsidP="00E55CB9">
      <w:pPr>
        <w:pStyle w:val="Heading2"/>
      </w:pPr>
      <w:bookmarkStart w:id="16" w:name="_Toc237389005"/>
      <w:r>
        <w:t>4.1 Strategic choice</w:t>
      </w:r>
      <w:bookmarkEnd w:id="16"/>
    </w:p>
    <w:p w14:paraId="568BAFAA" w14:textId="77777777" w:rsidR="00D85508" w:rsidRDefault="008B4A12">
      <w:pPr>
        <w:jc w:val="both"/>
        <w:rPr>
          <w:color w:val="000000"/>
          <w:sz w:val="22"/>
          <w:szCs w:val="22"/>
        </w:rPr>
      </w:pPr>
      <w:r>
        <w:rPr>
          <w:color w:val="000000"/>
        </w:rPr>
        <w:t xml:space="preserve">Porter’s (1980; 1985) generic strategy logic raises question about an organization’s ability to compete through cost leadership, differentiation and prioritizes trade-offs instead of applying </w:t>
      </w:r>
      <w:proofErr w:type="spellStart"/>
      <w:proofErr w:type="gramStart"/>
      <w:r>
        <w:rPr>
          <w:color w:val="000000"/>
        </w:rPr>
        <w:t>everything.Hill</w:t>
      </w:r>
      <w:proofErr w:type="spellEnd"/>
      <w:proofErr w:type="gramEnd"/>
      <w:r>
        <w:rPr>
          <w:color w:val="000000"/>
        </w:rPr>
        <w:t xml:space="preserve"> (1988) argues </w:t>
      </w:r>
      <w:r>
        <w:rPr>
          <w:color w:val="000000"/>
        </w:rPr>
        <w:t xml:space="preserve">that differentiation and cost efficiency can coexist under proper environment if the organization is clear about its core </w:t>
      </w:r>
      <w:proofErr w:type="spellStart"/>
      <w:r>
        <w:rPr>
          <w:color w:val="000000"/>
        </w:rPr>
        <w:t>strength.The</w:t>
      </w:r>
      <w:proofErr w:type="spellEnd"/>
      <w:r>
        <w:rPr>
          <w:color w:val="000000"/>
        </w:rPr>
        <w:t xml:space="preserve"> suggestion does not promote becoming a discounter or abandon the premium position. The recommendation leads to accessible</w:t>
      </w:r>
      <w:r>
        <w:rPr>
          <w:color w:val="000000"/>
        </w:rPr>
        <w:t xml:space="preserve"> differentiation; maintain quality, innovation and distinct features while also decreasing cost and friction on purchasing the offer.</w:t>
      </w:r>
    </w:p>
    <w:p w14:paraId="47DEE70C" w14:textId="77777777" w:rsidR="00276E5D" w:rsidRDefault="008B4A12" w:rsidP="00E55CB9">
      <w:pPr>
        <w:pStyle w:val="Heading3"/>
      </w:pPr>
      <w:bookmarkStart w:id="17" w:name="_Toc237389006"/>
      <w:r>
        <w:t>4.1.1 Alignment between evidence, models and strategic choice</w:t>
      </w:r>
      <w:bookmarkEnd w:id="17"/>
    </w:p>
    <w:p w14:paraId="4D528C7A" w14:textId="77777777" w:rsidR="00276E5D" w:rsidRDefault="008B4A12">
      <w:pPr>
        <w:spacing w:before="160"/>
        <w:rPr>
          <w:b/>
          <w:color w:val="000000"/>
          <w:sz w:val="20"/>
        </w:rPr>
      </w:pPr>
      <w:r>
        <w:rPr>
          <w:b/>
          <w:color w:val="000000"/>
          <w:sz w:val="20"/>
        </w:rPr>
        <w:t>Table 7: Model-to-theory-to-choice crosswalk</w:t>
      </w:r>
    </w:p>
    <w:p w14:paraId="5D3F0B7C" w14:textId="59AFF693" w:rsidR="00E55CB9" w:rsidRDefault="00D00D1F">
      <w:pPr>
        <w:spacing w:before="160"/>
      </w:pPr>
      <w:r>
        <w:rPr>
          <w:noProof/>
        </w:rPr>
        <w:object w:dxaOrig="9360" w:dyaOrig="8220" w14:anchorId="1FC4E375">
          <v:shape id="_x0000_i1030" type="#_x0000_t75" alt="" style="width:468pt;height:411pt;mso-width-percent:0;mso-height-percent:0;mso-width-percent:0;mso-height-percent:0" o:ole="">
            <v:imagedata r:id="rId22" o:title=""/>
          </v:shape>
          <o:OLEObject Type="Embed" ProgID="Word.Document.12" ShapeID="_x0000_i1030" DrawAspect="Content" ObjectID="_1848007051" r:id="rId23">
            <o:FieldCodes>\s</o:FieldCodes>
          </o:OLEObject>
        </w:object>
      </w:r>
    </w:p>
    <w:p w14:paraId="35F2F5E0" w14:textId="77777777" w:rsidR="00E55CB9" w:rsidRDefault="00E55CB9">
      <w:pPr>
        <w:spacing w:after="160" w:line="278" w:lineRule="auto"/>
        <w:rPr>
          <w:b/>
          <w:color w:val="000000"/>
          <w:sz w:val="20"/>
        </w:rPr>
      </w:pPr>
      <w:r>
        <w:rPr>
          <w:b/>
          <w:color w:val="000000"/>
          <w:sz w:val="20"/>
        </w:rPr>
        <w:br w:type="page"/>
      </w:r>
    </w:p>
    <w:p w14:paraId="34C9275C" w14:textId="329C6C49" w:rsidR="00D85508" w:rsidRDefault="008B4A12">
      <w:pPr>
        <w:pBdr>
          <w:top w:val="nil"/>
          <w:left w:val="nil"/>
          <w:bottom w:val="nil"/>
          <w:right w:val="nil"/>
          <w:between w:val="nil"/>
        </w:pBdr>
        <w:spacing w:before="120"/>
        <w:rPr>
          <w:rFonts w:cs="Times New Roman"/>
          <w:b/>
          <w:bCs/>
          <w:color w:val="5B6B71"/>
          <w:sz w:val="19"/>
          <w:szCs w:val="19"/>
        </w:rPr>
      </w:pPr>
      <w:r>
        <w:rPr>
          <w:b/>
          <w:color w:val="000000"/>
          <w:sz w:val="20"/>
        </w:rPr>
        <w:lastRenderedPageBreak/>
        <w:t>Table 8: Strategic-choice comparison</w:t>
      </w:r>
    </w:p>
    <w:p w14:paraId="116AD27F" w14:textId="056ABC38" w:rsidR="00E55CB9" w:rsidRDefault="00D00D1F">
      <w:pPr>
        <w:jc w:val="both"/>
        <w:rPr>
          <w:color w:val="000000"/>
        </w:rPr>
      </w:pPr>
      <w:r>
        <w:rPr>
          <w:noProof/>
          <w:color w:val="000000"/>
        </w:rPr>
        <w:object w:dxaOrig="9360" w:dyaOrig="3820" w14:anchorId="63E9EC98">
          <v:shape id="_x0000_i1031" type="#_x0000_t75" alt="" style="width:468pt;height:191.5pt;mso-width-percent:0;mso-height-percent:0;mso-width-percent:0;mso-height-percent:0" o:ole="">
            <v:imagedata r:id="rId24" o:title=""/>
          </v:shape>
          <o:OLEObject Type="Embed" ProgID="Word.Document.12" ShapeID="_x0000_i1031" DrawAspect="Content" ObjectID="_1848007052" r:id="rId25">
            <o:FieldCodes>\s</o:FieldCodes>
          </o:OLEObject>
        </w:object>
      </w:r>
    </w:p>
    <w:p w14:paraId="7AD3FB06" w14:textId="70F2105E" w:rsidR="00D85508" w:rsidRDefault="008B4A12">
      <w:pPr>
        <w:jc w:val="both"/>
      </w:pPr>
      <w:r>
        <w:rPr>
          <w:color w:val="000000"/>
        </w:rPr>
        <w:t xml:space="preserve">Cost leadership perspective will misunderstand the resources classified in VRIO analysis. The value of M&amp;S does not stand from cheap options, rather the offer that </w:t>
      </w:r>
      <w:r>
        <w:rPr>
          <w:color w:val="000000"/>
        </w:rPr>
        <w:t>comes with product quality, good standards, and innovation, which can satisfy the customer base. A price cut may not be able to create a structurally, lower cost customer base, but can definitely damage quality or create supplier issues. This can damage th</w:t>
      </w:r>
      <w:r>
        <w:rPr>
          <w:color w:val="000000"/>
        </w:rPr>
        <w:t>e company’s image and nullify the effect of differentiation. Broad differentiation alliance with the current approach, but cannot determine the number of households that will use the products for everyday events. In this case accessible differentiation can</w:t>
      </w:r>
      <w:r>
        <w:rPr>
          <w:color w:val="000000"/>
        </w:rPr>
        <w:t xml:space="preserve"> resolve the issue. It can on one hand work with quality promise and on the other hand remove unnecessary cost through preparing price-pack, essentials, meal and family architectures that makes the method easily repeatable.</w:t>
      </w:r>
    </w:p>
    <w:p w14:paraId="31521E4D" w14:textId="77777777" w:rsidR="00D85508" w:rsidRDefault="008B4A12">
      <w:pPr>
        <w:jc w:val="both"/>
      </w:pPr>
      <w:r>
        <w:rPr>
          <w:color w:val="000000"/>
        </w:rPr>
        <w:t>The recommendation consists of t</w:t>
      </w:r>
      <w:r>
        <w:rPr>
          <w:color w:val="000000"/>
        </w:rPr>
        <w:t xml:space="preserve">hree strategic points. First of all, there can be no compromise on the quality and sourcing standard of the product as they are the core strength of the company. </w:t>
      </w:r>
      <w:proofErr w:type="spellStart"/>
      <w:proofErr w:type="gramStart"/>
      <w:r>
        <w:rPr>
          <w:color w:val="000000"/>
        </w:rPr>
        <w:t>Second,uncalculated</w:t>
      </w:r>
      <w:proofErr w:type="spellEnd"/>
      <w:proofErr w:type="gramEnd"/>
      <w:r>
        <w:rPr>
          <w:color w:val="000000"/>
        </w:rPr>
        <w:t xml:space="preserve"> discounts will not be beneficial for the business model. Value must be der</w:t>
      </w:r>
      <w:r>
        <w:rPr>
          <w:color w:val="000000"/>
        </w:rPr>
        <w:t xml:space="preserve">ived from a clear good-value entry point, appropriate packaging, reliable availability, and a communication system that maintains the availability of premium purchase. Lastly, scaling will only apply when the strategy is well understood and implemented by </w:t>
      </w:r>
      <w:r>
        <w:rPr>
          <w:color w:val="000000"/>
        </w:rPr>
        <w:t xml:space="preserve">the stores, supply chain and data. The Food sales and store ambition will be the driver for this strategy. However, </w:t>
      </w:r>
      <w:proofErr w:type="gramStart"/>
      <w:r>
        <w:rPr>
          <w:color w:val="000000"/>
        </w:rPr>
        <w:t>It</w:t>
      </w:r>
      <w:proofErr w:type="gramEnd"/>
      <w:r>
        <w:rPr>
          <w:color w:val="000000"/>
        </w:rPr>
        <w:t xml:space="preserve"> does not make sure that every expansion will bring profit (Marks &amp; Spencer Group plc, 2026b; Marks &amp; Spencer Group plc, 2026a).</w:t>
      </w:r>
    </w:p>
    <w:p w14:paraId="366132E2" w14:textId="77777777" w:rsidR="00D85508" w:rsidRDefault="008B4A12" w:rsidP="00E55CB9">
      <w:pPr>
        <w:pStyle w:val="Heading2"/>
      </w:pPr>
      <w:bookmarkStart w:id="18" w:name="_Toc237389007"/>
      <w:r>
        <w:t>4.2 Valid</w:t>
      </w:r>
      <w:r>
        <w:t>ation and development path</w:t>
      </w:r>
      <w:bookmarkEnd w:id="18"/>
    </w:p>
    <w:p w14:paraId="49E9E9CF" w14:textId="77777777" w:rsidR="00D85508" w:rsidRDefault="008B4A12">
      <w:pPr>
        <w:jc w:val="both"/>
      </w:pPr>
      <w:r>
        <w:rPr>
          <w:color w:val="000000"/>
        </w:rPr>
        <w:t>As competition and buying power are high in the UK, we can deduce five factors that support the recommendation. The switching cost for customers in the UK grocery market is very low if they want to move between discounters, mainstream retails, premium segm</w:t>
      </w:r>
      <w:r>
        <w:rPr>
          <w:color w:val="000000"/>
        </w:rPr>
        <w:t xml:space="preserve">ent, and digital </w:t>
      </w:r>
      <w:r>
        <w:rPr>
          <w:color w:val="000000"/>
        </w:rPr>
        <w:lastRenderedPageBreak/>
        <w:t>shops. The House of Commons library provides data on structural discount and small, smaller shopping trips (Ward, 2026). The CMA emphasizes careful interpretation of profitability and competition. However, the pressure lies upon M&amp;S to gen</w:t>
      </w:r>
      <w:r>
        <w:rPr>
          <w:color w:val="000000"/>
        </w:rPr>
        <w:t>erate value (Competition and Markets Authority, 2024). Suppliers power can be illustrated through product and relationship status. Dedicated sourcing standards can help maintain quality and resilience, but FDF cost evidence shows that the whole process wil</w:t>
      </w:r>
      <w:r>
        <w:rPr>
          <w:color w:val="000000"/>
        </w:rPr>
        <w:t xml:space="preserve">l include the cost of energy, transport, packaging, and </w:t>
      </w:r>
      <w:proofErr w:type="gramStart"/>
      <w:r>
        <w:rPr>
          <w:color w:val="000000"/>
        </w:rPr>
        <w:t>staff(</w:t>
      </w:r>
      <w:proofErr w:type="gramEnd"/>
      <w:r>
        <w:rPr>
          <w:color w:val="000000"/>
        </w:rPr>
        <w:t>Food and Drink Federation, 2026a; Food and Drink Federation, 2026b). There are several alternatives available to the customers, such as cooking at home, convenience store, specialist retailers e</w:t>
      </w:r>
      <w:r>
        <w:rPr>
          <w:color w:val="000000"/>
        </w:rPr>
        <w:t xml:space="preserve">tc. I bought from </w:t>
      </w:r>
      <w:proofErr w:type="gramStart"/>
      <w:r>
        <w:rPr>
          <w:color w:val="000000"/>
        </w:rPr>
        <w:t>this empty barriers</w:t>
      </w:r>
      <w:proofErr w:type="gramEnd"/>
      <w:r>
        <w:rPr>
          <w:color w:val="000000"/>
        </w:rPr>
        <w:t xml:space="preserve"> are significantly high for a renowned national chain but lower for online shops and individual product innovations. The pattern </w:t>
      </w:r>
      <w:proofErr w:type="spellStart"/>
      <w:r>
        <w:rPr>
          <w:color w:val="000000"/>
        </w:rPr>
        <w:t>favors</w:t>
      </w:r>
      <w:proofErr w:type="spellEnd"/>
      <w:r>
        <w:rPr>
          <w:color w:val="000000"/>
        </w:rPr>
        <w:t xml:space="preserve"> a unique offer which will be efficient in terms of cost-to-serve.</w:t>
      </w:r>
    </w:p>
    <w:p w14:paraId="2DBB7EA5" w14:textId="77777777" w:rsidR="00D85508" w:rsidRDefault="008B4A12">
      <w:pPr>
        <w:jc w:val="both"/>
      </w:pPr>
      <w:proofErr w:type="spellStart"/>
      <w:r>
        <w:rPr>
          <w:color w:val="000000"/>
        </w:rPr>
        <w:t>Ansoff’s</w:t>
      </w:r>
      <w:proofErr w:type="spellEnd"/>
      <w:r>
        <w:rPr>
          <w:color w:val="000000"/>
        </w:rPr>
        <w:t xml:space="preserve"> (1957) m</w:t>
      </w:r>
      <w:r>
        <w:rPr>
          <w:color w:val="000000"/>
        </w:rPr>
        <w:t xml:space="preserve">atrix prioritizes market penetration and selective market development before diversification. Penetration will increase the frequency of the existing customer base by offering everyday essentials, meal occasions, loyalty and better availability. Selective </w:t>
      </w:r>
      <w:r>
        <w:rPr>
          <w:color w:val="000000"/>
        </w:rPr>
        <w:t>market development will replicate the quality proposition of the company in more locations and missions. Innovation must support food identity, safety, health, generation of value architecture in order for product development to be successful. The stated a</w:t>
      </w:r>
      <w:r>
        <w:rPr>
          <w:color w:val="000000"/>
        </w:rPr>
        <w:t xml:space="preserve">mbition of M&amp;S is to increase sales numbers and location, which makes sequencing very pertinent (Marks &amp; Spencer Group plc, 2026a). </w:t>
      </w:r>
    </w:p>
    <w:p w14:paraId="0CF64E9F" w14:textId="77777777" w:rsidR="00276E5D" w:rsidRDefault="008B4A12" w:rsidP="00E55CB9">
      <w:pPr>
        <w:pStyle w:val="Heading3"/>
      </w:pPr>
      <w:bookmarkStart w:id="19" w:name="_Toc237389008"/>
      <w:r>
        <w:t>4.2.1 Product-development challenges and solutions</w:t>
      </w:r>
      <w:bookmarkEnd w:id="19"/>
    </w:p>
    <w:p w14:paraId="6032D299" w14:textId="77777777" w:rsidR="00276E5D" w:rsidRDefault="008B4A12">
      <w:pPr>
        <w:jc w:val="both"/>
      </w:pPr>
      <w:r>
        <w:rPr>
          <w:color w:val="000000"/>
        </w:rPr>
        <w:t xml:space="preserve">Within </w:t>
      </w:r>
      <w:proofErr w:type="spellStart"/>
      <w:r>
        <w:rPr>
          <w:color w:val="000000"/>
        </w:rPr>
        <w:t>Ansoff's</w:t>
      </w:r>
      <w:proofErr w:type="spellEnd"/>
      <w:r>
        <w:rPr>
          <w:color w:val="000000"/>
        </w:rPr>
        <w:t xml:space="preserve"> product-development route, innovation supports the visio</w:t>
      </w:r>
      <w:r>
        <w:rPr>
          <w:color w:val="000000"/>
        </w:rPr>
        <w:t>n only when it makes M&amp;S Food more useful for everyday and family shopping without weakening quality. Product development should therefore be treated as a controlled capability-building process with explicit pack, supplier, availability, waste and brand te</w:t>
      </w:r>
      <w:r>
        <w:rPr>
          <w:color w:val="000000"/>
        </w:rPr>
        <w:t>sts.</w:t>
      </w:r>
    </w:p>
    <w:p w14:paraId="18C61133" w14:textId="77777777" w:rsidR="00276E5D" w:rsidRDefault="008B4A12">
      <w:pPr>
        <w:spacing w:before="160"/>
        <w:rPr>
          <w:b/>
          <w:color w:val="000000"/>
          <w:sz w:val="20"/>
        </w:rPr>
      </w:pPr>
      <w:r>
        <w:rPr>
          <w:b/>
          <w:color w:val="000000"/>
          <w:sz w:val="20"/>
        </w:rPr>
        <w:t>Table 9: Product-development challenges and solutions linked to the vision</w:t>
      </w:r>
    </w:p>
    <w:p w14:paraId="1E806E0D" w14:textId="3BE729B8" w:rsidR="00E55CB9" w:rsidRDefault="00D00D1F">
      <w:pPr>
        <w:spacing w:before="160"/>
      </w:pPr>
      <w:r>
        <w:rPr>
          <w:noProof/>
        </w:rPr>
        <w:object w:dxaOrig="9360" w:dyaOrig="6420" w14:anchorId="4A3D18E5">
          <v:shape id="_x0000_i1032" type="#_x0000_t75" alt="" style="width:468pt;height:321pt;mso-width-percent:0;mso-height-percent:0;mso-width-percent:0;mso-height-percent:0" o:ole="">
            <v:imagedata r:id="rId26" o:title=""/>
          </v:shape>
          <o:OLEObject Type="Embed" ProgID="Word.Document.12" ShapeID="_x0000_i1032" DrawAspect="Content" ObjectID="_1848007053" r:id="rId27">
            <o:FieldCodes>\s</o:FieldCodes>
          </o:OLEObject>
        </w:object>
      </w:r>
    </w:p>
    <w:p w14:paraId="04BCA1DB" w14:textId="77777777" w:rsidR="00D85508" w:rsidRDefault="008B4A12">
      <w:pPr>
        <w:jc w:val="both"/>
      </w:pPr>
      <w:r>
        <w:rPr>
          <w:color w:val="000000"/>
        </w:rPr>
        <w:t xml:space="preserve">The </w:t>
      </w:r>
      <w:proofErr w:type="spellStart"/>
      <w:r>
        <w:rPr>
          <w:color w:val="000000"/>
        </w:rPr>
        <w:t>SAFe</w:t>
      </w:r>
      <w:proofErr w:type="spellEnd"/>
      <w:r>
        <w:rPr>
          <w:color w:val="000000"/>
        </w:rPr>
        <w:t xml:space="preserve"> test questions suitability, acceptability and </w:t>
      </w:r>
      <w:proofErr w:type="gramStart"/>
      <w:r>
        <w:rPr>
          <w:color w:val="000000"/>
        </w:rPr>
        <w:t>feasibility(</w:t>
      </w:r>
      <w:proofErr w:type="gramEnd"/>
      <w:r>
        <w:rPr>
          <w:color w:val="000000"/>
        </w:rPr>
        <w:t xml:space="preserve">Johnson, Scholes and Whittington, 2008). The strategy is suitable because it </w:t>
      </w:r>
      <w:r>
        <w:rPr>
          <w:color w:val="000000"/>
        </w:rPr>
        <w:t>deals with competition, digital growth, affordability waste, and cost issues while maintaining distinctive products. Acceptability is also applicable if customers get value for money, credibility and suppliers are not regarded as residual cost items as wel</w:t>
      </w:r>
      <w:r>
        <w:rPr>
          <w:color w:val="000000"/>
        </w:rPr>
        <w:t>l as investors can have confidence on the growth of earnings. Stage gated capital, authentic data, proper supply chain, capacity, waste management and colleague training will ensure feasibility. Out of all, the feasibility constraint is most important beca</w:t>
      </w:r>
      <w:r>
        <w:rPr>
          <w:color w:val="000000"/>
        </w:rPr>
        <w:t>use without it accessible differentiation loses its impact.</w:t>
      </w:r>
    </w:p>
    <w:p w14:paraId="539A0960" w14:textId="77777777" w:rsidR="00D85508" w:rsidRDefault="008B4A12" w:rsidP="00E55CB9">
      <w:pPr>
        <w:pStyle w:val="Heading2"/>
      </w:pPr>
      <w:bookmarkStart w:id="20" w:name="_Toc237389009"/>
      <w:r>
        <w:t>4.3 Implementation and mitigation</w:t>
      </w:r>
      <w:bookmarkEnd w:id="20"/>
    </w:p>
    <w:p w14:paraId="57669844" w14:textId="77777777" w:rsidR="00D85508" w:rsidRDefault="008B4A12">
      <w:pPr>
        <w:jc w:val="both"/>
      </w:pPr>
      <w:r>
        <w:rPr>
          <w:color w:val="000000"/>
        </w:rPr>
        <w:t xml:space="preserve">Implementation should follow a deliberate direction and maintain controlled emergent </w:t>
      </w:r>
      <w:proofErr w:type="spellStart"/>
      <w:proofErr w:type="gramStart"/>
      <w:r>
        <w:rPr>
          <w:color w:val="000000"/>
        </w:rPr>
        <w:t>learning.Mintzberg</w:t>
      </w:r>
      <w:proofErr w:type="spellEnd"/>
      <w:proofErr w:type="gramEnd"/>
      <w:r>
        <w:rPr>
          <w:color w:val="000000"/>
        </w:rPr>
        <w:t xml:space="preserve"> and Waters (1985) argue that perceived strategies sit alon</w:t>
      </w:r>
      <w:r>
        <w:rPr>
          <w:color w:val="000000"/>
        </w:rPr>
        <w:t xml:space="preserve">g a continuum between deliberate and emergent forms. First, M&amp;S should categorize the </w:t>
      </w:r>
      <w:proofErr w:type="spellStart"/>
      <w:r>
        <w:rPr>
          <w:color w:val="000000"/>
        </w:rPr>
        <w:t>nonnegotiable</w:t>
      </w:r>
      <w:proofErr w:type="spellEnd"/>
      <w:r>
        <w:rPr>
          <w:color w:val="000000"/>
        </w:rPr>
        <w:t xml:space="preserve"> properties. After that, it can experiment via stores, suppliers, and customer data to derive which value cues and occasions work in a local environment. The</w:t>
      </w:r>
      <w:r>
        <w:rPr>
          <w:color w:val="000000"/>
        </w:rPr>
        <w:t xml:space="preserve"> company should work with three priorities </w:t>
      </w:r>
      <w:proofErr w:type="spellStart"/>
      <w:proofErr w:type="gramStart"/>
      <w:r>
        <w:rPr>
          <w:color w:val="000000"/>
        </w:rPr>
        <w:t>first.These</w:t>
      </w:r>
      <w:proofErr w:type="spellEnd"/>
      <w:proofErr w:type="gramEnd"/>
      <w:r>
        <w:rPr>
          <w:color w:val="000000"/>
        </w:rPr>
        <w:t xml:space="preserve"> are:</w:t>
      </w:r>
    </w:p>
    <w:p w14:paraId="15EC543A" w14:textId="77777777" w:rsidR="00D85508" w:rsidRDefault="008B4A12">
      <w:pPr>
        <w:numPr>
          <w:ilvl w:val="0"/>
          <w:numId w:val="2"/>
        </w:numPr>
        <w:jc w:val="both"/>
      </w:pPr>
      <w:r>
        <w:rPr>
          <w:color w:val="000000"/>
        </w:rPr>
        <w:t xml:space="preserve">Protect the halo: Ensure quality, innovation, sourcing standards and product credibility. A review on product range can remove redundancy and weak sellers and improve </w:t>
      </w:r>
      <w:r>
        <w:rPr>
          <w:color w:val="000000"/>
        </w:rPr>
        <w:lastRenderedPageBreak/>
        <w:t>availability as well. Product</w:t>
      </w:r>
      <w:r>
        <w:rPr>
          <w:color w:val="000000"/>
        </w:rPr>
        <w:t xml:space="preserve"> and supplier choice should be made in terms of trust, margin and waste</w:t>
      </w:r>
    </w:p>
    <w:p w14:paraId="266801A6" w14:textId="77777777" w:rsidR="00D85508" w:rsidRDefault="008B4A12">
      <w:pPr>
        <w:numPr>
          <w:ilvl w:val="0"/>
          <w:numId w:val="2"/>
        </w:numPr>
        <w:jc w:val="both"/>
      </w:pPr>
      <w:r>
        <w:rPr>
          <w:color w:val="000000"/>
        </w:rPr>
        <w:t>Build everyday value: Work on developing entry points, proper packaging, meal and family occasions as well as loyalty communication. The goal is to remove the perceived risk from custo</w:t>
      </w:r>
      <w:r>
        <w:rPr>
          <w:color w:val="000000"/>
        </w:rPr>
        <w:t xml:space="preserve">mer’s minds of buying M&amp;S products regularly. Ensure that every item does have to be promoted. Customer value, frequency and margin should be </w:t>
      </w:r>
      <w:proofErr w:type="spellStart"/>
      <w:r>
        <w:rPr>
          <w:color w:val="000000"/>
        </w:rPr>
        <w:t>analyzed</w:t>
      </w:r>
      <w:proofErr w:type="spellEnd"/>
      <w:r>
        <w:rPr>
          <w:color w:val="000000"/>
        </w:rPr>
        <w:t xml:space="preserve"> on the same scale.</w:t>
      </w:r>
    </w:p>
    <w:p w14:paraId="7F140934" w14:textId="77777777" w:rsidR="00D85508" w:rsidRDefault="008B4A12">
      <w:pPr>
        <w:numPr>
          <w:ilvl w:val="0"/>
          <w:numId w:val="2"/>
        </w:numPr>
        <w:jc w:val="both"/>
      </w:pPr>
      <w:r>
        <w:rPr>
          <w:color w:val="000000"/>
        </w:rPr>
        <w:t>Scale the system: every investment bed must go through a strict review on the basis of</w:t>
      </w:r>
      <w:r>
        <w:rPr>
          <w:color w:val="000000"/>
        </w:rPr>
        <w:t xml:space="preserve"> availability, waste, customer feedback, </w:t>
      </w:r>
      <w:proofErr w:type="spellStart"/>
      <w:r>
        <w:rPr>
          <w:color w:val="000000"/>
        </w:rPr>
        <w:t>labor</w:t>
      </w:r>
      <w:proofErr w:type="spellEnd"/>
      <w:r>
        <w:rPr>
          <w:color w:val="000000"/>
        </w:rPr>
        <w:t xml:space="preserve">, productivity, and return measures. Only after this, the proposal can either be accepted or rejected based on the constraints of a balanced scorecard. </w:t>
      </w:r>
    </w:p>
    <w:p w14:paraId="3EB2102B" w14:textId="77777777" w:rsidR="00D85508" w:rsidRDefault="008B4A12">
      <w:pPr>
        <w:jc w:val="both"/>
      </w:pPr>
      <w:r>
        <w:rPr>
          <w:color w:val="000000"/>
        </w:rPr>
        <w:t xml:space="preserve">The prominent risk in this strategy can stem from margin </w:t>
      </w:r>
      <w:r>
        <w:rPr>
          <w:color w:val="000000"/>
        </w:rPr>
        <w:t>erosion, supply issues, sustainability trade-offs, waste, mismanagement, and uncalculated expansion. In order to mitigate these risk factors certain prevention measures can be taken first of all a rollout must be passed if stock availability or waste reach</w:t>
      </w:r>
      <w:r>
        <w:rPr>
          <w:color w:val="000000"/>
        </w:rPr>
        <w:t>es a preordained threshold. Redesign packaging system before the volume growth rises. Utilize supplier scorecard which focuses on fairness and resilience. Dynamic capabilities study reinforces repeated sensing and the configuration approach (</w:t>
      </w:r>
      <w:proofErr w:type="spellStart"/>
      <w:r>
        <w:rPr>
          <w:color w:val="000000"/>
        </w:rPr>
        <w:t>Eisenhardt</w:t>
      </w:r>
      <w:proofErr w:type="spellEnd"/>
      <w:r>
        <w:rPr>
          <w:color w:val="000000"/>
        </w:rPr>
        <w:t xml:space="preserve"> and</w:t>
      </w:r>
      <w:r>
        <w:rPr>
          <w:color w:val="000000"/>
        </w:rPr>
        <w:t xml:space="preserve"> Martin, 2000; </w:t>
      </w:r>
      <w:proofErr w:type="spellStart"/>
      <w:r>
        <w:rPr>
          <w:color w:val="000000"/>
        </w:rPr>
        <w:t>Teece</w:t>
      </w:r>
      <w:proofErr w:type="spellEnd"/>
      <w:r>
        <w:rPr>
          <w:color w:val="000000"/>
        </w:rPr>
        <w:t xml:space="preserve">, 2007). The effects of accessible differentiation should be </w:t>
      </w:r>
      <w:proofErr w:type="spellStart"/>
      <w:r>
        <w:rPr>
          <w:color w:val="000000"/>
        </w:rPr>
        <w:t>analyzed</w:t>
      </w:r>
      <w:proofErr w:type="spellEnd"/>
      <w:r>
        <w:rPr>
          <w:color w:val="000000"/>
        </w:rPr>
        <w:t xml:space="preserve"> through purchase repeatability and stronger economics. </w:t>
      </w:r>
    </w:p>
    <w:p w14:paraId="50231A43" w14:textId="77777777" w:rsidR="00D85508" w:rsidRDefault="008B4A12">
      <w:pPr>
        <w:jc w:val="both"/>
      </w:pPr>
      <w:r>
        <w:rPr>
          <w:color w:val="000000"/>
        </w:rPr>
        <w:t>The government should not enforce strict rules when it comes to learning. In the first quarter of the month, e</w:t>
      </w:r>
      <w:r>
        <w:rPr>
          <w:color w:val="000000"/>
        </w:rPr>
        <w:t xml:space="preserve">stablish pilots and baselines. The next quarter will be for value testing and operational changes. The following </w:t>
      </w:r>
      <w:proofErr w:type="spellStart"/>
      <w:r>
        <w:rPr>
          <w:color w:val="000000"/>
        </w:rPr>
        <w:t>quarter,the</w:t>
      </w:r>
      <w:proofErr w:type="spellEnd"/>
      <w:r>
        <w:rPr>
          <w:color w:val="000000"/>
        </w:rPr>
        <w:t xml:space="preserve"> division will scale the interventions that pass the </w:t>
      </w:r>
      <w:proofErr w:type="spellStart"/>
      <w:r>
        <w:rPr>
          <w:color w:val="000000"/>
        </w:rPr>
        <w:t>SAFe</w:t>
      </w:r>
      <w:proofErr w:type="spellEnd"/>
      <w:r>
        <w:rPr>
          <w:color w:val="000000"/>
        </w:rPr>
        <w:t xml:space="preserve"> without compromising in quality, availability, waste management and profit</w:t>
      </w:r>
      <w:r>
        <w:rPr>
          <w:color w:val="000000"/>
        </w:rPr>
        <w:t xml:space="preserve"> margin.</w:t>
      </w:r>
      <w:r>
        <w:br w:type="page"/>
      </w:r>
    </w:p>
    <w:p w14:paraId="6DB3519B" w14:textId="77777777" w:rsidR="00276E5D" w:rsidRDefault="008B4A12" w:rsidP="00E55CB9">
      <w:pPr>
        <w:pStyle w:val="Heading2"/>
      </w:pPr>
      <w:bookmarkStart w:id="21" w:name="_Toc237389010"/>
      <w:r>
        <w:lastRenderedPageBreak/>
        <w:t>4.4 Overall conclusion</w:t>
      </w:r>
      <w:bookmarkEnd w:id="21"/>
    </w:p>
    <w:p w14:paraId="134E9C46" w14:textId="77777777" w:rsidR="00276E5D" w:rsidRDefault="008B4A12">
      <w:pPr>
        <w:jc w:val="both"/>
      </w:pPr>
      <w:r>
        <w:rPr>
          <w:color w:val="000000"/>
        </w:rPr>
        <w:t xml:space="preserve">Overall, M&amp;S Food should pursue accessible differentiation rather than cost leadership or unrestricted premium expansion. Current sales growth and customer gains demonstrate relevance, but lower operating profit and margin </w:t>
      </w:r>
      <w:r>
        <w:rPr>
          <w:color w:val="000000"/>
        </w:rPr>
        <w:t>show why growth quality matters. The recommendation combines trusted value, selected product development and disciplined expansion with non-negotiable quality and sourcing standards. PESTEL identifies affordability, regulation, technology and supply resili</w:t>
      </w:r>
      <w:r>
        <w:rPr>
          <w:color w:val="000000"/>
        </w:rPr>
        <w:t>ence as the principal external conditions; VRIO shows that brand trust and innovation create advantage only when supported by forecasting, supplier and learning capabilities. Implementation should begin with controlled pilots and scale only when customer f</w:t>
      </w:r>
      <w:r>
        <w:rPr>
          <w:color w:val="000000"/>
        </w:rPr>
        <w:t>requency, availability, waste, colleague capability and contribution meet predetermined gates. This approach supports the vision of becoming a credible shopping-list retailer without surrendering the distinctiveness associated with M&amp;S Food.</w:t>
      </w:r>
    </w:p>
    <w:p w14:paraId="49CDF1BC" w14:textId="77777777" w:rsidR="00D85508" w:rsidRDefault="008B4A12">
      <w:pPr>
        <w:rPr>
          <w:rFonts w:cs="Times New Roman"/>
        </w:rPr>
      </w:pPr>
      <w:r>
        <w:rPr>
          <w:color w:val="000000"/>
        </w:rPr>
        <w:br w:type="page"/>
      </w:r>
    </w:p>
    <w:p w14:paraId="7CBF9DFF" w14:textId="77777777" w:rsidR="00D85508" w:rsidRDefault="008B4A12" w:rsidP="00E55CB9">
      <w:pPr>
        <w:pStyle w:val="Heading1"/>
      </w:pPr>
      <w:bookmarkStart w:id="22" w:name="_Toc237389011"/>
      <w:r>
        <w:lastRenderedPageBreak/>
        <w:t xml:space="preserve">5. </w:t>
      </w:r>
      <w:r>
        <w:t>Reflective Account Using Gibbs' Cycle</w:t>
      </w:r>
      <w:bookmarkEnd w:id="22"/>
    </w:p>
    <w:p w14:paraId="5E1D44A2" w14:textId="77777777" w:rsidR="00D85508" w:rsidRDefault="008B4A12" w:rsidP="00E55CB9">
      <w:pPr>
        <w:pStyle w:val="Heading2"/>
      </w:pPr>
      <w:bookmarkStart w:id="23" w:name="_Toc237389012"/>
      <w:r>
        <w:t>Description</w:t>
      </w:r>
      <w:bookmarkEnd w:id="23"/>
    </w:p>
    <w:p w14:paraId="23DEE494" w14:textId="77777777" w:rsidR="00D85508" w:rsidRDefault="008B4A12">
      <w:pPr>
        <w:jc w:val="both"/>
        <w:rPr>
          <w:rFonts w:cs="Times New Roman"/>
        </w:rPr>
      </w:pPr>
      <w:r>
        <w:rPr>
          <w:rFonts w:cs="Times New Roman"/>
          <w:color w:val="000000"/>
        </w:rPr>
        <w:t>Gibbs' (1988) cycle was used to reflect on how the strategic judgement was developed from the direction-setting presentation into an evidence-led report. The process began by fixing the organisational bound</w:t>
      </w:r>
      <w:r>
        <w:rPr>
          <w:rFonts w:cs="Times New Roman"/>
          <w:color w:val="000000"/>
        </w:rPr>
        <w:t>ary at M&amp;S Food in the UK, then identifying the accessibility-versus-distinctiveness question. Research was organised across three evidence groups: company disclosures for current performance and stated strategy; official and industry sources for the exter</w:t>
      </w:r>
      <w:r>
        <w:rPr>
          <w:rFonts w:cs="Times New Roman"/>
          <w:color w:val="000000"/>
        </w:rPr>
        <w:t>nal situation; and strategy scholarship for interpretation and challenge. PESTEL and VRIO were used to prioritise the problem, SWOT to synthesise it, CSR and the Balanced Scorecard to test the organisation holistically, and generic strategies, Five Forces,</w:t>
      </w:r>
      <w:r>
        <w:rPr>
          <w:rFonts w:cs="Times New Roman"/>
          <w:color w:val="000000"/>
        </w:rPr>
        <w:t xml:space="preserve"> </w:t>
      </w:r>
      <w:proofErr w:type="spellStart"/>
      <w:r>
        <w:rPr>
          <w:rFonts w:cs="Times New Roman"/>
          <w:color w:val="000000"/>
        </w:rPr>
        <w:t>Ansoff</w:t>
      </w:r>
      <w:proofErr w:type="spellEnd"/>
      <w:r>
        <w:rPr>
          <w:rFonts w:cs="Times New Roman"/>
          <w:color w:val="000000"/>
        </w:rPr>
        <w:t xml:space="preserve"> and </w:t>
      </w:r>
      <w:proofErr w:type="spellStart"/>
      <w:r>
        <w:rPr>
          <w:rFonts w:cs="Times New Roman"/>
          <w:color w:val="000000"/>
        </w:rPr>
        <w:t>SAFe</w:t>
      </w:r>
      <w:proofErr w:type="spellEnd"/>
      <w:r>
        <w:rPr>
          <w:rFonts w:cs="Times New Roman"/>
          <w:color w:val="000000"/>
        </w:rPr>
        <w:t xml:space="preserve"> to validate implementation.</w:t>
      </w:r>
    </w:p>
    <w:p w14:paraId="38F3C08E" w14:textId="77777777" w:rsidR="00D85508" w:rsidRDefault="008B4A12" w:rsidP="00E55CB9">
      <w:pPr>
        <w:pStyle w:val="Heading2"/>
      </w:pPr>
      <w:bookmarkStart w:id="24" w:name="_Toc237389013"/>
      <w:r>
        <w:t>Feelings</w:t>
      </w:r>
      <w:bookmarkEnd w:id="24"/>
    </w:p>
    <w:p w14:paraId="7A2EE9AA" w14:textId="77777777" w:rsidR="00D85508" w:rsidRDefault="008B4A12">
      <w:pPr>
        <w:jc w:val="both"/>
        <w:rPr>
          <w:rFonts w:cs="Times New Roman"/>
        </w:rPr>
      </w:pPr>
      <w:r>
        <w:rPr>
          <w:rFonts w:cs="Times New Roman"/>
          <w:color w:val="000000"/>
        </w:rPr>
        <w:t>My initial response was attracted to the success story. Sales growth, market share and the distinctive reputation of M&amp;S Food made a premium-growth recommendation appear straightforward. That response w</w:t>
      </w:r>
      <w:r>
        <w:rPr>
          <w:rFonts w:cs="Times New Roman"/>
          <w:color w:val="000000"/>
        </w:rPr>
        <w:t>as useful because it identified the strength of the proposition, but it also created a risk of confirmation bias. I could have treated every new store, product launch or digital partnership as evidence that the existing path was working. The research becam</w:t>
      </w:r>
      <w:r>
        <w:rPr>
          <w:rFonts w:cs="Times New Roman"/>
          <w:color w:val="000000"/>
        </w:rPr>
        <w:t>e more demanding when current cost, waste, food insecurity and packaging evidence showed that growth can create pressure as well as opportunity. I felt more confident in the final recommendation only after it survived evidence that qualified the positive n</w:t>
      </w:r>
      <w:r>
        <w:rPr>
          <w:rFonts w:cs="Times New Roman"/>
          <w:color w:val="000000"/>
        </w:rPr>
        <w:t>arrative.</w:t>
      </w:r>
    </w:p>
    <w:p w14:paraId="74C7160A" w14:textId="77777777" w:rsidR="00D85508" w:rsidRDefault="008B4A12" w:rsidP="00E55CB9">
      <w:pPr>
        <w:pStyle w:val="Heading2"/>
      </w:pPr>
      <w:bookmarkStart w:id="25" w:name="_Toc237389014"/>
      <w:r>
        <w:t>Evaluation</w:t>
      </w:r>
      <w:bookmarkEnd w:id="25"/>
    </w:p>
    <w:p w14:paraId="14A5846F" w14:textId="77777777" w:rsidR="00D85508" w:rsidRDefault="008B4A12">
      <w:pPr>
        <w:jc w:val="both"/>
        <w:rPr>
          <w:rFonts w:cs="Times New Roman"/>
        </w:rPr>
      </w:pPr>
      <w:r>
        <w:rPr>
          <w:rFonts w:cs="Times New Roman"/>
          <w:color w:val="000000"/>
        </w:rPr>
        <w:t>The strongest part of the process was separating fact, interpretation and recommendation. M&amp;S disclosures were used for Food performance and management intent, rather than as neutral proof of customer behaviour. ONS, government and FSA</w:t>
      </w:r>
      <w:r>
        <w:rPr>
          <w:rFonts w:cs="Times New Roman"/>
          <w:color w:val="000000"/>
        </w:rPr>
        <w:t xml:space="preserve"> sources provided current context, but their national scope was kept visible. Academic sources supplied concepts and counterarguments: RBV was balanced with its critics, CSR was tested against accountability, and the Balanced Scorecard was treated as a set</w:t>
      </w:r>
      <w:r>
        <w:rPr>
          <w:rFonts w:cs="Times New Roman"/>
          <w:color w:val="000000"/>
        </w:rPr>
        <w:t xml:space="preserve"> of hypotheses rather than a causal machine. Industry reports added current cost signals but were not treated as independent M&amp;S evidence.</w:t>
      </w:r>
    </w:p>
    <w:p w14:paraId="2CD6411C" w14:textId="77777777" w:rsidR="00D85508" w:rsidRDefault="008B4A12">
      <w:pPr>
        <w:jc w:val="both"/>
        <w:rPr>
          <w:rFonts w:cs="Times New Roman"/>
        </w:rPr>
      </w:pPr>
      <w:r>
        <w:rPr>
          <w:rFonts w:cs="Times New Roman"/>
          <w:color w:val="000000"/>
        </w:rPr>
        <w:t>The main weakness was reliance on secondary data. I could not directly test customer frequency, perceived value, avai</w:t>
      </w:r>
      <w:r>
        <w:rPr>
          <w:rFonts w:cs="Times New Roman"/>
          <w:color w:val="000000"/>
        </w:rPr>
        <w:t xml:space="preserve">lability at store level, supplier experience or the margin quality of individual initiatives. The M&amp;S case can therefore support a reasoned strategic direction, not a causal claim that accessible differentiation will produce a particular financial result. </w:t>
      </w:r>
      <w:r>
        <w:rPr>
          <w:rFonts w:cs="Times New Roman"/>
          <w:color w:val="000000"/>
        </w:rPr>
        <w:t xml:space="preserve">The </w:t>
      </w:r>
      <w:r>
        <w:rPr>
          <w:rFonts w:cs="Times New Roman"/>
          <w:color w:val="000000"/>
        </w:rPr>
        <w:lastRenderedPageBreak/>
        <w:t>process also showed that more sources do not automatically create better analysis. The useful sources were those that changed the judgement, for example evidence that resilience can increase waste in some conditions or that CSR outcomes depend on mecha</w:t>
      </w:r>
      <w:r>
        <w:rPr>
          <w:rFonts w:cs="Times New Roman"/>
          <w:color w:val="000000"/>
        </w:rPr>
        <w:t xml:space="preserve">nisms and context (Costa et al., 2022; </w:t>
      </w:r>
      <w:proofErr w:type="spellStart"/>
      <w:r>
        <w:rPr>
          <w:rFonts w:cs="Times New Roman"/>
          <w:color w:val="000000"/>
        </w:rPr>
        <w:t>Aguinis</w:t>
      </w:r>
      <w:proofErr w:type="spellEnd"/>
      <w:r>
        <w:rPr>
          <w:rFonts w:cs="Times New Roman"/>
          <w:color w:val="000000"/>
        </w:rPr>
        <w:t xml:space="preserve"> and </w:t>
      </w:r>
      <w:proofErr w:type="spellStart"/>
      <w:r>
        <w:rPr>
          <w:rFonts w:cs="Times New Roman"/>
          <w:color w:val="000000"/>
        </w:rPr>
        <w:t>Glavas</w:t>
      </w:r>
      <w:proofErr w:type="spellEnd"/>
      <w:r>
        <w:rPr>
          <w:rFonts w:cs="Times New Roman"/>
          <w:color w:val="000000"/>
        </w:rPr>
        <w:t>, 2012).</w:t>
      </w:r>
    </w:p>
    <w:p w14:paraId="328C9E26" w14:textId="77777777" w:rsidR="00D85508" w:rsidRDefault="008B4A12" w:rsidP="00E55CB9">
      <w:pPr>
        <w:pStyle w:val="Heading2"/>
      </w:pPr>
      <w:bookmarkStart w:id="26" w:name="_Toc237389015"/>
      <w:r>
        <w:t>Analysis</w:t>
      </w:r>
      <w:bookmarkEnd w:id="26"/>
    </w:p>
    <w:p w14:paraId="579BDC83" w14:textId="77777777" w:rsidR="00D85508" w:rsidRDefault="008B4A12">
      <w:pPr>
        <w:jc w:val="both"/>
        <w:rPr>
          <w:rFonts w:cs="Times New Roman"/>
        </w:rPr>
      </w:pPr>
      <w:r>
        <w:rPr>
          <w:rFonts w:cs="Times New Roman"/>
          <w:color w:val="000000"/>
        </w:rPr>
        <w:t>The most important learning was that frameworks are more useful when they constrain one another. PESTEL alone could have produced a long macro-environment list. VRIO alone could hav</w:t>
      </w:r>
      <w:r>
        <w:rPr>
          <w:rFonts w:cs="Times New Roman"/>
          <w:color w:val="000000"/>
        </w:rPr>
        <w:t xml:space="preserve">e turned brand and product quality into untested claims of sustained advantage. SWOT alone could have repeated the same points in four boxes. Their integration produced a sharper result: affordability tests access to differentiation; supply-chain and data </w:t>
      </w:r>
      <w:r>
        <w:rPr>
          <w:rFonts w:cs="Times New Roman"/>
          <w:color w:val="000000"/>
        </w:rPr>
        <w:t>capabilities determine availability; CSR matters because waste, sourcing and packaging are operational; and the Balanced Scorecard tests growth through customer, process and learning measures as well as finance.</w:t>
      </w:r>
    </w:p>
    <w:p w14:paraId="11677D16" w14:textId="77777777" w:rsidR="00D85508" w:rsidRDefault="008B4A12">
      <w:pPr>
        <w:jc w:val="both"/>
        <w:rPr>
          <w:rFonts w:cs="Times New Roman"/>
        </w:rPr>
      </w:pPr>
      <w:r>
        <w:rPr>
          <w:rFonts w:cs="Times New Roman"/>
          <w:color w:val="000000"/>
        </w:rPr>
        <w:t>The analysis also changed how I view strateg</w:t>
      </w:r>
      <w:r>
        <w:rPr>
          <w:rFonts w:cs="Times New Roman"/>
          <w:color w:val="000000"/>
        </w:rPr>
        <w:t>y implementation. The original instinct was to recommend more stores, wider range and stronger loyalty activity. The implementation test made the sequence more cautious. A store or range decision is not strategic progress if it increases waste, creates sto</w:t>
      </w:r>
      <w:r>
        <w:rPr>
          <w:rFonts w:cs="Times New Roman"/>
          <w:color w:val="000000"/>
        </w:rPr>
        <w:t>ck-outs or reduces colleague capability. Dynamic-capabilities research helped me interpret this as a learning problem: M&amp;S must sense demand, seize the right occasions and reconfigure systems repeatedly (</w:t>
      </w:r>
      <w:proofErr w:type="spellStart"/>
      <w:r>
        <w:rPr>
          <w:rFonts w:cs="Times New Roman"/>
          <w:color w:val="000000"/>
        </w:rPr>
        <w:t>Teece</w:t>
      </w:r>
      <w:proofErr w:type="spellEnd"/>
      <w:r>
        <w:rPr>
          <w:rFonts w:cs="Times New Roman"/>
          <w:color w:val="000000"/>
        </w:rPr>
        <w:t xml:space="preserve">, 2007). </w:t>
      </w:r>
      <w:proofErr w:type="spellStart"/>
      <w:r>
        <w:rPr>
          <w:rFonts w:cs="Times New Roman"/>
          <w:color w:val="000000"/>
        </w:rPr>
        <w:t>Mintzberg</w:t>
      </w:r>
      <w:proofErr w:type="spellEnd"/>
      <w:r>
        <w:rPr>
          <w:rFonts w:cs="Times New Roman"/>
          <w:color w:val="000000"/>
        </w:rPr>
        <w:t xml:space="preserve"> and Waters (1985) added a us</w:t>
      </w:r>
      <w:r>
        <w:rPr>
          <w:rFonts w:cs="Times New Roman"/>
          <w:color w:val="000000"/>
        </w:rPr>
        <w:t>eful balance by showing why deliberate direction should be combined with controlled emergent learning rather than with rigid execution.</w:t>
      </w:r>
    </w:p>
    <w:p w14:paraId="4A367342" w14:textId="77777777" w:rsidR="00D85508" w:rsidRDefault="008B4A12" w:rsidP="00E55CB9">
      <w:pPr>
        <w:pStyle w:val="Heading2"/>
      </w:pPr>
      <w:bookmarkStart w:id="27" w:name="_Toc237389016"/>
      <w:r>
        <w:t>Conclusion</w:t>
      </w:r>
      <w:bookmarkEnd w:id="27"/>
    </w:p>
    <w:p w14:paraId="25F082A5" w14:textId="77777777" w:rsidR="00D85508" w:rsidRDefault="008B4A12">
      <w:pPr>
        <w:jc w:val="both"/>
        <w:rPr>
          <w:rFonts w:cs="Times New Roman"/>
        </w:rPr>
      </w:pPr>
      <w:r>
        <w:rPr>
          <w:rFonts w:cs="Times New Roman"/>
          <w:color w:val="000000"/>
        </w:rPr>
        <w:t xml:space="preserve">The process established that accessible differentiation is a defensible direction because it uses M&amp;S Food's </w:t>
      </w:r>
      <w:r>
        <w:rPr>
          <w:rFonts w:cs="Times New Roman"/>
          <w:color w:val="000000"/>
        </w:rPr>
        <w:t>real sources of preference while responding to the market's value and convenience pressures. It is not a guarantee of performance. The most important uncertainties are customer frequency, cost-to-serve, waste, availability and the organisation's capacity t</w:t>
      </w:r>
      <w:r>
        <w:rPr>
          <w:rFonts w:cs="Times New Roman"/>
          <w:color w:val="000000"/>
        </w:rPr>
        <w:t>o learn at scale. Keeping these uncertainties in the conclusion prevented the recommendation from becoming a statement of confidence unsupported by evidence.</w:t>
      </w:r>
    </w:p>
    <w:p w14:paraId="16D0BB5A" w14:textId="77777777" w:rsidR="00D85508" w:rsidRDefault="008B4A12" w:rsidP="00E55CB9">
      <w:pPr>
        <w:pStyle w:val="Heading2"/>
      </w:pPr>
      <w:bookmarkStart w:id="28" w:name="_Toc237389017"/>
      <w:r>
        <w:t>Action plan</w:t>
      </w:r>
      <w:bookmarkEnd w:id="28"/>
    </w:p>
    <w:p w14:paraId="60B02324" w14:textId="536A2706" w:rsidR="00D85508" w:rsidRDefault="008B4A12">
      <w:pPr>
        <w:jc w:val="both"/>
        <w:rPr>
          <w:rFonts w:cs="Times New Roman"/>
        </w:rPr>
      </w:pPr>
      <w:r>
        <w:rPr>
          <w:rFonts w:cs="Times New Roman"/>
          <w:color w:val="000000"/>
        </w:rPr>
        <w:t>In a future strategic analysis, I would improve the work in four ways. First, I would add customer-level evidence on frequency, value perception and switching by occasion. Secondly, I would seek store-level data on availability, waste and labour productivi</w:t>
      </w:r>
      <w:r>
        <w:rPr>
          <w:rFonts w:cs="Times New Roman"/>
          <w:color w:val="000000"/>
        </w:rPr>
        <w:t xml:space="preserve">ty to test the proposed </w:t>
      </w:r>
      <w:r>
        <w:rPr>
          <w:rFonts w:cs="Times New Roman"/>
          <w:color w:val="000000"/>
        </w:rPr>
        <w:lastRenderedPageBreak/>
        <w:t xml:space="preserve">Balanced Scorecard. Thirdly, I would include structured scenarios for discounter response, input-cost shocks and slower store payback. Finally, I would obtain supplier and colleague perspectives so that stakeholder effects were not </w:t>
      </w:r>
      <w:r>
        <w:rPr>
          <w:rFonts w:cs="Times New Roman"/>
          <w:color w:val="000000"/>
        </w:rPr>
        <w:t>inferred from corporate disclosures.</w:t>
      </w:r>
    </w:p>
    <w:p w14:paraId="604105CD" w14:textId="77777777" w:rsidR="00D85508" w:rsidRDefault="008B4A12">
      <w:pPr>
        <w:rPr>
          <w:rFonts w:cs="Times New Roman"/>
        </w:rPr>
      </w:pPr>
      <w:r>
        <w:rPr>
          <w:color w:val="000000"/>
        </w:rPr>
        <w:br w:type="page"/>
      </w:r>
    </w:p>
    <w:p w14:paraId="39886EA0" w14:textId="77777777" w:rsidR="00D85508" w:rsidRDefault="008B4A12" w:rsidP="00E55CB9">
      <w:pPr>
        <w:pStyle w:val="Heading1"/>
      </w:pPr>
      <w:bookmarkStart w:id="29" w:name="_Toc237389018"/>
      <w:r>
        <w:lastRenderedPageBreak/>
        <w:t>References</w:t>
      </w:r>
      <w:bookmarkEnd w:id="29"/>
    </w:p>
    <w:p w14:paraId="4208D235" w14:textId="77777777" w:rsidR="00D85508" w:rsidRDefault="008B4A12">
      <w:pPr>
        <w:ind w:left="567" w:hanging="567"/>
        <w:jc w:val="both"/>
        <w:rPr>
          <w:rFonts w:cs="Times New Roman"/>
        </w:rPr>
      </w:pPr>
      <w:proofErr w:type="spellStart"/>
      <w:r>
        <w:rPr>
          <w:rFonts w:cs="Times New Roman"/>
          <w:color w:val="000000"/>
        </w:rPr>
        <w:t>Aguinis</w:t>
      </w:r>
      <w:proofErr w:type="spellEnd"/>
      <w:r>
        <w:rPr>
          <w:rFonts w:cs="Times New Roman"/>
          <w:color w:val="000000"/>
        </w:rPr>
        <w:t xml:space="preserve">, H. and </w:t>
      </w:r>
      <w:proofErr w:type="spellStart"/>
      <w:r>
        <w:rPr>
          <w:rFonts w:cs="Times New Roman"/>
          <w:color w:val="000000"/>
        </w:rPr>
        <w:t>Glavas</w:t>
      </w:r>
      <w:proofErr w:type="spellEnd"/>
      <w:r>
        <w:rPr>
          <w:rFonts w:cs="Times New Roman"/>
          <w:color w:val="000000"/>
        </w:rPr>
        <w:t xml:space="preserve">, A. (2012) 'What We Know and Don't Know About Corporate Social Responsibility: A Review and Research Agenda', </w:t>
      </w:r>
      <w:r>
        <w:rPr>
          <w:rFonts w:cs="Times New Roman"/>
          <w:i/>
          <w:iCs/>
          <w:color w:val="000000"/>
        </w:rPr>
        <w:t>Journal of Management, 38(4), 932–968</w:t>
      </w:r>
      <w:r>
        <w:rPr>
          <w:rFonts w:cs="Times New Roman"/>
          <w:color w:val="000000"/>
        </w:rPr>
        <w:t>. doi:10.1177/0149206311436079.</w:t>
      </w:r>
    </w:p>
    <w:p w14:paraId="67750C2D" w14:textId="77777777" w:rsidR="00D85508" w:rsidRDefault="008B4A12">
      <w:pPr>
        <w:ind w:left="567" w:hanging="567"/>
        <w:jc w:val="both"/>
        <w:rPr>
          <w:rFonts w:cs="Times New Roman"/>
        </w:rPr>
      </w:pPr>
      <w:proofErr w:type="spellStart"/>
      <w:r>
        <w:rPr>
          <w:rFonts w:cs="Times New Roman"/>
          <w:color w:val="000000"/>
        </w:rPr>
        <w:t>Anso</w:t>
      </w:r>
      <w:r>
        <w:rPr>
          <w:rFonts w:cs="Times New Roman"/>
          <w:color w:val="000000"/>
        </w:rPr>
        <w:t>ff</w:t>
      </w:r>
      <w:proofErr w:type="spellEnd"/>
      <w:r>
        <w:rPr>
          <w:rFonts w:cs="Times New Roman"/>
          <w:color w:val="000000"/>
        </w:rPr>
        <w:t xml:space="preserve">, H.I. (1957) </w:t>
      </w:r>
      <w:r>
        <w:rPr>
          <w:rFonts w:cs="Times New Roman"/>
          <w:i/>
          <w:iCs/>
          <w:color w:val="000000"/>
        </w:rPr>
        <w:t>Strategies for Diversification</w:t>
      </w:r>
      <w:r>
        <w:rPr>
          <w:rFonts w:cs="Times New Roman"/>
          <w:color w:val="000000"/>
        </w:rPr>
        <w:t>. Harvard Business Review, 35(5), 113–124. Available at: https://books.google.com/books/about/Strategies_for_Diversification.html?id=_opJvwEACAAJ (Accessed: 2 August 2026).</w:t>
      </w:r>
    </w:p>
    <w:p w14:paraId="1060FAC9" w14:textId="77777777" w:rsidR="00D85508" w:rsidRDefault="008B4A12">
      <w:pPr>
        <w:ind w:left="567" w:hanging="567"/>
        <w:jc w:val="both"/>
        <w:rPr>
          <w:rFonts w:cs="Times New Roman"/>
        </w:rPr>
      </w:pPr>
      <w:r>
        <w:rPr>
          <w:rFonts w:cs="Times New Roman"/>
          <w:color w:val="000000"/>
        </w:rPr>
        <w:t>Barney, J.B. (1991) 'Firm Resources a</w:t>
      </w:r>
      <w:r>
        <w:rPr>
          <w:rFonts w:cs="Times New Roman"/>
          <w:color w:val="000000"/>
        </w:rPr>
        <w:t xml:space="preserve">nd Sustained Competitive Advantage', </w:t>
      </w:r>
      <w:r>
        <w:rPr>
          <w:rFonts w:cs="Times New Roman"/>
          <w:i/>
          <w:iCs/>
          <w:color w:val="000000"/>
        </w:rPr>
        <w:t>Journal of Management, 17(1), 99–120</w:t>
      </w:r>
      <w:r>
        <w:rPr>
          <w:rFonts w:cs="Times New Roman"/>
          <w:color w:val="000000"/>
        </w:rPr>
        <w:t>. doi:10.1177/014920639101700108.</w:t>
      </w:r>
    </w:p>
    <w:p w14:paraId="73819BBA" w14:textId="77777777" w:rsidR="00D85508" w:rsidRDefault="008B4A12">
      <w:pPr>
        <w:ind w:left="567" w:hanging="567"/>
        <w:jc w:val="both"/>
        <w:rPr>
          <w:rFonts w:cs="Times New Roman"/>
        </w:rPr>
      </w:pPr>
      <w:r>
        <w:rPr>
          <w:rFonts w:cs="Times New Roman"/>
          <w:color w:val="000000"/>
        </w:rPr>
        <w:t xml:space="preserve">British Retail Consortium (2026) </w:t>
      </w:r>
      <w:r>
        <w:rPr>
          <w:rFonts w:cs="Times New Roman"/>
          <w:i/>
          <w:iCs/>
          <w:color w:val="000000"/>
        </w:rPr>
        <w:t>Retail Sales Monitor: June 2026 - Online sales shine in the heat</w:t>
      </w:r>
      <w:r>
        <w:rPr>
          <w:rFonts w:cs="Times New Roman"/>
          <w:color w:val="000000"/>
        </w:rPr>
        <w:t>. BRC Retail Sales Monitor. Available at: https://br</w:t>
      </w:r>
      <w:r>
        <w:rPr>
          <w:rFonts w:cs="Times New Roman"/>
          <w:color w:val="000000"/>
        </w:rPr>
        <w:t>c.org.uk/market-intelligence/publications/monitors/retail-sales-monitor/ (Accessed: 2 August 2026).</w:t>
      </w:r>
    </w:p>
    <w:p w14:paraId="4E401CF0" w14:textId="77777777" w:rsidR="00D85508" w:rsidRDefault="008B4A12">
      <w:pPr>
        <w:ind w:left="567" w:hanging="567"/>
        <w:jc w:val="both"/>
        <w:rPr>
          <w:rFonts w:cs="Times New Roman"/>
        </w:rPr>
      </w:pPr>
      <w:r>
        <w:rPr>
          <w:rFonts w:cs="Times New Roman"/>
          <w:color w:val="000000"/>
        </w:rPr>
        <w:t xml:space="preserve">Carroll, A.B. (1991) 'The pyramid of corporate social responsibility: Toward the moral management of organizational stakeholders', </w:t>
      </w:r>
      <w:r>
        <w:rPr>
          <w:rFonts w:cs="Times New Roman"/>
          <w:i/>
          <w:iCs/>
          <w:color w:val="000000"/>
        </w:rPr>
        <w:t>Business Horizons, 34(4),</w:t>
      </w:r>
      <w:r>
        <w:rPr>
          <w:rFonts w:cs="Times New Roman"/>
          <w:i/>
          <w:iCs/>
          <w:color w:val="000000"/>
        </w:rPr>
        <w:t xml:space="preserve"> 39–48</w:t>
      </w:r>
      <w:r>
        <w:rPr>
          <w:rFonts w:cs="Times New Roman"/>
          <w:color w:val="000000"/>
        </w:rPr>
        <w:t>. doi:10.1016/0007-6813(91)90005-G.</w:t>
      </w:r>
    </w:p>
    <w:p w14:paraId="0CA31276" w14:textId="77777777" w:rsidR="00D85508" w:rsidRDefault="008B4A12">
      <w:pPr>
        <w:ind w:left="567" w:hanging="567"/>
        <w:jc w:val="both"/>
        <w:rPr>
          <w:rFonts w:cs="Times New Roman"/>
        </w:rPr>
      </w:pPr>
      <w:r>
        <w:rPr>
          <w:rFonts w:cs="Times New Roman"/>
          <w:color w:val="000000"/>
        </w:rPr>
        <w:t xml:space="preserve">Competition and Markets Authority (2024) </w:t>
      </w:r>
      <w:r>
        <w:rPr>
          <w:rFonts w:cs="Times New Roman"/>
          <w:i/>
          <w:iCs/>
          <w:color w:val="000000"/>
        </w:rPr>
        <w:t>Competition and profitability in the groceries sector</w:t>
      </w:r>
      <w:r>
        <w:rPr>
          <w:rFonts w:cs="Times New Roman"/>
          <w:color w:val="000000"/>
        </w:rPr>
        <w:t>. GOV.UK CMA update. Available at: https://www.gov.uk/government/publications/competition-and-profitability-in-the-groce</w:t>
      </w:r>
      <w:r>
        <w:rPr>
          <w:rFonts w:cs="Times New Roman"/>
          <w:color w:val="000000"/>
        </w:rPr>
        <w:t>ries-sector (Accessed: 2 August 2026).</w:t>
      </w:r>
    </w:p>
    <w:p w14:paraId="6707E23A" w14:textId="77777777" w:rsidR="00D85508" w:rsidRDefault="008B4A12">
      <w:pPr>
        <w:ind w:left="567" w:hanging="567"/>
        <w:jc w:val="both"/>
        <w:rPr>
          <w:rFonts w:cs="Times New Roman"/>
        </w:rPr>
      </w:pPr>
      <w:r>
        <w:rPr>
          <w:rFonts w:cs="Times New Roman"/>
          <w:color w:val="000000"/>
        </w:rPr>
        <w:t xml:space="preserve">Costa, F.H. de O., </w:t>
      </w:r>
      <w:proofErr w:type="spellStart"/>
      <w:r>
        <w:rPr>
          <w:rFonts w:cs="Times New Roman"/>
          <w:color w:val="000000"/>
        </w:rPr>
        <w:t>Moraes</w:t>
      </w:r>
      <w:proofErr w:type="spellEnd"/>
      <w:r>
        <w:rPr>
          <w:rFonts w:cs="Times New Roman"/>
          <w:color w:val="000000"/>
        </w:rPr>
        <w:t xml:space="preserve">, C.C. de, Silva, A.L. da, </w:t>
      </w:r>
      <w:proofErr w:type="spellStart"/>
      <w:r>
        <w:rPr>
          <w:rFonts w:cs="Times New Roman"/>
          <w:color w:val="000000"/>
        </w:rPr>
        <w:t>Delai</w:t>
      </w:r>
      <w:proofErr w:type="spellEnd"/>
      <w:r>
        <w:rPr>
          <w:rFonts w:cs="Times New Roman"/>
          <w:color w:val="000000"/>
        </w:rPr>
        <w:t xml:space="preserve">, I., Chaudhuri, A. and Pereira, C.R. (2022) 'Does resilience reduce food waste? Analysis of Brazilian supplier-retailer dyad', </w:t>
      </w:r>
      <w:r>
        <w:rPr>
          <w:rFonts w:cs="Times New Roman"/>
          <w:i/>
          <w:iCs/>
          <w:color w:val="000000"/>
        </w:rPr>
        <w:t>Journal of Cleaner Production, 3</w:t>
      </w:r>
      <w:r>
        <w:rPr>
          <w:rFonts w:cs="Times New Roman"/>
          <w:i/>
          <w:iCs/>
          <w:color w:val="000000"/>
        </w:rPr>
        <w:t>38, 130488</w:t>
      </w:r>
      <w:r>
        <w:rPr>
          <w:rFonts w:cs="Times New Roman"/>
          <w:color w:val="000000"/>
        </w:rPr>
        <w:t xml:space="preserve">. </w:t>
      </w:r>
      <w:proofErr w:type="gramStart"/>
      <w:r>
        <w:rPr>
          <w:rFonts w:cs="Times New Roman"/>
          <w:color w:val="000000"/>
        </w:rPr>
        <w:t>doi:10.1016/j.jclepro</w:t>
      </w:r>
      <w:proofErr w:type="gramEnd"/>
      <w:r>
        <w:rPr>
          <w:rFonts w:cs="Times New Roman"/>
          <w:color w:val="000000"/>
        </w:rPr>
        <w:t>.2022.130488.</w:t>
      </w:r>
    </w:p>
    <w:p w14:paraId="347EAF1A" w14:textId="77777777" w:rsidR="00D85508" w:rsidRDefault="008B4A12">
      <w:pPr>
        <w:ind w:left="567" w:hanging="567"/>
        <w:jc w:val="both"/>
        <w:rPr>
          <w:rFonts w:cs="Times New Roman"/>
        </w:rPr>
      </w:pPr>
      <w:r>
        <w:rPr>
          <w:rFonts w:cs="Times New Roman"/>
          <w:color w:val="000000"/>
        </w:rPr>
        <w:t xml:space="preserve">Department for Business and Trade (2026a) </w:t>
      </w:r>
      <w:r>
        <w:rPr>
          <w:rFonts w:cs="Times New Roman"/>
          <w:i/>
          <w:iCs/>
          <w:color w:val="000000"/>
        </w:rPr>
        <w:t>Groceries Code Adjudicator: statutory review, 2022 to 2025</w:t>
      </w:r>
      <w:r>
        <w:rPr>
          <w:rFonts w:cs="Times New Roman"/>
          <w:color w:val="000000"/>
        </w:rPr>
        <w:t>. GOV.UK statutory review. Available at: https://www.gov.uk/government/publications/groceries-code-adjudicato</w:t>
      </w:r>
      <w:r>
        <w:rPr>
          <w:rFonts w:cs="Times New Roman"/>
          <w:color w:val="000000"/>
        </w:rPr>
        <w:t>r-statutory-review-2022-to-2025 (Accessed: 2 August 2026).</w:t>
      </w:r>
    </w:p>
    <w:p w14:paraId="7B103EBA" w14:textId="77777777" w:rsidR="00D85508" w:rsidRDefault="008B4A12">
      <w:pPr>
        <w:ind w:left="567" w:hanging="567"/>
        <w:jc w:val="both"/>
        <w:rPr>
          <w:rFonts w:cs="Times New Roman"/>
        </w:rPr>
      </w:pPr>
      <w:r>
        <w:rPr>
          <w:rFonts w:cs="Times New Roman"/>
          <w:color w:val="000000"/>
        </w:rPr>
        <w:t xml:space="preserve">Department for Business and Trade (2026b) </w:t>
      </w:r>
      <w:r>
        <w:rPr>
          <w:rFonts w:cs="Times New Roman"/>
          <w:i/>
          <w:iCs/>
          <w:color w:val="000000"/>
        </w:rPr>
        <w:t>National Living Wage increases to £12.71 per hour</w:t>
      </w:r>
      <w:r>
        <w:rPr>
          <w:rFonts w:cs="Times New Roman"/>
          <w:color w:val="000000"/>
        </w:rPr>
        <w:t xml:space="preserve">. UK Government news release. Available at: </w:t>
      </w:r>
      <w:r>
        <w:rPr>
          <w:rFonts w:cs="Times New Roman"/>
          <w:color w:val="000000"/>
        </w:rPr>
        <w:t>https://www.gov.uk/government/news/national-living-wage-increases-to-1271-per-hour (Accessed: 2 August 2026).</w:t>
      </w:r>
    </w:p>
    <w:p w14:paraId="39434DF2" w14:textId="77777777" w:rsidR="00D85508" w:rsidRDefault="008B4A12">
      <w:pPr>
        <w:ind w:left="567" w:hanging="567"/>
        <w:jc w:val="both"/>
        <w:rPr>
          <w:rFonts w:cs="Times New Roman"/>
        </w:rPr>
      </w:pPr>
      <w:r>
        <w:rPr>
          <w:rFonts w:cs="Times New Roman"/>
          <w:color w:val="000000"/>
        </w:rPr>
        <w:t xml:space="preserve">Department for Environment, Food &amp; Rural Affairs (2024) </w:t>
      </w:r>
      <w:r>
        <w:rPr>
          <w:rFonts w:cs="Times New Roman"/>
          <w:i/>
          <w:iCs/>
          <w:color w:val="000000"/>
        </w:rPr>
        <w:t>United Kingdom Food Security Report 2024: Theme 3: Food Supply Chain Resilience</w:t>
      </w:r>
      <w:r>
        <w:rPr>
          <w:rFonts w:cs="Times New Roman"/>
          <w:color w:val="000000"/>
        </w:rPr>
        <w:t>. GOV.UK of</w:t>
      </w:r>
      <w:r>
        <w:rPr>
          <w:rFonts w:cs="Times New Roman"/>
          <w:color w:val="000000"/>
        </w:rPr>
        <w:t xml:space="preserve">ficial statistics. </w:t>
      </w:r>
      <w:r>
        <w:rPr>
          <w:rFonts w:cs="Times New Roman"/>
          <w:color w:val="000000"/>
        </w:rPr>
        <w:lastRenderedPageBreak/>
        <w:t>Available at: https://www.gov.uk/government/statistics/united-kingdom-food-security-report-2024/united-kingdom-food-security-report-2024-theme-3-food-supply-chain-resilience (Accessed: 2 August 2026).</w:t>
      </w:r>
    </w:p>
    <w:p w14:paraId="661217CD" w14:textId="77777777" w:rsidR="00D85508" w:rsidRDefault="008B4A12">
      <w:pPr>
        <w:ind w:left="567" w:hanging="567"/>
        <w:jc w:val="both"/>
        <w:rPr>
          <w:rFonts w:cs="Times New Roman"/>
        </w:rPr>
      </w:pPr>
      <w:r>
        <w:rPr>
          <w:rFonts w:cs="Times New Roman"/>
          <w:color w:val="000000"/>
        </w:rPr>
        <w:t>Department for Environment, Food &amp; R</w:t>
      </w:r>
      <w:r>
        <w:rPr>
          <w:rFonts w:cs="Times New Roman"/>
          <w:color w:val="000000"/>
        </w:rPr>
        <w:t xml:space="preserve">ural Affairs (2025) </w:t>
      </w:r>
      <w:r>
        <w:rPr>
          <w:rFonts w:cs="Times New Roman"/>
          <w:i/>
          <w:iCs/>
          <w:color w:val="000000"/>
        </w:rPr>
        <w:t>A UK government food strategy for England</w:t>
      </w:r>
      <w:r>
        <w:rPr>
          <w:rFonts w:cs="Times New Roman"/>
          <w:color w:val="000000"/>
        </w:rPr>
        <w:t>. GOV.UK policy paper. Available at: https://www.gov.uk/government/publications/a-uk-government-food-strategy-for-england (Accessed: 2 August 2026).</w:t>
      </w:r>
    </w:p>
    <w:p w14:paraId="5F27F9F9" w14:textId="77777777" w:rsidR="00D85508" w:rsidRDefault="008B4A12">
      <w:pPr>
        <w:ind w:left="567" w:hanging="567"/>
        <w:jc w:val="both"/>
        <w:rPr>
          <w:rFonts w:cs="Times New Roman"/>
        </w:rPr>
      </w:pPr>
      <w:r>
        <w:rPr>
          <w:rFonts w:cs="Times New Roman"/>
          <w:color w:val="000000"/>
        </w:rPr>
        <w:t>Department for Environment, Food and Rural Aff</w:t>
      </w:r>
      <w:r>
        <w:rPr>
          <w:rFonts w:cs="Times New Roman"/>
          <w:color w:val="000000"/>
        </w:rPr>
        <w:t xml:space="preserve">airs (2026) </w:t>
      </w:r>
      <w:r>
        <w:rPr>
          <w:rFonts w:cs="Times New Roman"/>
          <w:i/>
          <w:iCs/>
          <w:color w:val="000000"/>
        </w:rPr>
        <w:t>Extended producer responsibility for packaging: notice of liability</w:t>
      </w:r>
      <w:r>
        <w:rPr>
          <w:rFonts w:cs="Times New Roman"/>
          <w:color w:val="000000"/>
        </w:rPr>
        <w:t>. UK Government guidance. Available at: https://www.gov.uk/guidance/extended-producer-responsibility-for-packaging-notice-of-liability (Accessed: 2 August 2026).</w:t>
      </w:r>
    </w:p>
    <w:p w14:paraId="1BADB1E1" w14:textId="77777777" w:rsidR="00D85508" w:rsidRDefault="008B4A12">
      <w:pPr>
        <w:ind w:left="567" w:hanging="567"/>
        <w:jc w:val="both"/>
        <w:rPr>
          <w:rFonts w:cs="Times New Roman"/>
        </w:rPr>
      </w:pPr>
      <w:r>
        <w:rPr>
          <w:rFonts w:cs="Times New Roman"/>
          <w:color w:val="000000"/>
        </w:rPr>
        <w:t>Donaldson, T. a</w:t>
      </w:r>
      <w:r>
        <w:rPr>
          <w:rFonts w:cs="Times New Roman"/>
          <w:color w:val="000000"/>
        </w:rPr>
        <w:t xml:space="preserve">nd Preston, L.E. (1995) 'The Stakeholder Theory of the Corporation: Concepts, Evidence, and Implications', </w:t>
      </w:r>
      <w:r>
        <w:rPr>
          <w:rFonts w:cs="Times New Roman"/>
          <w:i/>
          <w:iCs/>
          <w:color w:val="000000"/>
        </w:rPr>
        <w:t>Academy of Management Review, 20(1), 65–91</w:t>
      </w:r>
      <w:r>
        <w:rPr>
          <w:rFonts w:cs="Times New Roman"/>
          <w:color w:val="000000"/>
        </w:rPr>
        <w:t>. doi:10.5465/amr.1995.9503271992.</w:t>
      </w:r>
    </w:p>
    <w:p w14:paraId="718DD835" w14:textId="77777777" w:rsidR="00D85508" w:rsidRDefault="008B4A12">
      <w:pPr>
        <w:ind w:left="567" w:hanging="567"/>
        <w:jc w:val="both"/>
        <w:rPr>
          <w:rFonts w:cs="Times New Roman"/>
        </w:rPr>
      </w:pPr>
      <w:r>
        <w:rPr>
          <w:rFonts w:cs="Times New Roman"/>
          <w:color w:val="000000"/>
        </w:rPr>
        <w:t xml:space="preserve">Eccles, R.G., </w:t>
      </w:r>
      <w:proofErr w:type="spellStart"/>
      <w:r>
        <w:rPr>
          <w:rFonts w:cs="Times New Roman"/>
          <w:color w:val="000000"/>
        </w:rPr>
        <w:t>Ioannou</w:t>
      </w:r>
      <w:proofErr w:type="spellEnd"/>
      <w:r>
        <w:rPr>
          <w:rFonts w:cs="Times New Roman"/>
          <w:color w:val="000000"/>
        </w:rPr>
        <w:t xml:space="preserve">, I. and </w:t>
      </w:r>
      <w:proofErr w:type="spellStart"/>
      <w:r>
        <w:rPr>
          <w:rFonts w:cs="Times New Roman"/>
          <w:color w:val="000000"/>
        </w:rPr>
        <w:t>Serafeim</w:t>
      </w:r>
      <w:proofErr w:type="spellEnd"/>
      <w:r>
        <w:rPr>
          <w:rFonts w:cs="Times New Roman"/>
          <w:color w:val="000000"/>
        </w:rPr>
        <w:t>, G. (2014) 'The Impact of Corpora</w:t>
      </w:r>
      <w:r>
        <w:rPr>
          <w:rFonts w:cs="Times New Roman"/>
          <w:color w:val="000000"/>
        </w:rPr>
        <w:t xml:space="preserve">te Sustainability on Organizational Processes and Performance', </w:t>
      </w:r>
      <w:r>
        <w:rPr>
          <w:rFonts w:cs="Times New Roman"/>
          <w:i/>
          <w:iCs/>
          <w:color w:val="000000"/>
        </w:rPr>
        <w:t>Management Science, 60(11), 2835–2857</w:t>
      </w:r>
      <w:r>
        <w:rPr>
          <w:rFonts w:cs="Times New Roman"/>
          <w:color w:val="000000"/>
        </w:rPr>
        <w:t>. doi:10.1287/mnsc.2014.1984.</w:t>
      </w:r>
    </w:p>
    <w:p w14:paraId="69AC506E" w14:textId="77777777" w:rsidR="00D85508" w:rsidRDefault="008B4A12">
      <w:pPr>
        <w:ind w:left="567" w:hanging="567"/>
        <w:jc w:val="both"/>
        <w:rPr>
          <w:rFonts w:cs="Times New Roman"/>
        </w:rPr>
      </w:pPr>
      <w:proofErr w:type="spellStart"/>
      <w:r>
        <w:rPr>
          <w:rFonts w:cs="Times New Roman"/>
          <w:color w:val="000000"/>
        </w:rPr>
        <w:t>Eisenhardt</w:t>
      </w:r>
      <w:proofErr w:type="spellEnd"/>
      <w:r>
        <w:rPr>
          <w:rFonts w:cs="Times New Roman"/>
          <w:color w:val="000000"/>
        </w:rPr>
        <w:t xml:space="preserve">, K.M. and Martin, J.A. (2000) 'Dynamic capabilities: What are they?', </w:t>
      </w:r>
      <w:r>
        <w:rPr>
          <w:rFonts w:cs="Times New Roman"/>
          <w:i/>
          <w:iCs/>
          <w:color w:val="000000"/>
        </w:rPr>
        <w:t>Strategic Management Journal, 21(10–11), 110</w:t>
      </w:r>
      <w:r>
        <w:rPr>
          <w:rFonts w:cs="Times New Roman"/>
          <w:i/>
          <w:iCs/>
          <w:color w:val="000000"/>
        </w:rPr>
        <w:t>5–1121</w:t>
      </w:r>
      <w:r>
        <w:rPr>
          <w:rFonts w:cs="Times New Roman"/>
          <w:color w:val="000000"/>
        </w:rPr>
        <w:t>. doi:10.1002/1097-0266(200010/11)21:10/11&lt;</w:t>
      </w:r>
      <w:proofErr w:type="gramStart"/>
      <w:r>
        <w:rPr>
          <w:rFonts w:cs="Times New Roman"/>
          <w:color w:val="000000"/>
        </w:rPr>
        <w:t>1105::</w:t>
      </w:r>
      <w:proofErr w:type="gramEnd"/>
      <w:r>
        <w:rPr>
          <w:rFonts w:cs="Times New Roman"/>
          <w:color w:val="000000"/>
        </w:rPr>
        <w:t>AID-SMJ133&gt;3.0.CO;2-E.</w:t>
      </w:r>
    </w:p>
    <w:p w14:paraId="12966A73" w14:textId="77777777" w:rsidR="00D85508" w:rsidRDefault="008B4A12">
      <w:pPr>
        <w:ind w:left="567" w:hanging="567"/>
        <w:jc w:val="both"/>
        <w:rPr>
          <w:rFonts w:cs="Times New Roman"/>
        </w:rPr>
      </w:pPr>
      <w:r>
        <w:rPr>
          <w:rFonts w:cs="Times New Roman"/>
          <w:color w:val="000000"/>
        </w:rPr>
        <w:t xml:space="preserve">Food and Drink Federation (2026a) </w:t>
      </w:r>
      <w:r>
        <w:rPr>
          <w:rFonts w:cs="Times New Roman"/>
          <w:i/>
          <w:iCs/>
          <w:color w:val="000000"/>
        </w:rPr>
        <w:t>State of Industry Report Q1 2026</w:t>
      </w:r>
      <w:r>
        <w:rPr>
          <w:rFonts w:cs="Times New Roman"/>
          <w:color w:val="000000"/>
        </w:rPr>
        <w:t>. FDF State of Industry Report. Available at: https://www.fdf.org.uk/fdf/resources/publications/state-of-industr</w:t>
      </w:r>
      <w:r>
        <w:rPr>
          <w:rFonts w:cs="Times New Roman"/>
          <w:color w:val="000000"/>
        </w:rPr>
        <w:t>y-reports/state-of-industry-report-q1-2026/ (Accessed: 2 August 2026).</w:t>
      </w:r>
    </w:p>
    <w:p w14:paraId="2F7E7321" w14:textId="77777777" w:rsidR="00D85508" w:rsidRDefault="008B4A12">
      <w:pPr>
        <w:ind w:left="567" w:hanging="567"/>
        <w:jc w:val="both"/>
        <w:rPr>
          <w:rFonts w:cs="Times New Roman"/>
        </w:rPr>
      </w:pPr>
      <w:r>
        <w:rPr>
          <w:rFonts w:cs="Times New Roman"/>
          <w:color w:val="000000"/>
        </w:rPr>
        <w:t xml:space="preserve">Food and Drink Federation (2026b) </w:t>
      </w:r>
      <w:r>
        <w:rPr>
          <w:rFonts w:cs="Times New Roman"/>
          <w:i/>
          <w:iCs/>
          <w:color w:val="000000"/>
        </w:rPr>
        <w:t>State of Industry Report Q4 2025</w:t>
      </w:r>
      <w:r>
        <w:rPr>
          <w:rFonts w:cs="Times New Roman"/>
          <w:color w:val="000000"/>
        </w:rPr>
        <w:t>. FDF State of Industry Report. Available at: https://www.fdf.org.uk/fdf/resources/publications/state-of-industry-repor</w:t>
      </w:r>
      <w:r>
        <w:rPr>
          <w:rFonts w:cs="Times New Roman"/>
          <w:color w:val="000000"/>
        </w:rPr>
        <w:t>ts/state-of-industry-report-q4-2025/ (Accessed: 2 August 2026).</w:t>
      </w:r>
    </w:p>
    <w:p w14:paraId="2113790E" w14:textId="77777777" w:rsidR="00D85508" w:rsidRDefault="008B4A12">
      <w:pPr>
        <w:ind w:left="567" w:hanging="567"/>
        <w:jc w:val="both"/>
        <w:rPr>
          <w:rFonts w:cs="Times New Roman"/>
        </w:rPr>
      </w:pPr>
      <w:r>
        <w:rPr>
          <w:rFonts w:cs="Times New Roman"/>
          <w:color w:val="000000"/>
        </w:rPr>
        <w:t xml:space="preserve">Food Standards Agency (2026) </w:t>
      </w:r>
      <w:r>
        <w:rPr>
          <w:rFonts w:cs="Times New Roman"/>
          <w:i/>
          <w:iCs/>
          <w:color w:val="000000"/>
        </w:rPr>
        <w:t>Food and You 2: Wave 10</w:t>
      </w:r>
      <w:r>
        <w:rPr>
          <w:rFonts w:cs="Times New Roman"/>
          <w:color w:val="000000"/>
        </w:rPr>
        <w:t>. Food Standards Agency official survey report. Available at: https://www.food.gov.uk/research/food-and-you-2/food-and-you-2-wave-10 (Access</w:t>
      </w:r>
      <w:r>
        <w:rPr>
          <w:rFonts w:cs="Times New Roman"/>
          <w:color w:val="000000"/>
        </w:rPr>
        <w:t>ed: 2 August 2026).</w:t>
      </w:r>
    </w:p>
    <w:p w14:paraId="0317CD2E" w14:textId="77777777" w:rsidR="00D85508" w:rsidRDefault="008B4A12">
      <w:pPr>
        <w:ind w:left="567" w:hanging="567"/>
        <w:jc w:val="both"/>
        <w:rPr>
          <w:rFonts w:cs="Times New Roman"/>
        </w:rPr>
      </w:pPr>
      <w:r>
        <w:rPr>
          <w:rFonts w:cs="Times New Roman"/>
          <w:color w:val="000000"/>
        </w:rPr>
        <w:t xml:space="preserve">Gibbs, G. (1988) </w:t>
      </w:r>
      <w:r>
        <w:rPr>
          <w:rFonts w:cs="Times New Roman"/>
          <w:i/>
          <w:iCs/>
          <w:color w:val="000000"/>
        </w:rPr>
        <w:t>Learning by Doing: A Guide to Teaching and Learning Methods</w:t>
      </w:r>
      <w:r>
        <w:rPr>
          <w:rFonts w:cs="Times New Roman"/>
          <w:color w:val="000000"/>
        </w:rPr>
        <w:t>. Oxford: Further Education Unit. Available at: https://books.google.com/books/about/Learning_by_Doing.html?id=z2CxAAAACAAJ (Accessed: 2 August 2026).</w:t>
      </w:r>
    </w:p>
    <w:p w14:paraId="43270EF0" w14:textId="77777777" w:rsidR="00D85508" w:rsidRDefault="008B4A12">
      <w:pPr>
        <w:ind w:left="567" w:hanging="567"/>
        <w:jc w:val="both"/>
        <w:rPr>
          <w:rFonts w:cs="Times New Roman"/>
        </w:rPr>
      </w:pPr>
      <w:r>
        <w:rPr>
          <w:rFonts w:cs="Times New Roman"/>
          <w:color w:val="000000"/>
        </w:rPr>
        <w:lastRenderedPageBreak/>
        <w:t>Hart, S.L</w:t>
      </w:r>
      <w:r>
        <w:rPr>
          <w:rFonts w:cs="Times New Roman"/>
          <w:color w:val="000000"/>
        </w:rPr>
        <w:t xml:space="preserve">. (1995) 'A Natural-Resource-Based View of the Firm', </w:t>
      </w:r>
      <w:r>
        <w:rPr>
          <w:rFonts w:cs="Times New Roman"/>
          <w:i/>
          <w:iCs/>
          <w:color w:val="000000"/>
        </w:rPr>
        <w:t>Academy of Management Review, 20(4), 986–1014</w:t>
      </w:r>
      <w:r>
        <w:rPr>
          <w:rFonts w:cs="Times New Roman"/>
          <w:color w:val="000000"/>
        </w:rPr>
        <w:t>. doi:10.5465/AMR.1995.9512280033.</w:t>
      </w:r>
    </w:p>
    <w:p w14:paraId="4C74F3FE" w14:textId="77777777" w:rsidR="00D85508" w:rsidRDefault="008B4A12">
      <w:pPr>
        <w:ind w:left="567" w:hanging="567"/>
        <w:jc w:val="both"/>
        <w:rPr>
          <w:rFonts w:cs="Times New Roman"/>
        </w:rPr>
      </w:pPr>
      <w:r>
        <w:rPr>
          <w:rFonts w:cs="Times New Roman"/>
          <w:color w:val="000000"/>
        </w:rPr>
        <w:t xml:space="preserve">Hill, C.W.L. (1988) 'Differentiation Versus Low Cost or Differentiation and Low Cost: A Contingency Framework', </w:t>
      </w:r>
      <w:r>
        <w:rPr>
          <w:rFonts w:cs="Times New Roman"/>
          <w:i/>
          <w:iCs/>
          <w:color w:val="000000"/>
        </w:rPr>
        <w:t>Academy of</w:t>
      </w:r>
      <w:r>
        <w:rPr>
          <w:rFonts w:cs="Times New Roman"/>
          <w:i/>
          <w:iCs/>
          <w:color w:val="000000"/>
        </w:rPr>
        <w:t xml:space="preserve"> Management Review, 13(3), 401–412</w:t>
      </w:r>
      <w:r>
        <w:rPr>
          <w:rFonts w:cs="Times New Roman"/>
          <w:color w:val="000000"/>
        </w:rPr>
        <w:t>. doi:10.5465/amr.1988.4306957.</w:t>
      </w:r>
    </w:p>
    <w:p w14:paraId="3DC129D8" w14:textId="77777777" w:rsidR="00D85508" w:rsidRDefault="008B4A12">
      <w:pPr>
        <w:ind w:left="567" w:hanging="567"/>
        <w:jc w:val="both"/>
        <w:rPr>
          <w:rFonts w:cs="Times New Roman"/>
        </w:rPr>
      </w:pPr>
      <w:r>
        <w:rPr>
          <w:rFonts w:cs="Times New Roman"/>
          <w:color w:val="000000"/>
        </w:rPr>
        <w:t xml:space="preserve">Johnson, G., Scholes, K. and Whittington, R. (2008) </w:t>
      </w:r>
      <w:r>
        <w:rPr>
          <w:rFonts w:cs="Times New Roman"/>
          <w:i/>
          <w:iCs/>
          <w:color w:val="000000"/>
        </w:rPr>
        <w:t>Exploring Corporate Strategy</w:t>
      </w:r>
      <w:r>
        <w:rPr>
          <w:rFonts w:cs="Times New Roman"/>
          <w:color w:val="000000"/>
        </w:rPr>
        <w:t xml:space="preserve">. 8th </w:t>
      </w:r>
      <w:proofErr w:type="spellStart"/>
      <w:r>
        <w:rPr>
          <w:rFonts w:cs="Times New Roman"/>
          <w:color w:val="000000"/>
        </w:rPr>
        <w:t>edn</w:t>
      </w:r>
      <w:proofErr w:type="spellEnd"/>
      <w:r>
        <w:rPr>
          <w:rFonts w:cs="Times New Roman"/>
          <w:color w:val="000000"/>
        </w:rPr>
        <w:t>. Harlow: Financial Times Prentice Hall. Available at: https://books.google.com/books?id=SmjnLQwlSdsC</w:t>
      </w:r>
      <w:r>
        <w:rPr>
          <w:rFonts w:cs="Times New Roman"/>
          <w:color w:val="000000"/>
        </w:rPr>
        <w:t xml:space="preserve"> (Accessed: 2 August 2026).</w:t>
      </w:r>
    </w:p>
    <w:p w14:paraId="366F23C1" w14:textId="77777777" w:rsidR="00D85508" w:rsidRDefault="008B4A12">
      <w:pPr>
        <w:ind w:left="567" w:hanging="567"/>
        <w:jc w:val="both"/>
        <w:rPr>
          <w:rFonts w:cs="Times New Roman"/>
        </w:rPr>
      </w:pPr>
      <w:r>
        <w:rPr>
          <w:rFonts w:cs="Times New Roman"/>
          <w:color w:val="000000"/>
        </w:rPr>
        <w:t xml:space="preserve">Kaplan, R.S. and Norton, D.P. (1992) </w:t>
      </w:r>
      <w:r>
        <w:rPr>
          <w:rFonts w:cs="Times New Roman"/>
          <w:i/>
          <w:iCs/>
          <w:color w:val="000000"/>
        </w:rPr>
        <w:t>The Balanced Scorecard—Measures that Drive Performance</w:t>
      </w:r>
      <w:r>
        <w:rPr>
          <w:rFonts w:cs="Times New Roman"/>
          <w:color w:val="000000"/>
        </w:rPr>
        <w:t>. Harvard Business Review, January–February, pp. 71–79. Available at: https://hbr.org/1992/01/the-balanced-scorecard-measures-that-drive-</w:t>
      </w:r>
      <w:r>
        <w:rPr>
          <w:rFonts w:cs="Times New Roman"/>
          <w:color w:val="000000"/>
        </w:rPr>
        <w:t>performance-2 (Accessed: 2 August 2026).</w:t>
      </w:r>
    </w:p>
    <w:p w14:paraId="60BB663F" w14:textId="77777777" w:rsidR="00276E5D" w:rsidRDefault="008B4A12">
      <w:pPr>
        <w:jc w:val="both"/>
      </w:pPr>
      <w:r>
        <w:rPr>
          <w:color w:val="000000"/>
        </w:rPr>
        <w:t>Marks &amp; Spencer (2025) Marks &amp; Spencer continues to invest in trusted value for family shoppers. Marks &amp; Spencer corporate press release. Available at: https://corporate.marksandspencer.com/newsroom/press-releases/m</w:t>
      </w:r>
      <w:r>
        <w:rPr>
          <w:color w:val="000000"/>
        </w:rPr>
        <w:t>arks-spencer-continues-invest-trusted-value-family-shoppers (Accessed: 11 August 2026).</w:t>
      </w:r>
    </w:p>
    <w:p w14:paraId="104E7580" w14:textId="77777777" w:rsidR="00276E5D" w:rsidRDefault="008B4A12">
      <w:pPr>
        <w:jc w:val="both"/>
      </w:pPr>
      <w:r>
        <w:rPr>
          <w:color w:val="000000"/>
        </w:rPr>
        <w:t>Marks &amp; Spencer (2026) M&amp;S is now the fastest growing retailer for families as it expands value range with more family favourites at lower prices. Marks &amp; Spencer corpo</w:t>
      </w:r>
      <w:r>
        <w:rPr>
          <w:color w:val="000000"/>
        </w:rPr>
        <w:t>rate press release. Available at: https://corporate.marksandspencer.com/newsroom/press-releases/ms-now-fastest-growing-retailer-families-it-expands-value-range-more-family (Accessed: 11 August 2026).</w:t>
      </w:r>
    </w:p>
    <w:p w14:paraId="2CFE7795" w14:textId="77777777" w:rsidR="00D85508" w:rsidRDefault="008B4A12">
      <w:pPr>
        <w:ind w:left="567" w:hanging="567"/>
        <w:jc w:val="both"/>
        <w:rPr>
          <w:rFonts w:cs="Times New Roman"/>
        </w:rPr>
      </w:pPr>
      <w:r>
        <w:rPr>
          <w:rFonts w:cs="Times New Roman"/>
          <w:color w:val="000000"/>
        </w:rPr>
        <w:t>Marks &amp; Spencer Group plc (</w:t>
      </w:r>
      <w:proofErr w:type="spellStart"/>
      <w:r>
        <w:rPr>
          <w:rFonts w:cs="Times New Roman"/>
          <w:color w:val="000000"/>
        </w:rPr>
        <w:t>n.d.</w:t>
      </w:r>
      <w:proofErr w:type="spellEnd"/>
      <w:r>
        <w:rPr>
          <w:rFonts w:cs="Times New Roman"/>
          <w:color w:val="000000"/>
        </w:rPr>
        <w:t xml:space="preserve">) </w:t>
      </w:r>
      <w:r>
        <w:rPr>
          <w:rFonts w:cs="Times New Roman"/>
          <w:i/>
          <w:iCs/>
          <w:color w:val="000000"/>
        </w:rPr>
        <w:t>Food</w:t>
      </w:r>
      <w:r>
        <w:rPr>
          <w:rFonts w:cs="Times New Roman"/>
          <w:color w:val="000000"/>
        </w:rPr>
        <w:t>. Marks &amp; Spencer F</w:t>
      </w:r>
      <w:r>
        <w:rPr>
          <w:rFonts w:cs="Times New Roman"/>
          <w:color w:val="000000"/>
        </w:rPr>
        <w:t>ood strategy webpage. Available at: https://corporate.marksandspencer.com/about-us/our-businesses/food (Accessed: 2 August 2026).</w:t>
      </w:r>
    </w:p>
    <w:p w14:paraId="393E5EEE" w14:textId="77777777" w:rsidR="00D85508" w:rsidRDefault="008B4A12">
      <w:pPr>
        <w:ind w:left="567" w:hanging="567"/>
        <w:jc w:val="both"/>
        <w:rPr>
          <w:rFonts w:cs="Times New Roman"/>
        </w:rPr>
      </w:pPr>
      <w:r>
        <w:rPr>
          <w:rFonts w:cs="Times New Roman"/>
          <w:color w:val="000000"/>
        </w:rPr>
        <w:t xml:space="preserve">Marks &amp; Spencer Group plc (2025) </w:t>
      </w:r>
      <w:r>
        <w:rPr>
          <w:rFonts w:cs="Times New Roman"/>
          <w:i/>
          <w:iCs/>
          <w:color w:val="000000"/>
        </w:rPr>
        <w:t xml:space="preserve">Strategic Supply Chain Shift: M&amp;S Food Appoints Blakemore </w:t>
      </w:r>
      <w:proofErr w:type="gramStart"/>
      <w:r>
        <w:rPr>
          <w:rFonts w:cs="Times New Roman"/>
          <w:i/>
          <w:iCs/>
          <w:color w:val="000000"/>
        </w:rPr>
        <w:t>As</w:t>
      </w:r>
      <w:proofErr w:type="gramEnd"/>
      <w:r>
        <w:rPr>
          <w:rFonts w:cs="Times New Roman"/>
          <w:i/>
          <w:iCs/>
          <w:color w:val="000000"/>
        </w:rPr>
        <w:t xml:space="preserve"> Primary Wholesale Partner</w:t>
      </w:r>
      <w:r>
        <w:rPr>
          <w:rFonts w:cs="Times New Roman"/>
          <w:color w:val="000000"/>
        </w:rPr>
        <w:t>. Marks</w:t>
      </w:r>
      <w:r>
        <w:rPr>
          <w:rFonts w:cs="Times New Roman"/>
          <w:color w:val="000000"/>
        </w:rPr>
        <w:t xml:space="preserve"> &amp; Spencer corporate press release. Available at: https://corporate.marksandspencer.com/newsroom/press-releases/strategic-supply-chain-shift-ms-food-appoints-blakemore-primary-wholesale (Accessed: 2 August 2026).</w:t>
      </w:r>
    </w:p>
    <w:p w14:paraId="28CC9519" w14:textId="77777777" w:rsidR="00D85508" w:rsidRDefault="008B4A12">
      <w:pPr>
        <w:ind w:left="567" w:hanging="567"/>
        <w:jc w:val="both"/>
        <w:rPr>
          <w:rFonts w:cs="Times New Roman"/>
        </w:rPr>
      </w:pPr>
      <w:r>
        <w:rPr>
          <w:rFonts w:cs="Times New Roman"/>
          <w:color w:val="000000"/>
        </w:rPr>
        <w:t xml:space="preserve">Marks &amp; Spencer Group plc (2026a) </w:t>
      </w:r>
      <w:r>
        <w:rPr>
          <w:rFonts w:cs="Times New Roman"/>
          <w:i/>
          <w:iCs/>
          <w:color w:val="000000"/>
        </w:rPr>
        <w:t>Drive pro</w:t>
      </w:r>
      <w:r>
        <w:rPr>
          <w:rFonts w:cs="Times New Roman"/>
          <w:i/>
          <w:iCs/>
          <w:color w:val="000000"/>
        </w:rPr>
        <w:t>fitable sales growth</w:t>
      </w:r>
      <w:r>
        <w:rPr>
          <w:rFonts w:cs="Times New Roman"/>
          <w:color w:val="000000"/>
        </w:rPr>
        <w:t>. M&amp;S Annual Report 2026 strategy story. Available at: https://corporate.marksandspencer.com/investors/our-performance-updates/2026-annual-report/stories/drive-profitable-sales-growth (Accessed: 2 August 2026).</w:t>
      </w:r>
    </w:p>
    <w:p w14:paraId="4B80A23E" w14:textId="77777777" w:rsidR="00D85508" w:rsidRDefault="008B4A12">
      <w:pPr>
        <w:ind w:left="567" w:hanging="567"/>
        <w:jc w:val="both"/>
        <w:rPr>
          <w:rFonts w:cs="Times New Roman"/>
        </w:rPr>
      </w:pPr>
      <w:r>
        <w:rPr>
          <w:rFonts w:cs="Times New Roman"/>
          <w:color w:val="000000"/>
        </w:rPr>
        <w:lastRenderedPageBreak/>
        <w:t>Marks &amp; Spencer Group plc</w:t>
      </w:r>
      <w:r>
        <w:rPr>
          <w:rFonts w:cs="Times New Roman"/>
          <w:color w:val="000000"/>
        </w:rPr>
        <w:t xml:space="preserve"> (2026b) </w:t>
      </w:r>
      <w:r>
        <w:rPr>
          <w:rFonts w:cs="Times New Roman"/>
          <w:i/>
          <w:iCs/>
          <w:color w:val="000000"/>
        </w:rPr>
        <w:t>Full Year Results for the 52 Weeks Ended 28 March 2026</w:t>
      </w:r>
      <w:r>
        <w:rPr>
          <w:rFonts w:cs="Times New Roman"/>
          <w:color w:val="000000"/>
        </w:rPr>
        <w:t>. Marks &amp; Spencer corporate press release. Available at: https://corporate.marksandspencer.com/newsroom/press-releases/full-year-results-52-weeks-ended-28-march-2026 (Accessed: 2 August 2026).</w:t>
      </w:r>
    </w:p>
    <w:p w14:paraId="20DD0D47" w14:textId="77777777" w:rsidR="00D85508" w:rsidRDefault="008B4A12">
      <w:pPr>
        <w:ind w:left="567" w:hanging="567"/>
        <w:jc w:val="both"/>
        <w:rPr>
          <w:rFonts w:cs="Times New Roman"/>
        </w:rPr>
      </w:pPr>
      <w:r>
        <w:rPr>
          <w:rFonts w:cs="Times New Roman"/>
          <w:color w:val="000000"/>
        </w:rPr>
        <w:t xml:space="preserve">Marks &amp; Spencer Group plc (2026c) </w:t>
      </w:r>
      <w:r>
        <w:rPr>
          <w:rFonts w:cs="Times New Roman"/>
          <w:i/>
          <w:iCs/>
          <w:color w:val="000000"/>
        </w:rPr>
        <w:t xml:space="preserve">Marks and Spencer Group </w:t>
      </w:r>
      <w:proofErr w:type="gramStart"/>
      <w:r>
        <w:rPr>
          <w:rFonts w:cs="Times New Roman"/>
          <w:i/>
          <w:iCs/>
          <w:color w:val="000000"/>
        </w:rPr>
        <w:t>plc</w:t>
      </w:r>
      <w:proofErr w:type="gramEnd"/>
      <w:r>
        <w:rPr>
          <w:rFonts w:cs="Times New Roman"/>
          <w:i/>
          <w:iCs/>
          <w:color w:val="000000"/>
        </w:rPr>
        <w:t xml:space="preserve"> Annual Report and Financial Statements 2026</w:t>
      </w:r>
      <w:r>
        <w:rPr>
          <w:rFonts w:cs="Times New Roman"/>
          <w:color w:val="000000"/>
        </w:rPr>
        <w:t>. Marks &amp; Spencer annual report. Available at: https://corporate.marksandspencer.com/sites/marksandspencer/files/marksandspencer/annual-report/m-and-s-</w:t>
      </w:r>
      <w:r>
        <w:rPr>
          <w:rFonts w:cs="Times New Roman"/>
          <w:color w:val="000000"/>
        </w:rPr>
        <w:t>annual-report-and-financial-statements-2026.pdf (Accessed: 2 August 2026).</w:t>
      </w:r>
    </w:p>
    <w:p w14:paraId="5B530DB8" w14:textId="77777777" w:rsidR="00D85508" w:rsidRDefault="008B4A12">
      <w:pPr>
        <w:ind w:left="567" w:hanging="567"/>
        <w:jc w:val="both"/>
        <w:rPr>
          <w:rFonts w:cs="Times New Roman"/>
        </w:rPr>
      </w:pPr>
      <w:proofErr w:type="spellStart"/>
      <w:r>
        <w:rPr>
          <w:rFonts w:cs="Times New Roman"/>
          <w:color w:val="000000"/>
        </w:rPr>
        <w:t>Mintzberg</w:t>
      </w:r>
      <w:proofErr w:type="spellEnd"/>
      <w:r>
        <w:rPr>
          <w:rFonts w:cs="Times New Roman"/>
          <w:color w:val="000000"/>
        </w:rPr>
        <w:t xml:space="preserve">, H. and Waters, J.A. (1985) 'Of strategies, deliberate and emergent', </w:t>
      </w:r>
      <w:r>
        <w:rPr>
          <w:rFonts w:cs="Times New Roman"/>
          <w:i/>
          <w:iCs/>
          <w:color w:val="000000"/>
        </w:rPr>
        <w:t>Strategic Management Journal, 6(3), 257–272</w:t>
      </w:r>
      <w:r>
        <w:rPr>
          <w:rFonts w:cs="Times New Roman"/>
          <w:color w:val="000000"/>
        </w:rPr>
        <w:t>. doi:10.1002/smj.4250060306.</w:t>
      </w:r>
    </w:p>
    <w:p w14:paraId="1C423D23" w14:textId="77777777" w:rsidR="00D85508" w:rsidRDefault="008B4A12">
      <w:pPr>
        <w:ind w:left="567" w:hanging="567"/>
        <w:jc w:val="both"/>
        <w:rPr>
          <w:rFonts w:cs="Times New Roman"/>
        </w:rPr>
      </w:pPr>
      <w:proofErr w:type="spellStart"/>
      <w:r>
        <w:rPr>
          <w:rFonts w:cs="Times New Roman"/>
          <w:color w:val="000000"/>
        </w:rPr>
        <w:t>Nørreklit</w:t>
      </w:r>
      <w:proofErr w:type="spellEnd"/>
      <w:r>
        <w:rPr>
          <w:rFonts w:cs="Times New Roman"/>
          <w:color w:val="000000"/>
        </w:rPr>
        <w:t xml:space="preserve">, H. (2000) </w:t>
      </w:r>
      <w:r>
        <w:rPr>
          <w:rFonts w:cs="Times New Roman"/>
          <w:i/>
          <w:iCs/>
          <w:color w:val="000000"/>
        </w:rPr>
        <w:t>The Bal</w:t>
      </w:r>
      <w:r>
        <w:rPr>
          <w:rFonts w:cs="Times New Roman"/>
          <w:i/>
          <w:iCs/>
          <w:color w:val="000000"/>
        </w:rPr>
        <w:t>ance on the Balanced Scorecard - a critical analysis of some of its assumptions</w:t>
      </w:r>
      <w:r>
        <w:rPr>
          <w:rFonts w:cs="Times New Roman"/>
          <w:color w:val="000000"/>
        </w:rPr>
        <w:t>. Management Accounting Research, 11(1), 65–88. Available at: https://pure.au.dk/portal/en/publications/the-balance-on-the-balanced-scorecard-a-critical-analysis-of-some/ (Acces</w:t>
      </w:r>
      <w:r>
        <w:rPr>
          <w:rFonts w:cs="Times New Roman"/>
          <w:color w:val="000000"/>
        </w:rPr>
        <w:t>sed: 2 August 2026).</w:t>
      </w:r>
    </w:p>
    <w:p w14:paraId="343033C5" w14:textId="77777777" w:rsidR="00D85508" w:rsidRDefault="008B4A12">
      <w:pPr>
        <w:ind w:left="567" w:hanging="567"/>
        <w:jc w:val="both"/>
        <w:rPr>
          <w:rFonts w:cs="Times New Roman"/>
        </w:rPr>
      </w:pPr>
      <w:r>
        <w:rPr>
          <w:rFonts w:cs="Times New Roman"/>
          <w:color w:val="000000"/>
        </w:rPr>
        <w:t xml:space="preserve">Office for National Statistics (2026a) </w:t>
      </w:r>
      <w:r>
        <w:rPr>
          <w:rFonts w:cs="Times New Roman"/>
          <w:i/>
          <w:iCs/>
          <w:color w:val="000000"/>
        </w:rPr>
        <w:t>Consumer price inflation, UK: June 2026</w:t>
      </w:r>
      <w:r>
        <w:rPr>
          <w:rFonts w:cs="Times New Roman"/>
          <w:color w:val="000000"/>
        </w:rPr>
        <w:t>. ONS statistical bulletin. Available at: https://www.ons.gov.uk/economy/inflationandpriceindices/bulletins/consumerpriceinflation/latest (Accessed: 2 August</w:t>
      </w:r>
      <w:r>
        <w:rPr>
          <w:rFonts w:cs="Times New Roman"/>
          <w:color w:val="000000"/>
        </w:rPr>
        <w:t xml:space="preserve"> 2026).</w:t>
      </w:r>
    </w:p>
    <w:p w14:paraId="383ECE0E" w14:textId="77777777" w:rsidR="00D85508" w:rsidRDefault="008B4A12">
      <w:pPr>
        <w:ind w:left="567" w:hanging="567"/>
        <w:jc w:val="both"/>
        <w:rPr>
          <w:rFonts w:cs="Times New Roman"/>
        </w:rPr>
      </w:pPr>
      <w:r>
        <w:rPr>
          <w:rFonts w:cs="Times New Roman"/>
          <w:color w:val="000000"/>
        </w:rPr>
        <w:t xml:space="preserve">Office for National Statistics (2026b) </w:t>
      </w:r>
      <w:r>
        <w:rPr>
          <w:rFonts w:cs="Times New Roman"/>
          <w:i/>
          <w:iCs/>
          <w:color w:val="000000"/>
        </w:rPr>
        <w:t>Retail sales, Great Britain: June 2026</w:t>
      </w:r>
      <w:r>
        <w:rPr>
          <w:rFonts w:cs="Times New Roman"/>
          <w:color w:val="000000"/>
        </w:rPr>
        <w:t>. ONS statistical bulletin. Available at: https://www.ons.gov.uk/businessindustryandtrade/retailindustry/bulletins/retailsales/latest (Accessed: 2 August 2026).</w:t>
      </w:r>
    </w:p>
    <w:p w14:paraId="5C73BF7C" w14:textId="77777777" w:rsidR="00D85508" w:rsidRDefault="008B4A12">
      <w:pPr>
        <w:ind w:left="567" w:hanging="567"/>
        <w:jc w:val="both"/>
        <w:rPr>
          <w:rFonts w:cs="Times New Roman"/>
        </w:rPr>
      </w:pPr>
      <w:proofErr w:type="spellStart"/>
      <w:r>
        <w:rPr>
          <w:rFonts w:cs="Times New Roman"/>
          <w:color w:val="000000"/>
        </w:rPr>
        <w:t>Peteraf</w:t>
      </w:r>
      <w:proofErr w:type="spellEnd"/>
      <w:r>
        <w:rPr>
          <w:rFonts w:cs="Times New Roman"/>
          <w:color w:val="000000"/>
        </w:rPr>
        <w:t>, M</w:t>
      </w:r>
      <w:r>
        <w:rPr>
          <w:rFonts w:cs="Times New Roman"/>
          <w:color w:val="000000"/>
        </w:rPr>
        <w:t xml:space="preserve">.A. (1993) 'The cornerstones of competitive advantage: A resource-based view', </w:t>
      </w:r>
      <w:r>
        <w:rPr>
          <w:rFonts w:cs="Times New Roman"/>
          <w:i/>
          <w:iCs/>
          <w:color w:val="000000"/>
        </w:rPr>
        <w:t>Strategic Management Journal, 14(3), 179–191</w:t>
      </w:r>
      <w:r>
        <w:rPr>
          <w:rFonts w:cs="Times New Roman"/>
          <w:color w:val="000000"/>
        </w:rPr>
        <w:t>. doi:10.1002/smj.4250140303.</w:t>
      </w:r>
    </w:p>
    <w:p w14:paraId="5F85CE10" w14:textId="77777777" w:rsidR="00D85508" w:rsidRDefault="008B4A12">
      <w:pPr>
        <w:ind w:left="567" w:hanging="567"/>
        <w:jc w:val="both"/>
        <w:rPr>
          <w:rFonts w:cs="Times New Roman"/>
        </w:rPr>
      </w:pPr>
      <w:r>
        <w:rPr>
          <w:rFonts w:cs="Times New Roman"/>
          <w:color w:val="000000"/>
        </w:rPr>
        <w:t xml:space="preserve">Pimentel, B.F., </w:t>
      </w:r>
      <w:proofErr w:type="spellStart"/>
      <w:r>
        <w:rPr>
          <w:rFonts w:cs="Times New Roman"/>
          <w:color w:val="000000"/>
        </w:rPr>
        <w:t>Misopoulos</w:t>
      </w:r>
      <w:proofErr w:type="spellEnd"/>
      <w:r>
        <w:rPr>
          <w:rFonts w:cs="Times New Roman"/>
          <w:color w:val="000000"/>
        </w:rPr>
        <w:t xml:space="preserve">, F. and Davies, J. (2022) 'A review of factors reducing waste in the food supply chain: The retailer perspective', </w:t>
      </w:r>
      <w:r>
        <w:rPr>
          <w:rFonts w:cs="Times New Roman"/>
          <w:i/>
          <w:iCs/>
          <w:color w:val="000000"/>
        </w:rPr>
        <w:t>Cleaner Waste Systems, 3, 100028</w:t>
      </w:r>
      <w:r>
        <w:rPr>
          <w:rFonts w:cs="Times New Roman"/>
          <w:color w:val="000000"/>
        </w:rPr>
        <w:t xml:space="preserve">. </w:t>
      </w:r>
      <w:proofErr w:type="gramStart"/>
      <w:r>
        <w:rPr>
          <w:rFonts w:cs="Times New Roman"/>
          <w:color w:val="000000"/>
        </w:rPr>
        <w:t>doi:10.1016/j.clwas</w:t>
      </w:r>
      <w:proofErr w:type="gramEnd"/>
      <w:r>
        <w:rPr>
          <w:rFonts w:cs="Times New Roman"/>
          <w:color w:val="000000"/>
        </w:rPr>
        <w:t>.2022.100028.</w:t>
      </w:r>
    </w:p>
    <w:p w14:paraId="2B3F29BC" w14:textId="77777777" w:rsidR="00D85508" w:rsidRDefault="008B4A12">
      <w:pPr>
        <w:ind w:left="567" w:hanging="567"/>
        <w:jc w:val="both"/>
        <w:rPr>
          <w:rFonts w:cs="Times New Roman"/>
        </w:rPr>
      </w:pPr>
      <w:r>
        <w:rPr>
          <w:rFonts w:cs="Times New Roman"/>
          <w:color w:val="000000"/>
        </w:rPr>
        <w:t xml:space="preserve">Porter, M.E. (1980) </w:t>
      </w:r>
      <w:r>
        <w:rPr>
          <w:rFonts w:cs="Times New Roman"/>
          <w:i/>
          <w:iCs/>
          <w:color w:val="000000"/>
        </w:rPr>
        <w:t>Competitive Strategy: Techn</w:t>
      </w:r>
      <w:r>
        <w:rPr>
          <w:rFonts w:cs="Times New Roman"/>
          <w:i/>
          <w:iCs/>
          <w:color w:val="000000"/>
        </w:rPr>
        <w:t>iques for Analysing Industries and Competitors</w:t>
      </w:r>
      <w:r>
        <w:rPr>
          <w:rFonts w:cs="Times New Roman"/>
          <w:color w:val="000000"/>
        </w:rPr>
        <w:t>. Available at: https://www.simonandschuster.com/books/Competitive-Strategy/Michael-E-Porter/9780684841489 (Accessed: 2 August 2026).</w:t>
      </w:r>
    </w:p>
    <w:p w14:paraId="3130D6AF" w14:textId="77777777" w:rsidR="00D85508" w:rsidRDefault="008B4A12">
      <w:pPr>
        <w:ind w:left="567" w:hanging="567"/>
        <w:jc w:val="both"/>
        <w:rPr>
          <w:rFonts w:cs="Times New Roman"/>
        </w:rPr>
      </w:pPr>
      <w:r>
        <w:rPr>
          <w:rFonts w:cs="Times New Roman"/>
          <w:color w:val="000000"/>
        </w:rPr>
        <w:t xml:space="preserve">Porter, M.E. (1985) </w:t>
      </w:r>
      <w:r>
        <w:rPr>
          <w:rFonts w:cs="Times New Roman"/>
          <w:i/>
          <w:iCs/>
          <w:color w:val="000000"/>
        </w:rPr>
        <w:t xml:space="preserve">Competitive Advantage: Creating and Sustaining Superior </w:t>
      </w:r>
      <w:r>
        <w:rPr>
          <w:rFonts w:cs="Times New Roman"/>
          <w:i/>
          <w:iCs/>
          <w:color w:val="000000"/>
        </w:rPr>
        <w:t>Performance</w:t>
      </w:r>
      <w:r>
        <w:rPr>
          <w:rFonts w:cs="Times New Roman"/>
          <w:color w:val="000000"/>
        </w:rPr>
        <w:t>. Available at: https://www.simonandschuster.com/books/Competitive-Advantage/Michael-E-Porter/9780684841465 (Accessed: 2 August 2026).</w:t>
      </w:r>
    </w:p>
    <w:p w14:paraId="39A8B2B1" w14:textId="77777777" w:rsidR="00D85508" w:rsidRDefault="008B4A12">
      <w:pPr>
        <w:ind w:left="567" w:hanging="567"/>
        <w:jc w:val="both"/>
        <w:rPr>
          <w:rFonts w:cs="Times New Roman"/>
        </w:rPr>
      </w:pPr>
      <w:r>
        <w:rPr>
          <w:rFonts w:cs="Times New Roman"/>
          <w:color w:val="000000"/>
        </w:rPr>
        <w:lastRenderedPageBreak/>
        <w:t xml:space="preserve">Porter, M.E. and Kramer, M.R. (2011) </w:t>
      </w:r>
      <w:r>
        <w:rPr>
          <w:rFonts w:cs="Times New Roman"/>
          <w:i/>
          <w:iCs/>
          <w:color w:val="000000"/>
        </w:rPr>
        <w:t>Creating Shared Value: How to reinvent capitalism—and unleash a wave of i</w:t>
      </w:r>
      <w:r>
        <w:rPr>
          <w:rFonts w:cs="Times New Roman"/>
          <w:i/>
          <w:iCs/>
          <w:color w:val="000000"/>
        </w:rPr>
        <w:t>nnovation and growth</w:t>
      </w:r>
      <w:r>
        <w:rPr>
          <w:rFonts w:cs="Times New Roman"/>
          <w:color w:val="000000"/>
        </w:rPr>
        <w:t>. Harvard Business Review, January–February. Available at: https://hbr.org/2011/01/the-big-idea-creating-shared-value (Accessed: 2 August 2026).</w:t>
      </w:r>
    </w:p>
    <w:p w14:paraId="17DC1635" w14:textId="77777777" w:rsidR="00D85508" w:rsidRDefault="008B4A12">
      <w:pPr>
        <w:ind w:left="567" w:hanging="567"/>
        <w:jc w:val="both"/>
        <w:rPr>
          <w:rFonts w:cs="Times New Roman"/>
        </w:rPr>
      </w:pPr>
      <w:proofErr w:type="spellStart"/>
      <w:r>
        <w:rPr>
          <w:rFonts w:cs="Times New Roman"/>
          <w:color w:val="000000"/>
        </w:rPr>
        <w:t>Priem</w:t>
      </w:r>
      <w:proofErr w:type="spellEnd"/>
      <w:r>
        <w:rPr>
          <w:rFonts w:cs="Times New Roman"/>
          <w:color w:val="000000"/>
        </w:rPr>
        <w:t xml:space="preserve">, R.L. and Butler, J.E. (2001) 'Is the Resource-Based 'View' a Useful Perspective for </w:t>
      </w:r>
      <w:r>
        <w:rPr>
          <w:rFonts w:cs="Times New Roman"/>
          <w:color w:val="000000"/>
        </w:rPr>
        <w:t xml:space="preserve">Strategic Management Research?', </w:t>
      </w:r>
      <w:r>
        <w:rPr>
          <w:rFonts w:cs="Times New Roman"/>
          <w:i/>
          <w:iCs/>
          <w:color w:val="000000"/>
        </w:rPr>
        <w:t>Academy of Management Review, 26(1), 22–40</w:t>
      </w:r>
      <w:r>
        <w:rPr>
          <w:rFonts w:cs="Times New Roman"/>
          <w:color w:val="000000"/>
        </w:rPr>
        <w:t>. doi:10.5465/AMR.2001.4011928.</w:t>
      </w:r>
    </w:p>
    <w:p w14:paraId="714CA3ED" w14:textId="77777777" w:rsidR="00D85508" w:rsidRDefault="008B4A12">
      <w:pPr>
        <w:ind w:left="567" w:hanging="567"/>
        <w:jc w:val="both"/>
        <w:rPr>
          <w:rFonts w:cs="Times New Roman"/>
        </w:rPr>
      </w:pPr>
      <w:r>
        <w:rPr>
          <w:rFonts w:cs="Times New Roman"/>
          <w:color w:val="000000"/>
        </w:rPr>
        <w:t xml:space="preserve">Rao, M., </w:t>
      </w:r>
      <w:proofErr w:type="spellStart"/>
      <w:r>
        <w:rPr>
          <w:rFonts w:cs="Times New Roman"/>
          <w:color w:val="000000"/>
        </w:rPr>
        <w:t>Bernaz</w:t>
      </w:r>
      <w:proofErr w:type="spellEnd"/>
      <w:r>
        <w:rPr>
          <w:rFonts w:cs="Times New Roman"/>
          <w:color w:val="000000"/>
        </w:rPr>
        <w:t>, N. and de Boer, A. (2024) 'Holding Retail Corporations Accountable for Food Waste: A Due Diligence Framework Informed by Business an</w:t>
      </w:r>
      <w:r>
        <w:rPr>
          <w:rFonts w:cs="Times New Roman"/>
          <w:color w:val="000000"/>
        </w:rPr>
        <w:t xml:space="preserve">d Human Rights Principles', </w:t>
      </w:r>
      <w:r>
        <w:rPr>
          <w:rFonts w:cs="Times New Roman"/>
          <w:i/>
          <w:iCs/>
          <w:color w:val="000000"/>
        </w:rPr>
        <w:t>Journal of Business Ethics, 193(3), 679–689</w:t>
      </w:r>
      <w:r>
        <w:rPr>
          <w:rFonts w:cs="Times New Roman"/>
          <w:color w:val="000000"/>
        </w:rPr>
        <w:t>. doi:10.1007/s10551-023-05572-0.</w:t>
      </w:r>
    </w:p>
    <w:p w14:paraId="2439AF8A" w14:textId="77777777" w:rsidR="00D85508" w:rsidRDefault="008B4A12">
      <w:pPr>
        <w:ind w:left="567" w:hanging="567"/>
        <w:jc w:val="both"/>
        <w:rPr>
          <w:rFonts w:cs="Times New Roman"/>
        </w:rPr>
      </w:pPr>
      <w:r>
        <w:rPr>
          <w:rFonts w:cs="Times New Roman"/>
          <w:color w:val="000000"/>
        </w:rPr>
        <w:t>Sanchez, R. (2008) 'A scientific critique of the resource-</w:t>
      </w:r>
      <w:proofErr w:type="spellStart"/>
      <w:r>
        <w:rPr>
          <w:rFonts w:cs="Times New Roman"/>
          <w:color w:val="000000"/>
        </w:rPr>
        <w:t>base</w:t>
      </w:r>
      <w:proofErr w:type="spellEnd"/>
      <w:r>
        <w:rPr>
          <w:rFonts w:cs="Times New Roman"/>
          <w:color w:val="000000"/>
        </w:rPr>
        <w:t xml:space="preserve"> view (RBV) in strategy theory, with competence-based remedies for the RBV's conceptual d</w:t>
      </w:r>
      <w:r>
        <w:rPr>
          <w:rFonts w:cs="Times New Roman"/>
          <w:color w:val="000000"/>
        </w:rPr>
        <w:t xml:space="preserve">eficiencies and logic problems', </w:t>
      </w:r>
      <w:r>
        <w:rPr>
          <w:rFonts w:cs="Times New Roman"/>
          <w:i/>
          <w:iCs/>
          <w:color w:val="000000"/>
        </w:rPr>
        <w:t>Research in Competence-Based Management</w:t>
      </w:r>
      <w:r>
        <w:rPr>
          <w:rFonts w:cs="Times New Roman"/>
          <w:color w:val="000000"/>
        </w:rPr>
        <w:t>. doi:10.1016/S1744-2117(08)04001-2.</w:t>
      </w:r>
    </w:p>
    <w:p w14:paraId="540FFEF3" w14:textId="77777777" w:rsidR="00D85508" w:rsidRDefault="008B4A12">
      <w:pPr>
        <w:ind w:left="567" w:hanging="567"/>
        <w:jc w:val="both"/>
        <w:rPr>
          <w:rFonts w:cs="Times New Roman"/>
        </w:rPr>
      </w:pPr>
      <w:proofErr w:type="spellStart"/>
      <w:r>
        <w:rPr>
          <w:rFonts w:cs="Times New Roman"/>
          <w:color w:val="000000"/>
        </w:rPr>
        <w:t>Seyama</w:t>
      </w:r>
      <w:proofErr w:type="spellEnd"/>
      <w:r>
        <w:rPr>
          <w:rFonts w:cs="Times New Roman"/>
          <w:color w:val="000000"/>
        </w:rPr>
        <w:t xml:space="preserve">, A., </w:t>
      </w:r>
      <w:proofErr w:type="spellStart"/>
      <w:r>
        <w:rPr>
          <w:rFonts w:cs="Times New Roman"/>
          <w:color w:val="000000"/>
        </w:rPr>
        <w:t>Barachib</w:t>
      </w:r>
      <w:proofErr w:type="spellEnd"/>
      <w:r>
        <w:rPr>
          <w:rFonts w:cs="Times New Roman"/>
          <w:color w:val="000000"/>
        </w:rPr>
        <w:t xml:space="preserve">, M.E., Zhang, C., </w:t>
      </w:r>
      <w:proofErr w:type="spellStart"/>
      <w:r>
        <w:rPr>
          <w:rFonts w:cs="Times New Roman"/>
          <w:color w:val="000000"/>
        </w:rPr>
        <w:t>Duc</w:t>
      </w:r>
      <w:proofErr w:type="spellEnd"/>
      <w:r>
        <w:rPr>
          <w:rFonts w:cs="Times New Roman"/>
          <w:color w:val="000000"/>
        </w:rPr>
        <w:t xml:space="preserve">, B., Shen, J. and Mathew, S.S. (2024) 'Enhancing resilience and reducing waste in food supply chains: a </w:t>
      </w:r>
      <w:r>
        <w:rPr>
          <w:rFonts w:cs="Times New Roman"/>
          <w:color w:val="000000"/>
        </w:rPr>
        <w:t xml:space="preserve">systematic review and future directions leveraging emerging technologies', </w:t>
      </w:r>
      <w:r>
        <w:rPr>
          <w:rFonts w:cs="Times New Roman"/>
          <w:i/>
          <w:iCs/>
          <w:color w:val="000000"/>
        </w:rPr>
        <w:t>International Journal of Logistics Research and Applications, 29(2), 141–175</w:t>
      </w:r>
      <w:r>
        <w:rPr>
          <w:rFonts w:cs="Times New Roman"/>
          <w:color w:val="000000"/>
        </w:rPr>
        <w:t>. doi:10.1080/13675567.2024.2406555.</w:t>
      </w:r>
    </w:p>
    <w:p w14:paraId="04B48480" w14:textId="77777777" w:rsidR="00D85508" w:rsidRDefault="008B4A12">
      <w:pPr>
        <w:ind w:left="567" w:hanging="567"/>
        <w:jc w:val="both"/>
        <w:rPr>
          <w:rFonts w:cs="Times New Roman"/>
        </w:rPr>
      </w:pPr>
      <w:proofErr w:type="spellStart"/>
      <w:r>
        <w:rPr>
          <w:rFonts w:cs="Times New Roman"/>
          <w:color w:val="000000"/>
        </w:rPr>
        <w:t>Teece</w:t>
      </w:r>
      <w:proofErr w:type="spellEnd"/>
      <w:r>
        <w:rPr>
          <w:rFonts w:cs="Times New Roman"/>
          <w:color w:val="000000"/>
        </w:rPr>
        <w:t xml:space="preserve">, D.J., Pisano, G. and </w:t>
      </w:r>
      <w:proofErr w:type="spellStart"/>
      <w:r>
        <w:rPr>
          <w:rFonts w:cs="Times New Roman"/>
          <w:color w:val="000000"/>
        </w:rPr>
        <w:t>Shuen</w:t>
      </w:r>
      <w:proofErr w:type="spellEnd"/>
      <w:r>
        <w:rPr>
          <w:rFonts w:cs="Times New Roman"/>
          <w:color w:val="000000"/>
        </w:rPr>
        <w:t xml:space="preserve">, A. (1997) 'Dynamic capabilities and strategic management', </w:t>
      </w:r>
      <w:r>
        <w:rPr>
          <w:rFonts w:cs="Times New Roman"/>
          <w:i/>
          <w:iCs/>
          <w:color w:val="000000"/>
        </w:rPr>
        <w:t>Strategic Management Journal, 18(7), 509–533</w:t>
      </w:r>
      <w:r>
        <w:rPr>
          <w:rFonts w:cs="Times New Roman"/>
          <w:color w:val="000000"/>
        </w:rPr>
        <w:t>. doi:10.1002/(SICI)1097-0266(199708)18:7&lt;</w:t>
      </w:r>
      <w:proofErr w:type="gramStart"/>
      <w:r>
        <w:rPr>
          <w:rFonts w:cs="Times New Roman"/>
          <w:color w:val="000000"/>
        </w:rPr>
        <w:t>509::</w:t>
      </w:r>
      <w:proofErr w:type="gramEnd"/>
      <w:r>
        <w:rPr>
          <w:rFonts w:cs="Times New Roman"/>
          <w:color w:val="000000"/>
        </w:rPr>
        <w:t>AID-SMJ882&gt;3.0.CO;2-Z.</w:t>
      </w:r>
    </w:p>
    <w:p w14:paraId="1C4BDC46" w14:textId="77777777" w:rsidR="00D85508" w:rsidRDefault="008B4A12">
      <w:pPr>
        <w:ind w:left="567" w:hanging="567"/>
        <w:jc w:val="both"/>
        <w:rPr>
          <w:rFonts w:cs="Times New Roman"/>
        </w:rPr>
      </w:pPr>
      <w:proofErr w:type="spellStart"/>
      <w:r>
        <w:rPr>
          <w:rFonts w:cs="Times New Roman"/>
          <w:color w:val="000000"/>
        </w:rPr>
        <w:t>Teece</w:t>
      </w:r>
      <w:proofErr w:type="spellEnd"/>
      <w:r>
        <w:rPr>
          <w:rFonts w:cs="Times New Roman"/>
          <w:color w:val="000000"/>
        </w:rPr>
        <w:t>, D.J. (2007) 'Explicating dynamic capabili</w:t>
      </w:r>
      <w:r>
        <w:rPr>
          <w:rFonts w:cs="Times New Roman"/>
          <w:color w:val="000000"/>
        </w:rPr>
        <w:t xml:space="preserve">ties: The nature and </w:t>
      </w:r>
      <w:proofErr w:type="spellStart"/>
      <w:r>
        <w:rPr>
          <w:rFonts w:cs="Times New Roman"/>
          <w:color w:val="000000"/>
        </w:rPr>
        <w:t>microfoundations</w:t>
      </w:r>
      <w:proofErr w:type="spellEnd"/>
      <w:r>
        <w:rPr>
          <w:rFonts w:cs="Times New Roman"/>
          <w:color w:val="000000"/>
        </w:rPr>
        <w:t xml:space="preserve"> of (sustainable) enterprise performance', </w:t>
      </w:r>
      <w:r>
        <w:rPr>
          <w:rFonts w:cs="Times New Roman"/>
          <w:i/>
          <w:iCs/>
          <w:color w:val="000000"/>
        </w:rPr>
        <w:t>Strategic Management Journal, 28(13), 1319–1350</w:t>
      </w:r>
      <w:r>
        <w:rPr>
          <w:rFonts w:cs="Times New Roman"/>
          <w:color w:val="000000"/>
        </w:rPr>
        <w:t>. doi:10.1002/smj.640.</w:t>
      </w:r>
    </w:p>
    <w:p w14:paraId="254E1EA1" w14:textId="77777777" w:rsidR="00D85508" w:rsidRDefault="008B4A12">
      <w:pPr>
        <w:ind w:left="567" w:hanging="567"/>
        <w:jc w:val="both"/>
        <w:rPr>
          <w:rFonts w:cs="Times New Roman"/>
        </w:rPr>
      </w:pPr>
      <w:r>
        <w:rPr>
          <w:rFonts w:cs="Times New Roman"/>
          <w:color w:val="000000"/>
        </w:rPr>
        <w:t xml:space="preserve">Ward, M. (2026) </w:t>
      </w:r>
      <w:r>
        <w:rPr>
          <w:rFonts w:cs="Times New Roman"/>
          <w:i/>
          <w:iCs/>
          <w:color w:val="000000"/>
        </w:rPr>
        <w:t>Retail sector in the UK</w:t>
      </w:r>
      <w:r>
        <w:rPr>
          <w:rFonts w:cs="Times New Roman"/>
          <w:color w:val="000000"/>
        </w:rPr>
        <w:t>. House of Commons Library Research Briefing CBP 06186. Available a</w:t>
      </w:r>
      <w:r>
        <w:rPr>
          <w:rFonts w:cs="Times New Roman"/>
          <w:color w:val="000000"/>
        </w:rPr>
        <w:t>t: https://researchbriefings.files.parliament.uk/documents/SN06186/SN06186.pdf (Accessed: 2 August 2026).</w:t>
      </w:r>
    </w:p>
    <w:p w14:paraId="40F9DEFB" w14:textId="77777777" w:rsidR="00D85508" w:rsidRDefault="008B4A12">
      <w:pPr>
        <w:ind w:left="567" w:hanging="567"/>
        <w:jc w:val="both"/>
        <w:rPr>
          <w:rFonts w:cs="Times New Roman"/>
        </w:rPr>
      </w:pPr>
      <w:r>
        <w:rPr>
          <w:rFonts w:cs="Times New Roman"/>
          <w:color w:val="000000"/>
        </w:rPr>
        <w:t xml:space="preserve">WRAP (2025) </w:t>
      </w:r>
      <w:r>
        <w:rPr>
          <w:rFonts w:cs="Times New Roman"/>
          <w:i/>
          <w:iCs/>
          <w:color w:val="000000"/>
        </w:rPr>
        <w:t>Understanding household food waste: UK Household Food Management Survey</w:t>
      </w:r>
      <w:r>
        <w:rPr>
          <w:rFonts w:cs="Times New Roman"/>
          <w:color w:val="000000"/>
        </w:rPr>
        <w:t>. WRAP research report. Available at: https://www.wrap.ngo/resource</w:t>
      </w:r>
      <w:r>
        <w:rPr>
          <w:rFonts w:cs="Times New Roman"/>
          <w:color w:val="000000"/>
        </w:rPr>
        <w:t>s/report/understanding-household-food-waste-uk-household-food-management-survey (Accessed: 2 August 2026).</w:t>
      </w:r>
      <w:r>
        <w:br w:type="page"/>
      </w:r>
    </w:p>
    <w:p w14:paraId="4CEC0A84" w14:textId="77777777" w:rsidR="00276E5D" w:rsidRDefault="008B4A12" w:rsidP="00E55CB9">
      <w:pPr>
        <w:pStyle w:val="Heading1"/>
      </w:pPr>
      <w:bookmarkStart w:id="30" w:name="_Toc237389019"/>
      <w:r>
        <w:lastRenderedPageBreak/>
        <w:t>Appendix</w:t>
      </w:r>
      <w:bookmarkEnd w:id="30"/>
    </w:p>
    <w:p w14:paraId="165C40CC" w14:textId="77777777" w:rsidR="00276E5D" w:rsidRDefault="008B4A12" w:rsidP="00E55CB9">
      <w:pPr>
        <w:pStyle w:val="Heading2"/>
      </w:pPr>
      <w:bookmarkStart w:id="31" w:name="_Toc237389020"/>
      <w:r>
        <w:t>Appendix A: Strategic assumptions and sensitivity register</w:t>
      </w:r>
      <w:bookmarkEnd w:id="31"/>
    </w:p>
    <w:p w14:paraId="6C2E9997" w14:textId="77777777" w:rsidR="00276E5D" w:rsidRPr="00E55CB9" w:rsidRDefault="008B4A12">
      <w:pPr>
        <w:spacing w:before="160"/>
      </w:pPr>
      <w:r w:rsidRPr="00E55CB9">
        <w:rPr>
          <w:b/>
          <w:color w:val="000000"/>
        </w:rPr>
        <w:t>Appendix Table A1: Assumptions requiring management validation</w:t>
      </w:r>
    </w:p>
    <w:tbl>
      <w:tblPr>
        <w:tblW w:w="0" w:type="auto"/>
        <w:jc w:val="center"/>
        <w:tblBorders>
          <w:top w:val="single" w:sz="4" w:space="0" w:color="A9B8B5"/>
          <w:left w:val="single" w:sz="4" w:space="0" w:color="A9B8B5"/>
          <w:bottom w:val="single" w:sz="4" w:space="0" w:color="A9B8B5"/>
          <w:right w:val="single" w:sz="4" w:space="0" w:color="A9B8B5"/>
          <w:insideH w:val="single" w:sz="4" w:space="0" w:color="A9B8B5"/>
          <w:insideV w:val="single" w:sz="4" w:space="0" w:color="A9B8B5"/>
        </w:tblBorders>
        <w:tblLook w:val="04A0" w:firstRow="1" w:lastRow="0" w:firstColumn="1" w:lastColumn="0" w:noHBand="0" w:noVBand="1"/>
      </w:tblPr>
      <w:tblGrid>
        <w:gridCol w:w="2030"/>
        <w:gridCol w:w="2394"/>
        <w:gridCol w:w="2198"/>
        <w:gridCol w:w="2394"/>
      </w:tblGrid>
      <w:tr w:rsidR="00276E5D" w14:paraId="166FE119" w14:textId="77777777">
        <w:trPr>
          <w:tblHeader/>
          <w:jc w:val="center"/>
        </w:trPr>
        <w:tc>
          <w:tcPr>
            <w:tcW w:w="2160" w:type="dxa"/>
            <w:shd w:val="clear" w:color="auto" w:fill="DDEBE9"/>
            <w:tcMar>
              <w:top w:w="70" w:type="dxa"/>
              <w:left w:w="80" w:type="dxa"/>
              <w:bottom w:w="70" w:type="dxa"/>
              <w:right w:w="80" w:type="dxa"/>
            </w:tcMar>
            <w:vAlign w:val="center"/>
          </w:tcPr>
          <w:p w14:paraId="52C71AA2" w14:textId="77777777" w:rsidR="00276E5D" w:rsidRDefault="008B4A12">
            <w:pPr>
              <w:spacing w:line="240" w:lineRule="auto"/>
            </w:pPr>
            <w:r>
              <w:rPr>
                <w:b/>
                <w:color w:val="183B59"/>
              </w:rPr>
              <w:t>Strategic assumpt</w:t>
            </w:r>
            <w:r>
              <w:rPr>
                <w:b/>
                <w:color w:val="183B59"/>
              </w:rPr>
              <w:t>ion</w:t>
            </w:r>
          </w:p>
        </w:tc>
        <w:tc>
          <w:tcPr>
            <w:tcW w:w="2592" w:type="dxa"/>
            <w:shd w:val="clear" w:color="auto" w:fill="DDEBE9"/>
            <w:tcMar>
              <w:top w:w="70" w:type="dxa"/>
              <w:left w:w="80" w:type="dxa"/>
              <w:bottom w:w="70" w:type="dxa"/>
              <w:right w:w="80" w:type="dxa"/>
            </w:tcMar>
            <w:vAlign w:val="center"/>
          </w:tcPr>
          <w:p w14:paraId="3B559E88" w14:textId="77777777" w:rsidR="00276E5D" w:rsidRDefault="008B4A12">
            <w:pPr>
              <w:spacing w:line="240" w:lineRule="auto"/>
            </w:pPr>
            <w:r>
              <w:rPr>
                <w:b/>
                <w:color w:val="183B59"/>
              </w:rPr>
              <w:t>Evidence basis</w:t>
            </w:r>
          </w:p>
        </w:tc>
        <w:tc>
          <w:tcPr>
            <w:tcW w:w="2304" w:type="dxa"/>
            <w:shd w:val="clear" w:color="auto" w:fill="DDEBE9"/>
            <w:tcMar>
              <w:top w:w="70" w:type="dxa"/>
              <w:left w:w="80" w:type="dxa"/>
              <w:bottom w:w="70" w:type="dxa"/>
              <w:right w:w="80" w:type="dxa"/>
            </w:tcMar>
            <w:vAlign w:val="center"/>
          </w:tcPr>
          <w:p w14:paraId="5EAF8D8A" w14:textId="77777777" w:rsidR="00276E5D" w:rsidRDefault="008B4A12">
            <w:pPr>
              <w:spacing w:line="240" w:lineRule="auto"/>
            </w:pPr>
            <w:r>
              <w:rPr>
                <w:b/>
                <w:color w:val="183B59"/>
              </w:rPr>
              <w:t>Risk if incorrect</w:t>
            </w:r>
          </w:p>
        </w:tc>
        <w:tc>
          <w:tcPr>
            <w:tcW w:w="2592" w:type="dxa"/>
            <w:shd w:val="clear" w:color="auto" w:fill="DDEBE9"/>
            <w:tcMar>
              <w:top w:w="70" w:type="dxa"/>
              <w:left w:w="80" w:type="dxa"/>
              <w:bottom w:w="70" w:type="dxa"/>
              <w:right w:w="80" w:type="dxa"/>
            </w:tcMar>
            <w:vAlign w:val="center"/>
          </w:tcPr>
          <w:p w14:paraId="0FD5C193" w14:textId="77777777" w:rsidR="00276E5D" w:rsidRDefault="008B4A12">
            <w:pPr>
              <w:spacing w:line="240" w:lineRule="auto"/>
            </w:pPr>
            <w:r>
              <w:rPr>
                <w:b/>
                <w:color w:val="183B59"/>
              </w:rPr>
              <w:t>Validation or decision rule</w:t>
            </w:r>
          </w:p>
        </w:tc>
      </w:tr>
      <w:tr w:rsidR="00276E5D" w14:paraId="6A8311AB" w14:textId="77777777">
        <w:trPr>
          <w:jc w:val="center"/>
        </w:trPr>
        <w:tc>
          <w:tcPr>
            <w:tcW w:w="2160" w:type="dxa"/>
            <w:tcMar>
              <w:top w:w="70" w:type="dxa"/>
              <w:left w:w="80" w:type="dxa"/>
              <w:bottom w:w="70" w:type="dxa"/>
              <w:right w:w="80" w:type="dxa"/>
            </w:tcMar>
            <w:vAlign w:val="center"/>
          </w:tcPr>
          <w:p w14:paraId="5D1B3480" w14:textId="77777777" w:rsidR="00276E5D" w:rsidRDefault="008B4A12">
            <w:pPr>
              <w:spacing w:line="240" w:lineRule="auto"/>
            </w:pPr>
            <w:r>
              <w:rPr>
                <w:color w:val="000000"/>
              </w:rPr>
              <w:t>Family value demand converts into repeat purchasing</w:t>
            </w:r>
          </w:p>
        </w:tc>
        <w:tc>
          <w:tcPr>
            <w:tcW w:w="2592" w:type="dxa"/>
            <w:tcMar>
              <w:top w:w="70" w:type="dxa"/>
              <w:left w:w="80" w:type="dxa"/>
              <w:bottom w:w="70" w:type="dxa"/>
              <w:right w:w="80" w:type="dxa"/>
            </w:tcMar>
            <w:vAlign w:val="center"/>
          </w:tcPr>
          <w:p w14:paraId="77BA0A15" w14:textId="77777777" w:rsidR="00276E5D" w:rsidRDefault="008B4A12">
            <w:pPr>
              <w:spacing w:line="240" w:lineRule="auto"/>
            </w:pPr>
            <w:r>
              <w:rPr>
                <w:color w:val="000000"/>
              </w:rPr>
              <w:t>M&amp;S reported value as the leading family criterion and growth in its value lines.</w:t>
            </w:r>
          </w:p>
        </w:tc>
        <w:tc>
          <w:tcPr>
            <w:tcW w:w="2304" w:type="dxa"/>
            <w:tcMar>
              <w:top w:w="70" w:type="dxa"/>
              <w:left w:w="80" w:type="dxa"/>
              <w:bottom w:w="70" w:type="dxa"/>
              <w:right w:w="80" w:type="dxa"/>
            </w:tcMar>
            <w:vAlign w:val="center"/>
          </w:tcPr>
          <w:p w14:paraId="3721C3F0" w14:textId="77777777" w:rsidR="00276E5D" w:rsidRDefault="008B4A12">
            <w:pPr>
              <w:spacing w:line="240" w:lineRule="auto"/>
            </w:pPr>
            <w:r>
              <w:rPr>
                <w:color w:val="000000"/>
              </w:rPr>
              <w:t xml:space="preserve">Demand may be promotion-led and fail to improve </w:t>
            </w:r>
            <w:r>
              <w:rPr>
                <w:color w:val="000000"/>
              </w:rPr>
              <w:t>margin-quality.</w:t>
            </w:r>
          </w:p>
        </w:tc>
        <w:tc>
          <w:tcPr>
            <w:tcW w:w="2592" w:type="dxa"/>
            <w:tcMar>
              <w:top w:w="70" w:type="dxa"/>
              <w:left w:w="80" w:type="dxa"/>
              <w:bottom w:w="70" w:type="dxa"/>
              <w:right w:w="80" w:type="dxa"/>
            </w:tcMar>
            <w:vAlign w:val="center"/>
          </w:tcPr>
          <w:p w14:paraId="25668EDA" w14:textId="77777777" w:rsidR="00276E5D" w:rsidRDefault="008B4A12">
            <w:pPr>
              <w:spacing w:line="240" w:lineRule="auto"/>
            </w:pPr>
            <w:r>
              <w:rPr>
                <w:color w:val="000000"/>
              </w:rPr>
              <w:t>Compare cohort frequency, basket contribution and retention before and after each pilot.</w:t>
            </w:r>
          </w:p>
        </w:tc>
      </w:tr>
      <w:tr w:rsidR="00276E5D" w14:paraId="0FC5ED09" w14:textId="77777777">
        <w:trPr>
          <w:jc w:val="center"/>
        </w:trPr>
        <w:tc>
          <w:tcPr>
            <w:tcW w:w="2160" w:type="dxa"/>
            <w:shd w:val="clear" w:color="auto" w:fill="F4F7F7"/>
            <w:tcMar>
              <w:top w:w="70" w:type="dxa"/>
              <w:left w:w="80" w:type="dxa"/>
              <w:bottom w:w="70" w:type="dxa"/>
              <w:right w:w="80" w:type="dxa"/>
            </w:tcMar>
            <w:vAlign w:val="center"/>
          </w:tcPr>
          <w:p w14:paraId="4149AA1B" w14:textId="77777777" w:rsidR="00276E5D" w:rsidRDefault="008B4A12">
            <w:pPr>
              <w:spacing w:line="240" w:lineRule="auto"/>
            </w:pPr>
            <w:r>
              <w:rPr>
                <w:color w:val="000000"/>
              </w:rPr>
              <w:t>Pack architecture can improve access without destroying contribution</w:t>
            </w:r>
          </w:p>
        </w:tc>
        <w:tc>
          <w:tcPr>
            <w:tcW w:w="2592" w:type="dxa"/>
            <w:shd w:val="clear" w:color="auto" w:fill="F4F7F7"/>
            <w:tcMar>
              <w:top w:w="70" w:type="dxa"/>
              <w:left w:w="80" w:type="dxa"/>
              <w:bottom w:w="70" w:type="dxa"/>
              <w:right w:w="80" w:type="dxa"/>
            </w:tcMar>
            <w:vAlign w:val="center"/>
          </w:tcPr>
          <w:p w14:paraId="420FB79C" w14:textId="77777777" w:rsidR="00276E5D" w:rsidRDefault="008B4A12">
            <w:pPr>
              <w:spacing w:line="240" w:lineRule="auto"/>
            </w:pPr>
            <w:r>
              <w:rPr>
                <w:color w:val="000000"/>
              </w:rPr>
              <w:t xml:space="preserve">Bigger Pack, Better Value recorded sales and volume growth; the body also tests </w:t>
            </w:r>
            <w:r>
              <w:rPr>
                <w:color w:val="000000"/>
              </w:rPr>
              <w:t>an illustrative 30% unit-contribution reduction.</w:t>
            </w:r>
          </w:p>
        </w:tc>
        <w:tc>
          <w:tcPr>
            <w:tcW w:w="2304" w:type="dxa"/>
            <w:shd w:val="clear" w:color="auto" w:fill="F4F7F7"/>
            <w:tcMar>
              <w:top w:w="70" w:type="dxa"/>
              <w:left w:w="80" w:type="dxa"/>
              <w:bottom w:w="70" w:type="dxa"/>
              <w:right w:w="80" w:type="dxa"/>
            </w:tcMar>
            <w:vAlign w:val="center"/>
          </w:tcPr>
          <w:p w14:paraId="7003A16D" w14:textId="77777777" w:rsidR="00276E5D" w:rsidRDefault="008B4A12">
            <w:pPr>
              <w:spacing w:line="240" w:lineRule="auto"/>
            </w:pPr>
            <w:r>
              <w:rPr>
                <w:color w:val="000000"/>
              </w:rPr>
              <w:t>A 30% unit-contribution reduction requires approximately 42.9% additional volume merely to preserve total contribution.</w:t>
            </w:r>
          </w:p>
        </w:tc>
        <w:tc>
          <w:tcPr>
            <w:tcW w:w="2592" w:type="dxa"/>
            <w:shd w:val="clear" w:color="auto" w:fill="F4F7F7"/>
            <w:tcMar>
              <w:top w:w="70" w:type="dxa"/>
              <w:left w:w="80" w:type="dxa"/>
              <w:bottom w:w="70" w:type="dxa"/>
              <w:right w:w="80" w:type="dxa"/>
            </w:tcMar>
            <w:vAlign w:val="center"/>
          </w:tcPr>
          <w:p w14:paraId="5654D6EC" w14:textId="77777777" w:rsidR="00276E5D" w:rsidRDefault="008B4A12">
            <w:pPr>
              <w:spacing w:line="240" w:lineRule="auto"/>
            </w:pPr>
            <w:r>
              <w:rPr>
                <w:color w:val="000000"/>
              </w:rPr>
              <w:t>Approve a pack only when volume, waste and availability collectively meet the contribut</w:t>
            </w:r>
            <w:r>
              <w:rPr>
                <w:color w:val="000000"/>
              </w:rPr>
              <w:t>ion gate.</w:t>
            </w:r>
          </w:p>
        </w:tc>
      </w:tr>
      <w:tr w:rsidR="00276E5D" w14:paraId="575876C2" w14:textId="77777777">
        <w:trPr>
          <w:jc w:val="center"/>
        </w:trPr>
        <w:tc>
          <w:tcPr>
            <w:tcW w:w="2160" w:type="dxa"/>
            <w:tcMar>
              <w:top w:w="70" w:type="dxa"/>
              <w:left w:w="80" w:type="dxa"/>
              <w:bottom w:w="70" w:type="dxa"/>
              <w:right w:w="80" w:type="dxa"/>
            </w:tcMar>
            <w:vAlign w:val="center"/>
          </w:tcPr>
          <w:p w14:paraId="372328D1" w14:textId="77777777" w:rsidR="00276E5D" w:rsidRDefault="008B4A12">
            <w:pPr>
              <w:spacing w:line="240" w:lineRule="auto"/>
            </w:pPr>
            <w:r>
              <w:rPr>
                <w:color w:val="000000"/>
              </w:rPr>
              <w:t>Store and range growth can maintain availability</w:t>
            </w:r>
          </w:p>
        </w:tc>
        <w:tc>
          <w:tcPr>
            <w:tcW w:w="2592" w:type="dxa"/>
            <w:tcMar>
              <w:top w:w="70" w:type="dxa"/>
              <w:left w:w="80" w:type="dxa"/>
              <w:bottom w:w="70" w:type="dxa"/>
              <w:right w:w="80" w:type="dxa"/>
            </w:tcMar>
            <w:vAlign w:val="center"/>
          </w:tcPr>
          <w:p w14:paraId="5AE1BCC1" w14:textId="77777777" w:rsidR="00276E5D" w:rsidRDefault="008B4A12">
            <w:pPr>
              <w:spacing w:line="240" w:lineRule="auto"/>
            </w:pPr>
            <w:r>
              <w:rPr>
                <w:color w:val="000000"/>
              </w:rPr>
              <w:t>The annual report supports growth investment, but also reports markdown and waste pressure.</w:t>
            </w:r>
          </w:p>
        </w:tc>
        <w:tc>
          <w:tcPr>
            <w:tcW w:w="2304" w:type="dxa"/>
            <w:tcMar>
              <w:top w:w="70" w:type="dxa"/>
              <w:left w:w="80" w:type="dxa"/>
              <w:bottom w:w="70" w:type="dxa"/>
              <w:right w:w="80" w:type="dxa"/>
            </w:tcMar>
            <w:vAlign w:val="center"/>
          </w:tcPr>
          <w:p w14:paraId="2113285C" w14:textId="77777777" w:rsidR="00276E5D" w:rsidRDefault="008B4A12">
            <w:pPr>
              <w:spacing w:line="240" w:lineRule="auto"/>
            </w:pPr>
            <w:r>
              <w:rPr>
                <w:color w:val="000000"/>
              </w:rPr>
              <w:t>Expansion can increase stock-outs, waste and cost-to-serve.</w:t>
            </w:r>
          </w:p>
        </w:tc>
        <w:tc>
          <w:tcPr>
            <w:tcW w:w="2592" w:type="dxa"/>
            <w:tcMar>
              <w:top w:w="70" w:type="dxa"/>
              <w:left w:w="80" w:type="dxa"/>
              <w:bottom w:w="70" w:type="dxa"/>
              <w:right w:w="80" w:type="dxa"/>
            </w:tcMar>
            <w:vAlign w:val="center"/>
          </w:tcPr>
          <w:p w14:paraId="770008A4" w14:textId="77777777" w:rsidR="00276E5D" w:rsidRDefault="008B4A12">
            <w:pPr>
              <w:spacing w:line="240" w:lineRule="auto"/>
            </w:pPr>
            <w:r>
              <w:rPr>
                <w:color w:val="000000"/>
              </w:rPr>
              <w:t xml:space="preserve">Release capital in stages and stop rollout </w:t>
            </w:r>
            <w:r>
              <w:rPr>
                <w:color w:val="000000"/>
              </w:rPr>
              <w:t>if availability, waste or payback thresholds are missed.</w:t>
            </w:r>
          </w:p>
        </w:tc>
      </w:tr>
      <w:tr w:rsidR="00276E5D" w14:paraId="2C59EA6E" w14:textId="77777777">
        <w:trPr>
          <w:jc w:val="center"/>
        </w:trPr>
        <w:tc>
          <w:tcPr>
            <w:tcW w:w="2160" w:type="dxa"/>
            <w:shd w:val="clear" w:color="auto" w:fill="F4F7F7"/>
            <w:tcMar>
              <w:top w:w="70" w:type="dxa"/>
              <w:left w:w="80" w:type="dxa"/>
              <w:bottom w:w="70" w:type="dxa"/>
              <w:right w:w="80" w:type="dxa"/>
            </w:tcMar>
            <w:vAlign w:val="center"/>
          </w:tcPr>
          <w:p w14:paraId="77D0E1FD" w14:textId="77777777" w:rsidR="00276E5D" w:rsidRDefault="008B4A12">
            <w:pPr>
              <w:spacing w:line="240" w:lineRule="auto"/>
            </w:pPr>
            <w:r>
              <w:rPr>
                <w:color w:val="000000"/>
              </w:rPr>
              <w:t>Trusted value will not dilute the quality halo</w:t>
            </w:r>
          </w:p>
        </w:tc>
        <w:tc>
          <w:tcPr>
            <w:tcW w:w="2592" w:type="dxa"/>
            <w:shd w:val="clear" w:color="auto" w:fill="F4F7F7"/>
            <w:tcMar>
              <w:top w:w="70" w:type="dxa"/>
              <w:left w:w="80" w:type="dxa"/>
              <w:bottom w:w="70" w:type="dxa"/>
              <w:right w:w="80" w:type="dxa"/>
            </w:tcMar>
            <w:vAlign w:val="center"/>
          </w:tcPr>
          <w:p w14:paraId="237AAE3C" w14:textId="77777777" w:rsidR="00276E5D" w:rsidRDefault="008B4A12">
            <w:pPr>
              <w:spacing w:line="240" w:lineRule="auto"/>
            </w:pPr>
            <w:r>
              <w:rPr>
                <w:color w:val="000000"/>
              </w:rPr>
              <w:t>Quality perception and own-brand innovation remain central resources.</w:t>
            </w:r>
          </w:p>
        </w:tc>
        <w:tc>
          <w:tcPr>
            <w:tcW w:w="2304" w:type="dxa"/>
            <w:shd w:val="clear" w:color="auto" w:fill="F4F7F7"/>
            <w:tcMar>
              <w:top w:w="70" w:type="dxa"/>
              <w:left w:w="80" w:type="dxa"/>
              <w:bottom w:w="70" w:type="dxa"/>
              <w:right w:w="80" w:type="dxa"/>
            </w:tcMar>
            <w:vAlign w:val="center"/>
          </w:tcPr>
          <w:p w14:paraId="347AE8EC" w14:textId="77777777" w:rsidR="00276E5D" w:rsidRDefault="008B4A12">
            <w:pPr>
              <w:spacing w:line="240" w:lineRule="auto"/>
            </w:pPr>
            <w:r>
              <w:rPr>
                <w:color w:val="000000"/>
              </w:rPr>
              <w:t>Blanket discounting or weaker specifications could reduce distinctiveness.</w:t>
            </w:r>
          </w:p>
        </w:tc>
        <w:tc>
          <w:tcPr>
            <w:tcW w:w="2592" w:type="dxa"/>
            <w:shd w:val="clear" w:color="auto" w:fill="F4F7F7"/>
            <w:tcMar>
              <w:top w:w="70" w:type="dxa"/>
              <w:left w:w="80" w:type="dxa"/>
              <w:bottom w:w="70" w:type="dxa"/>
              <w:right w:w="80" w:type="dxa"/>
            </w:tcMar>
            <w:vAlign w:val="center"/>
          </w:tcPr>
          <w:p w14:paraId="6A467741" w14:textId="77777777" w:rsidR="00276E5D" w:rsidRDefault="008B4A12">
            <w:pPr>
              <w:spacing w:line="240" w:lineRule="auto"/>
            </w:pPr>
            <w:r>
              <w:rPr>
                <w:color w:val="000000"/>
              </w:rPr>
              <w:t xml:space="preserve">Track </w:t>
            </w:r>
            <w:r>
              <w:rPr>
                <w:color w:val="000000"/>
              </w:rPr>
              <w:t>quality perception, complaints, repeat purchase and supplier-standard exceptions together.</w:t>
            </w:r>
          </w:p>
        </w:tc>
      </w:tr>
      <w:tr w:rsidR="00276E5D" w14:paraId="61BC9C74" w14:textId="77777777">
        <w:trPr>
          <w:jc w:val="center"/>
        </w:trPr>
        <w:tc>
          <w:tcPr>
            <w:tcW w:w="2160" w:type="dxa"/>
            <w:tcMar>
              <w:top w:w="70" w:type="dxa"/>
              <w:left w:w="80" w:type="dxa"/>
              <w:bottom w:w="70" w:type="dxa"/>
              <w:right w:w="80" w:type="dxa"/>
            </w:tcMar>
            <w:vAlign w:val="center"/>
          </w:tcPr>
          <w:p w14:paraId="1083546E" w14:textId="77777777" w:rsidR="00276E5D" w:rsidRDefault="008B4A12">
            <w:pPr>
              <w:spacing w:line="240" w:lineRule="auto"/>
            </w:pPr>
            <w:r>
              <w:rPr>
                <w:color w:val="000000"/>
              </w:rPr>
              <w:t>Supplier and packaging changes can support scale</w:t>
            </w:r>
          </w:p>
        </w:tc>
        <w:tc>
          <w:tcPr>
            <w:tcW w:w="2592" w:type="dxa"/>
            <w:tcMar>
              <w:top w:w="70" w:type="dxa"/>
              <w:left w:w="80" w:type="dxa"/>
              <w:bottom w:w="70" w:type="dxa"/>
              <w:right w:w="80" w:type="dxa"/>
            </w:tcMar>
            <w:vAlign w:val="center"/>
          </w:tcPr>
          <w:p w14:paraId="194ACAF8" w14:textId="77777777" w:rsidR="00276E5D" w:rsidRDefault="008B4A12">
            <w:pPr>
              <w:spacing w:line="240" w:lineRule="auto"/>
            </w:pPr>
            <w:r>
              <w:rPr>
                <w:color w:val="000000"/>
              </w:rPr>
              <w:t>EPR, resilience and supplier-code evidence create both cost and legitimacy pressures.</w:t>
            </w:r>
          </w:p>
        </w:tc>
        <w:tc>
          <w:tcPr>
            <w:tcW w:w="2304" w:type="dxa"/>
            <w:tcMar>
              <w:top w:w="70" w:type="dxa"/>
              <w:left w:w="80" w:type="dxa"/>
              <w:bottom w:w="70" w:type="dxa"/>
              <w:right w:w="80" w:type="dxa"/>
            </w:tcMar>
            <w:vAlign w:val="center"/>
          </w:tcPr>
          <w:p w14:paraId="655938C0" w14:textId="77777777" w:rsidR="00276E5D" w:rsidRDefault="008B4A12">
            <w:pPr>
              <w:spacing w:line="240" w:lineRule="auto"/>
            </w:pPr>
            <w:r>
              <w:rPr>
                <w:color w:val="000000"/>
              </w:rPr>
              <w:t xml:space="preserve">Short-term savings may </w:t>
            </w:r>
            <w:r>
              <w:rPr>
                <w:color w:val="000000"/>
              </w:rPr>
              <w:t>transfer risk to suppliers or increase disruption.</w:t>
            </w:r>
          </w:p>
        </w:tc>
        <w:tc>
          <w:tcPr>
            <w:tcW w:w="2592" w:type="dxa"/>
            <w:tcMar>
              <w:top w:w="70" w:type="dxa"/>
              <w:left w:w="80" w:type="dxa"/>
              <w:bottom w:w="70" w:type="dxa"/>
              <w:right w:w="80" w:type="dxa"/>
            </w:tcMar>
            <w:vAlign w:val="center"/>
          </w:tcPr>
          <w:p w14:paraId="2AE3017B" w14:textId="77777777" w:rsidR="00276E5D" w:rsidRDefault="008B4A12">
            <w:pPr>
              <w:spacing w:line="240" w:lineRule="auto"/>
            </w:pPr>
            <w:r>
              <w:rPr>
                <w:color w:val="000000"/>
              </w:rPr>
              <w:t>Use supplier, packaging, resilience and financial measures in the same board review.</w:t>
            </w:r>
          </w:p>
        </w:tc>
      </w:tr>
    </w:tbl>
    <w:p w14:paraId="1BCB0701" w14:textId="77777777" w:rsidR="00D00D1F" w:rsidRDefault="00D00D1F"/>
    <w:sectPr w:rsidR="00D00D1F" w:rsidSect="00FF2157">
      <w:footerReference w:type="even" r:id="rId28"/>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74E9DD" w14:textId="77777777" w:rsidR="008B4A12" w:rsidRDefault="008B4A12" w:rsidP="00FF2157">
      <w:pPr>
        <w:spacing w:line="240" w:lineRule="auto"/>
      </w:pPr>
      <w:r>
        <w:separator/>
      </w:r>
    </w:p>
  </w:endnote>
  <w:endnote w:type="continuationSeparator" w:id="0">
    <w:p w14:paraId="7E4EAC63" w14:textId="77777777" w:rsidR="008B4A12" w:rsidRDefault="008B4A12" w:rsidP="00FF21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1056063"/>
      <w:docPartObj>
        <w:docPartGallery w:val="Page Numbers (Bottom of Page)"/>
        <w:docPartUnique/>
      </w:docPartObj>
    </w:sdtPr>
    <w:sdtEndPr>
      <w:rPr>
        <w:rStyle w:val="PageNumber"/>
      </w:rPr>
    </w:sdtEndPr>
    <w:sdtContent>
      <w:p w14:paraId="685EBCEB" w14:textId="4AB0D391" w:rsidR="00E55CB9" w:rsidRDefault="00E55CB9" w:rsidP="007C34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4BA0A5" w14:textId="77777777" w:rsidR="00E55CB9" w:rsidRDefault="00E55CB9" w:rsidP="00E55CB9">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72002052"/>
      <w:docPartObj>
        <w:docPartGallery w:val="Page Numbers (Bottom of Page)"/>
        <w:docPartUnique/>
      </w:docPartObj>
    </w:sdtPr>
    <w:sdtEndPr>
      <w:rPr>
        <w:rStyle w:val="PageNumber"/>
      </w:rPr>
    </w:sdtEndPr>
    <w:sdtContent>
      <w:p w14:paraId="42EE7752" w14:textId="1EB28F81" w:rsidR="00E55CB9" w:rsidRDefault="00E55CB9" w:rsidP="007C34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C3191">
          <w:rPr>
            <w:rStyle w:val="PageNumber"/>
            <w:noProof/>
          </w:rPr>
          <w:t>21</w:t>
        </w:r>
        <w:r>
          <w:rPr>
            <w:rStyle w:val="PageNumber"/>
          </w:rPr>
          <w:fldChar w:fldCharType="end"/>
        </w:r>
      </w:p>
    </w:sdtContent>
  </w:sdt>
  <w:p w14:paraId="3DF3897E" w14:textId="77777777" w:rsidR="00E55CB9" w:rsidRDefault="00E55CB9" w:rsidP="00E55CB9">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308A62" w14:textId="77777777" w:rsidR="008B4A12" w:rsidRDefault="008B4A12" w:rsidP="00FF2157">
      <w:pPr>
        <w:spacing w:line="240" w:lineRule="auto"/>
      </w:pPr>
      <w:r>
        <w:separator/>
      </w:r>
    </w:p>
  </w:footnote>
  <w:footnote w:type="continuationSeparator" w:id="0">
    <w:p w14:paraId="722AD771" w14:textId="77777777" w:rsidR="008B4A12" w:rsidRDefault="008B4A12" w:rsidP="00FF21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76C39"/>
    <w:multiLevelType w:val="multilevel"/>
    <w:tmpl w:val="0E22AE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8F74E8A"/>
    <w:multiLevelType w:val="hybridMultilevel"/>
    <w:tmpl w:val="0C162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30E7"/>
    <w:rsid w:val="00027DE6"/>
    <w:rsid w:val="00043B72"/>
    <w:rsid w:val="00053DCA"/>
    <w:rsid w:val="00072ADF"/>
    <w:rsid w:val="000D1BA6"/>
    <w:rsid w:val="000D7BCC"/>
    <w:rsid w:val="00115BF0"/>
    <w:rsid w:val="0018285E"/>
    <w:rsid w:val="001C1DD8"/>
    <w:rsid w:val="001F163C"/>
    <w:rsid w:val="00233A0C"/>
    <w:rsid w:val="00276E5D"/>
    <w:rsid w:val="002D4596"/>
    <w:rsid w:val="002E6CF6"/>
    <w:rsid w:val="003418EC"/>
    <w:rsid w:val="00402BCB"/>
    <w:rsid w:val="00540E24"/>
    <w:rsid w:val="00550511"/>
    <w:rsid w:val="00564947"/>
    <w:rsid w:val="005723F9"/>
    <w:rsid w:val="005D6477"/>
    <w:rsid w:val="00627CC8"/>
    <w:rsid w:val="006314A4"/>
    <w:rsid w:val="006A3CEB"/>
    <w:rsid w:val="006B409C"/>
    <w:rsid w:val="006C3191"/>
    <w:rsid w:val="0074029F"/>
    <w:rsid w:val="00740C4A"/>
    <w:rsid w:val="007971D2"/>
    <w:rsid w:val="0087167B"/>
    <w:rsid w:val="008B4A12"/>
    <w:rsid w:val="008F03FD"/>
    <w:rsid w:val="009C063A"/>
    <w:rsid w:val="009D6F1A"/>
    <w:rsid w:val="00AA4B41"/>
    <w:rsid w:val="00AB2484"/>
    <w:rsid w:val="00AC58C4"/>
    <w:rsid w:val="00AE40F4"/>
    <w:rsid w:val="00B901A0"/>
    <w:rsid w:val="00C20108"/>
    <w:rsid w:val="00C20D07"/>
    <w:rsid w:val="00C42FEF"/>
    <w:rsid w:val="00CA1F74"/>
    <w:rsid w:val="00CB30E7"/>
    <w:rsid w:val="00CC6CB2"/>
    <w:rsid w:val="00D00D1F"/>
    <w:rsid w:val="00D05E6B"/>
    <w:rsid w:val="00D07D25"/>
    <w:rsid w:val="00D26ED7"/>
    <w:rsid w:val="00D354B2"/>
    <w:rsid w:val="00D62C51"/>
    <w:rsid w:val="00D85508"/>
    <w:rsid w:val="00DA2E85"/>
    <w:rsid w:val="00DB439F"/>
    <w:rsid w:val="00E55CB9"/>
    <w:rsid w:val="00E80B98"/>
    <w:rsid w:val="00ED0492"/>
    <w:rsid w:val="00EE46B6"/>
    <w:rsid w:val="00F17846"/>
    <w:rsid w:val="00FF215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E2A9"/>
  <w15:chartTrackingRefBased/>
  <w15:docId w15:val="{A5B4B84C-7CE2-40A2-9A9D-40579353A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03FD"/>
    <w:pPr>
      <w:spacing w:after="0" w:line="360" w:lineRule="auto"/>
    </w:pPr>
    <w:rPr>
      <w:rFonts w:ascii="Times New Roman" w:eastAsia="Times New Roman" w:hAnsi="Times New Roman"/>
    </w:rPr>
  </w:style>
  <w:style w:type="paragraph" w:styleId="Heading1">
    <w:name w:val="heading 1"/>
    <w:basedOn w:val="Normal"/>
    <w:next w:val="Normal"/>
    <w:link w:val="Heading1Char"/>
    <w:uiPriority w:val="9"/>
    <w:qFormat/>
    <w:rsid w:val="00E55CB9"/>
    <w:pPr>
      <w:spacing w:before="160"/>
      <w:outlineLvl w:val="0"/>
    </w:pPr>
    <w:rPr>
      <w:rFonts w:cs="Times New Roman"/>
      <w:b/>
      <w:color w:val="183B59"/>
      <w:sz w:val="32"/>
      <w:szCs w:val="40"/>
    </w:rPr>
  </w:style>
  <w:style w:type="paragraph" w:styleId="Heading2">
    <w:name w:val="heading 2"/>
    <w:basedOn w:val="Normal"/>
    <w:next w:val="Normal"/>
    <w:link w:val="Heading2Char"/>
    <w:uiPriority w:val="9"/>
    <w:unhideWhenUsed/>
    <w:qFormat/>
    <w:rsid w:val="00E55CB9"/>
    <w:pPr>
      <w:spacing w:before="160"/>
      <w:outlineLvl w:val="1"/>
    </w:pPr>
    <w:rPr>
      <w:rFonts w:cs="Times New Roman"/>
      <w:b/>
      <w:color w:val="183B59"/>
      <w:sz w:val="28"/>
      <w:szCs w:val="32"/>
    </w:rPr>
  </w:style>
  <w:style w:type="paragraph" w:styleId="Heading3">
    <w:name w:val="heading 3"/>
    <w:basedOn w:val="Normal"/>
    <w:next w:val="Normal"/>
    <w:link w:val="Heading3Char"/>
    <w:uiPriority w:val="9"/>
    <w:unhideWhenUsed/>
    <w:qFormat/>
    <w:rsid w:val="00E55CB9"/>
    <w:pPr>
      <w:spacing w:before="160"/>
      <w:outlineLvl w:val="2"/>
    </w:pPr>
    <w:rPr>
      <w:rFonts w:cstheme="majorBidi"/>
      <w:b/>
      <w:color w:val="183B59"/>
      <w:szCs w:val="28"/>
    </w:rPr>
  </w:style>
  <w:style w:type="paragraph" w:styleId="Heading4">
    <w:name w:val="heading 4"/>
    <w:basedOn w:val="Normal"/>
    <w:next w:val="Normal"/>
    <w:link w:val="Heading4Char"/>
    <w:uiPriority w:val="9"/>
    <w:semiHidden/>
    <w:unhideWhenUsed/>
    <w:qFormat/>
    <w:rsid w:val="00CB30E7"/>
    <w:p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0E7"/>
    <w:p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0E7"/>
    <w:p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0E7"/>
    <w:p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0E7"/>
    <w:p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0E7"/>
    <w:p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CB9"/>
    <w:rPr>
      <w:rFonts w:ascii="Times New Roman" w:eastAsia="Times New Roman" w:hAnsi="Times New Roman" w:cs="Times New Roman"/>
      <w:b/>
      <w:color w:val="183B59"/>
      <w:sz w:val="32"/>
      <w:szCs w:val="40"/>
    </w:rPr>
  </w:style>
  <w:style w:type="character" w:customStyle="1" w:styleId="Heading2Char">
    <w:name w:val="Heading 2 Char"/>
    <w:basedOn w:val="DefaultParagraphFont"/>
    <w:link w:val="Heading2"/>
    <w:uiPriority w:val="9"/>
    <w:rsid w:val="00E55CB9"/>
    <w:rPr>
      <w:rFonts w:ascii="Times New Roman" w:eastAsia="Times New Roman" w:hAnsi="Times New Roman" w:cs="Times New Roman"/>
      <w:b/>
      <w:color w:val="183B59"/>
      <w:sz w:val="28"/>
      <w:szCs w:val="32"/>
    </w:rPr>
  </w:style>
  <w:style w:type="character" w:customStyle="1" w:styleId="Heading3Char">
    <w:name w:val="Heading 3 Char"/>
    <w:basedOn w:val="DefaultParagraphFont"/>
    <w:link w:val="Heading3"/>
    <w:uiPriority w:val="9"/>
    <w:rsid w:val="00E55CB9"/>
    <w:rPr>
      <w:rFonts w:ascii="Times New Roman" w:eastAsia="Times New Roman" w:hAnsi="Times New Roman" w:cstheme="majorBidi"/>
      <w:b/>
      <w:color w:val="183B59"/>
      <w:szCs w:val="28"/>
    </w:rPr>
  </w:style>
  <w:style w:type="character" w:customStyle="1" w:styleId="Heading4Char">
    <w:name w:val="Heading 4 Char"/>
    <w:basedOn w:val="DefaultParagraphFont"/>
    <w:link w:val="Heading4"/>
    <w:uiPriority w:val="9"/>
    <w:semiHidden/>
    <w:rsid w:val="00CB30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0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0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0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0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0E7"/>
    <w:rPr>
      <w:rFonts w:eastAsiaTheme="majorEastAsia" w:cstheme="majorBidi"/>
      <w:color w:val="272727" w:themeColor="text1" w:themeTint="D8"/>
    </w:rPr>
  </w:style>
  <w:style w:type="paragraph" w:styleId="Title">
    <w:name w:val="Title"/>
    <w:basedOn w:val="Normal"/>
    <w:next w:val="Normal"/>
    <w:link w:val="TitleChar"/>
    <w:uiPriority w:val="10"/>
    <w:qFormat/>
    <w:rsid w:val="00CB30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0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0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0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0E7"/>
    <w:pPr>
      <w:spacing w:before="160"/>
      <w:jc w:val="center"/>
    </w:pPr>
    <w:rPr>
      <w:i/>
      <w:iCs/>
      <w:color w:val="404040" w:themeColor="text1" w:themeTint="BF"/>
    </w:rPr>
  </w:style>
  <w:style w:type="character" w:customStyle="1" w:styleId="QuoteChar">
    <w:name w:val="Quote Char"/>
    <w:basedOn w:val="DefaultParagraphFont"/>
    <w:link w:val="Quote"/>
    <w:uiPriority w:val="29"/>
    <w:rsid w:val="00CB30E7"/>
    <w:rPr>
      <w:i/>
      <w:iCs/>
      <w:color w:val="404040" w:themeColor="text1" w:themeTint="BF"/>
    </w:rPr>
  </w:style>
  <w:style w:type="paragraph" w:styleId="ListParagraph">
    <w:name w:val="List Paragraph"/>
    <w:basedOn w:val="Normal"/>
    <w:link w:val="ListParagraphChar"/>
    <w:uiPriority w:val="1"/>
    <w:qFormat/>
    <w:rsid w:val="00CB30E7"/>
    <w:pPr>
      <w:ind w:left="720"/>
      <w:contextualSpacing/>
    </w:pPr>
  </w:style>
  <w:style w:type="character" w:styleId="IntenseEmphasis">
    <w:name w:val="Intense Emphasis"/>
    <w:basedOn w:val="DefaultParagraphFont"/>
    <w:uiPriority w:val="21"/>
    <w:qFormat/>
    <w:rsid w:val="00CB30E7"/>
    <w:rPr>
      <w:i/>
      <w:iCs/>
      <w:color w:val="0F4761" w:themeColor="accent1" w:themeShade="BF"/>
    </w:rPr>
  </w:style>
  <w:style w:type="paragraph" w:styleId="IntenseQuote">
    <w:name w:val="Intense Quote"/>
    <w:basedOn w:val="Normal"/>
    <w:next w:val="Normal"/>
    <w:link w:val="IntenseQuoteChar"/>
    <w:uiPriority w:val="30"/>
    <w:qFormat/>
    <w:rsid w:val="00CB30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0E7"/>
    <w:rPr>
      <w:i/>
      <w:iCs/>
      <w:color w:val="0F4761" w:themeColor="accent1" w:themeShade="BF"/>
    </w:rPr>
  </w:style>
  <w:style w:type="character" w:styleId="IntenseReference">
    <w:name w:val="Intense Reference"/>
    <w:basedOn w:val="DefaultParagraphFont"/>
    <w:uiPriority w:val="32"/>
    <w:qFormat/>
    <w:rsid w:val="00CB30E7"/>
    <w:rPr>
      <w:b/>
      <w:bCs/>
      <w:smallCaps/>
      <w:color w:val="0F4761" w:themeColor="accent1" w:themeShade="BF"/>
      <w:spacing w:val="5"/>
    </w:rPr>
  </w:style>
  <w:style w:type="character" w:customStyle="1" w:styleId="ListParagraphChar">
    <w:name w:val="List Paragraph Char"/>
    <w:basedOn w:val="DefaultParagraphFont"/>
    <w:link w:val="ListParagraph"/>
    <w:uiPriority w:val="1"/>
    <w:qFormat/>
    <w:locked/>
    <w:rsid w:val="00740C4A"/>
  </w:style>
  <w:style w:type="paragraph" w:styleId="Header">
    <w:name w:val="header"/>
    <w:basedOn w:val="Normal"/>
    <w:link w:val="HeaderChar"/>
    <w:uiPriority w:val="99"/>
    <w:unhideWhenUsed/>
    <w:rsid w:val="00FF2157"/>
    <w:pPr>
      <w:tabs>
        <w:tab w:val="center" w:pos="4513"/>
        <w:tab w:val="right" w:pos="9026"/>
      </w:tabs>
      <w:spacing w:line="240" w:lineRule="auto"/>
    </w:pPr>
  </w:style>
  <w:style w:type="character" w:customStyle="1" w:styleId="HeaderChar">
    <w:name w:val="Header Char"/>
    <w:basedOn w:val="DefaultParagraphFont"/>
    <w:link w:val="Header"/>
    <w:uiPriority w:val="99"/>
    <w:rsid w:val="00FF2157"/>
  </w:style>
  <w:style w:type="paragraph" w:styleId="Footer">
    <w:name w:val="footer"/>
    <w:basedOn w:val="Normal"/>
    <w:link w:val="FooterChar"/>
    <w:uiPriority w:val="99"/>
    <w:unhideWhenUsed/>
    <w:rsid w:val="00FF2157"/>
    <w:pPr>
      <w:tabs>
        <w:tab w:val="center" w:pos="4513"/>
        <w:tab w:val="right" w:pos="9026"/>
      </w:tabs>
      <w:spacing w:line="240" w:lineRule="auto"/>
    </w:pPr>
  </w:style>
  <w:style w:type="character" w:customStyle="1" w:styleId="FooterChar">
    <w:name w:val="Footer Char"/>
    <w:basedOn w:val="DefaultParagraphFont"/>
    <w:link w:val="Footer"/>
    <w:uiPriority w:val="99"/>
    <w:rsid w:val="00FF2157"/>
  </w:style>
  <w:style w:type="table" w:styleId="TableGrid">
    <w:name w:val="Table Grid"/>
    <w:basedOn w:val="TableNormal"/>
    <w:uiPriority w:val="39"/>
    <w:rsid w:val="009D6F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rontHeading">
    <w:name w:val="Front Heading"/>
    <w:rPr>
      <w:rFonts w:ascii="Times New Roman" w:eastAsia="Times New Roman" w:hAnsi="Times New Roman"/>
      <w:color w:val="183B59"/>
      <w:sz w:val="40"/>
    </w:rPr>
  </w:style>
  <w:style w:type="paragraph" w:customStyle="1" w:styleId="TOCTitle">
    <w:name w:val="TOC Title"/>
    <w:rPr>
      <w:rFonts w:ascii="Times New Roman" w:eastAsia="Times New Roman" w:hAnsi="Times New Roman"/>
      <w:b/>
      <w:color w:val="183B59"/>
      <w:sz w:val="32"/>
    </w:rPr>
  </w:style>
  <w:style w:type="table" w:customStyle="1" w:styleId="3">
    <w:name w:val="3"/>
    <w:tblPr>
      <w:tblStyleRowBandSize w:val="1"/>
      <w:tblStyleColBandSize w:val="1"/>
      <w:tblCellMar>
        <w:top w:w="0" w:type="dxa"/>
        <w:left w:w="115" w:type="dxa"/>
        <w:bottom w:w="0" w:type="dxa"/>
        <w:right w:w="115" w:type="dxa"/>
      </w:tblCellMar>
    </w:tblPr>
  </w:style>
  <w:style w:type="table" w:customStyle="1" w:styleId="2">
    <w:name w:val="2"/>
    <w:tblPr>
      <w:tblStyleRowBandSize w:val="1"/>
      <w:tblStyleColBandSize w:val="1"/>
      <w:tblCellMar>
        <w:top w:w="0" w:type="dxa"/>
        <w:left w:w="115" w:type="dxa"/>
        <w:bottom w:w="0" w:type="dxa"/>
        <w:right w:w="115" w:type="dxa"/>
      </w:tblCellMar>
    </w:tblPr>
  </w:style>
  <w:style w:type="table" w:customStyle="1" w:styleId="1">
    <w:name w:val="1"/>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C20D07"/>
    <w:pPr>
      <w:spacing w:after="100"/>
    </w:pPr>
  </w:style>
  <w:style w:type="paragraph" w:styleId="TOC2">
    <w:name w:val="toc 2"/>
    <w:basedOn w:val="Normal"/>
    <w:next w:val="Normal"/>
    <w:autoRedefine/>
    <w:uiPriority w:val="39"/>
    <w:unhideWhenUsed/>
    <w:rsid w:val="00C20D07"/>
    <w:pPr>
      <w:spacing w:after="100"/>
      <w:ind w:left="240"/>
    </w:pPr>
  </w:style>
  <w:style w:type="paragraph" w:styleId="TOC3">
    <w:name w:val="toc 3"/>
    <w:basedOn w:val="Normal"/>
    <w:next w:val="Normal"/>
    <w:autoRedefine/>
    <w:uiPriority w:val="39"/>
    <w:unhideWhenUsed/>
    <w:rsid w:val="00C20D07"/>
    <w:pPr>
      <w:spacing w:after="100"/>
      <w:ind w:left="480"/>
    </w:pPr>
  </w:style>
  <w:style w:type="character" w:styleId="Hyperlink">
    <w:name w:val="Hyperlink"/>
    <w:basedOn w:val="DefaultParagraphFont"/>
    <w:uiPriority w:val="99"/>
    <w:unhideWhenUsed/>
    <w:rsid w:val="00C20D07"/>
    <w:rPr>
      <w:color w:val="467886" w:themeColor="hyperlink"/>
      <w:u w:val="single"/>
    </w:rPr>
  </w:style>
  <w:style w:type="character" w:styleId="PageNumber">
    <w:name w:val="page number"/>
    <w:basedOn w:val="DefaultParagraphFont"/>
    <w:uiPriority w:val="99"/>
    <w:semiHidden/>
    <w:unhideWhenUsed/>
    <w:rsid w:val="00E55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9.emf"/><Relationship Id="rId26" Type="http://schemas.openxmlformats.org/officeDocument/2006/relationships/image" Target="media/image13.emf"/><Relationship Id="rId3" Type="http://schemas.openxmlformats.org/officeDocument/2006/relationships/settings" Target="settings.xml"/><Relationship Id="rId21" Type="http://schemas.openxmlformats.org/officeDocument/2006/relationships/package" Target="embeddings/Microsoft_Word_Document4.docx"/><Relationship Id="rId7" Type="http://schemas.openxmlformats.org/officeDocument/2006/relationships/image" Target="media/image1.png"/><Relationship Id="rId12" Type="http://schemas.openxmlformats.org/officeDocument/2006/relationships/package" Target="embeddings/Microsoft_Word_Document.docx"/><Relationship Id="rId17" Type="http://schemas.openxmlformats.org/officeDocument/2006/relationships/package" Target="embeddings/Microsoft_Word_Document2.docx"/><Relationship Id="rId25" Type="http://schemas.openxmlformats.org/officeDocument/2006/relationships/package" Target="embeddings/Microsoft_Word_Document6.docx"/><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image" Target="media/image10.emf"/><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2.emf"/><Relationship Id="rId5" Type="http://schemas.openxmlformats.org/officeDocument/2006/relationships/footnotes" Target="footnotes.xml"/><Relationship Id="rId15" Type="http://schemas.openxmlformats.org/officeDocument/2006/relationships/package" Target="embeddings/Microsoft_Word_Document1.docx"/><Relationship Id="rId23" Type="http://schemas.openxmlformats.org/officeDocument/2006/relationships/package" Target="embeddings/Microsoft_Word_Document5.docx"/><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package" Target="embeddings/Microsoft_Word_Document3.docx"/><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emf"/><Relationship Id="rId22" Type="http://schemas.openxmlformats.org/officeDocument/2006/relationships/image" Target="media/image11.emf"/><Relationship Id="rId27" Type="http://schemas.openxmlformats.org/officeDocument/2006/relationships/package" Target="embeddings/Microsoft_Word_Document7.docx"/><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37</Pages>
  <Words>8496</Words>
  <Characters>48431</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LCMB7003 Strategic Management Report</vt:lpstr>
    </vt:vector>
  </TitlesOfParts>
  <Company/>
  <LinksUpToDate>false</LinksUpToDate>
  <CharactersWithSpaces>56814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LCMB7003 Strategic Management Report</dc:title>
  <dc:subject>Accessible differentiation in Marks &amp; Spencer UK Food</dc:subject>
  <dc:creator>Md Rakibul Islam Raj</dc:creator>
  <cp:keywords/>
  <dc:description/>
  <cp:lastModifiedBy>Rakib</cp:lastModifiedBy>
  <cp:revision>2</cp:revision>
  <dcterms:created xsi:type="dcterms:W3CDTF">2026-08-12T01:31:00Z</dcterms:created>
  <dcterms:modified xsi:type="dcterms:W3CDTF">2026-08-12T01:31:00Z</dcterms:modified>
</cp:coreProperties>
</file>