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8FB05" w14:textId="567FCEF8" w:rsidR="00D54BB3" w:rsidRPr="007968CB" w:rsidRDefault="00FF6138">
      <w:pPr>
        <w:rPr>
          <w:rFonts w:ascii="Arial" w:hAnsi="Arial" w:cs="Arial"/>
          <w:sz w:val="24"/>
          <w:szCs w:val="24"/>
        </w:rPr>
      </w:pPr>
      <w:r w:rsidRPr="007968CB">
        <w:rPr>
          <w:rFonts w:ascii="Arial" w:hAnsi="Arial" w:cs="Arial"/>
          <w:sz w:val="24"/>
          <w:szCs w:val="24"/>
        </w:rPr>
        <w:t xml:space="preserve">The expectations surrounding women’s social and gender norms can be recognised as a vital part of society that is ever changing. Over the years the expectations of women have agreeably eased with time, allowing women to scrap old norms and live life outside of the kitchen. </w:t>
      </w:r>
      <w:r w:rsidR="00EA6BE6" w:rsidRPr="007968CB">
        <w:rPr>
          <w:rFonts w:ascii="Arial" w:hAnsi="Arial" w:cs="Arial"/>
          <w:sz w:val="24"/>
          <w:szCs w:val="24"/>
        </w:rPr>
        <w:t>Women’s new norms perhaps began to ease with abilities such as the power to</w:t>
      </w:r>
      <w:r w:rsidRPr="007968CB">
        <w:rPr>
          <w:rFonts w:ascii="Arial" w:hAnsi="Arial" w:cs="Arial"/>
          <w:sz w:val="24"/>
          <w:szCs w:val="24"/>
        </w:rPr>
        <w:t xml:space="preserve"> obtain a career, attend schooling, </w:t>
      </w:r>
      <w:r w:rsidR="00EA6BE6" w:rsidRPr="007968CB">
        <w:rPr>
          <w:rFonts w:ascii="Arial" w:hAnsi="Arial" w:cs="Arial"/>
          <w:sz w:val="24"/>
          <w:szCs w:val="24"/>
        </w:rPr>
        <w:t>vote,</w:t>
      </w:r>
      <w:r w:rsidRPr="007968CB">
        <w:rPr>
          <w:rFonts w:ascii="Arial" w:hAnsi="Arial" w:cs="Arial"/>
          <w:sz w:val="24"/>
          <w:szCs w:val="24"/>
        </w:rPr>
        <w:t xml:space="preserve"> and even </w:t>
      </w:r>
      <w:r w:rsidR="00EA6BE6" w:rsidRPr="007968CB">
        <w:rPr>
          <w:rFonts w:ascii="Arial" w:hAnsi="Arial" w:cs="Arial"/>
          <w:sz w:val="24"/>
          <w:szCs w:val="24"/>
        </w:rPr>
        <w:t xml:space="preserve">wear trousers, but they did not stop there. Although the expectations surrounding women have reduced with time women’s social and gender norms remain highly recognised despite the fact that gender roles are perceived as largely </w:t>
      </w:r>
      <w:proofErr w:type="gramStart"/>
      <w:r w:rsidR="00EA6BE6" w:rsidRPr="007968CB">
        <w:rPr>
          <w:rFonts w:ascii="Arial" w:hAnsi="Arial" w:cs="Arial"/>
          <w:sz w:val="24"/>
          <w:szCs w:val="24"/>
        </w:rPr>
        <w:t>out dated</w:t>
      </w:r>
      <w:proofErr w:type="gramEnd"/>
      <w:r w:rsidR="00EA6BE6" w:rsidRPr="007968CB">
        <w:rPr>
          <w:rFonts w:ascii="Arial" w:hAnsi="Arial" w:cs="Arial"/>
          <w:sz w:val="24"/>
          <w:szCs w:val="24"/>
        </w:rPr>
        <w:t>, especially within the 21</w:t>
      </w:r>
      <w:r w:rsidR="00EA6BE6" w:rsidRPr="007968CB">
        <w:rPr>
          <w:rFonts w:ascii="Arial" w:hAnsi="Arial" w:cs="Arial"/>
          <w:sz w:val="24"/>
          <w:szCs w:val="24"/>
          <w:vertAlign w:val="superscript"/>
        </w:rPr>
        <w:t>st</w:t>
      </w:r>
      <w:r w:rsidR="00EA6BE6" w:rsidRPr="007968CB">
        <w:rPr>
          <w:rFonts w:ascii="Arial" w:hAnsi="Arial" w:cs="Arial"/>
          <w:sz w:val="24"/>
          <w:szCs w:val="24"/>
        </w:rPr>
        <w:t xml:space="preserve"> century, Ornella (2020b). </w:t>
      </w:r>
      <w:r w:rsidR="00EC11BF" w:rsidRPr="007968CB">
        <w:rPr>
          <w:rFonts w:ascii="Arial" w:hAnsi="Arial" w:cs="Arial"/>
          <w:sz w:val="24"/>
          <w:szCs w:val="24"/>
        </w:rPr>
        <w:t>A</w:t>
      </w:r>
      <w:r w:rsidR="00F14D85" w:rsidRPr="007968CB">
        <w:rPr>
          <w:rFonts w:ascii="Arial" w:hAnsi="Arial" w:cs="Arial"/>
          <w:sz w:val="24"/>
          <w:szCs w:val="24"/>
        </w:rPr>
        <w:t xml:space="preserve">lthough social standards for women are drastically eased, </w:t>
      </w:r>
      <w:r w:rsidR="00EA6BE6" w:rsidRPr="007968CB">
        <w:rPr>
          <w:rFonts w:ascii="Arial" w:hAnsi="Arial" w:cs="Arial"/>
          <w:sz w:val="24"/>
          <w:szCs w:val="24"/>
        </w:rPr>
        <w:t xml:space="preserve">the most </w:t>
      </w:r>
      <w:r w:rsidR="00F14D85" w:rsidRPr="007968CB">
        <w:rPr>
          <w:rFonts w:ascii="Arial" w:hAnsi="Arial" w:cs="Arial"/>
          <w:sz w:val="24"/>
          <w:szCs w:val="24"/>
        </w:rPr>
        <w:t xml:space="preserve">recognised deviance within expectations that surround women is that of women as offenders. However, offending women are immoderately under </w:t>
      </w:r>
      <w:r w:rsidR="00EC11BF" w:rsidRPr="007968CB">
        <w:rPr>
          <w:rFonts w:ascii="Arial" w:hAnsi="Arial" w:cs="Arial"/>
          <w:sz w:val="24"/>
          <w:szCs w:val="24"/>
        </w:rPr>
        <w:t>researched,</w:t>
      </w:r>
      <w:r w:rsidR="00F14D85" w:rsidRPr="007968CB">
        <w:rPr>
          <w:rFonts w:ascii="Arial" w:hAnsi="Arial" w:cs="Arial"/>
          <w:sz w:val="24"/>
          <w:szCs w:val="24"/>
        </w:rPr>
        <w:t xml:space="preserve"> and the portrayal of society is in fact a lot more underdeveloped than expected</w:t>
      </w:r>
      <w:r w:rsidR="00EC11BF" w:rsidRPr="007968CB">
        <w:rPr>
          <w:rFonts w:ascii="Arial" w:hAnsi="Arial" w:cs="Arial"/>
          <w:sz w:val="24"/>
          <w:szCs w:val="24"/>
        </w:rPr>
        <w:t xml:space="preserve"> in theory, </w:t>
      </w:r>
      <w:proofErr w:type="gramStart"/>
      <w:r w:rsidR="00EC11BF" w:rsidRPr="007968CB">
        <w:rPr>
          <w:rFonts w:ascii="Arial" w:hAnsi="Arial" w:cs="Arial"/>
          <w:sz w:val="24"/>
          <w:szCs w:val="24"/>
        </w:rPr>
        <w:t>Fitz-Gibbon</w:t>
      </w:r>
      <w:proofErr w:type="gramEnd"/>
      <w:r w:rsidR="00EC11BF" w:rsidRPr="007968CB">
        <w:rPr>
          <w:rFonts w:ascii="Arial" w:hAnsi="Arial" w:cs="Arial"/>
          <w:sz w:val="24"/>
          <w:szCs w:val="24"/>
        </w:rPr>
        <w:t xml:space="preserve"> (2018). Feeley et al (1991) highlights how demonised women offenders are</w:t>
      </w:r>
      <w:r w:rsidR="00C73E7B" w:rsidRPr="007968CB">
        <w:rPr>
          <w:rFonts w:ascii="Arial" w:hAnsi="Arial" w:cs="Arial"/>
          <w:sz w:val="24"/>
          <w:szCs w:val="24"/>
        </w:rPr>
        <w:t xml:space="preserve"> due to the societal opinion that women who do offend must not be normal, but must be sick or ill</w:t>
      </w:r>
      <w:r w:rsidR="00EC11BF" w:rsidRPr="007968CB">
        <w:rPr>
          <w:rFonts w:ascii="Arial" w:hAnsi="Arial" w:cs="Arial"/>
          <w:sz w:val="24"/>
          <w:szCs w:val="24"/>
        </w:rPr>
        <w:t xml:space="preserve">, and </w:t>
      </w:r>
      <w:r w:rsidR="00C73E7B" w:rsidRPr="007968CB">
        <w:rPr>
          <w:rFonts w:ascii="Arial" w:hAnsi="Arial" w:cs="Arial"/>
          <w:sz w:val="24"/>
          <w:szCs w:val="24"/>
        </w:rPr>
        <w:t xml:space="preserve">presents the distinctly female offences that were once used on offending women such as witchcraft. Within current times, women offenders are prosecuted by </w:t>
      </w:r>
      <w:r w:rsidR="008760CE" w:rsidRPr="007968CB">
        <w:rPr>
          <w:rFonts w:ascii="Arial" w:hAnsi="Arial" w:cs="Arial"/>
          <w:sz w:val="24"/>
          <w:szCs w:val="24"/>
        </w:rPr>
        <w:t xml:space="preserve">the courts </w:t>
      </w:r>
      <w:r w:rsidR="00C73E7B" w:rsidRPr="007968CB">
        <w:rPr>
          <w:rFonts w:ascii="Arial" w:hAnsi="Arial" w:cs="Arial"/>
          <w:sz w:val="24"/>
          <w:szCs w:val="24"/>
        </w:rPr>
        <w:t>with double deviance</w:t>
      </w:r>
      <w:r w:rsidR="008760CE" w:rsidRPr="007968CB">
        <w:rPr>
          <w:rFonts w:ascii="Arial" w:hAnsi="Arial" w:cs="Arial"/>
          <w:sz w:val="24"/>
          <w:szCs w:val="24"/>
        </w:rPr>
        <w:t xml:space="preserve"> due to societal gender norms. </w:t>
      </w:r>
    </w:p>
    <w:p w14:paraId="3C151988" w14:textId="1FE85247" w:rsidR="00AD2791" w:rsidRPr="007968CB" w:rsidRDefault="00D46175">
      <w:pPr>
        <w:rPr>
          <w:rFonts w:ascii="Arial" w:hAnsi="Arial" w:cs="Arial"/>
          <w:sz w:val="24"/>
          <w:szCs w:val="24"/>
        </w:rPr>
      </w:pPr>
      <w:r w:rsidRPr="007968CB">
        <w:rPr>
          <w:rFonts w:ascii="Arial" w:hAnsi="Arial" w:cs="Arial"/>
          <w:sz w:val="24"/>
          <w:szCs w:val="24"/>
        </w:rPr>
        <w:t xml:space="preserve">Double deviance was first introduced in 1968 by </w:t>
      </w:r>
      <w:r w:rsidR="00533B3E" w:rsidRPr="007968CB">
        <w:rPr>
          <w:rFonts w:ascii="Arial" w:hAnsi="Arial" w:cs="Arial"/>
          <w:sz w:val="24"/>
          <w:szCs w:val="24"/>
        </w:rPr>
        <w:t>feminist sociologist Frances Heidensohn</w:t>
      </w:r>
      <w:r w:rsidR="000D6FB8" w:rsidRPr="007968CB">
        <w:rPr>
          <w:rFonts w:ascii="Arial" w:hAnsi="Arial" w:cs="Arial"/>
          <w:sz w:val="24"/>
          <w:szCs w:val="24"/>
        </w:rPr>
        <w:t>. The theory of double deviance is the punishment that of women who offend are punished for not only committing a crime but also for braking societies norms of the ways in which a woman should behave, Ornella (2020a).</w:t>
      </w:r>
      <w:r w:rsidR="005C2C48" w:rsidRPr="007968CB">
        <w:rPr>
          <w:rFonts w:ascii="Arial" w:hAnsi="Arial" w:cs="Arial"/>
          <w:sz w:val="24"/>
          <w:szCs w:val="24"/>
        </w:rPr>
        <w:t xml:space="preserve"> The debates on gender and punishment have traditionally been divided between two polarized standpoints: </w:t>
      </w:r>
      <w:r w:rsidR="00BD087C" w:rsidRPr="007968CB">
        <w:rPr>
          <w:rFonts w:ascii="Arial" w:hAnsi="Arial" w:cs="Arial"/>
          <w:sz w:val="24"/>
          <w:szCs w:val="24"/>
        </w:rPr>
        <w:t xml:space="preserve">those who argue that women receive a more severe treatment because they have been considered as </w:t>
      </w:r>
      <w:r w:rsidR="00662BFF" w:rsidRPr="007968CB">
        <w:rPr>
          <w:rFonts w:ascii="Arial" w:hAnsi="Arial" w:cs="Arial"/>
          <w:sz w:val="24"/>
          <w:szCs w:val="24"/>
        </w:rPr>
        <w:t>‘doubly deviant’, the term for violating not only the law but convent</w:t>
      </w:r>
      <w:r w:rsidR="006A08AA" w:rsidRPr="007968CB">
        <w:rPr>
          <w:rFonts w:ascii="Arial" w:hAnsi="Arial" w:cs="Arial"/>
          <w:sz w:val="24"/>
          <w:szCs w:val="24"/>
        </w:rPr>
        <w:t>ional social norms associated with womanhood, in a system more likely dominated by men</w:t>
      </w:r>
      <w:r w:rsidR="001964B2" w:rsidRPr="007968CB">
        <w:rPr>
          <w:rFonts w:ascii="Arial" w:hAnsi="Arial" w:cs="Arial"/>
          <w:sz w:val="24"/>
          <w:szCs w:val="24"/>
        </w:rPr>
        <w:t xml:space="preserve"> and those arguing for greater leniency </w:t>
      </w:r>
      <w:r w:rsidR="00876683" w:rsidRPr="007968CB">
        <w:rPr>
          <w:rFonts w:ascii="Arial" w:hAnsi="Arial" w:cs="Arial"/>
          <w:sz w:val="24"/>
          <w:szCs w:val="24"/>
        </w:rPr>
        <w:t>for women, sometimes refer to as ‘chivalry’</w:t>
      </w:r>
      <w:r w:rsidR="00747B72" w:rsidRPr="007968CB">
        <w:rPr>
          <w:rFonts w:ascii="Arial" w:hAnsi="Arial" w:cs="Arial"/>
          <w:sz w:val="24"/>
          <w:szCs w:val="24"/>
        </w:rPr>
        <w:t xml:space="preserve">, </w:t>
      </w:r>
      <w:proofErr w:type="spellStart"/>
      <w:r w:rsidR="00747B72" w:rsidRPr="007968CB">
        <w:rPr>
          <w:rFonts w:ascii="Arial" w:hAnsi="Arial" w:cs="Arial"/>
          <w:sz w:val="24"/>
          <w:szCs w:val="24"/>
        </w:rPr>
        <w:t>Lightowlers</w:t>
      </w:r>
      <w:proofErr w:type="spellEnd"/>
      <w:r w:rsidR="00747B72" w:rsidRPr="007968CB">
        <w:rPr>
          <w:rFonts w:ascii="Arial" w:hAnsi="Arial" w:cs="Arial"/>
          <w:sz w:val="24"/>
          <w:szCs w:val="24"/>
        </w:rPr>
        <w:t xml:space="preserve"> (2018).</w:t>
      </w:r>
      <w:r w:rsidR="00876683" w:rsidRPr="007968CB">
        <w:rPr>
          <w:rFonts w:ascii="Arial" w:hAnsi="Arial" w:cs="Arial"/>
          <w:sz w:val="24"/>
          <w:szCs w:val="24"/>
        </w:rPr>
        <w:t xml:space="preserve"> </w:t>
      </w:r>
      <w:r w:rsidR="00075B0A" w:rsidRPr="007968CB">
        <w:rPr>
          <w:rFonts w:ascii="Arial" w:hAnsi="Arial" w:cs="Arial"/>
          <w:sz w:val="24"/>
          <w:szCs w:val="24"/>
        </w:rPr>
        <w:t>The concept of selective chivalry is based on the stereotype of females. Consequently, women are held less accountable for their actions because they are perceived as more fragile, polite, and gracious. Paternalism has modified this concept, leading to selective chivalry, whereby white women and people with wealthy backgrounds are given leniency</w:t>
      </w:r>
      <w:r w:rsidR="00D71115" w:rsidRPr="007968CB">
        <w:rPr>
          <w:rFonts w:ascii="Arial" w:hAnsi="Arial" w:cs="Arial"/>
          <w:sz w:val="24"/>
          <w:szCs w:val="24"/>
        </w:rPr>
        <w:t>, Malon</w:t>
      </w:r>
      <w:r w:rsidR="00DE167D" w:rsidRPr="007968CB">
        <w:rPr>
          <w:rFonts w:ascii="Arial" w:hAnsi="Arial" w:cs="Arial"/>
          <w:sz w:val="24"/>
          <w:szCs w:val="24"/>
        </w:rPr>
        <w:t xml:space="preserve"> (</w:t>
      </w:r>
      <w:r w:rsidR="00D71115" w:rsidRPr="007968CB">
        <w:rPr>
          <w:rFonts w:ascii="Arial" w:hAnsi="Arial" w:cs="Arial"/>
          <w:sz w:val="24"/>
          <w:szCs w:val="24"/>
        </w:rPr>
        <w:t xml:space="preserve">2020). </w:t>
      </w:r>
    </w:p>
    <w:p w14:paraId="69367007" w14:textId="1171EB24" w:rsidR="008760CE" w:rsidRPr="007968CB" w:rsidRDefault="00825173">
      <w:pPr>
        <w:rPr>
          <w:rFonts w:ascii="Arial" w:hAnsi="Arial" w:cs="Arial"/>
          <w:sz w:val="24"/>
          <w:szCs w:val="24"/>
        </w:rPr>
      </w:pPr>
      <w:r w:rsidRPr="007968CB">
        <w:rPr>
          <w:rFonts w:ascii="Arial" w:hAnsi="Arial" w:cs="Arial"/>
          <w:sz w:val="24"/>
          <w:szCs w:val="24"/>
        </w:rPr>
        <w:t>In terms of double deviance</w:t>
      </w:r>
      <w:r w:rsidR="00E471B4" w:rsidRPr="007968CB">
        <w:rPr>
          <w:rFonts w:ascii="Arial" w:hAnsi="Arial" w:cs="Arial"/>
          <w:sz w:val="24"/>
          <w:szCs w:val="24"/>
        </w:rPr>
        <w:t>, specifically the development from historical to contemporary</w:t>
      </w:r>
      <w:r w:rsidR="00ED1011" w:rsidRPr="007968CB">
        <w:rPr>
          <w:rFonts w:ascii="Arial" w:hAnsi="Arial" w:cs="Arial"/>
          <w:sz w:val="24"/>
          <w:szCs w:val="24"/>
        </w:rPr>
        <w:t xml:space="preserve"> </w:t>
      </w:r>
      <w:r w:rsidR="009E5473" w:rsidRPr="007968CB">
        <w:rPr>
          <w:rFonts w:ascii="Arial" w:hAnsi="Arial" w:cs="Arial"/>
          <w:sz w:val="24"/>
          <w:szCs w:val="24"/>
        </w:rPr>
        <w:t>t</w:t>
      </w:r>
      <w:r w:rsidR="00ED1011" w:rsidRPr="007968CB">
        <w:rPr>
          <w:rFonts w:ascii="Arial" w:hAnsi="Arial" w:cs="Arial"/>
          <w:sz w:val="24"/>
          <w:szCs w:val="24"/>
        </w:rPr>
        <w:t xml:space="preserve">he social and gender norms expected by women of the 21st century, presented by Dan (2016), implies that women have gained a powerful voice within society as they are finally recognised as the equal to men, rather than the other. The source goes on to evaluate the power which women have been granted has provided opportunities for women, such as the possibility to become a leader, as well as the right to independence and a rightful, ambitious mindset to understanding self-worth. Although women have gained their deserved </w:t>
      </w:r>
      <w:proofErr w:type="gramStart"/>
      <w:r w:rsidR="00ED1011" w:rsidRPr="007968CB">
        <w:rPr>
          <w:rFonts w:ascii="Arial" w:hAnsi="Arial" w:cs="Arial"/>
          <w:sz w:val="24"/>
          <w:szCs w:val="24"/>
        </w:rPr>
        <w:t>rights</w:t>
      </w:r>
      <w:proofErr w:type="gramEnd"/>
      <w:r w:rsidR="00ED1011" w:rsidRPr="007968CB">
        <w:rPr>
          <w:rFonts w:ascii="Arial" w:hAnsi="Arial" w:cs="Arial"/>
          <w:sz w:val="24"/>
          <w:szCs w:val="24"/>
        </w:rPr>
        <w:t xml:space="preserve"> they are still troubled by the never ending gender and society norms that they are expected to obey. As presented by Deeba (2023) the gender and society norms women are expected to obtain are quite far fetch, specifically </w:t>
      </w:r>
      <w:proofErr w:type="gramStart"/>
      <w:r w:rsidR="00ED1011" w:rsidRPr="007968CB">
        <w:rPr>
          <w:rFonts w:ascii="Arial" w:hAnsi="Arial" w:cs="Arial"/>
          <w:sz w:val="24"/>
          <w:szCs w:val="24"/>
        </w:rPr>
        <w:t>in regard to</w:t>
      </w:r>
      <w:proofErr w:type="gramEnd"/>
      <w:r w:rsidR="00ED1011" w:rsidRPr="007968CB">
        <w:rPr>
          <w:rFonts w:ascii="Arial" w:hAnsi="Arial" w:cs="Arial"/>
          <w:sz w:val="24"/>
          <w:szCs w:val="24"/>
        </w:rPr>
        <w:t xml:space="preserve"> women who are married. It is stated that married women are shamelessly queried on their marital status due to the lack of upholding certain societal norms such as a obtaining a certain every day, </w:t>
      </w:r>
      <w:r w:rsidR="00ED1011" w:rsidRPr="007968CB">
        <w:rPr>
          <w:rFonts w:ascii="Arial" w:hAnsi="Arial" w:cs="Arial"/>
          <w:sz w:val="24"/>
          <w:szCs w:val="24"/>
        </w:rPr>
        <w:lastRenderedPageBreak/>
        <w:t>marital dress code, or even how a women should carry herself as a wife through day-to-day life. These expectations are however not limited to married women but extend to all women regardless of their relationship status or age. Expectations surrounding women stretch to cover personality traits and behaviours such as the worldwide opinion that women should be maternal (Lindberg (2020), as well as nurturing, loving, caring, law abiding, loyal and obedient which are, when cast aside by women, perceived as unacceptable, especially law breaking.</w:t>
      </w:r>
    </w:p>
    <w:p w14:paraId="45A177A5" w14:textId="0EBA1852" w:rsidR="00D1675E" w:rsidRPr="007968CB" w:rsidRDefault="007236EC">
      <w:pPr>
        <w:rPr>
          <w:rFonts w:ascii="Arial" w:hAnsi="Arial" w:cs="Arial"/>
          <w:sz w:val="24"/>
          <w:szCs w:val="24"/>
        </w:rPr>
      </w:pPr>
      <w:r w:rsidRPr="007968CB">
        <w:rPr>
          <w:rFonts w:ascii="Arial" w:hAnsi="Arial" w:cs="Arial"/>
          <w:sz w:val="24"/>
          <w:szCs w:val="24"/>
        </w:rPr>
        <w:t>Although societal gender norms have lessened</w:t>
      </w:r>
      <w:r w:rsidR="00334CF4" w:rsidRPr="007968CB">
        <w:rPr>
          <w:rFonts w:ascii="Arial" w:hAnsi="Arial" w:cs="Arial"/>
          <w:sz w:val="24"/>
          <w:szCs w:val="24"/>
        </w:rPr>
        <w:t xml:space="preserve"> with time </w:t>
      </w:r>
      <w:r w:rsidR="00497D46" w:rsidRPr="007968CB">
        <w:rPr>
          <w:rFonts w:ascii="Arial" w:hAnsi="Arial" w:cs="Arial"/>
          <w:sz w:val="24"/>
          <w:szCs w:val="24"/>
        </w:rPr>
        <w:t>societal issues of diversity still posses an effect on women’s experience of crime.</w:t>
      </w:r>
      <w:r w:rsidR="00F13A21" w:rsidRPr="007968CB">
        <w:rPr>
          <w:rFonts w:ascii="Arial" w:hAnsi="Arial" w:cs="Arial"/>
          <w:sz w:val="24"/>
          <w:szCs w:val="24"/>
        </w:rPr>
        <w:t xml:space="preserve"> The effects diversity has on women’s experience of crime is largely related to the </w:t>
      </w:r>
      <w:r w:rsidR="0059744A" w:rsidRPr="007968CB">
        <w:rPr>
          <w:rFonts w:ascii="Arial" w:hAnsi="Arial" w:cs="Arial"/>
          <w:sz w:val="24"/>
          <w:szCs w:val="24"/>
        </w:rPr>
        <w:t xml:space="preserve">diversity between women who offend and men who offend. </w:t>
      </w:r>
      <w:r w:rsidR="00C813C8" w:rsidRPr="007968CB">
        <w:rPr>
          <w:rFonts w:ascii="Arial" w:hAnsi="Arial" w:cs="Arial"/>
          <w:sz w:val="24"/>
          <w:szCs w:val="24"/>
        </w:rPr>
        <w:t xml:space="preserve">An example of the diversity between male and female offenders </w:t>
      </w:r>
      <w:r w:rsidR="00A74A3F" w:rsidRPr="007968CB">
        <w:rPr>
          <w:rFonts w:ascii="Arial" w:hAnsi="Arial" w:cs="Arial"/>
          <w:sz w:val="24"/>
          <w:szCs w:val="24"/>
        </w:rPr>
        <w:t xml:space="preserve">is the </w:t>
      </w:r>
      <w:proofErr w:type="gramStart"/>
      <w:r w:rsidR="00A74A3F" w:rsidRPr="007968CB">
        <w:rPr>
          <w:rFonts w:ascii="Arial" w:hAnsi="Arial" w:cs="Arial"/>
          <w:sz w:val="24"/>
          <w:szCs w:val="24"/>
        </w:rPr>
        <w:t>on going</w:t>
      </w:r>
      <w:proofErr w:type="gramEnd"/>
      <w:r w:rsidR="00A74A3F" w:rsidRPr="007968CB">
        <w:rPr>
          <w:rFonts w:ascii="Arial" w:hAnsi="Arial" w:cs="Arial"/>
          <w:sz w:val="24"/>
          <w:szCs w:val="24"/>
        </w:rPr>
        <w:t xml:space="preserve"> case of murderer Lucy Letby. According to (Halliday, 2022)</w:t>
      </w:r>
      <w:r w:rsidR="007178C3" w:rsidRPr="007968CB">
        <w:rPr>
          <w:rFonts w:ascii="Arial" w:hAnsi="Arial" w:cs="Arial"/>
          <w:sz w:val="24"/>
          <w:szCs w:val="24"/>
        </w:rPr>
        <w:t xml:space="preserve"> Lucy Letby </w:t>
      </w:r>
      <w:r w:rsidR="0078572C" w:rsidRPr="007968CB">
        <w:rPr>
          <w:rFonts w:ascii="Arial" w:hAnsi="Arial" w:cs="Arial"/>
          <w:sz w:val="24"/>
          <w:szCs w:val="24"/>
        </w:rPr>
        <w:t xml:space="preserve">who has murdered seven </w:t>
      </w:r>
      <w:r w:rsidR="00FB2220" w:rsidRPr="007968CB">
        <w:rPr>
          <w:rFonts w:ascii="Arial" w:hAnsi="Arial" w:cs="Arial"/>
          <w:sz w:val="24"/>
          <w:szCs w:val="24"/>
        </w:rPr>
        <w:t xml:space="preserve">infants and attempted to murder six others whilst </w:t>
      </w:r>
      <w:r w:rsidR="00D1675E" w:rsidRPr="007968CB">
        <w:rPr>
          <w:rFonts w:ascii="Arial" w:hAnsi="Arial" w:cs="Arial"/>
          <w:sz w:val="24"/>
          <w:szCs w:val="24"/>
        </w:rPr>
        <w:t>working as a neonatal nurse at Countess of Chester Hospital</w:t>
      </w:r>
      <w:r w:rsidR="00C740C6" w:rsidRPr="007968CB">
        <w:rPr>
          <w:rFonts w:ascii="Arial" w:hAnsi="Arial" w:cs="Arial"/>
          <w:sz w:val="24"/>
          <w:szCs w:val="24"/>
        </w:rPr>
        <w:t xml:space="preserve"> between 2015 to 2016</w:t>
      </w:r>
      <w:r w:rsidR="00316B88" w:rsidRPr="007968CB">
        <w:rPr>
          <w:rFonts w:ascii="Arial" w:hAnsi="Arial" w:cs="Arial"/>
          <w:sz w:val="24"/>
          <w:szCs w:val="24"/>
        </w:rPr>
        <w:t xml:space="preserve">, has now joined Myra Hindley on the United Kingdoms list of worst child serial killers. </w:t>
      </w:r>
      <w:r w:rsidR="00240187" w:rsidRPr="007968CB">
        <w:rPr>
          <w:rFonts w:ascii="Arial" w:hAnsi="Arial" w:cs="Arial"/>
          <w:sz w:val="24"/>
          <w:szCs w:val="24"/>
        </w:rPr>
        <w:t xml:space="preserve">Lucy Letby’s crime have </w:t>
      </w:r>
      <w:r w:rsidR="008A7845" w:rsidRPr="007968CB">
        <w:rPr>
          <w:rFonts w:ascii="Arial" w:hAnsi="Arial" w:cs="Arial"/>
          <w:sz w:val="24"/>
          <w:szCs w:val="24"/>
        </w:rPr>
        <w:t>led</w:t>
      </w:r>
      <w:r w:rsidR="00240187" w:rsidRPr="007968CB">
        <w:rPr>
          <w:rFonts w:ascii="Arial" w:hAnsi="Arial" w:cs="Arial"/>
          <w:sz w:val="24"/>
          <w:szCs w:val="24"/>
        </w:rPr>
        <w:t xml:space="preserve"> her to be </w:t>
      </w:r>
      <w:r w:rsidR="00065960" w:rsidRPr="007968CB">
        <w:rPr>
          <w:rFonts w:ascii="Arial" w:hAnsi="Arial" w:cs="Arial"/>
          <w:sz w:val="24"/>
          <w:szCs w:val="24"/>
        </w:rPr>
        <w:t>stated to be mentally ill and unstable</w:t>
      </w:r>
      <w:r w:rsidR="008A7845" w:rsidRPr="007968CB">
        <w:rPr>
          <w:rFonts w:ascii="Arial" w:hAnsi="Arial" w:cs="Arial"/>
          <w:sz w:val="24"/>
          <w:szCs w:val="24"/>
        </w:rPr>
        <w:t xml:space="preserve"> by such articles stating her crimes have been committed due to </w:t>
      </w:r>
      <w:r w:rsidR="00042B20" w:rsidRPr="007968CB">
        <w:rPr>
          <w:rFonts w:ascii="Arial" w:hAnsi="Arial" w:cs="Arial"/>
          <w:sz w:val="24"/>
          <w:szCs w:val="24"/>
        </w:rPr>
        <w:t>Letby’s own fear that she would never have children of her own</w:t>
      </w:r>
      <w:r w:rsidR="008079F3" w:rsidRPr="007968CB">
        <w:rPr>
          <w:rFonts w:ascii="Arial" w:hAnsi="Arial" w:cs="Arial"/>
          <w:sz w:val="24"/>
          <w:szCs w:val="24"/>
        </w:rPr>
        <w:t xml:space="preserve">, Sawer and Bolton (2023). This statement has gone on to be questioned to be the reason </w:t>
      </w:r>
      <w:r w:rsidR="00BB1AF7" w:rsidRPr="007968CB">
        <w:rPr>
          <w:rFonts w:ascii="Arial" w:hAnsi="Arial" w:cs="Arial"/>
          <w:sz w:val="24"/>
          <w:szCs w:val="24"/>
        </w:rPr>
        <w:t>behind the</w:t>
      </w:r>
      <w:r w:rsidR="008079F3" w:rsidRPr="007968CB">
        <w:rPr>
          <w:rFonts w:ascii="Arial" w:hAnsi="Arial" w:cs="Arial"/>
          <w:sz w:val="24"/>
          <w:szCs w:val="24"/>
        </w:rPr>
        <w:t xml:space="preserve"> </w:t>
      </w:r>
      <w:proofErr w:type="gramStart"/>
      <w:r w:rsidR="008079F3" w:rsidRPr="007968CB">
        <w:rPr>
          <w:rFonts w:ascii="Arial" w:hAnsi="Arial" w:cs="Arial"/>
          <w:sz w:val="24"/>
          <w:szCs w:val="24"/>
        </w:rPr>
        <w:t>nurses</w:t>
      </w:r>
      <w:proofErr w:type="gramEnd"/>
      <w:r w:rsidR="008079F3" w:rsidRPr="007968CB">
        <w:rPr>
          <w:rFonts w:ascii="Arial" w:hAnsi="Arial" w:cs="Arial"/>
          <w:sz w:val="24"/>
          <w:szCs w:val="24"/>
        </w:rPr>
        <w:t xml:space="preserve"> killings</w:t>
      </w:r>
      <w:r w:rsidR="00BB1AF7" w:rsidRPr="007968CB">
        <w:rPr>
          <w:rFonts w:ascii="Arial" w:hAnsi="Arial" w:cs="Arial"/>
          <w:sz w:val="24"/>
          <w:szCs w:val="24"/>
        </w:rPr>
        <w:t xml:space="preserve"> of infants, however it is</w:t>
      </w:r>
      <w:r w:rsidR="00F86D9B" w:rsidRPr="007968CB">
        <w:rPr>
          <w:rFonts w:ascii="Arial" w:hAnsi="Arial" w:cs="Arial"/>
          <w:sz w:val="24"/>
          <w:szCs w:val="24"/>
        </w:rPr>
        <w:t xml:space="preserve"> difficult not to query whether this would </w:t>
      </w:r>
      <w:r w:rsidR="00385166" w:rsidRPr="007968CB">
        <w:rPr>
          <w:rFonts w:ascii="Arial" w:hAnsi="Arial" w:cs="Arial"/>
          <w:sz w:val="24"/>
          <w:szCs w:val="24"/>
        </w:rPr>
        <w:t xml:space="preserve">in fact be the </w:t>
      </w:r>
      <w:r w:rsidR="00F86D9B" w:rsidRPr="007968CB">
        <w:rPr>
          <w:rFonts w:ascii="Arial" w:hAnsi="Arial" w:cs="Arial"/>
          <w:sz w:val="24"/>
          <w:szCs w:val="24"/>
        </w:rPr>
        <w:t>questioned</w:t>
      </w:r>
      <w:r w:rsidR="00385166" w:rsidRPr="007968CB">
        <w:rPr>
          <w:rFonts w:ascii="Arial" w:hAnsi="Arial" w:cs="Arial"/>
          <w:sz w:val="24"/>
          <w:szCs w:val="24"/>
        </w:rPr>
        <w:t xml:space="preserve"> reason</w:t>
      </w:r>
      <w:r w:rsidR="00F86D9B" w:rsidRPr="007968CB">
        <w:rPr>
          <w:rFonts w:ascii="Arial" w:hAnsi="Arial" w:cs="Arial"/>
          <w:sz w:val="24"/>
          <w:szCs w:val="24"/>
        </w:rPr>
        <w:t xml:space="preserve"> if Letby was of the opposite sex</w:t>
      </w:r>
      <w:r w:rsidR="00F2278E" w:rsidRPr="007968CB">
        <w:rPr>
          <w:rFonts w:ascii="Arial" w:hAnsi="Arial" w:cs="Arial"/>
          <w:sz w:val="24"/>
          <w:szCs w:val="24"/>
        </w:rPr>
        <w:t xml:space="preserve">, therefore perhaps making Letby subject to double deviance. </w:t>
      </w:r>
    </w:p>
    <w:p w14:paraId="42746264" w14:textId="2AD569B6" w:rsidR="00AB2190" w:rsidRPr="007968CB" w:rsidRDefault="009D3AB0">
      <w:pPr>
        <w:rPr>
          <w:rFonts w:ascii="Arial" w:hAnsi="Arial" w:cs="Arial"/>
          <w:sz w:val="24"/>
          <w:szCs w:val="24"/>
        </w:rPr>
      </w:pPr>
      <w:r w:rsidRPr="007968CB">
        <w:rPr>
          <w:rFonts w:ascii="Arial" w:hAnsi="Arial" w:cs="Arial"/>
          <w:sz w:val="24"/>
          <w:szCs w:val="24"/>
        </w:rPr>
        <w:t>Referring</w:t>
      </w:r>
      <w:r w:rsidR="00D94ADF" w:rsidRPr="007968CB">
        <w:rPr>
          <w:rFonts w:ascii="Arial" w:hAnsi="Arial" w:cs="Arial"/>
          <w:sz w:val="24"/>
          <w:szCs w:val="24"/>
        </w:rPr>
        <w:t xml:space="preserve"> to Myra Hindl</w:t>
      </w:r>
      <w:r w:rsidR="0082534D" w:rsidRPr="007968CB">
        <w:rPr>
          <w:rFonts w:ascii="Arial" w:hAnsi="Arial" w:cs="Arial"/>
          <w:sz w:val="24"/>
          <w:szCs w:val="24"/>
        </w:rPr>
        <w:t>ey w</w:t>
      </w:r>
      <w:r w:rsidR="00BD49BB" w:rsidRPr="007968CB">
        <w:rPr>
          <w:rFonts w:ascii="Arial" w:hAnsi="Arial" w:cs="Arial"/>
          <w:sz w:val="24"/>
          <w:szCs w:val="24"/>
        </w:rPr>
        <w:t xml:space="preserve">hilst in discussion of </w:t>
      </w:r>
      <w:r w:rsidR="00D94ADF" w:rsidRPr="007968CB">
        <w:rPr>
          <w:rFonts w:ascii="Arial" w:hAnsi="Arial" w:cs="Arial"/>
          <w:sz w:val="24"/>
          <w:szCs w:val="24"/>
        </w:rPr>
        <w:t xml:space="preserve">the effect diversity has over females who offend, </w:t>
      </w:r>
      <w:r w:rsidR="007C7024" w:rsidRPr="007968CB">
        <w:rPr>
          <w:rFonts w:ascii="Arial" w:hAnsi="Arial" w:cs="Arial"/>
          <w:sz w:val="24"/>
          <w:szCs w:val="24"/>
        </w:rPr>
        <w:t xml:space="preserve">it is also difficult to </w:t>
      </w:r>
      <w:r w:rsidR="00EB7AF3" w:rsidRPr="007968CB">
        <w:rPr>
          <w:rFonts w:ascii="Arial" w:hAnsi="Arial" w:cs="Arial"/>
          <w:sz w:val="24"/>
          <w:szCs w:val="24"/>
        </w:rPr>
        <w:t>overlook the</w:t>
      </w:r>
      <w:r w:rsidR="007C7024" w:rsidRPr="007968CB">
        <w:rPr>
          <w:rFonts w:ascii="Arial" w:hAnsi="Arial" w:cs="Arial"/>
          <w:sz w:val="24"/>
          <w:szCs w:val="24"/>
        </w:rPr>
        <w:t xml:space="preserve"> note that</w:t>
      </w:r>
      <w:r w:rsidR="009F1E84" w:rsidRPr="007968CB">
        <w:rPr>
          <w:rFonts w:ascii="Arial" w:hAnsi="Arial" w:cs="Arial"/>
          <w:sz w:val="24"/>
          <w:szCs w:val="24"/>
        </w:rPr>
        <w:t xml:space="preserve">, as stated, Hindley is listed on the United Kingdoms List </w:t>
      </w:r>
      <w:r w:rsidR="0015242B" w:rsidRPr="007968CB">
        <w:rPr>
          <w:rFonts w:ascii="Arial" w:hAnsi="Arial" w:cs="Arial"/>
          <w:sz w:val="24"/>
          <w:szCs w:val="24"/>
        </w:rPr>
        <w:t>of worst child serial killers yet surprisingly, her partner to the murders, Ian Brady, is not</w:t>
      </w:r>
      <w:r w:rsidR="00F227FD" w:rsidRPr="007968CB">
        <w:rPr>
          <w:rFonts w:ascii="Arial" w:hAnsi="Arial" w:cs="Arial"/>
          <w:sz w:val="24"/>
          <w:szCs w:val="24"/>
        </w:rPr>
        <w:t xml:space="preserve">, (Sawer, 2023). </w:t>
      </w:r>
      <w:r w:rsidR="00D0735B" w:rsidRPr="007968CB">
        <w:rPr>
          <w:rFonts w:ascii="Arial" w:hAnsi="Arial" w:cs="Arial"/>
          <w:sz w:val="24"/>
          <w:szCs w:val="24"/>
        </w:rPr>
        <w:t xml:space="preserve">Due to </w:t>
      </w:r>
      <w:r w:rsidR="00150778" w:rsidRPr="007968CB">
        <w:rPr>
          <w:rFonts w:ascii="Arial" w:hAnsi="Arial" w:cs="Arial"/>
          <w:sz w:val="24"/>
          <w:szCs w:val="24"/>
        </w:rPr>
        <w:t>Brady’s lack of presence</w:t>
      </w:r>
      <w:r w:rsidR="00A60D74" w:rsidRPr="007968CB">
        <w:rPr>
          <w:rFonts w:ascii="Arial" w:hAnsi="Arial" w:cs="Arial"/>
          <w:sz w:val="24"/>
          <w:szCs w:val="24"/>
        </w:rPr>
        <w:t xml:space="preserve"> within this article,</w:t>
      </w:r>
      <w:r w:rsidR="00150778" w:rsidRPr="007968CB">
        <w:rPr>
          <w:rFonts w:ascii="Arial" w:hAnsi="Arial" w:cs="Arial"/>
          <w:sz w:val="24"/>
          <w:szCs w:val="24"/>
        </w:rPr>
        <w:t xml:space="preserve"> it </w:t>
      </w:r>
      <w:proofErr w:type="gramStart"/>
      <w:r w:rsidR="00150778" w:rsidRPr="007968CB">
        <w:rPr>
          <w:rFonts w:ascii="Arial" w:hAnsi="Arial" w:cs="Arial"/>
          <w:sz w:val="24"/>
          <w:szCs w:val="24"/>
        </w:rPr>
        <w:t>has to</w:t>
      </w:r>
      <w:proofErr w:type="gramEnd"/>
      <w:r w:rsidR="00150778" w:rsidRPr="007968CB">
        <w:rPr>
          <w:rFonts w:ascii="Arial" w:hAnsi="Arial" w:cs="Arial"/>
          <w:sz w:val="24"/>
          <w:szCs w:val="24"/>
        </w:rPr>
        <w:t xml:space="preserve"> be </w:t>
      </w:r>
      <w:r w:rsidR="00F46EDE" w:rsidRPr="007968CB">
        <w:rPr>
          <w:rFonts w:ascii="Arial" w:hAnsi="Arial" w:cs="Arial"/>
          <w:sz w:val="24"/>
          <w:szCs w:val="24"/>
        </w:rPr>
        <w:t>queried</w:t>
      </w:r>
      <w:r w:rsidR="00150778" w:rsidRPr="007968CB">
        <w:rPr>
          <w:rFonts w:ascii="Arial" w:hAnsi="Arial" w:cs="Arial"/>
          <w:sz w:val="24"/>
          <w:szCs w:val="24"/>
        </w:rPr>
        <w:t xml:space="preserve"> whether double deviance </w:t>
      </w:r>
      <w:r w:rsidR="00F46EDE" w:rsidRPr="007968CB">
        <w:rPr>
          <w:rFonts w:ascii="Arial" w:hAnsi="Arial" w:cs="Arial"/>
          <w:sz w:val="24"/>
          <w:szCs w:val="24"/>
        </w:rPr>
        <w:t>has been appointed to Myra Hindley and her horrific crimes</w:t>
      </w:r>
      <w:r w:rsidR="00A60D74" w:rsidRPr="007968CB">
        <w:rPr>
          <w:rFonts w:ascii="Arial" w:hAnsi="Arial" w:cs="Arial"/>
          <w:sz w:val="24"/>
          <w:szCs w:val="24"/>
        </w:rPr>
        <w:t xml:space="preserve">. </w:t>
      </w:r>
      <w:r w:rsidR="00AB2190" w:rsidRPr="007968CB">
        <w:rPr>
          <w:rFonts w:ascii="Arial" w:hAnsi="Arial" w:cs="Arial"/>
          <w:sz w:val="24"/>
          <w:szCs w:val="24"/>
        </w:rPr>
        <w:t>Whilst critically evaluating whether double deviance is still present withi</w:t>
      </w:r>
      <w:r w:rsidR="005A4937" w:rsidRPr="007968CB">
        <w:rPr>
          <w:rFonts w:ascii="Arial" w:hAnsi="Arial" w:cs="Arial"/>
          <w:sz w:val="24"/>
          <w:szCs w:val="24"/>
        </w:rPr>
        <w:t>n offending</w:t>
      </w:r>
      <w:r w:rsidR="00AB2190" w:rsidRPr="007968CB">
        <w:rPr>
          <w:rFonts w:ascii="Arial" w:hAnsi="Arial" w:cs="Arial"/>
          <w:sz w:val="24"/>
          <w:szCs w:val="24"/>
        </w:rPr>
        <w:t xml:space="preserve"> women’s crimes and trials </w:t>
      </w:r>
      <w:r w:rsidR="00054C1B" w:rsidRPr="007968CB">
        <w:rPr>
          <w:rFonts w:ascii="Arial" w:hAnsi="Arial" w:cs="Arial"/>
          <w:sz w:val="24"/>
          <w:szCs w:val="24"/>
        </w:rPr>
        <w:t>it is perhaps easy to presume that double deviance has in fact been appointed to Myra Hindley and Lucy Letby</w:t>
      </w:r>
      <w:r w:rsidR="0095224C" w:rsidRPr="007968CB">
        <w:rPr>
          <w:rFonts w:ascii="Arial" w:hAnsi="Arial" w:cs="Arial"/>
          <w:sz w:val="24"/>
          <w:szCs w:val="24"/>
        </w:rPr>
        <w:t>’s sickening crimes</w:t>
      </w:r>
      <w:r w:rsidR="006E3F03" w:rsidRPr="007968CB">
        <w:rPr>
          <w:rFonts w:ascii="Arial" w:hAnsi="Arial" w:cs="Arial"/>
          <w:sz w:val="24"/>
          <w:szCs w:val="24"/>
        </w:rPr>
        <w:t xml:space="preserve">, it is important to also explore the lack of double deviance and question whether chivalry and victimization have been put </w:t>
      </w:r>
      <w:r w:rsidR="00A35666" w:rsidRPr="007968CB">
        <w:rPr>
          <w:rFonts w:ascii="Arial" w:hAnsi="Arial" w:cs="Arial"/>
          <w:sz w:val="24"/>
          <w:szCs w:val="24"/>
        </w:rPr>
        <w:t>in place</w:t>
      </w:r>
      <w:r w:rsidR="006E3F03" w:rsidRPr="007968CB">
        <w:rPr>
          <w:rFonts w:ascii="Arial" w:hAnsi="Arial" w:cs="Arial"/>
          <w:sz w:val="24"/>
          <w:szCs w:val="24"/>
        </w:rPr>
        <w:t xml:space="preserve"> </w:t>
      </w:r>
      <w:r w:rsidR="00A35666" w:rsidRPr="007968CB">
        <w:rPr>
          <w:rFonts w:ascii="Arial" w:hAnsi="Arial" w:cs="Arial"/>
          <w:sz w:val="24"/>
          <w:szCs w:val="24"/>
        </w:rPr>
        <w:t xml:space="preserve">instead of double deviance. </w:t>
      </w:r>
    </w:p>
    <w:p w14:paraId="675DE34E" w14:textId="133D55CF" w:rsidR="00C67898" w:rsidRPr="007968CB" w:rsidRDefault="00D2719F" w:rsidP="00FF3553">
      <w:pPr>
        <w:rPr>
          <w:rFonts w:ascii="Arial" w:hAnsi="Arial" w:cs="Arial"/>
          <w:sz w:val="24"/>
          <w:szCs w:val="24"/>
        </w:rPr>
      </w:pPr>
      <w:r w:rsidRPr="007968CB">
        <w:rPr>
          <w:rFonts w:ascii="Arial" w:hAnsi="Arial" w:cs="Arial"/>
          <w:sz w:val="24"/>
          <w:szCs w:val="24"/>
        </w:rPr>
        <w:t xml:space="preserve">Although female criminologists have increased in recent times, Menis (2020) states that criminology has been noted to have had a lack of concern within the subject of women criminals, simply due to the topic being labelled as male-dominated and a genderless construct. </w:t>
      </w:r>
      <w:r w:rsidR="00CD4D13" w:rsidRPr="007968CB">
        <w:rPr>
          <w:rFonts w:ascii="Arial" w:hAnsi="Arial" w:cs="Arial"/>
          <w:sz w:val="24"/>
          <w:szCs w:val="24"/>
        </w:rPr>
        <w:t xml:space="preserve">Mandal (2019) </w:t>
      </w:r>
      <w:r w:rsidR="00CD4D13" w:rsidRPr="007968CB">
        <w:rPr>
          <w:rFonts w:ascii="Arial" w:hAnsi="Arial" w:cs="Arial"/>
          <w:sz w:val="24"/>
          <w:szCs w:val="24"/>
        </w:rPr>
        <w:t xml:space="preserve"> states that </w:t>
      </w:r>
      <w:r w:rsidR="00CD4D13" w:rsidRPr="007968CB">
        <w:rPr>
          <w:rFonts w:ascii="Arial" w:hAnsi="Arial" w:cs="Arial"/>
          <w:sz w:val="24"/>
          <w:szCs w:val="24"/>
        </w:rPr>
        <w:t>female offenders have many biological and physiological factors that can impact their experience of imprisonment; pregnancies, hormonal changes and women being primary care givers are prime factors which can cause difficulty to women who are imprisoned</w:t>
      </w:r>
      <w:r w:rsidR="006567C0" w:rsidRPr="007968CB">
        <w:rPr>
          <w:rFonts w:ascii="Arial" w:hAnsi="Arial" w:cs="Arial"/>
          <w:sz w:val="24"/>
          <w:szCs w:val="24"/>
        </w:rPr>
        <w:t xml:space="preserve">, therefore providing women with more difficult factors which do not </w:t>
      </w:r>
      <w:r w:rsidR="00F5561A" w:rsidRPr="007968CB">
        <w:rPr>
          <w:rFonts w:ascii="Arial" w:hAnsi="Arial" w:cs="Arial"/>
          <w:sz w:val="24"/>
          <w:szCs w:val="24"/>
        </w:rPr>
        <w:t>collaborate well with prisons being a male construct as they are simply incapable of caring for females who offend.</w:t>
      </w:r>
    </w:p>
    <w:p w14:paraId="21B1C807" w14:textId="474CC63D" w:rsidR="00FF3553" w:rsidRPr="007968CB" w:rsidRDefault="0010635F" w:rsidP="00FF3553">
      <w:pPr>
        <w:rPr>
          <w:rFonts w:ascii="Arial" w:hAnsi="Arial" w:cs="Arial"/>
          <w:sz w:val="24"/>
          <w:szCs w:val="24"/>
        </w:rPr>
      </w:pPr>
      <w:r w:rsidRPr="007968CB">
        <w:rPr>
          <w:rFonts w:ascii="Arial" w:hAnsi="Arial" w:cs="Arial"/>
          <w:sz w:val="24"/>
          <w:szCs w:val="24"/>
        </w:rPr>
        <w:t xml:space="preserve">Throughout the four waves which </w:t>
      </w:r>
      <w:r w:rsidR="00820766" w:rsidRPr="007968CB">
        <w:rPr>
          <w:rFonts w:ascii="Arial" w:hAnsi="Arial" w:cs="Arial"/>
          <w:sz w:val="24"/>
          <w:szCs w:val="24"/>
        </w:rPr>
        <w:t>feminist activism has been pr</w:t>
      </w:r>
      <w:r w:rsidR="00DA3B90" w:rsidRPr="007968CB">
        <w:rPr>
          <w:rFonts w:ascii="Arial" w:hAnsi="Arial" w:cs="Arial"/>
          <w:sz w:val="24"/>
          <w:szCs w:val="24"/>
        </w:rPr>
        <w:t xml:space="preserve">oceeded to grant women with more rights, </w:t>
      </w:r>
      <w:r w:rsidR="0070096A" w:rsidRPr="007968CB">
        <w:rPr>
          <w:rFonts w:ascii="Arial" w:hAnsi="Arial" w:cs="Arial"/>
          <w:sz w:val="24"/>
          <w:szCs w:val="24"/>
        </w:rPr>
        <w:t xml:space="preserve">respect, </w:t>
      </w:r>
      <w:proofErr w:type="gramStart"/>
      <w:r w:rsidR="0070096A" w:rsidRPr="007968CB">
        <w:rPr>
          <w:rFonts w:ascii="Arial" w:hAnsi="Arial" w:cs="Arial"/>
          <w:sz w:val="24"/>
          <w:szCs w:val="24"/>
        </w:rPr>
        <w:t>opportunities</w:t>
      </w:r>
      <w:proofErr w:type="gramEnd"/>
      <w:r w:rsidR="0070096A" w:rsidRPr="007968CB">
        <w:rPr>
          <w:rFonts w:ascii="Arial" w:hAnsi="Arial" w:cs="Arial"/>
          <w:sz w:val="24"/>
          <w:szCs w:val="24"/>
        </w:rPr>
        <w:t xml:space="preserve"> and knowledge throughout each of </w:t>
      </w:r>
      <w:r w:rsidR="0070096A" w:rsidRPr="007968CB">
        <w:rPr>
          <w:rFonts w:ascii="Arial" w:hAnsi="Arial" w:cs="Arial"/>
          <w:sz w:val="24"/>
          <w:szCs w:val="24"/>
        </w:rPr>
        <w:lastRenderedPageBreak/>
        <w:t xml:space="preserve">the four waves. The fourth wave, which is our current wave, is social media orientated which provides a </w:t>
      </w:r>
      <w:proofErr w:type="gramStart"/>
      <w:r w:rsidR="0070096A" w:rsidRPr="007968CB">
        <w:rPr>
          <w:rFonts w:ascii="Arial" w:hAnsi="Arial" w:cs="Arial"/>
          <w:sz w:val="24"/>
          <w:szCs w:val="24"/>
        </w:rPr>
        <w:t>world wide</w:t>
      </w:r>
      <w:proofErr w:type="gramEnd"/>
      <w:r w:rsidR="0070096A" w:rsidRPr="007968CB">
        <w:rPr>
          <w:rFonts w:ascii="Arial" w:hAnsi="Arial" w:cs="Arial"/>
          <w:sz w:val="24"/>
          <w:szCs w:val="24"/>
        </w:rPr>
        <w:t xml:space="preserve"> source of information so young women have the ability to understand feminism from all corners of the world</w:t>
      </w:r>
      <w:r w:rsidR="0069331C" w:rsidRPr="007968CB">
        <w:rPr>
          <w:rFonts w:ascii="Arial" w:hAnsi="Arial" w:cs="Arial"/>
          <w:sz w:val="24"/>
          <w:szCs w:val="24"/>
        </w:rPr>
        <w:t xml:space="preserve">, </w:t>
      </w:r>
      <w:r w:rsidR="0069331C" w:rsidRPr="007968CB">
        <w:rPr>
          <w:rFonts w:ascii="Arial" w:hAnsi="Arial" w:cs="Arial"/>
          <w:sz w:val="24"/>
          <w:szCs w:val="24"/>
        </w:rPr>
        <w:t>Stevenson et al</w:t>
      </w:r>
      <w:r w:rsidR="0069331C" w:rsidRPr="007968CB">
        <w:rPr>
          <w:rFonts w:ascii="Arial" w:hAnsi="Arial" w:cs="Arial"/>
          <w:sz w:val="24"/>
          <w:szCs w:val="24"/>
        </w:rPr>
        <w:t xml:space="preserve"> (</w:t>
      </w:r>
      <w:r w:rsidR="0069331C" w:rsidRPr="007968CB">
        <w:rPr>
          <w:rFonts w:ascii="Arial" w:hAnsi="Arial" w:cs="Arial"/>
          <w:sz w:val="24"/>
          <w:szCs w:val="24"/>
        </w:rPr>
        <w:t>2023)</w:t>
      </w:r>
      <w:r w:rsidR="0069331C" w:rsidRPr="007968CB">
        <w:rPr>
          <w:rFonts w:ascii="Arial" w:hAnsi="Arial" w:cs="Arial"/>
          <w:sz w:val="24"/>
          <w:szCs w:val="24"/>
        </w:rPr>
        <w:t xml:space="preserve">. </w:t>
      </w:r>
    </w:p>
    <w:p w14:paraId="4A277CFE" w14:textId="6FCDDC24" w:rsidR="001933A4" w:rsidRPr="007968CB" w:rsidRDefault="009A4501" w:rsidP="00FF3553">
      <w:pPr>
        <w:rPr>
          <w:rFonts w:ascii="Arial" w:hAnsi="Arial" w:cs="Arial"/>
          <w:sz w:val="24"/>
          <w:szCs w:val="24"/>
        </w:rPr>
      </w:pPr>
      <w:r w:rsidRPr="007968CB">
        <w:rPr>
          <w:rFonts w:ascii="Arial" w:hAnsi="Arial" w:cs="Arial"/>
          <w:sz w:val="24"/>
          <w:szCs w:val="24"/>
        </w:rPr>
        <w:t xml:space="preserve">Early belief accounts of criminology based on the female offender and quite different to what is understood and believed about female offenders from this day in age. </w:t>
      </w:r>
      <w:r w:rsidR="00C92DD5" w:rsidRPr="007968CB">
        <w:rPr>
          <w:rFonts w:ascii="Arial" w:hAnsi="Arial" w:cs="Arial"/>
          <w:sz w:val="24"/>
          <w:szCs w:val="24"/>
        </w:rPr>
        <w:t>Criminologists such as Lombroso believed that women had not managed to become as evolved as men therefore suggesting th</w:t>
      </w:r>
      <w:r w:rsidR="00DA5992" w:rsidRPr="007968CB">
        <w:rPr>
          <w:rFonts w:ascii="Arial" w:hAnsi="Arial" w:cs="Arial"/>
          <w:sz w:val="24"/>
          <w:szCs w:val="24"/>
        </w:rPr>
        <w:t xml:space="preserve">at women did not have the capability of being born criminal. </w:t>
      </w:r>
    </w:p>
    <w:p w14:paraId="3C537C7A" w14:textId="77777777" w:rsidR="00FF3553" w:rsidRPr="007968CB" w:rsidRDefault="00FF3553" w:rsidP="00FF3553">
      <w:pPr>
        <w:rPr>
          <w:rFonts w:ascii="Arial" w:hAnsi="Arial" w:cs="Arial"/>
          <w:sz w:val="24"/>
          <w:szCs w:val="24"/>
        </w:rPr>
      </w:pPr>
      <w:r w:rsidRPr="007968CB">
        <w:rPr>
          <w:rFonts w:ascii="Arial" w:hAnsi="Arial" w:cs="Arial"/>
          <w:sz w:val="24"/>
          <w:szCs w:val="24"/>
        </w:rPr>
        <w:t xml:space="preserve">It is interesting to note the differences between male and female offenders, along with their experiences of crime, </w:t>
      </w:r>
      <w:proofErr w:type="spellStart"/>
      <w:r w:rsidRPr="007968CB">
        <w:rPr>
          <w:rFonts w:ascii="Arial" w:hAnsi="Arial" w:cs="Arial"/>
          <w:sz w:val="24"/>
          <w:szCs w:val="24"/>
        </w:rPr>
        <w:t>victisimsation</w:t>
      </w:r>
      <w:proofErr w:type="spellEnd"/>
      <w:r w:rsidRPr="007968CB">
        <w:rPr>
          <w:rFonts w:ascii="Arial" w:hAnsi="Arial" w:cs="Arial"/>
          <w:sz w:val="24"/>
          <w:szCs w:val="24"/>
        </w:rPr>
        <w:t xml:space="preserve"> and punishment. According to Office for National Statistics (2022) the total population of England in Wales in 2021 was 59,642,000, the total of offenders dealt with by the criminal justice system in 2021 was 1.31 million, Ministry of Justice (2022).  Out of the 1.31 million people who had been dealt with by the criminal justice system only 79,092 offenders were given a sentence within HMRP, Sturge and Tunnicliffe (2022), therefore highlighting that </w:t>
      </w:r>
      <w:proofErr w:type="gramStart"/>
      <w:r w:rsidRPr="007968CB">
        <w:rPr>
          <w:rFonts w:ascii="Arial" w:hAnsi="Arial" w:cs="Arial"/>
          <w:sz w:val="24"/>
          <w:szCs w:val="24"/>
        </w:rPr>
        <w:t>a large number of</w:t>
      </w:r>
      <w:proofErr w:type="gramEnd"/>
      <w:r w:rsidRPr="007968CB">
        <w:rPr>
          <w:rFonts w:ascii="Arial" w:hAnsi="Arial" w:cs="Arial"/>
          <w:sz w:val="24"/>
          <w:szCs w:val="24"/>
        </w:rPr>
        <w:t xml:space="preserve"> 1.23 million were not sentenced for the offence committed. </w:t>
      </w:r>
    </w:p>
    <w:p w14:paraId="69DB162E" w14:textId="77777777" w:rsidR="00FF3553" w:rsidRPr="007968CB" w:rsidRDefault="00FF3553" w:rsidP="00FF3553">
      <w:pPr>
        <w:rPr>
          <w:rFonts w:ascii="Arial" w:hAnsi="Arial" w:cs="Arial"/>
          <w:sz w:val="24"/>
          <w:szCs w:val="24"/>
        </w:rPr>
      </w:pPr>
      <w:r w:rsidRPr="007968CB">
        <w:rPr>
          <w:rFonts w:ascii="Arial" w:hAnsi="Arial" w:cs="Arial"/>
          <w:sz w:val="24"/>
          <w:szCs w:val="24"/>
        </w:rPr>
        <w:t xml:space="preserve">When discussing offenders in terms of male and female it is unsurprising to note that out of the 79,092 inmates, at the large statistic of 75 thousand is made up of males and a very low comparison of 3.2 thousand was female, therefore providing a shocking statistic that 97% of all inmates in England and Wales are male, Smith (2022). Although these statistics are exceedingly large, especially for male offenders it is important to note that these numbers only stand for a percentage of offenders dealt with by the criminal justice system. The 75 thousand males in prison covers a large 86% of all male offenders dealt with by the criminal justice system and the 3.2 thousand serving woman covers 83% of the women who were dealt with by the criminal justice system. These statistics portray an extensive difference between the amounts of females who turn to offend compared to men, which leads me to question whether the criminal justice system treats offenders differently regarding their gender and provides a question as to wonder if a male and female had committed the same crime, whether they would be treated the same or not. </w:t>
      </w:r>
    </w:p>
    <w:p w14:paraId="5C0D33B6" w14:textId="14EED5F4" w:rsidR="00F6095B" w:rsidRPr="007968CB" w:rsidRDefault="00FF3553" w:rsidP="00FF3553">
      <w:pPr>
        <w:rPr>
          <w:rFonts w:ascii="Arial" w:hAnsi="Arial" w:cs="Arial"/>
          <w:sz w:val="24"/>
          <w:szCs w:val="24"/>
        </w:rPr>
      </w:pPr>
      <w:r w:rsidRPr="007968CB">
        <w:rPr>
          <w:rFonts w:ascii="Arial" w:hAnsi="Arial" w:cs="Arial"/>
          <w:sz w:val="24"/>
          <w:szCs w:val="24"/>
        </w:rPr>
        <w:t>In terms of factors such as double deviance and victimization, it is clear to establish these factors have a lack of being applied in favour of the opposite sex. According to Belknap (2010) double deviance is theory which prosecutes women for not only committing a crime but for disobeying women’s typical gender norms and victimization is the discrimination of victims raising concerns about being a victim of violent crime or even property crime, Davies (2011). Double deviance is only practiced on women however victimization tends to have higher rates of women than men as stated by Flores et al (2023).</w:t>
      </w:r>
    </w:p>
    <w:p w14:paraId="60F663A3" w14:textId="4A57181C" w:rsidR="00E07C8C" w:rsidRPr="007968CB" w:rsidRDefault="00E07C8C" w:rsidP="00FF3553">
      <w:pPr>
        <w:rPr>
          <w:rFonts w:ascii="Arial" w:hAnsi="Arial" w:cs="Arial"/>
          <w:sz w:val="24"/>
          <w:szCs w:val="24"/>
        </w:rPr>
      </w:pPr>
      <w:r w:rsidRPr="007968CB">
        <w:rPr>
          <w:rFonts w:ascii="Arial" w:hAnsi="Arial" w:cs="Arial"/>
          <w:sz w:val="24"/>
          <w:szCs w:val="24"/>
        </w:rPr>
        <w:t>It is more difficult to determine whether double deviance has in fact been used by the criminal justice system that it is to determine whether women are guilty of double deviance through societies eyes.</w:t>
      </w:r>
      <w:r w:rsidR="00961D55" w:rsidRPr="007968CB">
        <w:rPr>
          <w:rFonts w:ascii="Arial" w:hAnsi="Arial" w:cs="Arial"/>
          <w:sz w:val="24"/>
          <w:szCs w:val="24"/>
        </w:rPr>
        <w:t xml:space="preserve"> </w:t>
      </w:r>
      <w:r w:rsidR="00973F99" w:rsidRPr="007968CB">
        <w:rPr>
          <w:rFonts w:ascii="Arial" w:hAnsi="Arial" w:cs="Arial"/>
          <w:sz w:val="24"/>
          <w:szCs w:val="24"/>
        </w:rPr>
        <w:t xml:space="preserve">As provided Smith (2022) states that </w:t>
      </w:r>
      <w:r w:rsidR="0059559D" w:rsidRPr="007968CB">
        <w:rPr>
          <w:rFonts w:ascii="Arial" w:hAnsi="Arial" w:cs="Arial"/>
          <w:sz w:val="24"/>
          <w:szCs w:val="24"/>
        </w:rPr>
        <w:t xml:space="preserve">86% of all </w:t>
      </w:r>
      <w:proofErr w:type="gramStart"/>
      <w:r w:rsidR="0059559D" w:rsidRPr="007968CB">
        <w:rPr>
          <w:rFonts w:ascii="Arial" w:hAnsi="Arial" w:cs="Arial"/>
          <w:sz w:val="24"/>
          <w:szCs w:val="24"/>
        </w:rPr>
        <w:t>male</w:t>
      </w:r>
      <w:proofErr w:type="gramEnd"/>
      <w:r w:rsidR="0059559D" w:rsidRPr="007968CB">
        <w:rPr>
          <w:rFonts w:ascii="Arial" w:hAnsi="Arial" w:cs="Arial"/>
          <w:sz w:val="24"/>
          <w:szCs w:val="24"/>
        </w:rPr>
        <w:t xml:space="preserve"> dealt with by the criminal </w:t>
      </w:r>
      <w:r w:rsidR="00FB32BD" w:rsidRPr="007968CB">
        <w:rPr>
          <w:rFonts w:ascii="Arial" w:hAnsi="Arial" w:cs="Arial"/>
          <w:sz w:val="24"/>
          <w:szCs w:val="24"/>
        </w:rPr>
        <w:t>justice</w:t>
      </w:r>
      <w:r w:rsidR="0059559D" w:rsidRPr="007968CB">
        <w:rPr>
          <w:rFonts w:ascii="Arial" w:hAnsi="Arial" w:cs="Arial"/>
          <w:sz w:val="24"/>
          <w:szCs w:val="24"/>
        </w:rPr>
        <w:t xml:space="preserve"> system are imprisoned and </w:t>
      </w:r>
      <w:r w:rsidR="00FB32BD" w:rsidRPr="007968CB">
        <w:rPr>
          <w:rFonts w:ascii="Arial" w:hAnsi="Arial" w:cs="Arial"/>
          <w:sz w:val="24"/>
          <w:szCs w:val="24"/>
        </w:rPr>
        <w:t xml:space="preserve">83% of women. The lack of a drastic difference in numbers here suggests that women are not being </w:t>
      </w:r>
      <w:r w:rsidR="00FB32BD" w:rsidRPr="007968CB">
        <w:rPr>
          <w:rFonts w:ascii="Arial" w:hAnsi="Arial" w:cs="Arial"/>
          <w:sz w:val="24"/>
          <w:szCs w:val="24"/>
        </w:rPr>
        <w:lastRenderedPageBreak/>
        <w:t xml:space="preserve">prosecuted with double deviance otherwise the statistic provided would most likely be of a larger number. </w:t>
      </w:r>
      <w:r w:rsidR="008A5BB6" w:rsidRPr="007968CB">
        <w:rPr>
          <w:rFonts w:ascii="Arial" w:hAnsi="Arial" w:cs="Arial"/>
          <w:sz w:val="24"/>
          <w:szCs w:val="24"/>
        </w:rPr>
        <w:t xml:space="preserve">Understanding whether males and females should be treated equal or with different strategies, is not only vital </w:t>
      </w:r>
      <w:proofErr w:type="gramStart"/>
      <w:r w:rsidR="008A5BB6" w:rsidRPr="007968CB">
        <w:rPr>
          <w:rFonts w:ascii="Arial" w:hAnsi="Arial" w:cs="Arial"/>
          <w:sz w:val="24"/>
          <w:szCs w:val="24"/>
        </w:rPr>
        <w:t>in order to</w:t>
      </w:r>
      <w:proofErr w:type="gramEnd"/>
      <w:r w:rsidR="008A5BB6" w:rsidRPr="007968CB">
        <w:rPr>
          <w:rFonts w:ascii="Arial" w:hAnsi="Arial" w:cs="Arial"/>
          <w:sz w:val="24"/>
          <w:szCs w:val="24"/>
        </w:rPr>
        <w:t xml:space="preserve"> prevent reoffending or strictly provide equality to offenders, but it is also vital to society. A lack of understanding on which gender requires what treatment can be detrimental as not only can reoffending become high risk and more likely but some offenders may believe that their punishment is worth offending for as well as the unacceptable cost new instances of criminal offenders has on society, GOV (2021)</w:t>
      </w:r>
      <w:r w:rsidR="009D5705" w:rsidRPr="007968CB">
        <w:rPr>
          <w:rFonts w:ascii="Arial" w:hAnsi="Arial" w:cs="Arial"/>
          <w:sz w:val="24"/>
          <w:szCs w:val="24"/>
        </w:rPr>
        <w:t xml:space="preserve">, Double deviance is not a key factor which should be considered in term of women who offend or have committed crimes. </w:t>
      </w:r>
    </w:p>
    <w:p w14:paraId="4F83ABBD" w14:textId="77777777" w:rsidR="0056143A" w:rsidRPr="007968CB" w:rsidRDefault="0056143A" w:rsidP="00FF3553">
      <w:pPr>
        <w:rPr>
          <w:rFonts w:ascii="Arial" w:hAnsi="Arial" w:cs="Arial"/>
          <w:sz w:val="24"/>
          <w:szCs w:val="24"/>
        </w:rPr>
      </w:pPr>
    </w:p>
    <w:p w14:paraId="51119E95" w14:textId="77777777" w:rsidR="0056143A" w:rsidRPr="007968CB" w:rsidRDefault="0056143A" w:rsidP="00FF3553">
      <w:pPr>
        <w:rPr>
          <w:rFonts w:ascii="Arial" w:hAnsi="Arial" w:cs="Arial"/>
          <w:sz w:val="24"/>
          <w:szCs w:val="24"/>
        </w:rPr>
      </w:pPr>
    </w:p>
    <w:p w14:paraId="39A9A833" w14:textId="77777777" w:rsidR="0056143A" w:rsidRPr="007968CB" w:rsidRDefault="0056143A" w:rsidP="00FF3553">
      <w:pPr>
        <w:rPr>
          <w:rFonts w:ascii="Arial" w:hAnsi="Arial" w:cs="Arial"/>
          <w:sz w:val="24"/>
          <w:szCs w:val="24"/>
        </w:rPr>
      </w:pPr>
    </w:p>
    <w:p w14:paraId="589DB6ED" w14:textId="77777777" w:rsidR="0056143A" w:rsidRPr="007968CB" w:rsidRDefault="0056143A" w:rsidP="00FF3553">
      <w:pPr>
        <w:rPr>
          <w:rFonts w:ascii="Arial" w:hAnsi="Arial" w:cs="Arial"/>
          <w:sz w:val="24"/>
          <w:szCs w:val="24"/>
        </w:rPr>
      </w:pPr>
    </w:p>
    <w:p w14:paraId="79911786" w14:textId="77777777" w:rsidR="0056143A" w:rsidRPr="007968CB" w:rsidRDefault="0056143A" w:rsidP="00FF3553">
      <w:pPr>
        <w:rPr>
          <w:rFonts w:ascii="Arial" w:hAnsi="Arial" w:cs="Arial"/>
          <w:sz w:val="24"/>
          <w:szCs w:val="24"/>
        </w:rPr>
      </w:pPr>
    </w:p>
    <w:p w14:paraId="19D47A0F" w14:textId="77777777" w:rsidR="0056143A" w:rsidRPr="007968CB" w:rsidRDefault="0056143A" w:rsidP="00FF3553">
      <w:pPr>
        <w:rPr>
          <w:rFonts w:ascii="Arial" w:hAnsi="Arial" w:cs="Arial"/>
          <w:sz w:val="24"/>
          <w:szCs w:val="24"/>
        </w:rPr>
      </w:pPr>
    </w:p>
    <w:p w14:paraId="52A9B2B1" w14:textId="77777777" w:rsidR="0056143A" w:rsidRPr="007968CB" w:rsidRDefault="0056143A" w:rsidP="00FF3553">
      <w:pPr>
        <w:rPr>
          <w:rFonts w:ascii="Arial" w:hAnsi="Arial" w:cs="Arial"/>
          <w:sz w:val="24"/>
          <w:szCs w:val="24"/>
        </w:rPr>
      </w:pPr>
    </w:p>
    <w:p w14:paraId="50941E3D" w14:textId="77777777" w:rsidR="0056143A" w:rsidRPr="007968CB" w:rsidRDefault="0056143A" w:rsidP="00FF3553">
      <w:pPr>
        <w:rPr>
          <w:rFonts w:ascii="Arial" w:hAnsi="Arial" w:cs="Arial"/>
          <w:sz w:val="24"/>
          <w:szCs w:val="24"/>
        </w:rPr>
      </w:pPr>
    </w:p>
    <w:p w14:paraId="35FEC7DF" w14:textId="77777777" w:rsidR="0056143A" w:rsidRPr="007968CB" w:rsidRDefault="0056143A" w:rsidP="00FF3553">
      <w:pPr>
        <w:rPr>
          <w:rFonts w:ascii="Arial" w:hAnsi="Arial" w:cs="Arial"/>
          <w:sz w:val="24"/>
          <w:szCs w:val="24"/>
        </w:rPr>
      </w:pPr>
    </w:p>
    <w:p w14:paraId="4EF85C27" w14:textId="77777777" w:rsidR="0056143A" w:rsidRPr="007968CB" w:rsidRDefault="0056143A" w:rsidP="00FF3553">
      <w:pPr>
        <w:rPr>
          <w:rFonts w:ascii="Arial" w:hAnsi="Arial" w:cs="Arial"/>
          <w:sz w:val="24"/>
          <w:szCs w:val="24"/>
        </w:rPr>
      </w:pPr>
    </w:p>
    <w:p w14:paraId="394C9799" w14:textId="77777777" w:rsidR="0056143A" w:rsidRPr="007968CB" w:rsidRDefault="0056143A" w:rsidP="00FF3553">
      <w:pPr>
        <w:rPr>
          <w:rFonts w:ascii="Arial" w:hAnsi="Arial" w:cs="Arial"/>
          <w:sz w:val="24"/>
          <w:szCs w:val="24"/>
        </w:rPr>
      </w:pPr>
    </w:p>
    <w:p w14:paraId="748C65B6" w14:textId="77777777" w:rsidR="0056143A" w:rsidRPr="007968CB" w:rsidRDefault="0056143A" w:rsidP="00FF3553">
      <w:pPr>
        <w:rPr>
          <w:rFonts w:ascii="Arial" w:hAnsi="Arial" w:cs="Arial"/>
          <w:sz w:val="24"/>
          <w:szCs w:val="24"/>
        </w:rPr>
      </w:pPr>
    </w:p>
    <w:p w14:paraId="744D14BE" w14:textId="77777777" w:rsidR="0056143A" w:rsidRPr="007968CB" w:rsidRDefault="0056143A" w:rsidP="00FF3553">
      <w:pPr>
        <w:rPr>
          <w:rFonts w:ascii="Arial" w:hAnsi="Arial" w:cs="Arial"/>
          <w:sz w:val="24"/>
          <w:szCs w:val="24"/>
        </w:rPr>
      </w:pPr>
    </w:p>
    <w:p w14:paraId="41D5F4E3" w14:textId="77777777" w:rsidR="0056143A" w:rsidRPr="007968CB" w:rsidRDefault="0056143A" w:rsidP="00FF3553">
      <w:pPr>
        <w:rPr>
          <w:rFonts w:ascii="Arial" w:hAnsi="Arial" w:cs="Arial"/>
          <w:sz w:val="24"/>
          <w:szCs w:val="24"/>
        </w:rPr>
      </w:pPr>
    </w:p>
    <w:p w14:paraId="2486C13D" w14:textId="77777777" w:rsidR="0056143A" w:rsidRPr="007968CB" w:rsidRDefault="0056143A" w:rsidP="00FF3553">
      <w:pPr>
        <w:rPr>
          <w:rFonts w:ascii="Arial" w:hAnsi="Arial" w:cs="Arial"/>
          <w:sz w:val="24"/>
          <w:szCs w:val="24"/>
        </w:rPr>
      </w:pPr>
    </w:p>
    <w:p w14:paraId="5D9B9118" w14:textId="77777777" w:rsidR="0056143A" w:rsidRPr="007968CB" w:rsidRDefault="0056143A" w:rsidP="00FF3553">
      <w:pPr>
        <w:rPr>
          <w:rFonts w:ascii="Arial" w:hAnsi="Arial" w:cs="Arial"/>
          <w:sz w:val="24"/>
          <w:szCs w:val="24"/>
        </w:rPr>
      </w:pPr>
    </w:p>
    <w:p w14:paraId="6CD9F8D9" w14:textId="77777777" w:rsidR="0056143A" w:rsidRPr="007968CB" w:rsidRDefault="0056143A" w:rsidP="00FF3553">
      <w:pPr>
        <w:rPr>
          <w:rFonts w:ascii="Arial" w:hAnsi="Arial" w:cs="Arial"/>
          <w:sz w:val="24"/>
          <w:szCs w:val="24"/>
        </w:rPr>
      </w:pPr>
    </w:p>
    <w:p w14:paraId="237DC2E4" w14:textId="77777777" w:rsidR="0056143A" w:rsidRPr="007968CB" w:rsidRDefault="0056143A" w:rsidP="00FF3553">
      <w:pPr>
        <w:rPr>
          <w:rFonts w:ascii="Arial" w:hAnsi="Arial" w:cs="Arial"/>
          <w:sz w:val="24"/>
          <w:szCs w:val="24"/>
        </w:rPr>
      </w:pPr>
    </w:p>
    <w:p w14:paraId="63F0A6AC" w14:textId="77777777" w:rsidR="0056143A" w:rsidRPr="007968CB" w:rsidRDefault="0056143A" w:rsidP="00FF3553">
      <w:pPr>
        <w:rPr>
          <w:rFonts w:ascii="Arial" w:hAnsi="Arial" w:cs="Arial"/>
          <w:sz w:val="24"/>
          <w:szCs w:val="24"/>
        </w:rPr>
      </w:pPr>
    </w:p>
    <w:p w14:paraId="3251917B" w14:textId="77777777" w:rsidR="0056143A" w:rsidRPr="007968CB" w:rsidRDefault="0056143A" w:rsidP="00FF3553">
      <w:pPr>
        <w:rPr>
          <w:rFonts w:ascii="Arial" w:hAnsi="Arial" w:cs="Arial"/>
          <w:sz w:val="24"/>
          <w:szCs w:val="24"/>
        </w:rPr>
      </w:pPr>
    </w:p>
    <w:p w14:paraId="7FA29140" w14:textId="77777777" w:rsidR="0056143A" w:rsidRPr="007968CB" w:rsidRDefault="0056143A" w:rsidP="00FF3553">
      <w:pPr>
        <w:rPr>
          <w:rFonts w:ascii="Arial" w:hAnsi="Arial" w:cs="Arial"/>
          <w:sz w:val="24"/>
          <w:szCs w:val="24"/>
        </w:rPr>
      </w:pPr>
    </w:p>
    <w:p w14:paraId="3642F557" w14:textId="77777777" w:rsidR="0056143A" w:rsidRPr="007968CB" w:rsidRDefault="0056143A" w:rsidP="00FF3553">
      <w:pPr>
        <w:rPr>
          <w:rFonts w:ascii="Arial" w:hAnsi="Arial" w:cs="Arial"/>
          <w:sz w:val="24"/>
          <w:szCs w:val="24"/>
        </w:rPr>
      </w:pPr>
    </w:p>
    <w:p w14:paraId="1BE206AC" w14:textId="77777777" w:rsidR="0056143A" w:rsidRPr="007968CB" w:rsidRDefault="0056143A" w:rsidP="00FF3553">
      <w:pPr>
        <w:rPr>
          <w:rFonts w:ascii="Arial" w:hAnsi="Arial" w:cs="Arial"/>
          <w:sz w:val="24"/>
          <w:szCs w:val="24"/>
        </w:rPr>
      </w:pPr>
    </w:p>
    <w:p w14:paraId="6C1D2D7E" w14:textId="77777777" w:rsidR="0056143A" w:rsidRPr="007968CB" w:rsidRDefault="0056143A" w:rsidP="00FF3553">
      <w:pPr>
        <w:rPr>
          <w:rFonts w:ascii="Arial" w:hAnsi="Arial" w:cs="Arial"/>
          <w:sz w:val="24"/>
          <w:szCs w:val="24"/>
        </w:rPr>
      </w:pPr>
    </w:p>
    <w:p w14:paraId="2ED31739" w14:textId="77777777" w:rsidR="0056143A" w:rsidRPr="007968CB" w:rsidRDefault="0056143A" w:rsidP="00FF3553">
      <w:pPr>
        <w:rPr>
          <w:rFonts w:ascii="Arial" w:hAnsi="Arial" w:cs="Arial"/>
          <w:sz w:val="24"/>
          <w:szCs w:val="24"/>
        </w:rPr>
      </w:pPr>
    </w:p>
    <w:p w14:paraId="7CFA98C7" w14:textId="0B6B64C2" w:rsidR="0056143A" w:rsidRPr="007968CB" w:rsidRDefault="0056143A" w:rsidP="00FF3553">
      <w:pPr>
        <w:rPr>
          <w:rFonts w:ascii="Arial" w:hAnsi="Arial" w:cs="Arial"/>
          <w:sz w:val="24"/>
          <w:szCs w:val="24"/>
        </w:rPr>
      </w:pPr>
      <w:r w:rsidRPr="007968CB">
        <w:rPr>
          <w:rFonts w:ascii="Arial" w:hAnsi="Arial" w:cs="Arial"/>
          <w:sz w:val="24"/>
          <w:szCs w:val="24"/>
        </w:rPr>
        <w:t>Reference List –</w:t>
      </w:r>
    </w:p>
    <w:p w14:paraId="3427F14E" w14:textId="77777777" w:rsidR="00EC6F47" w:rsidRPr="007968CB" w:rsidRDefault="0056143A" w:rsidP="00FF3553">
      <w:pPr>
        <w:rPr>
          <w:rFonts w:ascii="Arial" w:hAnsi="Arial" w:cs="Arial"/>
          <w:sz w:val="24"/>
          <w:szCs w:val="24"/>
        </w:rPr>
      </w:pPr>
      <w:r w:rsidRPr="007968CB">
        <w:rPr>
          <w:rFonts w:ascii="Arial" w:hAnsi="Arial" w:cs="Arial"/>
          <w:sz w:val="24"/>
          <w:szCs w:val="24"/>
        </w:rPr>
        <w:t>Belknap, J. (2010). Offending Women: A Double Entendre. Journal of Criminal Law &amp; Criminology, [online] 100, p.1061. Available at: https://heinonline.org/HOL/LandingPage?handle=hein.journals/jclc100&amp;div=39&amp;id=&amp;page= [Accessed 10 Nov. 2023].</w:t>
      </w:r>
    </w:p>
    <w:p w14:paraId="0A052318" w14:textId="77777777" w:rsidR="00EC6F47" w:rsidRPr="007968CB" w:rsidRDefault="0056143A" w:rsidP="00FF3553">
      <w:pPr>
        <w:rPr>
          <w:rFonts w:ascii="Arial" w:hAnsi="Arial" w:cs="Arial"/>
          <w:sz w:val="24"/>
          <w:szCs w:val="24"/>
        </w:rPr>
      </w:pPr>
      <w:r w:rsidRPr="007968CB">
        <w:rPr>
          <w:rFonts w:ascii="Arial" w:hAnsi="Arial" w:cs="Arial"/>
          <w:sz w:val="24"/>
          <w:szCs w:val="24"/>
        </w:rPr>
        <w:t>Davies, P. (2011). Gender, Crime and Victimisation. SAGE Publications Ltd.</w:t>
      </w:r>
    </w:p>
    <w:p w14:paraId="56868DBC" w14:textId="02F84895" w:rsidR="00EC6F47" w:rsidRPr="007968CB" w:rsidRDefault="0056143A" w:rsidP="00FF3553">
      <w:pPr>
        <w:rPr>
          <w:rFonts w:ascii="Arial" w:hAnsi="Arial" w:cs="Arial"/>
          <w:sz w:val="24"/>
          <w:szCs w:val="24"/>
        </w:rPr>
      </w:pPr>
      <w:r w:rsidRPr="007968CB">
        <w:rPr>
          <w:rFonts w:ascii="Arial" w:hAnsi="Arial" w:cs="Arial"/>
          <w:sz w:val="24"/>
          <w:szCs w:val="24"/>
        </w:rPr>
        <w:t>Deeba, H. (19AD). How to look... ‘married’? [online] www.thenews.com.pk. Available at: https://www.thenews.com.pk/magazine/you/495580-how-to-look-married [Accessed 5 Oct. 2023].</w:t>
      </w:r>
    </w:p>
    <w:p w14:paraId="23C25FD4" w14:textId="77777777" w:rsidR="00EC6F47" w:rsidRPr="007968CB" w:rsidRDefault="0056143A" w:rsidP="00FF3553">
      <w:pPr>
        <w:rPr>
          <w:rFonts w:ascii="Arial" w:hAnsi="Arial" w:cs="Arial"/>
          <w:sz w:val="24"/>
          <w:szCs w:val="24"/>
        </w:rPr>
      </w:pPr>
      <w:r w:rsidRPr="007968CB">
        <w:rPr>
          <w:rFonts w:ascii="Arial" w:hAnsi="Arial" w:cs="Arial"/>
          <w:sz w:val="24"/>
          <w:szCs w:val="24"/>
        </w:rPr>
        <w:t>Fitz-</w:t>
      </w:r>
      <w:proofErr w:type="gramStart"/>
      <w:r w:rsidRPr="007968CB">
        <w:rPr>
          <w:rFonts w:ascii="Arial" w:hAnsi="Arial" w:cs="Arial"/>
          <w:sz w:val="24"/>
          <w:szCs w:val="24"/>
        </w:rPr>
        <w:t>Gibbon ,</w:t>
      </w:r>
      <w:proofErr w:type="gramEnd"/>
      <w:r w:rsidRPr="007968CB">
        <w:rPr>
          <w:rFonts w:ascii="Arial" w:hAnsi="Arial" w:cs="Arial"/>
          <w:sz w:val="24"/>
          <w:szCs w:val="24"/>
        </w:rPr>
        <w:t xml:space="preserve"> K. and </w:t>
      </w:r>
      <w:proofErr w:type="spellStart"/>
      <w:r w:rsidRPr="007968CB">
        <w:rPr>
          <w:rFonts w:ascii="Arial" w:hAnsi="Arial" w:cs="Arial"/>
          <w:sz w:val="24"/>
          <w:szCs w:val="24"/>
        </w:rPr>
        <w:t>Walklate</w:t>
      </w:r>
      <w:proofErr w:type="spellEnd"/>
      <w:r w:rsidRPr="007968CB">
        <w:rPr>
          <w:rFonts w:ascii="Arial" w:hAnsi="Arial" w:cs="Arial"/>
          <w:sz w:val="24"/>
          <w:szCs w:val="24"/>
        </w:rPr>
        <w:t xml:space="preserve">, S. (2018). Gender, Crime and Criminal </w:t>
      </w:r>
      <w:proofErr w:type="gramStart"/>
      <w:r w:rsidRPr="007968CB">
        <w:rPr>
          <w:rFonts w:ascii="Arial" w:hAnsi="Arial" w:cs="Arial"/>
          <w:sz w:val="24"/>
          <w:szCs w:val="24"/>
        </w:rPr>
        <w:t>Justice .</w:t>
      </w:r>
      <w:proofErr w:type="gramEnd"/>
      <w:r w:rsidRPr="007968CB">
        <w:rPr>
          <w:rFonts w:ascii="Arial" w:hAnsi="Arial" w:cs="Arial"/>
          <w:sz w:val="24"/>
          <w:szCs w:val="24"/>
        </w:rPr>
        <w:t xml:space="preserve"> third edition ed. Abingdon: Routledge.</w:t>
      </w:r>
    </w:p>
    <w:p w14:paraId="2A441D79" w14:textId="77777777" w:rsidR="0050304A" w:rsidRPr="007968CB" w:rsidRDefault="0056143A" w:rsidP="00FF3553">
      <w:pPr>
        <w:rPr>
          <w:rFonts w:ascii="Arial" w:hAnsi="Arial" w:cs="Arial"/>
          <w:sz w:val="24"/>
          <w:szCs w:val="24"/>
        </w:rPr>
      </w:pPr>
      <w:r w:rsidRPr="007968CB">
        <w:rPr>
          <w:rFonts w:ascii="Arial" w:hAnsi="Arial" w:cs="Arial"/>
          <w:sz w:val="24"/>
          <w:szCs w:val="24"/>
        </w:rPr>
        <w:t xml:space="preserve">Flores, A.R., Wilson, B.D.M., Langton, </w:t>
      </w:r>
      <w:proofErr w:type="gramStart"/>
      <w:r w:rsidRPr="007968CB">
        <w:rPr>
          <w:rFonts w:ascii="Arial" w:hAnsi="Arial" w:cs="Arial"/>
          <w:sz w:val="24"/>
          <w:szCs w:val="24"/>
        </w:rPr>
        <w:t>L.L.</w:t>
      </w:r>
      <w:proofErr w:type="gramEnd"/>
      <w:r w:rsidRPr="007968CB">
        <w:rPr>
          <w:rFonts w:ascii="Arial" w:hAnsi="Arial" w:cs="Arial"/>
          <w:sz w:val="24"/>
          <w:szCs w:val="24"/>
        </w:rPr>
        <w:t xml:space="preserve"> and Meyer, I.H. (2023). Violent victimization at the intersections of sexual orientation, gender identity, and race: National Crime Victimization Survey, 2017–2019. PLOS ONE, 18(2), p.e0281641. </w:t>
      </w:r>
      <w:proofErr w:type="spellStart"/>
      <w:proofErr w:type="gramStart"/>
      <w:r w:rsidRPr="007968CB">
        <w:rPr>
          <w:rFonts w:ascii="Arial" w:hAnsi="Arial" w:cs="Arial"/>
          <w:sz w:val="24"/>
          <w:szCs w:val="24"/>
        </w:rPr>
        <w:t>doi:https</w:t>
      </w:r>
      <w:proofErr w:type="spellEnd"/>
      <w:r w:rsidRPr="007968CB">
        <w:rPr>
          <w:rFonts w:ascii="Arial" w:hAnsi="Arial" w:cs="Arial"/>
          <w:sz w:val="24"/>
          <w:szCs w:val="24"/>
        </w:rPr>
        <w:t>://doi.org/10.1371/journal.pone.0281641</w:t>
      </w:r>
      <w:proofErr w:type="gramEnd"/>
      <w:r w:rsidRPr="007968CB">
        <w:rPr>
          <w:rFonts w:ascii="Arial" w:hAnsi="Arial" w:cs="Arial"/>
          <w:sz w:val="24"/>
          <w:szCs w:val="24"/>
        </w:rPr>
        <w:t>.</w:t>
      </w:r>
    </w:p>
    <w:p w14:paraId="298423F1" w14:textId="21E4CD2B" w:rsidR="0050304A" w:rsidRPr="007968CB" w:rsidRDefault="0056143A" w:rsidP="00FF3553">
      <w:pPr>
        <w:rPr>
          <w:rFonts w:ascii="Arial" w:hAnsi="Arial" w:cs="Arial"/>
          <w:sz w:val="24"/>
          <w:szCs w:val="24"/>
        </w:rPr>
      </w:pPr>
      <w:r w:rsidRPr="007968CB">
        <w:rPr>
          <w:rFonts w:ascii="Arial" w:hAnsi="Arial" w:cs="Arial"/>
          <w:sz w:val="24"/>
          <w:szCs w:val="24"/>
        </w:rPr>
        <w:t xml:space="preserve">GOV.UK (2021). Innovating to tackle reoffending - Civil Service. [online] civilservice.blog.gov.uk. Available at: </w:t>
      </w:r>
      <w:hyperlink r:id="rId4" w:history="1">
        <w:r w:rsidR="0050304A" w:rsidRPr="007968CB">
          <w:rPr>
            <w:rStyle w:val="Hyperlink"/>
            <w:rFonts w:ascii="Arial" w:hAnsi="Arial" w:cs="Arial"/>
            <w:sz w:val="24"/>
            <w:szCs w:val="24"/>
          </w:rPr>
          <w:t>https://civilservice.blog.gov.uk/2021/06/28/innovating-to-tackle-reoffending/</w:t>
        </w:r>
      </w:hyperlink>
      <w:r w:rsidRPr="007968CB">
        <w:rPr>
          <w:rFonts w:ascii="Arial" w:hAnsi="Arial" w:cs="Arial"/>
          <w:sz w:val="24"/>
          <w:szCs w:val="24"/>
        </w:rPr>
        <w:t>.</w:t>
      </w:r>
    </w:p>
    <w:p w14:paraId="1F9181B0" w14:textId="2B3028BF" w:rsidR="0050304A" w:rsidRPr="007968CB" w:rsidRDefault="0056143A" w:rsidP="00FF3553">
      <w:pPr>
        <w:rPr>
          <w:rFonts w:ascii="Arial" w:hAnsi="Arial" w:cs="Arial"/>
          <w:sz w:val="24"/>
          <w:szCs w:val="24"/>
        </w:rPr>
      </w:pPr>
      <w:r w:rsidRPr="007968CB">
        <w:rPr>
          <w:rFonts w:ascii="Arial" w:hAnsi="Arial" w:cs="Arial"/>
          <w:sz w:val="24"/>
          <w:szCs w:val="24"/>
        </w:rPr>
        <w:t xml:space="preserve">Halliday, J. (2022). Doctor interrupted nurse Lucy Letby’s attempt to kill newborn baby, court told. [online] the Guardian. Available at: </w:t>
      </w:r>
      <w:hyperlink r:id="rId5" w:history="1">
        <w:r w:rsidR="0050304A" w:rsidRPr="007968CB">
          <w:rPr>
            <w:rStyle w:val="Hyperlink"/>
            <w:rFonts w:ascii="Arial" w:hAnsi="Arial" w:cs="Arial"/>
            <w:sz w:val="24"/>
            <w:szCs w:val="24"/>
          </w:rPr>
          <w:t>https://www.theguardian.com/uk-news/2022/oct/12/lucy-letby-mother-bathed-baby-court</w:t>
        </w:r>
      </w:hyperlink>
      <w:r w:rsidRPr="007968CB">
        <w:rPr>
          <w:rFonts w:ascii="Arial" w:hAnsi="Arial" w:cs="Arial"/>
          <w:sz w:val="24"/>
          <w:szCs w:val="24"/>
        </w:rPr>
        <w:t>.</w:t>
      </w:r>
    </w:p>
    <w:p w14:paraId="76A84C3F" w14:textId="77777777" w:rsidR="0050304A" w:rsidRPr="007968CB" w:rsidRDefault="0056143A" w:rsidP="00FF3553">
      <w:pPr>
        <w:rPr>
          <w:rFonts w:ascii="Arial" w:hAnsi="Arial" w:cs="Arial"/>
          <w:sz w:val="24"/>
          <w:szCs w:val="24"/>
        </w:rPr>
      </w:pPr>
      <w:r w:rsidRPr="007968CB">
        <w:rPr>
          <w:rFonts w:ascii="Arial" w:hAnsi="Arial" w:cs="Arial"/>
          <w:sz w:val="24"/>
          <w:szCs w:val="24"/>
        </w:rPr>
        <w:t>https://phdessay.com/author/dan (2016). Women in the 21st Century. [online] Free Essays - PhDessay.com. Available at: https://phdessay.com/women-in-the-21st-century/ [Accessed 16 Jan. 2020].</w:t>
      </w:r>
    </w:p>
    <w:p w14:paraId="66457134" w14:textId="77777777" w:rsidR="0050304A" w:rsidRPr="007968CB" w:rsidRDefault="0056143A" w:rsidP="00FF3553">
      <w:pPr>
        <w:rPr>
          <w:rFonts w:ascii="Arial" w:hAnsi="Arial" w:cs="Arial"/>
          <w:sz w:val="24"/>
          <w:szCs w:val="24"/>
        </w:rPr>
      </w:pPr>
      <w:proofErr w:type="spellStart"/>
      <w:r w:rsidRPr="007968CB">
        <w:rPr>
          <w:rFonts w:ascii="Arial" w:hAnsi="Arial" w:cs="Arial"/>
          <w:sz w:val="24"/>
          <w:szCs w:val="24"/>
        </w:rPr>
        <w:t>Lightowlers</w:t>
      </w:r>
      <w:proofErr w:type="spellEnd"/>
      <w:r w:rsidRPr="007968CB">
        <w:rPr>
          <w:rFonts w:ascii="Arial" w:hAnsi="Arial" w:cs="Arial"/>
          <w:sz w:val="24"/>
          <w:szCs w:val="24"/>
        </w:rPr>
        <w:t xml:space="preserve">, C. (2018). Drunk and Doubly Deviant? the Role of Gender and Intoxication in Sentencing Assault Offences. The British Journal of Criminology, [online] 59(3), pp.693–717. </w:t>
      </w:r>
      <w:proofErr w:type="spellStart"/>
      <w:proofErr w:type="gramStart"/>
      <w:r w:rsidRPr="007968CB">
        <w:rPr>
          <w:rFonts w:ascii="Arial" w:hAnsi="Arial" w:cs="Arial"/>
          <w:sz w:val="24"/>
          <w:szCs w:val="24"/>
        </w:rPr>
        <w:t>doi:https</w:t>
      </w:r>
      <w:proofErr w:type="spellEnd"/>
      <w:r w:rsidRPr="007968CB">
        <w:rPr>
          <w:rFonts w:ascii="Arial" w:hAnsi="Arial" w:cs="Arial"/>
          <w:sz w:val="24"/>
          <w:szCs w:val="24"/>
        </w:rPr>
        <w:t>://doi.org/10.1093/</w:t>
      </w:r>
      <w:proofErr w:type="spellStart"/>
      <w:r w:rsidRPr="007968CB">
        <w:rPr>
          <w:rFonts w:ascii="Arial" w:hAnsi="Arial" w:cs="Arial"/>
          <w:sz w:val="24"/>
          <w:szCs w:val="24"/>
        </w:rPr>
        <w:t>bjc</w:t>
      </w:r>
      <w:proofErr w:type="spellEnd"/>
      <w:r w:rsidRPr="007968CB">
        <w:rPr>
          <w:rFonts w:ascii="Arial" w:hAnsi="Arial" w:cs="Arial"/>
          <w:sz w:val="24"/>
          <w:szCs w:val="24"/>
        </w:rPr>
        <w:t>/azy041</w:t>
      </w:r>
      <w:proofErr w:type="gramEnd"/>
      <w:r w:rsidRPr="007968CB">
        <w:rPr>
          <w:rFonts w:ascii="Arial" w:hAnsi="Arial" w:cs="Arial"/>
          <w:sz w:val="24"/>
          <w:szCs w:val="24"/>
        </w:rPr>
        <w:t>.</w:t>
      </w:r>
    </w:p>
    <w:p w14:paraId="2E5769F5" w14:textId="77777777" w:rsidR="006050F6" w:rsidRPr="007968CB" w:rsidRDefault="0056143A" w:rsidP="00FF3553">
      <w:pPr>
        <w:rPr>
          <w:rFonts w:ascii="Arial" w:hAnsi="Arial" w:cs="Arial"/>
          <w:sz w:val="24"/>
          <w:szCs w:val="24"/>
        </w:rPr>
      </w:pPr>
      <w:r w:rsidRPr="007968CB">
        <w:rPr>
          <w:rFonts w:ascii="Arial" w:hAnsi="Arial" w:cs="Arial"/>
          <w:sz w:val="24"/>
          <w:szCs w:val="24"/>
        </w:rPr>
        <w:t>Lindberg, S. (2020). Maternal Instinct: Does It Really Exist? [online] Healthline. Available at: https://www.healthline.com/health/parenting/maternal-instinct#:~:text=Parents-to-be%2C%20experienced%20parents%2C%20and%20those%20thinking%20about%20having [Accessed 5 Oct. 2023].</w:t>
      </w:r>
    </w:p>
    <w:p w14:paraId="14F7E7B8" w14:textId="70F4CEFE" w:rsidR="006050F6" w:rsidRPr="007968CB" w:rsidRDefault="0056143A" w:rsidP="00FF3553">
      <w:pPr>
        <w:rPr>
          <w:rFonts w:ascii="Arial" w:hAnsi="Arial" w:cs="Arial"/>
          <w:sz w:val="24"/>
          <w:szCs w:val="24"/>
        </w:rPr>
      </w:pPr>
      <w:r w:rsidRPr="007968CB">
        <w:rPr>
          <w:rFonts w:ascii="Arial" w:hAnsi="Arial" w:cs="Arial"/>
          <w:sz w:val="24"/>
          <w:szCs w:val="24"/>
        </w:rPr>
        <w:t xml:space="preserve">Malon, K. (2020). Gender Differences and Sentencing: A Critical Literature Review Kieran Malon. [online] Available at: </w:t>
      </w:r>
      <w:hyperlink r:id="rId6" w:history="1">
        <w:r w:rsidR="006050F6" w:rsidRPr="007968CB">
          <w:rPr>
            <w:rStyle w:val="Hyperlink"/>
            <w:rFonts w:ascii="Arial" w:hAnsi="Arial" w:cs="Arial"/>
            <w:sz w:val="24"/>
            <w:szCs w:val="24"/>
          </w:rPr>
          <w:t>https://crimsoc.hull.ac.uk/wp-content/uploads/2020/06/2020_Malon_Criminology_Sentencing_Gender.pdf</w:t>
        </w:r>
      </w:hyperlink>
      <w:r w:rsidRPr="007968CB">
        <w:rPr>
          <w:rFonts w:ascii="Arial" w:hAnsi="Arial" w:cs="Arial"/>
          <w:sz w:val="24"/>
          <w:szCs w:val="24"/>
        </w:rPr>
        <w:t>.</w:t>
      </w:r>
    </w:p>
    <w:p w14:paraId="274F6502" w14:textId="13847E85" w:rsidR="006050F6" w:rsidRPr="007968CB" w:rsidRDefault="0056143A" w:rsidP="00FF3553">
      <w:pPr>
        <w:rPr>
          <w:rFonts w:ascii="Arial" w:hAnsi="Arial" w:cs="Arial"/>
          <w:sz w:val="24"/>
          <w:szCs w:val="24"/>
        </w:rPr>
      </w:pPr>
      <w:r w:rsidRPr="007968CB">
        <w:rPr>
          <w:rFonts w:ascii="Arial" w:hAnsi="Arial" w:cs="Arial"/>
          <w:sz w:val="24"/>
          <w:szCs w:val="24"/>
        </w:rPr>
        <w:t xml:space="preserve">Mandal, K. (2019). Why Female Prisoners Should be Treated Differently </w:t>
      </w:r>
      <w:proofErr w:type="gramStart"/>
      <w:r w:rsidRPr="007968CB">
        <w:rPr>
          <w:rFonts w:ascii="Arial" w:hAnsi="Arial" w:cs="Arial"/>
          <w:sz w:val="24"/>
          <w:szCs w:val="24"/>
        </w:rPr>
        <w:t>From</w:t>
      </w:r>
      <w:proofErr w:type="gramEnd"/>
      <w:r w:rsidRPr="007968CB">
        <w:rPr>
          <w:rFonts w:ascii="Arial" w:hAnsi="Arial" w:cs="Arial"/>
          <w:sz w:val="24"/>
          <w:szCs w:val="24"/>
        </w:rPr>
        <w:t xml:space="preserve"> Men. [online] The Wire. Available at: </w:t>
      </w:r>
      <w:hyperlink r:id="rId7" w:history="1">
        <w:r w:rsidR="006050F6" w:rsidRPr="007968CB">
          <w:rPr>
            <w:rStyle w:val="Hyperlink"/>
            <w:rFonts w:ascii="Arial" w:hAnsi="Arial" w:cs="Arial"/>
            <w:sz w:val="24"/>
            <w:szCs w:val="24"/>
          </w:rPr>
          <w:t>https://thewire.in/rights/why-female-prisoners-should-be-treated-differently-from-men</w:t>
        </w:r>
      </w:hyperlink>
      <w:r w:rsidRPr="007968CB">
        <w:rPr>
          <w:rFonts w:ascii="Arial" w:hAnsi="Arial" w:cs="Arial"/>
          <w:sz w:val="24"/>
          <w:szCs w:val="24"/>
        </w:rPr>
        <w:t>.</w:t>
      </w:r>
    </w:p>
    <w:p w14:paraId="039767E5" w14:textId="7D462B05" w:rsidR="006050F6" w:rsidRPr="007968CB" w:rsidRDefault="0056143A" w:rsidP="00FF3553">
      <w:pPr>
        <w:rPr>
          <w:rFonts w:ascii="Arial" w:hAnsi="Arial" w:cs="Arial"/>
          <w:sz w:val="24"/>
          <w:szCs w:val="24"/>
        </w:rPr>
      </w:pPr>
      <w:r w:rsidRPr="007968CB">
        <w:rPr>
          <w:rFonts w:ascii="Arial" w:hAnsi="Arial" w:cs="Arial"/>
          <w:sz w:val="24"/>
          <w:szCs w:val="24"/>
        </w:rPr>
        <w:lastRenderedPageBreak/>
        <w:t xml:space="preserve">Menis, S. (2020). A History of Women’s Prisons in England. [online] Available at: </w:t>
      </w:r>
      <w:hyperlink r:id="rId8" w:history="1">
        <w:r w:rsidR="006050F6" w:rsidRPr="007968CB">
          <w:rPr>
            <w:rStyle w:val="Hyperlink"/>
            <w:rFonts w:ascii="Arial" w:hAnsi="Arial" w:cs="Arial"/>
            <w:sz w:val="24"/>
            <w:szCs w:val="24"/>
          </w:rPr>
          <w:t>https://www.cambridgescholars.com/resources/pdfs/978-1-5275-4183-2-sample.pdf</w:t>
        </w:r>
      </w:hyperlink>
      <w:r w:rsidRPr="007968CB">
        <w:rPr>
          <w:rFonts w:ascii="Arial" w:hAnsi="Arial" w:cs="Arial"/>
          <w:sz w:val="24"/>
          <w:szCs w:val="24"/>
        </w:rPr>
        <w:t>.</w:t>
      </w:r>
    </w:p>
    <w:p w14:paraId="314FCA09" w14:textId="5F1A95C9" w:rsidR="006050F6" w:rsidRPr="007968CB" w:rsidRDefault="0056143A" w:rsidP="00FF3553">
      <w:pPr>
        <w:rPr>
          <w:rFonts w:ascii="Arial" w:hAnsi="Arial" w:cs="Arial"/>
          <w:sz w:val="24"/>
          <w:szCs w:val="24"/>
        </w:rPr>
      </w:pPr>
      <w:r w:rsidRPr="007968CB">
        <w:rPr>
          <w:rFonts w:ascii="Arial" w:hAnsi="Arial" w:cs="Arial"/>
          <w:sz w:val="24"/>
          <w:szCs w:val="24"/>
        </w:rPr>
        <w:t xml:space="preserve">Ministry of Justice (2022). Criminal Justice Statistics quarterly, England </w:t>
      </w:r>
      <w:proofErr w:type="gramStart"/>
      <w:r w:rsidRPr="007968CB">
        <w:rPr>
          <w:rFonts w:ascii="Arial" w:hAnsi="Arial" w:cs="Arial"/>
          <w:sz w:val="24"/>
          <w:szCs w:val="24"/>
        </w:rPr>
        <w:t>and  Wales</w:t>
      </w:r>
      <w:proofErr w:type="gramEnd"/>
      <w:r w:rsidRPr="007968CB">
        <w:rPr>
          <w:rFonts w:ascii="Arial" w:hAnsi="Arial" w:cs="Arial"/>
          <w:sz w:val="24"/>
          <w:szCs w:val="24"/>
        </w:rPr>
        <w:t xml:space="preserve">, year ending December 2021 (annual). [online] Criminal Justice </w:t>
      </w:r>
      <w:proofErr w:type="gramStart"/>
      <w:r w:rsidRPr="007968CB">
        <w:rPr>
          <w:rFonts w:ascii="Arial" w:hAnsi="Arial" w:cs="Arial"/>
          <w:sz w:val="24"/>
          <w:szCs w:val="24"/>
        </w:rPr>
        <w:t>statistics .</w:t>
      </w:r>
      <w:proofErr w:type="gramEnd"/>
      <w:r w:rsidRPr="007968CB">
        <w:rPr>
          <w:rFonts w:ascii="Arial" w:hAnsi="Arial" w:cs="Arial"/>
          <w:sz w:val="24"/>
          <w:szCs w:val="24"/>
        </w:rPr>
        <w:t xml:space="preserve"> Available </w:t>
      </w:r>
      <w:proofErr w:type="gramStart"/>
      <w:r w:rsidRPr="007968CB">
        <w:rPr>
          <w:rFonts w:ascii="Arial" w:hAnsi="Arial" w:cs="Arial"/>
          <w:sz w:val="24"/>
          <w:szCs w:val="24"/>
        </w:rPr>
        <w:t>at:https://assets.publishing.service.gov.uk/government/uploads/system/uploads/attachment_data/file/1076569/cjs-bulletin-december-2021.pdf.Office</w:t>
      </w:r>
      <w:proofErr w:type="gramEnd"/>
      <w:r w:rsidRPr="007968CB">
        <w:rPr>
          <w:rFonts w:ascii="Arial" w:hAnsi="Arial" w:cs="Arial"/>
          <w:sz w:val="24"/>
          <w:szCs w:val="24"/>
        </w:rPr>
        <w:t xml:space="preserve"> for National Statistics (2022). Population estimates for the UK, England, Wales, </w:t>
      </w:r>
      <w:proofErr w:type="gramStart"/>
      <w:r w:rsidRPr="007968CB">
        <w:rPr>
          <w:rFonts w:ascii="Arial" w:hAnsi="Arial" w:cs="Arial"/>
          <w:sz w:val="24"/>
          <w:szCs w:val="24"/>
        </w:rPr>
        <w:t>Scotland</w:t>
      </w:r>
      <w:proofErr w:type="gramEnd"/>
      <w:r w:rsidRPr="007968CB">
        <w:rPr>
          <w:rFonts w:ascii="Arial" w:hAnsi="Arial" w:cs="Arial"/>
          <w:sz w:val="24"/>
          <w:szCs w:val="24"/>
        </w:rPr>
        <w:t xml:space="preserve"> and Northern Ireland </w:t>
      </w:r>
      <w:r w:rsidR="006050F6" w:rsidRPr="007968CB">
        <w:rPr>
          <w:rFonts w:ascii="Arial" w:hAnsi="Arial" w:cs="Arial"/>
          <w:sz w:val="24"/>
          <w:szCs w:val="24"/>
        </w:rPr>
        <w:t>–</w:t>
      </w:r>
      <w:r w:rsidRPr="007968CB">
        <w:rPr>
          <w:rFonts w:ascii="Arial" w:hAnsi="Arial" w:cs="Arial"/>
          <w:sz w:val="24"/>
          <w:szCs w:val="24"/>
        </w:rPr>
        <w:t xml:space="preserve"> </w:t>
      </w:r>
    </w:p>
    <w:p w14:paraId="51D2FA95" w14:textId="30F7DAA0" w:rsidR="006050F6" w:rsidRPr="007968CB" w:rsidRDefault="0056143A" w:rsidP="00FF3553">
      <w:pPr>
        <w:rPr>
          <w:rFonts w:ascii="Arial" w:hAnsi="Arial" w:cs="Arial"/>
          <w:sz w:val="24"/>
          <w:szCs w:val="24"/>
        </w:rPr>
      </w:pPr>
      <w:r w:rsidRPr="007968CB">
        <w:rPr>
          <w:rFonts w:ascii="Arial" w:hAnsi="Arial" w:cs="Arial"/>
          <w:sz w:val="24"/>
          <w:szCs w:val="24"/>
        </w:rPr>
        <w:t xml:space="preserve">Office for National Statistics. [online] www.ons.gov.uk. Available at: </w:t>
      </w:r>
      <w:hyperlink r:id="rId9" w:history="1">
        <w:r w:rsidR="006050F6" w:rsidRPr="007968CB">
          <w:rPr>
            <w:rStyle w:val="Hyperlink"/>
            <w:rFonts w:ascii="Arial" w:hAnsi="Arial" w:cs="Arial"/>
            <w:sz w:val="24"/>
            <w:szCs w:val="24"/>
          </w:rPr>
          <w:t>https://www.ons.gov.uk/peoplepopulationandcommunity/populationandmigration/populationestimates/bulletins/annualmidyearpopulationestimates/mid2021</w:t>
        </w:r>
      </w:hyperlink>
      <w:r w:rsidRPr="007968CB">
        <w:rPr>
          <w:rFonts w:ascii="Arial" w:hAnsi="Arial" w:cs="Arial"/>
          <w:sz w:val="24"/>
          <w:szCs w:val="24"/>
        </w:rPr>
        <w:t>.</w:t>
      </w:r>
    </w:p>
    <w:p w14:paraId="4CC63E5F" w14:textId="7E81CC39" w:rsidR="006050F6" w:rsidRPr="007968CB" w:rsidRDefault="0056143A" w:rsidP="00FF3553">
      <w:pPr>
        <w:rPr>
          <w:rFonts w:ascii="Arial" w:hAnsi="Arial" w:cs="Arial"/>
          <w:sz w:val="24"/>
          <w:szCs w:val="24"/>
        </w:rPr>
      </w:pPr>
      <w:r w:rsidRPr="007968CB">
        <w:rPr>
          <w:rFonts w:ascii="Arial" w:hAnsi="Arial" w:cs="Arial"/>
          <w:sz w:val="24"/>
          <w:szCs w:val="24"/>
        </w:rPr>
        <w:t xml:space="preserve">Ornella, A. (2020a). Gender Differences and Sentencing: A Critical Literature Review | Criminology &amp; Sociology Hull – Student Research Journal. [online] crimsoc.hull.ac.uk. Available at: </w:t>
      </w:r>
      <w:hyperlink r:id="rId10" w:history="1">
        <w:r w:rsidR="006050F6" w:rsidRPr="007968CB">
          <w:rPr>
            <w:rStyle w:val="Hyperlink"/>
            <w:rFonts w:ascii="Arial" w:hAnsi="Arial" w:cs="Arial"/>
            <w:sz w:val="24"/>
            <w:szCs w:val="24"/>
          </w:rPr>
          <w:t>https://crimsoc.hull.ac.uk/2020/06/18/gender-differences-and-sentencing/</w:t>
        </w:r>
      </w:hyperlink>
      <w:r w:rsidRPr="007968CB">
        <w:rPr>
          <w:rFonts w:ascii="Arial" w:hAnsi="Arial" w:cs="Arial"/>
          <w:sz w:val="24"/>
          <w:szCs w:val="24"/>
        </w:rPr>
        <w:t>.</w:t>
      </w:r>
    </w:p>
    <w:p w14:paraId="6CE7CABB" w14:textId="5625A660" w:rsidR="006050F6" w:rsidRPr="007968CB" w:rsidRDefault="0056143A" w:rsidP="00FF3553">
      <w:pPr>
        <w:rPr>
          <w:rFonts w:ascii="Arial" w:hAnsi="Arial" w:cs="Arial"/>
          <w:sz w:val="24"/>
          <w:szCs w:val="24"/>
        </w:rPr>
      </w:pPr>
      <w:r w:rsidRPr="007968CB">
        <w:rPr>
          <w:rFonts w:ascii="Arial" w:hAnsi="Arial" w:cs="Arial"/>
          <w:sz w:val="24"/>
          <w:szCs w:val="24"/>
        </w:rPr>
        <w:t xml:space="preserve">Ornella, A. (2020b). Women in Prison: From a critical analysis of female imprisonment, towards a female centred approach to penology | Criminology &amp; Sociology Hull – Student Research Journal. [online] crimsoc.hull.ac.uk. Available at: </w:t>
      </w:r>
      <w:hyperlink r:id="rId11" w:history="1">
        <w:r w:rsidR="006050F6" w:rsidRPr="007968CB">
          <w:rPr>
            <w:rStyle w:val="Hyperlink"/>
            <w:rFonts w:ascii="Arial" w:hAnsi="Arial" w:cs="Arial"/>
            <w:sz w:val="24"/>
            <w:szCs w:val="24"/>
          </w:rPr>
          <w:t>https://crimsoc.hull.ac.uk/2020/06/24/women-in-prison/</w:t>
        </w:r>
      </w:hyperlink>
      <w:r w:rsidRPr="007968CB">
        <w:rPr>
          <w:rFonts w:ascii="Arial" w:hAnsi="Arial" w:cs="Arial"/>
          <w:sz w:val="24"/>
          <w:szCs w:val="24"/>
        </w:rPr>
        <w:t>.</w:t>
      </w:r>
    </w:p>
    <w:p w14:paraId="2A4AF76D" w14:textId="77777777" w:rsidR="007968CB" w:rsidRPr="007968CB" w:rsidRDefault="0056143A" w:rsidP="00FF3553">
      <w:pPr>
        <w:rPr>
          <w:rFonts w:ascii="Arial" w:hAnsi="Arial" w:cs="Arial"/>
          <w:sz w:val="24"/>
          <w:szCs w:val="24"/>
        </w:rPr>
      </w:pPr>
      <w:r w:rsidRPr="007968CB">
        <w:rPr>
          <w:rFonts w:ascii="Arial" w:hAnsi="Arial" w:cs="Arial"/>
          <w:sz w:val="24"/>
          <w:szCs w:val="24"/>
        </w:rPr>
        <w:t>Sawer, P. (2023). Lucy Letby joins Myra Hindley on list of UK’s worst child serial killers. The Telegraph. [online] 18 Aug. Available at: https://www.telegraph.co.uk/news/2023/08/18/lucy-letby-ian-brady-uk-worst-serial-child-killers/ [Accessed 3 Nov. 2023].</w:t>
      </w:r>
    </w:p>
    <w:p w14:paraId="1ADB2D90" w14:textId="77777777" w:rsidR="007968CB" w:rsidRPr="007968CB" w:rsidRDefault="0056143A" w:rsidP="00FF3553">
      <w:pPr>
        <w:rPr>
          <w:rFonts w:ascii="Arial" w:hAnsi="Arial" w:cs="Arial"/>
          <w:sz w:val="24"/>
          <w:szCs w:val="24"/>
        </w:rPr>
      </w:pPr>
      <w:r w:rsidRPr="007968CB">
        <w:rPr>
          <w:rFonts w:ascii="Arial" w:hAnsi="Arial" w:cs="Arial"/>
          <w:sz w:val="24"/>
          <w:szCs w:val="24"/>
        </w:rPr>
        <w:t>Sawer, P. and Bolton, W. (2023). Lucy Letby: Quiet ‘geek’ who became a killer feared she would never have children of her own. The Telegraph. [online] 18 Aug. Available at: https://www.telegraph.co.uk/news/2023/08/18/how-lucy-letby-became-britains-most-prolific-baby-killer/ [Accessed 3 Nov. 2023].</w:t>
      </w:r>
    </w:p>
    <w:p w14:paraId="06FF50FB" w14:textId="77777777" w:rsidR="007968CB" w:rsidRPr="007968CB" w:rsidRDefault="0056143A" w:rsidP="00FF3553">
      <w:pPr>
        <w:rPr>
          <w:rFonts w:ascii="Arial" w:hAnsi="Arial" w:cs="Arial"/>
          <w:sz w:val="24"/>
          <w:szCs w:val="24"/>
        </w:rPr>
      </w:pPr>
      <w:r w:rsidRPr="007968CB">
        <w:rPr>
          <w:rFonts w:ascii="Arial" w:hAnsi="Arial" w:cs="Arial"/>
          <w:sz w:val="24"/>
          <w:szCs w:val="24"/>
        </w:rPr>
        <w:t xml:space="preserve">Smith, P. (2022). Number Of Prisons </w:t>
      </w:r>
      <w:proofErr w:type="gramStart"/>
      <w:r w:rsidRPr="007968CB">
        <w:rPr>
          <w:rFonts w:ascii="Arial" w:hAnsi="Arial" w:cs="Arial"/>
          <w:sz w:val="24"/>
          <w:szCs w:val="24"/>
        </w:rPr>
        <w:t>And</w:t>
      </w:r>
      <w:proofErr w:type="gramEnd"/>
      <w:r w:rsidRPr="007968CB">
        <w:rPr>
          <w:rFonts w:ascii="Arial" w:hAnsi="Arial" w:cs="Arial"/>
          <w:sz w:val="24"/>
          <w:szCs w:val="24"/>
        </w:rPr>
        <w:t xml:space="preserve"> Prisoners In England And Wales | Historic Cornwall. [online] www.historic-cornwall.org.uk. Available at: https://www.historic-cornwall.org.uk/number-of-prisons-and-prisoners-in-england-and-wales/#:~:text=The%20total%20number%20of%20prisoners%20in%20England%20and [Accessed 20 Oct. 2023].</w:t>
      </w:r>
    </w:p>
    <w:p w14:paraId="2079E914" w14:textId="43C1DADD" w:rsidR="007968CB" w:rsidRPr="007968CB" w:rsidRDefault="0056143A" w:rsidP="00FF3553">
      <w:pPr>
        <w:rPr>
          <w:rFonts w:ascii="Arial" w:hAnsi="Arial" w:cs="Arial"/>
          <w:sz w:val="24"/>
          <w:szCs w:val="24"/>
        </w:rPr>
      </w:pPr>
      <w:r w:rsidRPr="007968CB">
        <w:rPr>
          <w:rFonts w:ascii="Arial" w:hAnsi="Arial" w:cs="Arial"/>
          <w:sz w:val="24"/>
          <w:szCs w:val="24"/>
        </w:rPr>
        <w:t xml:space="preserve">Stevenson, D.R., Kusz, D.J., Lyons, D.T. and Fabian, D.S. (2023). 11.1 Foundations of Feminist Criminology. kpu.pressbooks.pub. [online] Available at: </w:t>
      </w:r>
      <w:hyperlink r:id="rId12" w:history="1">
        <w:r w:rsidR="007968CB" w:rsidRPr="007968CB">
          <w:rPr>
            <w:rStyle w:val="Hyperlink"/>
            <w:rFonts w:ascii="Arial" w:hAnsi="Arial" w:cs="Arial"/>
            <w:sz w:val="24"/>
            <w:szCs w:val="24"/>
          </w:rPr>
          <w:t>https://kpu.pressbooks.pub/introcrim/chapter/11-1-foundations-of-feminist-criminology/</w:t>
        </w:r>
      </w:hyperlink>
      <w:r w:rsidRPr="007968CB">
        <w:rPr>
          <w:rFonts w:ascii="Arial" w:hAnsi="Arial" w:cs="Arial"/>
          <w:sz w:val="24"/>
          <w:szCs w:val="24"/>
        </w:rPr>
        <w:t>.</w:t>
      </w:r>
    </w:p>
    <w:p w14:paraId="25A92A13" w14:textId="0BD25E57" w:rsidR="0056143A" w:rsidRPr="00D54BB3" w:rsidRDefault="0056143A" w:rsidP="00FF3553">
      <w:pPr>
        <w:rPr>
          <w:rFonts w:ascii="Arial" w:hAnsi="Arial" w:cs="Arial"/>
          <w:sz w:val="24"/>
          <w:szCs w:val="24"/>
        </w:rPr>
      </w:pPr>
      <w:r w:rsidRPr="007968CB">
        <w:rPr>
          <w:rFonts w:ascii="Arial" w:hAnsi="Arial" w:cs="Arial"/>
          <w:sz w:val="24"/>
          <w:szCs w:val="24"/>
        </w:rPr>
        <w:t>Sturge, G. and Tunnicliffe, R. (2022). UK Prison Population Statistics. commonslibrary.parliament.uk, [online] CBP-04334(04334). Available at: https://commonslibrary.parliament.uk/research-briefings/sn04334/.</w:t>
      </w:r>
    </w:p>
    <w:sectPr w:rsidR="0056143A" w:rsidRPr="00D54B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BB3"/>
    <w:rsid w:val="0000159B"/>
    <w:rsid w:val="00002A33"/>
    <w:rsid w:val="000065FE"/>
    <w:rsid w:val="00036733"/>
    <w:rsid w:val="00037666"/>
    <w:rsid w:val="00042B20"/>
    <w:rsid w:val="00045B03"/>
    <w:rsid w:val="00054C1B"/>
    <w:rsid w:val="00065960"/>
    <w:rsid w:val="00073C8B"/>
    <w:rsid w:val="00075B0A"/>
    <w:rsid w:val="000D6FB8"/>
    <w:rsid w:val="000E0122"/>
    <w:rsid w:val="0010635F"/>
    <w:rsid w:val="00121F5F"/>
    <w:rsid w:val="00150778"/>
    <w:rsid w:val="0015242B"/>
    <w:rsid w:val="001544A9"/>
    <w:rsid w:val="00163BFC"/>
    <w:rsid w:val="001933A4"/>
    <w:rsid w:val="001964B2"/>
    <w:rsid w:val="002137EE"/>
    <w:rsid w:val="00240187"/>
    <w:rsid w:val="002A4991"/>
    <w:rsid w:val="002A7D87"/>
    <w:rsid w:val="002A7ECE"/>
    <w:rsid w:val="002C6E7E"/>
    <w:rsid w:val="002F1052"/>
    <w:rsid w:val="002F33FD"/>
    <w:rsid w:val="00302F8B"/>
    <w:rsid w:val="00316B88"/>
    <w:rsid w:val="00334CF4"/>
    <w:rsid w:val="00361622"/>
    <w:rsid w:val="00363232"/>
    <w:rsid w:val="00385166"/>
    <w:rsid w:val="003C6E76"/>
    <w:rsid w:val="003D6E27"/>
    <w:rsid w:val="00422079"/>
    <w:rsid w:val="00433F61"/>
    <w:rsid w:val="004372CD"/>
    <w:rsid w:val="00444515"/>
    <w:rsid w:val="004446AD"/>
    <w:rsid w:val="0047409C"/>
    <w:rsid w:val="00497D46"/>
    <w:rsid w:val="004B53E0"/>
    <w:rsid w:val="004D5DC5"/>
    <w:rsid w:val="004D6551"/>
    <w:rsid w:val="004E538E"/>
    <w:rsid w:val="0050304A"/>
    <w:rsid w:val="00533B3E"/>
    <w:rsid w:val="00550BDC"/>
    <w:rsid w:val="0056143A"/>
    <w:rsid w:val="0058618E"/>
    <w:rsid w:val="00594D63"/>
    <w:rsid w:val="0059559D"/>
    <w:rsid w:val="00596BCA"/>
    <w:rsid w:val="0059744A"/>
    <w:rsid w:val="005A4051"/>
    <w:rsid w:val="005A4937"/>
    <w:rsid w:val="005B7779"/>
    <w:rsid w:val="005C2C48"/>
    <w:rsid w:val="005F04F1"/>
    <w:rsid w:val="006050F6"/>
    <w:rsid w:val="00635CAD"/>
    <w:rsid w:val="006567C0"/>
    <w:rsid w:val="006578B9"/>
    <w:rsid w:val="00662BFF"/>
    <w:rsid w:val="0069331C"/>
    <w:rsid w:val="006A08AA"/>
    <w:rsid w:val="006C1043"/>
    <w:rsid w:val="006C38BF"/>
    <w:rsid w:val="006E3F03"/>
    <w:rsid w:val="0070096A"/>
    <w:rsid w:val="007178C3"/>
    <w:rsid w:val="007236EC"/>
    <w:rsid w:val="007328B4"/>
    <w:rsid w:val="00747B72"/>
    <w:rsid w:val="0076348A"/>
    <w:rsid w:val="00777EEB"/>
    <w:rsid w:val="0078572C"/>
    <w:rsid w:val="007968CB"/>
    <w:rsid w:val="007A09F4"/>
    <w:rsid w:val="007B43AC"/>
    <w:rsid w:val="007C3108"/>
    <w:rsid w:val="007C7024"/>
    <w:rsid w:val="007C74AF"/>
    <w:rsid w:val="008079F3"/>
    <w:rsid w:val="00820766"/>
    <w:rsid w:val="00825173"/>
    <w:rsid w:val="0082534D"/>
    <w:rsid w:val="00850DE1"/>
    <w:rsid w:val="008521AA"/>
    <w:rsid w:val="008760CE"/>
    <w:rsid w:val="00876683"/>
    <w:rsid w:val="0087776E"/>
    <w:rsid w:val="008A5BB6"/>
    <w:rsid w:val="008A7845"/>
    <w:rsid w:val="008B5B74"/>
    <w:rsid w:val="00902E5B"/>
    <w:rsid w:val="00950ABF"/>
    <w:rsid w:val="0095224C"/>
    <w:rsid w:val="00961D55"/>
    <w:rsid w:val="00973F99"/>
    <w:rsid w:val="009758D4"/>
    <w:rsid w:val="009A4501"/>
    <w:rsid w:val="009B0657"/>
    <w:rsid w:val="009C0E44"/>
    <w:rsid w:val="009D3AB0"/>
    <w:rsid w:val="009D5705"/>
    <w:rsid w:val="009E5473"/>
    <w:rsid w:val="009F1E84"/>
    <w:rsid w:val="00A10D0D"/>
    <w:rsid w:val="00A35666"/>
    <w:rsid w:val="00A60D74"/>
    <w:rsid w:val="00A74A3F"/>
    <w:rsid w:val="00A964A8"/>
    <w:rsid w:val="00AB2190"/>
    <w:rsid w:val="00AD2791"/>
    <w:rsid w:val="00B01180"/>
    <w:rsid w:val="00B25383"/>
    <w:rsid w:val="00B547AB"/>
    <w:rsid w:val="00BB1AF7"/>
    <w:rsid w:val="00BB4B6F"/>
    <w:rsid w:val="00BD087C"/>
    <w:rsid w:val="00BD49BB"/>
    <w:rsid w:val="00C67898"/>
    <w:rsid w:val="00C73E7B"/>
    <w:rsid w:val="00C740C6"/>
    <w:rsid w:val="00C813C8"/>
    <w:rsid w:val="00C8224D"/>
    <w:rsid w:val="00C8627C"/>
    <w:rsid w:val="00C92DD5"/>
    <w:rsid w:val="00C97264"/>
    <w:rsid w:val="00CD2C88"/>
    <w:rsid w:val="00CD4D13"/>
    <w:rsid w:val="00CD7CF8"/>
    <w:rsid w:val="00CE519E"/>
    <w:rsid w:val="00CF27ED"/>
    <w:rsid w:val="00CF537E"/>
    <w:rsid w:val="00D0735B"/>
    <w:rsid w:val="00D1675E"/>
    <w:rsid w:val="00D2719F"/>
    <w:rsid w:val="00D36249"/>
    <w:rsid w:val="00D46175"/>
    <w:rsid w:val="00D54BB3"/>
    <w:rsid w:val="00D71115"/>
    <w:rsid w:val="00D94ADF"/>
    <w:rsid w:val="00DA3B90"/>
    <w:rsid w:val="00DA5992"/>
    <w:rsid w:val="00DA750A"/>
    <w:rsid w:val="00DA78B5"/>
    <w:rsid w:val="00DA7BCF"/>
    <w:rsid w:val="00DE167D"/>
    <w:rsid w:val="00DE580B"/>
    <w:rsid w:val="00E07C8C"/>
    <w:rsid w:val="00E471B4"/>
    <w:rsid w:val="00E52EF9"/>
    <w:rsid w:val="00E749A1"/>
    <w:rsid w:val="00E804A5"/>
    <w:rsid w:val="00E92ACB"/>
    <w:rsid w:val="00EA6BE6"/>
    <w:rsid w:val="00EB7AF3"/>
    <w:rsid w:val="00EC11BF"/>
    <w:rsid w:val="00EC6F47"/>
    <w:rsid w:val="00ED1011"/>
    <w:rsid w:val="00F13A21"/>
    <w:rsid w:val="00F14D85"/>
    <w:rsid w:val="00F2278E"/>
    <w:rsid w:val="00F227FD"/>
    <w:rsid w:val="00F46EDE"/>
    <w:rsid w:val="00F5561A"/>
    <w:rsid w:val="00F6095B"/>
    <w:rsid w:val="00F741DE"/>
    <w:rsid w:val="00F86D9B"/>
    <w:rsid w:val="00F97FCA"/>
    <w:rsid w:val="00FA44E8"/>
    <w:rsid w:val="00FB2220"/>
    <w:rsid w:val="00FB32BD"/>
    <w:rsid w:val="00FC165B"/>
    <w:rsid w:val="00FD012C"/>
    <w:rsid w:val="00FF3553"/>
    <w:rsid w:val="00FF6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EE2D2"/>
  <w15:chartTrackingRefBased/>
  <w15:docId w15:val="{9D52BA19-363E-440B-9F7C-84576963D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304A"/>
    <w:rPr>
      <w:color w:val="0563C1" w:themeColor="hyperlink"/>
      <w:u w:val="single"/>
    </w:rPr>
  </w:style>
  <w:style w:type="character" w:styleId="UnresolvedMention">
    <w:name w:val="Unresolved Mention"/>
    <w:basedOn w:val="DefaultParagraphFont"/>
    <w:uiPriority w:val="99"/>
    <w:semiHidden/>
    <w:unhideWhenUsed/>
    <w:rsid w:val="005030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scholars.com/resources/pdfs/978-1-5275-4183-2-sample.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hewire.in/rights/why-female-prisoners-should-be-treated-differently-from-men" TargetMode="External"/><Relationship Id="rId12" Type="http://schemas.openxmlformats.org/officeDocument/2006/relationships/hyperlink" Target="https://kpu.pressbooks.pub/introcrim/chapter/11-1-foundations-of-feminist-criminolog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rimsoc.hull.ac.uk/wp-content/uploads/2020/06/2020_Malon_Criminology_Sentencing_Gender.pdf" TargetMode="External"/><Relationship Id="rId11" Type="http://schemas.openxmlformats.org/officeDocument/2006/relationships/hyperlink" Target="https://crimsoc.hull.ac.uk/2020/06/24/women-in-prison/" TargetMode="External"/><Relationship Id="rId5" Type="http://schemas.openxmlformats.org/officeDocument/2006/relationships/hyperlink" Target="https://www.theguardian.com/uk-news/2022/oct/12/lucy-letby-mother-bathed-baby-court" TargetMode="External"/><Relationship Id="rId10" Type="http://schemas.openxmlformats.org/officeDocument/2006/relationships/hyperlink" Target="https://crimsoc.hull.ac.uk/2020/06/18/gender-differences-and-sentencing/" TargetMode="External"/><Relationship Id="rId4" Type="http://schemas.openxmlformats.org/officeDocument/2006/relationships/hyperlink" Target="https://civilservice.blog.gov.uk/2021/06/28/innovating-to-tackle-reoffending/" TargetMode="External"/><Relationship Id="rId9" Type="http://schemas.openxmlformats.org/officeDocument/2006/relationships/hyperlink" Target="https://www.ons.gov.uk/peoplepopulationandcommunity/populationandmigration/populationestimates/bulletins/annualmidyearpopulationestimates/mid20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707</TotalTime>
  <Pages>6</Pages>
  <Words>2586</Words>
  <Characters>14744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Meigon Peters</dc:creator>
  <cp:keywords/>
  <dc:description/>
  <cp:lastModifiedBy>Meigon Peters</cp:lastModifiedBy>
  <cp:revision>174</cp:revision>
  <dcterms:created xsi:type="dcterms:W3CDTF">2023-10-04T19:51:00Z</dcterms:created>
  <dcterms:modified xsi:type="dcterms:W3CDTF">2023-11-10T17:50:00Z</dcterms:modified>
</cp:coreProperties>
</file>