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4C3532" w14:textId="77777777" w:rsidR="00AA4898" w:rsidRDefault="00AA4898" w:rsidP="00AA4898">
      <w:pPr>
        <w:pStyle w:val="NoSpacing"/>
        <w:rPr>
          <w:lang w:eastAsia="en-GB"/>
        </w:rPr>
      </w:pPr>
      <w:r>
        <w:rPr>
          <w:lang w:eastAsia="en-GB"/>
        </w:rPr>
        <w:t xml:space="preserve">BA (Hons) Business Management                                                                          </w:t>
      </w:r>
      <w:r>
        <w:rPr>
          <w:noProof/>
        </w:rPr>
        <w:drawing>
          <wp:inline distT="0" distB="0" distL="0" distR="0" wp14:anchorId="3A8AEABF" wp14:editId="7E5C6AE3">
            <wp:extent cx="3644900" cy="1389380"/>
            <wp:effectExtent l="0" t="0" r="0" b="1270"/>
            <wp:docPr id="2" name="Picture 1" descr="Image result for university of wales trinity saint david london branch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age result for university of wales trinity saint david london branch logo"/>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44900" cy="1389380"/>
                    </a:xfrm>
                    <a:prstGeom prst="rect">
                      <a:avLst/>
                    </a:prstGeom>
                    <a:noFill/>
                    <a:ln>
                      <a:noFill/>
                    </a:ln>
                  </pic:spPr>
                </pic:pic>
              </a:graphicData>
            </a:graphic>
          </wp:inline>
        </w:drawing>
      </w:r>
    </w:p>
    <w:p w14:paraId="05A168AE" w14:textId="77777777" w:rsidR="00AA4898" w:rsidRDefault="00AA4898" w:rsidP="00AA4898">
      <w:pPr>
        <w:pStyle w:val="NoSpacing"/>
        <w:rPr>
          <w:lang w:eastAsia="en-GB"/>
        </w:rPr>
      </w:pPr>
      <w:r>
        <w:rPr>
          <w:lang w:eastAsia="en-GB"/>
        </w:rPr>
        <w:t>Strategic Management and Sustainability</w:t>
      </w:r>
    </w:p>
    <w:p w14:paraId="1C398074" w14:textId="77777777" w:rsidR="00AA4898" w:rsidRDefault="00AA4898" w:rsidP="00AA4898">
      <w:pPr>
        <w:pStyle w:val="NoSpacing"/>
        <w:rPr>
          <w:lang w:eastAsia="en-GB"/>
        </w:rPr>
      </w:pPr>
      <w:r>
        <w:rPr>
          <w:lang w:eastAsia="en-GB"/>
        </w:rPr>
        <w:t>LCBB6015</w:t>
      </w:r>
    </w:p>
    <w:p w14:paraId="6501A02E" w14:textId="77777777" w:rsidR="00AA4898" w:rsidRDefault="00AA4898" w:rsidP="00AA4898">
      <w:pPr>
        <w:pStyle w:val="NoSpacing"/>
        <w:rPr>
          <w:lang w:eastAsia="en-GB"/>
        </w:rPr>
      </w:pPr>
      <w:r>
        <w:rPr>
          <w:lang w:eastAsia="en-GB"/>
        </w:rPr>
        <w:t>Component 1: Coursework: Written report</w:t>
      </w:r>
    </w:p>
    <w:p w14:paraId="0A6AEDD7" w14:textId="77777777" w:rsidR="00AA4898" w:rsidRDefault="00AA4898" w:rsidP="00AA4898">
      <w:pPr>
        <w:pStyle w:val="NoSpacing"/>
        <w:rPr>
          <w:lang w:eastAsia="en-GB"/>
        </w:rPr>
      </w:pPr>
      <w:r>
        <w:rPr>
          <w:lang w:eastAsia="en-GB"/>
        </w:rPr>
        <w:t>Lecturer: N</w:t>
      </w:r>
      <w:r>
        <w:t>erys Dosseh</w:t>
      </w:r>
    </w:p>
    <w:p w14:paraId="4332FE83" w14:textId="77777777" w:rsidR="00AA4898" w:rsidRDefault="00AA4898" w:rsidP="00AA4898">
      <w:pPr>
        <w:pStyle w:val="NoSpacing"/>
        <w:rPr>
          <w:lang w:eastAsia="en-GB"/>
        </w:rPr>
      </w:pPr>
      <w:r>
        <w:rPr>
          <w:lang w:eastAsia="en-GB"/>
        </w:rPr>
        <w:t>Student ID: 2226760</w:t>
      </w:r>
    </w:p>
    <w:p w14:paraId="3281F7B0" w14:textId="77777777" w:rsidR="00AA4898" w:rsidRDefault="00AA4898" w:rsidP="00AA4898">
      <w:pPr>
        <w:pStyle w:val="NoSpacing"/>
        <w:rPr>
          <w:lang w:eastAsia="en-GB"/>
        </w:rPr>
      </w:pPr>
      <w:r>
        <w:rPr>
          <w:lang w:eastAsia="en-GB"/>
        </w:rPr>
        <w:t>Student name: Alfred Ojekere</w:t>
      </w:r>
      <w:r>
        <w:rPr>
          <w:lang w:eastAsia="en-GB"/>
        </w:rPr>
        <w:t xml:space="preserve">   </w:t>
      </w:r>
    </w:p>
    <w:p w14:paraId="2B6C62B6" w14:textId="77777777" w:rsidR="00AA4898" w:rsidRDefault="00AA4898" w:rsidP="00AA4898">
      <w:pPr>
        <w:pStyle w:val="NoSpacing"/>
        <w:rPr>
          <w:lang w:eastAsia="en-GB"/>
        </w:rPr>
      </w:pPr>
    </w:p>
    <w:p w14:paraId="396A5A16" w14:textId="3F07DB14" w:rsidR="00AA4898" w:rsidRPr="00AA4898" w:rsidRDefault="00AA4898" w:rsidP="00AA4898">
      <w:pPr>
        <w:pStyle w:val="NoSpacing"/>
        <w:rPr>
          <w:lang w:eastAsia="en-GB"/>
        </w:rPr>
      </w:pPr>
      <w:r w:rsidRPr="00145599">
        <w:rPr>
          <w:rFonts w:ascii="Times New Roman" w:eastAsia="Times New Roman" w:hAnsi="Times New Roman" w:cs="Times New Roman"/>
          <w:b/>
          <w:bCs/>
          <w:kern w:val="0"/>
          <w:sz w:val="24"/>
          <w:szCs w:val="24"/>
          <w:lang w:eastAsia="en-GB"/>
          <w14:ligatures w14:val="none"/>
        </w:rPr>
        <w:t>Introduction</w:t>
      </w:r>
    </w:p>
    <w:p w14:paraId="400EDA74"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Strategic Management: Relevance and Benefits</w:t>
      </w:r>
    </w:p>
    <w:p w14:paraId="14DF7387"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Strategic management has become increasingly important for organisations operating in environments characterised by rapid change, uncertainty, and intense competition. It provides a structured way for firms to analyse their external environment, understand internal strengths and weaknesses, and make informed decisions that support long</w:t>
      </w:r>
      <w:r w:rsidRPr="00145599">
        <w:rPr>
          <w:rFonts w:ascii="Times New Roman" w:eastAsia="Times New Roman" w:hAnsi="Times New Roman" w:cs="Times New Roman"/>
          <w:kern w:val="0"/>
          <w:sz w:val="24"/>
          <w:szCs w:val="24"/>
          <w:lang w:eastAsia="en-GB"/>
          <w14:ligatures w14:val="none"/>
        </w:rPr>
        <w:noBreakHyphen/>
        <w:t>term performance. As Johnson, Whittington and Scholes (2020) explain, strategic management enables organisations to align their resources with emerging opportunities while anticipating and mitigating potential risks. This alignment is particularly crucial in industries where technological innovation, regulatory pressures, and shifting consumer expectations are constant.</w:t>
      </w:r>
    </w:p>
    <w:p w14:paraId="5B5FBE49"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The automotive sector is a clear example of such an environment. It is currently undergoing profound transformation driven by electrification, digitalisation, sustainability demands, and global competition. Traditional business models centred on internal combustion engines are being replaced by new approaches that prioritise electric powertrains, software</w:t>
      </w:r>
      <w:r w:rsidRPr="00145599">
        <w:rPr>
          <w:rFonts w:ascii="Times New Roman" w:eastAsia="Times New Roman" w:hAnsi="Times New Roman" w:cs="Times New Roman"/>
          <w:kern w:val="0"/>
          <w:sz w:val="24"/>
          <w:szCs w:val="24"/>
          <w:lang w:eastAsia="en-GB"/>
          <w14:ligatures w14:val="none"/>
        </w:rPr>
        <w:noBreakHyphen/>
        <w:t>defined vehicles, and environmentally responsible manufacturing. Grant (2022) highlights that strategic management helps organisations anticipate these market shifts and respond proactively rather than reactively. For automotive manufacturers, this means developing strategies that address environmental regulations, technological disruption, and evolving customer preferences. In this context, strategic management is not merely beneficial—it is fundamental to survival and future competitiveness.</w:t>
      </w:r>
    </w:p>
    <w:p w14:paraId="0313D1DC"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Company Overview: Jaguar Land Rover</w:t>
      </w:r>
    </w:p>
    <w:p w14:paraId="2A66A882"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Jaguar Land Rover (JLR) is the UK’s largest automotive manufacturer and a major contributor to national industrial output, employment, and technological innovation. Owned by Tata Motors since 2008, JLR produces premium vehicles under the Jaguar and Land Rover brands, both of which have strong global reputations for luxury, engineering excellence, and distinctive design. The company operates major manufacturing facilities in Solihull, Halewood, and Wolverhampton, employing over 30,000 people in the UK (SMMT, </w:t>
      </w:r>
      <w:r w:rsidRPr="00145599">
        <w:rPr>
          <w:rFonts w:ascii="Times New Roman" w:eastAsia="Times New Roman" w:hAnsi="Times New Roman" w:cs="Times New Roman"/>
          <w:kern w:val="0"/>
          <w:sz w:val="24"/>
          <w:szCs w:val="24"/>
          <w:lang w:eastAsia="en-GB"/>
          <w14:ligatures w14:val="none"/>
        </w:rPr>
        <w:lastRenderedPageBreak/>
        <w:t>2024). These facilities form the backbone of JLR’s production capabilities and support exports to more than 140 markets worldwide.</w:t>
      </w:r>
    </w:p>
    <w:p w14:paraId="3F5B56ED"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Despite its strengths, JLR faces several strategic challenges. The decline in diesel demand has affected sales, and the global shift towards electric vehicles requires substantial investment in new technologies, manufacturing processes, and supply chain capabilities. In addition, global supply chain disruptions—particularly shortages of semi</w:t>
      </w:r>
      <w:r>
        <w:rPr>
          <w:rFonts w:ascii="Times New Roman" w:eastAsia="Times New Roman" w:hAnsi="Times New Roman" w:cs="Times New Roman"/>
          <w:kern w:val="0"/>
          <w:sz w:val="24"/>
          <w:szCs w:val="24"/>
          <w:lang w:eastAsia="en-GB"/>
          <w14:ligatures w14:val="none"/>
        </w:rPr>
        <w:t>-</w:t>
      </w:r>
      <w:r w:rsidRPr="00145599">
        <w:rPr>
          <w:rFonts w:ascii="Times New Roman" w:eastAsia="Times New Roman" w:hAnsi="Times New Roman" w:cs="Times New Roman"/>
          <w:kern w:val="0"/>
          <w:sz w:val="24"/>
          <w:szCs w:val="24"/>
          <w:lang w:eastAsia="en-GB"/>
          <w14:ligatures w14:val="none"/>
        </w:rPr>
        <w:t>conductors</w:t>
      </w:r>
      <w:r>
        <w:rPr>
          <w:rFonts w:ascii="Times New Roman" w:eastAsia="Times New Roman" w:hAnsi="Times New Roman" w:cs="Times New Roman"/>
          <w:kern w:val="0"/>
          <w:sz w:val="24"/>
          <w:szCs w:val="24"/>
          <w:lang w:eastAsia="en-GB"/>
          <w14:ligatures w14:val="none"/>
        </w:rPr>
        <w:t xml:space="preserve"> </w:t>
      </w:r>
      <w:r w:rsidRPr="00145599">
        <w:rPr>
          <w:rFonts w:ascii="Times New Roman" w:eastAsia="Times New Roman" w:hAnsi="Times New Roman" w:cs="Times New Roman"/>
          <w:kern w:val="0"/>
          <w:sz w:val="24"/>
          <w:szCs w:val="24"/>
          <w:lang w:eastAsia="en-GB"/>
          <w14:ligatures w14:val="none"/>
        </w:rPr>
        <w:t>have impacted production volumes and increased operational costs. These pressures highlight the importance of strategic management in guiding JLR through a period of significant industry change.</w:t>
      </w:r>
    </w:p>
    <w:p w14:paraId="2E228875"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Vision, Mission, and Objectives</w:t>
      </w:r>
    </w:p>
    <w:p w14:paraId="7DD9B97B"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JLR’s vision is to “reimagine the future of modern luxury by design” (JLR, 2023). This vision reflects the company’s ambition to redefine luxury through sustainability, advanced technology, and innovative design. Its mission focuses on delivering vehicles that embody modern luxury while meeting environmental responsibilities and customer expectations. JLR’s strategic objectives include fully electrifying Jaguar by 2025 and Land Rover by 2030, reducing carbon emissions across its operations, enhancing digital capabilities, and strengthening global competitiveness. These objectives demonstrate a clear commitment to transformation and long</w:t>
      </w:r>
      <w:r w:rsidRPr="00145599">
        <w:rPr>
          <w:rFonts w:ascii="Times New Roman" w:eastAsia="Times New Roman" w:hAnsi="Times New Roman" w:cs="Times New Roman"/>
          <w:kern w:val="0"/>
          <w:sz w:val="24"/>
          <w:szCs w:val="24"/>
          <w:lang w:eastAsia="en-GB"/>
          <w14:ligatures w14:val="none"/>
        </w:rPr>
        <w:noBreakHyphen/>
        <w:t>term sustainability.</w:t>
      </w:r>
    </w:p>
    <w:p w14:paraId="24ADA0BE" w14:textId="77777777" w:rsidR="00AA4898" w:rsidRPr="00145599" w:rsidRDefault="00AA4898" w:rsidP="00AA4898">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Strategy Analysis</w:t>
      </w:r>
    </w:p>
    <w:p w14:paraId="33FC52A5" w14:textId="77777777" w:rsidR="00AA4898" w:rsidRPr="00145599" w:rsidRDefault="00AA4898" w:rsidP="00AA4898">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14:ligatures w14:val="none"/>
        </w:rPr>
      </w:pPr>
      <w:r w:rsidRPr="00145599">
        <w:rPr>
          <w:rFonts w:ascii="Times New Roman" w:eastAsia="Times New Roman" w:hAnsi="Times New Roman" w:cs="Times New Roman"/>
          <w:b/>
          <w:bCs/>
          <w:kern w:val="36"/>
          <w:sz w:val="24"/>
          <w:szCs w:val="24"/>
          <w:lang w:eastAsia="en-GB"/>
          <w14:ligatures w14:val="none"/>
        </w:rPr>
        <w:t>External Environment Audit</w:t>
      </w:r>
    </w:p>
    <w:p w14:paraId="71FB5190" w14:textId="77777777" w:rsidR="00AA4898" w:rsidRPr="00145599" w:rsidRDefault="00AA4898" w:rsidP="00AA4898">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PESTLE Analysis</w:t>
      </w:r>
    </w:p>
    <w:p w14:paraId="51750868"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Political Factors</w:t>
      </w:r>
    </w:p>
    <w:p w14:paraId="11D06ACE"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The UK automotive sector is heavily influenced by government policies on emissions, trade, and industrial strategy. Post</w:t>
      </w:r>
      <w:r w:rsidRPr="00145599">
        <w:rPr>
          <w:rFonts w:ascii="Times New Roman" w:eastAsia="Times New Roman" w:hAnsi="Times New Roman" w:cs="Times New Roman"/>
          <w:kern w:val="0"/>
          <w:sz w:val="24"/>
          <w:szCs w:val="24"/>
          <w:lang w:eastAsia="en-GB"/>
          <w14:ligatures w14:val="none"/>
        </w:rPr>
        <w:noBreakHyphen/>
        <w:t>Brexit trade arrangements have increased administrative costs and created uncertainty for automotive exports (ACEA, 2024). For JLR, which exports a significant proportion of its vehicles, these changes have added complexity to logistics and supply chain planning. At the same time, government incentives for electric vehicle adoption—such as grants and investment in charging infrastructure—support JLR’s electrification strategy (HM Government, 2023). However, geopolitical tensions and global trade disruptions continue to affect supply chains, making political factors a major strategic consideration.</w:t>
      </w:r>
    </w:p>
    <w:p w14:paraId="039E1F55"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Economic Factors</w:t>
      </w:r>
    </w:p>
    <w:p w14:paraId="64249FB9"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Economic conditions play a major role in shaping automotive demand. Inflation, rising interest rates, and reduced consumer purchasing power have weakened demand for premium vehicles (OECD, 2024). Supply chain disruptions, particularly semiconductor shortages, have increased production costs and reduced output (OICA, 2024). Despite these challenges, global demand for luxury SUVs remains strong, which supports Land Rover’s market position. Nevertheless, JLR must manage economic volatility carefully to maintain profitability and protect its premium brand positioning.</w:t>
      </w:r>
    </w:p>
    <w:p w14:paraId="6C105D9D"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lastRenderedPageBreak/>
        <w:t>Social Factors</w:t>
      </w:r>
    </w:p>
    <w:p w14:paraId="4AE42EF8"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Social trends are shifting towards sustainability, digital connectivity, and personalised experiences. Younger consumers increasingly value environmental responsibility, which has accelerated demand for electric vehicles (McKinsey, 2023). Luxury consumers also expect advanced infotainment systems, seamless digital integration, and premium service experiences. These evolving expectations require JLR to innovate continuously and adapt its product offerings to remain relevant in a competitive market.</w:t>
      </w:r>
    </w:p>
    <w:p w14:paraId="2EEABF54"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Technological Factors</w:t>
      </w:r>
    </w:p>
    <w:p w14:paraId="7EBACE2E"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Technological change is one of the most significant forces shaping the automotive industry. Electrification, autonomous driving, and digitalisation are transforming how vehicles are designed, manufactured, and used. JLR’s “Reimagine” strategy emphasises electrification and software</w:t>
      </w:r>
      <w:r w:rsidRPr="00145599">
        <w:rPr>
          <w:rFonts w:ascii="Times New Roman" w:eastAsia="Times New Roman" w:hAnsi="Times New Roman" w:cs="Times New Roman"/>
          <w:kern w:val="0"/>
          <w:sz w:val="24"/>
          <w:szCs w:val="24"/>
          <w:lang w:eastAsia="en-GB"/>
          <w14:ligatures w14:val="none"/>
        </w:rPr>
        <w:noBreakHyphen/>
        <w:t>defined vehicles, requiring major investment in battery technology, artificial intelligence, and digital platforms (JLR, 2023). Competitors such as Tesla and BMW have already developed advanced EV technologies, increasing competitive pressure on JLR to accelerate innovation and modernise its product portfolio.</w:t>
      </w:r>
    </w:p>
    <w:p w14:paraId="5F84C4A7"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Legal Factors</w:t>
      </w:r>
    </w:p>
    <w:p w14:paraId="037923F2"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Legal requirements around emissions, safety, and data protection have a major impact on JLR’s operations. The UK and EU have introduced ambitious CO₂ reduction targets, requiring manufacturers to accelerate electric vehicle production (European Commission, 2024). Compliance with cybersecurity and data privacy regulations is also essential as vehicles become more connected. Failure to meet legal standards could result in penalties, reputational damage, and reduced consumer trust.</w:t>
      </w:r>
    </w:p>
    <w:p w14:paraId="5964B642"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Environmental Factors</w:t>
      </w:r>
    </w:p>
    <w:p w14:paraId="07B0D66D"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Environmental sustainability is a critical strategic issue for automotive manufacturers. Climate change policies, carbon reduction targets, and consumer expectations require JLR to reduce emissions across manufacturing, supply chains, and product portfolios. The company has committed to achieving net</w:t>
      </w:r>
      <w:r w:rsidRPr="00145599">
        <w:rPr>
          <w:rFonts w:ascii="Times New Roman" w:eastAsia="Times New Roman" w:hAnsi="Times New Roman" w:cs="Times New Roman"/>
          <w:kern w:val="0"/>
          <w:sz w:val="24"/>
          <w:szCs w:val="24"/>
          <w:lang w:eastAsia="en-GB"/>
          <w14:ligatures w14:val="none"/>
        </w:rPr>
        <w:noBreakHyphen/>
        <w:t>zero carbon emissions by 2039 (JLR, 2023). However, battery production and raw material sourcing present environmental challenges that must be managed carefully to ensure long</w:t>
      </w:r>
      <w:r w:rsidRPr="00145599">
        <w:rPr>
          <w:rFonts w:ascii="Times New Roman" w:eastAsia="Times New Roman" w:hAnsi="Times New Roman" w:cs="Times New Roman"/>
          <w:kern w:val="0"/>
          <w:sz w:val="24"/>
          <w:szCs w:val="24"/>
          <w:lang w:eastAsia="en-GB"/>
          <w14:ligatures w14:val="none"/>
        </w:rPr>
        <w:noBreakHyphen/>
        <w:t>term sustainability.</w:t>
      </w:r>
    </w:p>
    <w:p w14:paraId="261EBBE9" w14:textId="77777777" w:rsidR="00AA4898" w:rsidRPr="00145599" w:rsidRDefault="00AA4898" w:rsidP="00AA4898">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Porter’s Five Forces</w:t>
      </w:r>
    </w:p>
    <w:p w14:paraId="041BA8D9"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Competitive Rivalry – High</w:t>
      </w:r>
    </w:p>
    <w:p w14:paraId="34294016"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The premium automotive market is highly competitive, with major players including BMW, Mercedes</w:t>
      </w:r>
      <w:r w:rsidRPr="00145599">
        <w:rPr>
          <w:rFonts w:ascii="Times New Roman" w:eastAsia="Times New Roman" w:hAnsi="Times New Roman" w:cs="Times New Roman"/>
          <w:kern w:val="0"/>
          <w:sz w:val="24"/>
          <w:szCs w:val="24"/>
          <w:lang w:eastAsia="en-GB"/>
          <w14:ligatures w14:val="none"/>
        </w:rPr>
        <w:noBreakHyphen/>
        <w:t>Benz, Audi, Tesla, and Volvo. These competitors have advanced electric vehicle portfolios, strong global distribution networks, and significant R&amp;D investment. JLR’s slower EV transition increases competitive pressure, making rivalry one of the strongest forces in the industry.</w:t>
      </w:r>
    </w:p>
    <w:p w14:paraId="2D8C48C3"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Threat of New Entrants – Moderate</w:t>
      </w:r>
    </w:p>
    <w:p w14:paraId="79D0203A"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lastRenderedPageBreak/>
        <w:t>High capital requirements, regulatory barriers, and technological complexity limit new entrants. However, electric</w:t>
      </w:r>
      <w:r w:rsidRPr="00145599">
        <w:rPr>
          <w:rFonts w:ascii="Times New Roman" w:eastAsia="Times New Roman" w:hAnsi="Times New Roman" w:cs="Times New Roman"/>
          <w:kern w:val="0"/>
          <w:sz w:val="24"/>
          <w:szCs w:val="24"/>
          <w:lang w:eastAsia="en-GB"/>
          <w14:ligatures w14:val="none"/>
        </w:rPr>
        <w:noBreakHyphen/>
        <w:t>vehicle</w:t>
      </w:r>
      <w:r w:rsidRPr="00145599">
        <w:rPr>
          <w:rFonts w:ascii="Times New Roman" w:eastAsia="Times New Roman" w:hAnsi="Times New Roman" w:cs="Times New Roman"/>
          <w:kern w:val="0"/>
          <w:sz w:val="24"/>
          <w:szCs w:val="24"/>
          <w:lang w:eastAsia="en-GB"/>
          <w14:ligatures w14:val="none"/>
        </w:rPr>
        <w:noBreakHyphen/>
        <w:t>focused firms such as Tesla, Rivian, and Lucid have shown that new entrants can disrupt traditional manufacturers. This makes the threat moderate rather than low.</w:t>
      </w:r>
    </w:p>
    <w:p w14:paraId="40714489"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Bargaining Power of Suppliers – High</w:t>
      </w:r>
    </w:p>
    <w:p w14:paraId="545F1229"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JLR depends on specialised components</w:t>
      </w:r>
      <w:r>
        <w:rPr>
          <w:rFonts w:ascii="Times New Roman" w:eastAsia="Times New Roman" w:hAnsi="Times New Roman" w:cs="Times New Roman"/>
          <w:kern w:val="0"/>
          <w:sz w:val="24"/>
          <w:szCs w:val="24"/>
          <w:lang w:eastAsia="en-GB"/>
          <w14:ligatures w14:val="none"/>
        </w:rPr>
        <w:t>,</w:t>
      </w:r>
      <w:r w:rsidRPr="00145599">
        <w:rPr>
          <w:rFonts w:ascii="Times New Roman" w:eastAsia="Times New Roman" w:hAnsi="Times New Roman" w:cs="Times New Roman"/>
          <w:kern w:val="0"/>
          <w:sz w:val="24"/>
          <w:szCs w:val="24"/>
          <w:lang w:eastAsia="en-GB"/>
          <w14:ligatures w14:val="none"/>
        </w:rPr>
        <w:t xml:space="preserve"> particularly semi</w:t>
      </w:r>
      <w:r>
        <w:rPr>
          <w:rFonts w:ascii="Times New Roman" w:eastAsia="Times New Roman" w:hAnsi="Times New Roman" w:cs="Times New Roman"/>
          <w:kern w:val="0"/>
          <w:sz w:val="24"/>
          <w:szCs w:val="24"/>
          <w:lang w:eastAsia="en-GB"/>
          <w14:ligatures w14:val="none"/>
        </w:rPr>
        <w:t>-</w:t>
      </w:r>
      <w:r w:rsidRPr="00145599">
        <w:rPr>
          <w:rFonts w:ascii="Times New Roman" w:eastAsia="Times New Roman" w:hAnsi="Times New Roman" w:cs="Times New Roman"/>
          <w:kern w:val="0"/>
          <w:sz w:val="24"/>
          <w:szCs w:val="24"/>
          <w:lang w:eastAsia="en-GB"/>
          <w14:ligatures w14:val="none"/>
        </w:rPr>
        <w:t>conductors and batteries</w:t>
      </w:r>
      <w:r>
        <w:rPr>
          <w:rFonts w:ascii="Times New Roman" w:eastAsia="Times New Roman" w:hAnsi="Times New Roman" w:cs="Times New Roman"/>
          <w:kern w:val="0"/>
          <w:sz w:val="24"/>
          <w:szCs w:val="24"/>
          <w:lang w:eastAsia="en-GB"/>
          <w14:ligatures w14:val="none"/>
        </w:rPr>
        <w:t xml:space="preserve"> </w:t>
      </w:r>
      <w:r w:rsidRPr="00145599">
        <w:rPr>
          <w:rFonts w:ascii="Times New Roman" w:eastAsia="Times New Roman" w:hAnsi="Times New Roman" w:cs="Times New Roman"/>
          <w:kern w:val="0"/>
          <w:sz w:val="24"/>
          <w:szCs w:val="24"/>
          <w:lang w:eastAsia="en-GB"/>
          <w14:ligatures w14:val="none"/>
        </w:rPr>
        <w:t>which gives suppliers significant power. Global shortages have increased costs and reduced production flexibility (SMMT, 2024). Supplier power is therefore a major strategic concern.</w:t>
      </w:r>
    </w:p>
    <w:p w14:paraId="5E48994B"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Bargaining Power of Buyers – Moderate to High</w:t>
      </w:r>
    </w:p>
    <w:p w14:paraId="222DA964"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Premium consumers demand high quality, sustainability, and advanced technology. Switching costs are low, increasing buyer power. Fleet buyers also exert pressure through bulk purchasing. JLR must continuously innovate to meet buyer expectations and maintain customer loyalty.</w:t>
      </w:r>
    </w:p>
    <w:p w14:paraId="4CC81E52"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Threat of Substitutes – Moderate</w:t>
      </w:r>
    </w:p>
    <w:p w14:paraId="34400416"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Public transport, ride</w:t>
      </w:r>
      <w:r w:rsidRPr="00145599">
        <w:rPr>
          <w:rFonts w:ascii="Times New Roman" w:eastAsia="Times New Roman" w:hAnsi="Times New Roman" w:cs="Times New Roman"/>
          <w:kern w:val="0"/>
          <w:sz w:val="24"/>
          <w:szCs w:val="24"/>
          <w:lang w:eastAsia="en-GB"/>
          <w14:ligatures w14:val="none"/>
        </w:rPr>
        <w:noBreakHyphen/>
        <w:t>sharing, and emerging mobility solutions present substitutes. However, luxury vehicles face limited direct substitution due to brand and status value. The threat is therefore moderate.</w:t>
      </w:r>
    </w:p>
    <w:p w14:paraId="16E980BC" w14:textId="77777777" w:rsidR="00AA4898" w:rsidRPr="00051722"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b/>
          <w:bCs/>
          <w:kern w:val="36"/>
          <w:sz w:val="24"/>
          <w:szCs w:val="24"/>
          <w:lang w:eastAsia="en-GB"/>
          <w14:ligatures w14:val="none"/>
        </w:rPr>
        <w:t>Internal Environment Audit</w:t>
      </w:r>
    </w:p>
    <w:p w14:paraId="16FC5D61" w14:textId="77777777" w:rsidR="00AA4898" w:rsidRDefault="00AA4898" w:rsidP="00AA4898">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Value Chain Analysis</w:t>
      </w:r>
    </w:p>
    <w:p w14:paraId="6A9704BD" w14:textId="77777777" w:rsidR="00AA4898" w:rsidRPr="00145599" w:rsidRDefault="00AA4898" w:rsidP="00AA4898">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I</w:t>
      </w:r>
      <w:r w:rsidRPr="00145599">
        <w:rPr>
          <w:rFonts w:ascii="Times New Roman" w:eastAsia="Times New Roman" w:hAnsi="Times New Roman" w:cs="Times New Roman"/>
          <w:b/>
          <w:bCs/>
          <w:kern w:val="0"/>
          <w:sz w:val="24"/>
          <w:szCs w:val="24"/>
          <w:lang w:eastAsia="en-GB"/>
          <w14:ligatures w14:val="none"/>
        </w:rPr>
        <w:t>nbound Logistics</w:t>
      </w:r>
    </w:p>
    <w:p w14:paraId="3E9DB0D5"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JLR relies on global suppliers for components, including batteries and semiconductors. Supply chain disruptions have highlighted vulnerabilities. The company is investing in localised battery production through partnerships to improve resilience and reduce dependency on external suppliers.</w:t>
      </w:r>
    </w:p>
    <w:p w14:paraId="4295C3FB" w14:textId="77777777" w:rsidR="00AA4898" w:rsidRPr="00051722"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Operations</w:t>
      </w:r>
    </w:p>
    <w:p w14:paraId="068C3D8B"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JLR’s UK manufacturing plants are technologically advanced but face high operating costs. The company is transitioning production lines to support electric vehicle manufacturing, which requires significant capital investment and operational restructuring.</w:t>
      </w:r>
    </w:p>
    <w:p w14:paraId="4D21AA4E"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Outbound Logistics</w:t>
      </w:r>
    </w:p>
    <w:p w14:paraId="1F8F3DA4"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Global distribution networks support exports to over 140 markets. However, Brexit</w:t>
      </w:r>
      <w:r w:rsidRPr="00145599">
        <w:rPr>
          <w:rFonts w:ascii="Times New Roman" w:eastAsia="Times New Roman" w:hAnsi="Times New Roman" w:cs="Times New Roman"/>
          <w:kern w:val="0"/>
          <w:sz w:val="24"/>
          <w:szCs w:val="24"/>
          <w:lang w:eastAsia="en-GB"/>
          <w14:ligatures w14:val="none"/>
        </w:rPr>
        <w:noBreakHyphen/>
        <w:t>related border friction has increased logistics complexity and costs, requiring JLR to adapt its distribution strategies.</w:t>
      </w:r>
    </w:p>
    <w:p w14:paraId="553C851C"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Marketing and Sales</w:t>
      </w:r>
    </w:p>
    <w:p w14:paraId="0DCB566C"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lastRenderedPageBreak/>
        <w:t xml:space="preserve">JLR leverages strong brand heritage and premium positioning. Digital marketing and online sales platforms are expanding but still </w:t>
      </w:r>
      <w:proofErr w:type="gramStart"/>
      <w:r w:rsidRPr="00145599">
        <w:rPr>
          <w:rFonts w:ascii="Times New Roman" w:eastAsia="Times New Roman" w:hAnsi="Times New Roman" w:cs="Times New Roman"/>
          <w:kern w:val="0"/>
          <w:sz w:val="24"/>
          <w:szCs w:val="24"/>
          <w:lang w:eastAsia="en-GB"/>
          <w14:ligatures w14:val="none"/>
        </w:rPr>
        <w:t>lag behind</w:t>
      </w:r>
      <w:proofErr w:type="gramEnd"/>
      <w:r w:rsidRPr="00145599">
        <w:rPr>
          <w:rFonts w:ascii="Times New Roman" w:eastAsia="Times New Roman" w:hAnsi="Times New Roman" w:cs="Times New Roman"/>
          <w:kern w:val="0"/>
          <w:sz w:val="24"/>
          <w:szCs w:val="24"/>
          <w:lang w:eastAsia="en-GB"/>
          <w14:ligatures w14:val="none"/>
        </w:rPr>
        <w:t xml:space="preserve"> competitors such as Tesla, which has pioneered direct</w:t>
      </w:r>
      <w:r w:rsidRPr="00145599">
        <w:rPr>
          <w:rFonts w:ascii="Times New Roman" w:eastAsia="Times New Roman" w:hAnsi="Times New Roman" w:cs="Times New Roman"/>
          <w:kern w:val="0"/>
          <w:sz w:val="24"/>
          <w:szCs w:val="24"/>
          <w:lang w:eastAsia="en-GB"/>
          <w14:ligatures w14:val="none"/>
        </w:rPr>
        <w:noBreakHyphen/>
        <w:t>to</w:t>
      </w:r>
      <w:r w:rsidRPr="00145599">
        <w:rPr>
          <w:rFonts w:ascii="Times New Roman" w:eastAsia="Times New Roman" w:hAnsi="Times New Roman" w:cs="Times New Roman"/>
          <w:kern w:val="0"/>
          <w:sz w:val="24"/>
          <w:szCs w:val="24"/>
          <w:lang w:eastAsia="en-GB"/>
          <w14:ligatures w14:val="none"/>
        </w:rPr>
        <w:noBreakHyphen/>
        <w:t>consumer digital sales models.</w:t>
      </w:r>
    </w:p>
    <w:p w14:paraId="4CBF1924"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Service</w:t>
      </w:r>
    </w:p>
    <w:p w14:paraId="5A3464DA"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Premium after</w:t>
      </w:r>
      <w:r w:rsidRPr="00145599">
        <w:rPr>
          <w:rFonts w:ascii="Times New Roman" w:eastAsia="Times New Roman" w:hAnsi="Times New Roman" w:cs="Times New Roman"/>
          <w:kern w:val="0"/>
          <w:sz w:val="24"/>
          <w:szCs w:val="24"/>
          <w:lang w:eastAsia="en-GB"/>
          <w14:ligatures w14:val="none"/>
        </w:rPr>
        <w:noBreakHyphen/>
        <w:t>sales service is a core strength. Digital service platforms and predictive maintenance technologies are being developed to enhance customer experience and support long</w:t>
      </w:r>
      <w:r w:rsidRPr="00145599">
        <w:rPr>
          <w:rFonts w:ascii="Times New Roman" w:eastAsia="Times New Roman" w:hAnsi="Times New Roman" w:cs="Times New Roman"/>
          <w:kern w:val="0"/>
          <w:sz w:val="24"/>
          <w:szCs w:val="24"/>
          <w:lang w:eastAsia="en-GB"/>
          <w14:ligatures w14:val="none"/>
        </w:rPr>
        <w:noBreakHyphen/>
        <w:t>term brand loyalty.</w:t>
      </w:r>
    </w:p>
    <w:p w14:paraId="270DD2D1" w14:textId="77777777" w:rsidR="00AA4898" w:rsidRPr="00145599" w:rsidRDefault="00AA4898" w:rsidP="00AA4898">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Resource</w:t>
      </w:r>
      <w:r w:rsidRPr="00145599">
        <w:rPr>
          <w:rFonts w:ascii="Times New Roman" w:eastAsia="Times New Roman" w:hAnsi="Times New Roman" w:cs="Times New Roman"/>
          <w:b/>
          <w:bCs/>
          <w:kern w:val="0"/>
          <w:sz w:val="24"/>
          <w:szCs w:val="24"/>
          <w:lang w:eastAsia="en-GB"/>
          <w14:ligatures w14:val="none"/>
        </w:rPr>
        <w:noBreakHyphen/>
        <w:t>Based View (RBV)</w:t>
      </w:r>
    </w:p>
    <w:p w14:paraId="585D6AAD"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Tangible Resources</w:t>
      </w:r>
    </w:p>
    <w:p w14:paraId="12D24505"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Advanced manufacturing facilities • Strong financial backing from Tata Motors • Global distribution network</w:t>
      </w:r>
    </w:p>
    <w:p w14:paraId="27AE7FF3" w14:textId="77777777" w:rsidR="00AA4898" w:rsidRPr="001260E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Intangible Resources</w:t>
      </w:r>
    </w:p>
    <w:p w14:paraId="6C6F4A6B"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Strong brand equity • Engineering expertise • Proprietary technologies in off</w:t>
      </w:r>
      <w:r w:rsidRPr="00145599">
        <w:rPr>
          <w:rFonts w:ascii="Times New Roman" w:eastAsia="Times New Roman" w:hAnsi="Times New Roman" w:cs="Times New Roman"/>
          <w:kern w:val="0"/>
          <w:sz w:val="24"/>
          <w:szCs w:val="24"/>
          <w:lang w:eastAsia="en-GB"/>
          <w14:ligatures w14:val="none"/>
        </w:rPr>
        <w:noBreakHyphen/>
        <w:t>road capability and luxury design • Organisational culture focused on innovation</w:t>
      </w:r>
    </w:p>
    <w:p w14:paraId="0486CD1B" w14:textId="77777777" w:rsidR="00AA4898" w:rsidRPr="001260E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Capabilities</w:t>
      </w:r>
    </w:p>
    <w:p w14:paraId="42773D61"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Luxury vehicle design and engineering • Global supply chain management • Brand management • R&amp;D in electrification and autonomous systems</w:t>
      </w:r>
    </w:p>
    <w:p w14:paraId="737A9165" w14:textId="77777777" w:rsidR="00AA4898" w:rsidRPr="00145599" w:rsidRDefault="00AA4898" w:rsidP="00AA4898">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VRIO Analysis</w:t>
      </w:r>
    </w:p>
    <w:tbl>
      <w:tblPr>
        <w:tblStyle w:val="TableGridLight"/>
        <w:tblW w:w="0" w:type="auto"/>
        <w:tblLook w:val="04A0" w:firstRow="1" w:lastRow="0" w:firstColumn="1" w:lastColumn="0" w:noHBand="0" w:noVBand="1"/>
      </w:tblPr>
      <w:tblGrid>
        <w:gridCol w:w="2524"/>
        <w:gridCol w:w="1137"/>
        <w:gridCol w:w="723"/>
        <w:gridCol w:w="1283"/>
        <w:gridCol w:w="1283"/>
        <w:gridCol w:w="2066"/>
      </w:tblGrid>
      <w:tr w:rsidR="00AA4898" w:rsidRPr="00145599" w14:paraId="7BF70F7D" w14:textId="77777777" w:rsidTr="00ED0B86">
        <w:tc>
          <w:tcPr>
            <w:tcW w:w="0" w:type="auto"/>
            <w:hideMark/>
          </w:tcPr>
          <w:p w14:paraId="4028C3C1" w14:textId="77777777" w:rsidR="00AA4898" w:rsidRPr="00145599" w:rsidRDefault="00AA4898" w:rsidP="00750EAF">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Resource/Capability</w:t>
            </w:r>
          </w:p>
        </w:tc>
        <w:tc>
          <w:tcPr>
            <w:tcW w:w="0" w:type="auto"/>
            <w:hideMark/>
          </w:tcPr>
          <w:p w14:paraId="76EAAAE3" w14:textId="77777777" w:rsidR="00AA4898" w:rsidRPr="00145599" w:rsidRDefault="00AA4898" w:rsidP="00750EAF">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Valuable</w:t>
            </w:r>
          </w:p>
        </w:tc>
        <w:tc>
          <w:tcPr>
            <w:tcW w:w="0" w:type="auto"/>
            <w:hideMark/>
          </w:tcPr>
          <w:p w14:paraId="23AAB643" w14:textId="77777777" w:rsidR="00AA4898" w:rsidRPr="00145599" w:rsidRDefault="00AA4898" w:rsidP="00750EAF">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Rare</w:t>
            </w:r>
          </w:p>
        </w:tc>
        <w:tc>
          <w:tcPr>
            <w:tcW w:w="0" w:type="auto"/>
            <w:hideMark/>
          </w:tcPr>
          <w:p w14:paraId="671EDC1D" w14:textId="77777777" w:rsidR="00AA4898" w:rsidRPr="00145599" w:rsidRDefault="00AA4898" w:rsidP="00750EAF">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Inimitable</w:t>
            </w:r>
          </w:p>
        </w:tc>
        <w:tc>
          <w:tcPr>
            <w:tcW w:w="0" w:type="auto"/>
            <w:hideMark/>
          </w:tcPr>
          <w:p w14:paraId="25EF3215" w14:textId="77777777" w:rsidR="00AA4898" w:rsidRPr="00145599" w:rsidRDefault="00AA4898" w:rsidP="00750EAF">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Organised</w:t>
            </w:r>
          </w:p>
        </w:tc>
        <w:tc>
          <w:tcPr>
            <w:tcW w:w="0" w:type="auto"/>
            <w:hideMark/>
          </w:tcPr>
          <w:p w14:paraId="64611888" w14:textId="77777777" w:rsidR="00AA4898" w:rsidRPr="00145599" w:rsidRDefault="00AA4898" w:rsidP="00750EAF">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Competitive Implication</w:t>
            </w:r>
          </w:p>
        </w:tc>
      </w:tr>
      <w:tr w:rsidR="00AA4898" w:rsidRPr="00145599" w14:paraId="3184E762" w14:textId="77777777" w:rsidTr="00ED0B86">
        <w:tc>
          <w:tcPr>
            <w:tcW w:w="0" w:type="auto"/>
            <w:hideMark/>
          </w:tcPr>
          <w:p w14:paraId="501A38CD" w14:textId="77777777" w:rsidR="00AA4898" w:rsidRPr="00145599" w:rsidRDefault="00AA4898" w:rsidP="00750EAF">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Brand Equity</w:t>
            </w:r>
          </w:p>
        </w:tc>
        <w:tc>
          <w:tcPr>
            <w:tcW w:w="0" w:type="auto"/>
            <w:hideMark/>
          </w:tcPr>
          <w:p w14:paraId="1901FD32"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7C5B3024"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5152D222"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71544255"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4881AADE"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Sustained advantage</w:t>
            </w:r>
          </w:p>
        </w:tc>
      </w:tr>
      <w:tr w:rsidR="00AA4898" w:rsidRPr="00145599" w14:paraId="28450F54" w14:textId="77777777" w:rsidTr="00ED0B86">
        <w:tc>
          <w:tcPr>
            <w:tcW w:w="0" w:type="auto"/>
            <w:hideMark/>
          </w:tcPr>
          <w:p w14:paraId="52AD612F" w14:textId="77777777" w:rsidR="00AA4898" w:rsidRPr="00145599" w:rsidRDefault="00AA4898" w:rsidP="00750EAF">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Engineering Expertise</w:t>
            </w:r>
          </w:p>
        </w:tc>
        <w:tc>
          <w:tcPr>
            <w:tcW w:w="0" w:type="auto"/>
            <w:hideMark/>
          </w:tcPr>
          <w:p w14:paraId="607625F5"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2F9B18B3"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6C0F45B2"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20F1A01F"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709892CF"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Sustained advantage</w:t>
            </w:r>
          </w:p>
        </w:tc>
      </w:tr>
      <w:tr w:rsidR="00AA4898" w:rsidRPr="00145599" w14:paraId="0EEE224E" w14:textId="77777777" w:rsidTr="00ED0B86">
        <w:tc>
          <w:tcPr>
            <w:tcW w:w="0" w:type="auto"/>
            <w:hideMark/>
          </w:tcPr>
          <w:p w14:paraId="7C69D45E" w14:textId="77777777" w:rsidR="00AA4898" w:rsidRPr="00145599" w:rsidRDefault="00AA4898" w:rsidP="00750EAF">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EV Technology</w:t>
            </w:r>
          </w:p>
        </w:tc>
        <w:tc>
          <w:tcPr>
            <w:tcW w:w="0" w:type="auto"/>
            <w:hideMark/>
          </w:tcPr>
          <w:p w14:paraId="0305059A"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72B48456"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No</w:t>
            </w:r>
          </w:p>
        </w:tc>
        <w:tc>
          <w:tcPr>
            <w:tcW w:w="0" w:type="auto"/>
            <w:hideMark/>
          </w:tcPr>
          <w:p w14:paraId="1245DB92"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No</w:t>
            </w:r>
          </w:p>
        </w:tc>
        <w:tc>
          <w:tcPr>
            <w:tcW w:w="0" w:type="auto"/>
            <w:hideMark/>
          </w:tcPr>
          <w:p w14:paraId="1D05320E"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6B5DF789"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Temporary advantage</w:t>
            </w:r>
          </w:p>
        </w:tc>
      </w:tr>
      <w:tr w:rsidR="00AA4898" w:rsidRPr="00145599" w14:paraId="0D9B7A9C" w14:textId="77777777" w:rsidTr="00ED0B86">
        <w:tc>
          <w:tcPr>
            <w:tcW w:w="0" w:type="auto"/>
            <w:hideMark/>
          </w:tcPr>
          <w:p w14:paraId="60A6D497" w14:textId="77777777" w:rsidR="00AA4898" w:rsidRPr="00145599" w:rsidRDefault="00AA4898" w:rsidP="00750EAF">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Manufacturing Facilities</w:t>
            </w:r>
          </w:p>
        </w:tc>
        <w:tc>
          <w:tcPr>
            <w:tcW w:w="0" w:type="auto"/>
            <w:hideMark/>
          </w:tcPr>
          <w:p w14:paraId="7B367EEA"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74AFE3F2"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No</w:t>
            </w:r>
          </w:p>
        </w:tc>
        <w:tc>
          <w:tcPr>
            <w:tcW w:w="0" w:type="auto"/>
            <w:hideMark/>
          </w:tcPr>
          <w:p w14:paraId="1AC8AE62"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No</w:t>
            </w:r>
          </w:p>
        </w:tc>
        <w:tc>
          <w:tcPr>
            <w:tcW w:w="0" w:type="auto"/>
            <w:hideMark/>
          </w:tcPr>
          <w:p w14:paraId="1FD695A2"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06372BE4"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Competitive parity</w:t>
            </w:r>
          </w:p>
        </w:tc>
      </w:tr>
      <w:tr w:rsidR="00AA4898" w:rsidRPr="00145599" w14:paraId="0A2DF564" w14:textId="77777777" w:rsidTr="00ED0B86">
        <w:tc>
          <w:tcPr>
            <w:tcW w:w="0" w:type="auto"/>
            <w:hideMark/>
          </w:tcPr>
          <w:p w14:paraId="20BB6FAA" w14:textId="77777777" w:rsidR="00AA4898" w:rsidRPr="00145599" w:rsidRDefault="00AA4898" w:rsidP="00750EAF">
            <w:pPr>
              <w:jc w:val="center"/>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Global Distribution</w:t>
            </w:r>
          </w:p>
        </w:tc>
        <w:tc>
          <w:tcPr>
            <w:tcW w:w="0" w:type="auto"/>
            <w:hideMark/>
          </w:tcPr>
          <w:p w14:paraId="51B7A10D"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0CAA56D4"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No</w:t>
            </w:r>
          </w:p>
        </w:tc>
        <w:tc>
          <w:tcPr>
            <w:tcW w:w="0" w:type="auto"/>
            <w:hideMark/>
          </w:tcPr>
          <w:p w14:paraId="7DD1B417"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No</w:t>
            </w:r>
          </w:p>
        </w:tc>
        <w:tc>
          <w:tcPr>
            <w:tcW w:w="0" w:type="auto"/>
            <w:hideMark/>
          </w:tcPr>
          <w:p w14:paraId="70F6D595"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Yes</w:t>
            </w:r>
          </w:p>
        </w:tc>
        <w:tc>
          <w:tcPr>
            <w:tcW w:w="0" w:type="auto"/>
            <w:hideMark/>
          </w:tcPr>
          <w:p w14:paraId="486C9F74" w14:textId="77777777" w:rsidR="00AA4898" w:rsidRPr="00145599" w:rsidRDefault="00AA4898" w:rsidP="00750EAF">
            <w:pPr>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Competitive parity</w:t>
            </w:r>
          </w:p>
        </w:tc>
      </w:tr>
    </w:tbl>
    <w:p w14:paraId="202BC569" w14:textId="77777777" w:rsidR="00AA4898" w:rsidRPr="00145599" w:rsidRDefault="00AA4898" w:rsidP="00AA4898">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14:ligatures w14:val="none"/>
        </w:rPr>
      </w:pPr>
      <w:r w:rsidRPr="00145599">
        <w:rPr>
          <w:rFonts w:ascii="Times New Roman" w:eastAsia="Times New Roman" w:hAnsi="Times New Roman" w:cs="Times New Roman"/>
          <w:b/>
          <w:bCs/>
          <w:kern w:val="36"/>
          <w:sz w:val="24"/>
          <w:szCs w:val="24"/>
          <w:lang w:eastAsia="en-GB"/>
          <w14:ligatures w14:val="none"/>
        </w:rPr>
        <w:t>SWOT Analysis</w:t>
      </w:r>
    </w:p>
    <w:p w14:paraId="4A411CF1" w14:textId="77777777" w:rsidR="00AA4898"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Strength</w:t>
      </w:r>
    </w:p>
    <w:p w14:paraId="3F00348C" w14:textId="77777777" w:rsidR="00AA4898" w:rsidRDefault="00AA4898" w:rsidP="00AA4898">
      <w:pPr>
        <w:spacing w:before="100" w:beforeAutospacing="1" w:after="100" w:afterAutospacing="1" w:line="240" w:lineRule="auto"/>
        <w:outlineLvl w:val="2"/>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Strong global brand recognition</w:t>
      </w:r>
      <w:r>
        <w:rPr>
          <w:rFonts w:ascii="Times New Roman" w:eastAsia="Times New Roman" w:hAnsi="Times New Roman" w:cs="Times New Roman"/>
          <w:kern w:val="0"/>
          <w:sz w:val="24"/>
          <w:szCs w:val="24"/>
          <w:lang w:eastAsia="en-GB"/>
          <w14:ligatures w14:val="none"/>
        </w:rPr>
        <w:t>,</w:t>
      </w:r>
      <w:r w:rsidRPr="00145599">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engineering</w:t>
      </w:r>
      <w:r w:rsidRPr="00145599">
        <w:rPr>
          <w:rFonts w:ascii="Times New Roman" w:eastAsia="Times New Roman" w:hAnsi="Times New Roman" w:cs="Times New Roman"/>
          <w:kern w:val="0"/>
          <w:sz w:val="24"/>
          <w:szCs w:val="24"/>
          <w:lang w:eastAsia="en-GB"/>
          <w14:ligatures w14:val="none"/>
        </w:rPr>
        <w:t xml:space="preserve"> excellence</w:t>
      </w:r>
      <w:r>
        <w:rPr>
          <w:rFonts w:ascii="Times New Roman" w:eastAsia="Times New Roman" w:hAnsi="Times New Roman" w:cs="Times New Roman"/>
          <w:kern w:val="0"/>
          <w:sz w:val="24"/>
          <w:szCs w:val="24"/>
          <w:lang w:eastAsia="en-GB"/>
          <w14:ligatures w14:val="none"/>
        </w:rPr>
        <w:t>,</w:t>
      </w:r>
      <w:r w:rsidRPr="00145599">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b</w:t>
      </w:r>
      <w:r w:rsidRPr="00145599">
        <w:rPr>
          <w:rFonts w:ascii="Times New Roman" w:eastAsia="Times New Roman" w:hAnsi="Times New Roman" w:cs="Times New Roman"/>
          <w:kern w:val="0"/>
          <w:sz w:val="24"/>
          <w:szCs w:val="24"/>
          <w:lang w:eastAsia="en-GB"/>
          <w14:ligatures w14:val="none"/>
        </w:rPr>
        <w:t xml:space="preserve">acking from Tata Motors </w:t>
      </w:r>
    </w:p>
    <w:p w14:paraId="05ECC763" w14:textId="77777777" w:rsidR="00AA4898" w:rsidRPr="00ED0B86"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P</w:t>
      </w:r>
      <w:r w:rsidRPr="00145599">
        <w:rPr>
          <w:rFonts w:ascii="Times New Roman" w:eastAsia="Times New Roman" w:hAnsi="Times New Roman" w:cs="Times New Roman"/>
          <w:kern w:val="0"/>
          <w:sz w:val="24"/>
          <w:szCs w:val="24"/>
          <w:lang w:eastAsia="en-GB"/>
          <w14:ligatures w14:val="none"/>
        </w:rPr>
        <w:t xml:space="preserve">remium market positioning </w:t>
      </w:r>
      <w:r>
        <w:rPr>
          <w:rFonts w:ascii="Times New Roman" w:eastAsia="Times New Roman" w:hAnsi="Times New Roman" w:cs="Times New Roman"/>
          <w:kern w:val="0"/>
          <w:sz w:val="24"/>
          <w:szCs w:val="24"/>
          <w:lang w:eastAsia="en-GB"/>
          <w14:ligatures w14:val="none"/>
        </w:rPr>
        <w:t>and A</w:t>
      </w:r>
      <w:r w:rsidRPr="00145599">
        <w:rPr>
          <w:rFonts w:ascii="Times New Roman" w:eastAsia="Times New Roman" w:hAnsi="Times New Roman" w:cs="Times New Roman"/>
          <w:kern w:val="0"/>
          <w:sz w:val="24"/>
          <w:szCs w:val="24"/>
          <w:lang w:eastAsia="en-GB"/>
          <w14:ligatures w14:val="none"/>
        </w:rPr>
        <w:t>dvanced manufacturing capabilities</w:t>
      </w:r>
    </w:p>
    <w:p w14:paraId="67A9E359"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Weaknesses</w:t>
      </w:r>
    </w:p>
    <w:p w14:paraId="7B83CAFC"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lastRenderedPageBreak/>
        <w:t>Slow EV transition • High production costs • Supply chain vulnerabilities • Dependence on traditional powertrains • Limited digital ecosystem</w:t>
      </w:r>
    </w:p>
    <w:p w14:paraId="0A0F16D8" w14:textId="77777777" w:rsidR="00AA4898" w:rsidRPr="001260E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Opportunities</w:t>
      </w:r>
    </w:p>
    <w:p w14:paraId="7FEC0227"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 Growing EV demand • Government incentives • Digital transformation • Expansion into emerging markets • Strategic partnerships</w:t>
      </w:r>
    </w:p>
    <w:p w14:paraId="1C1BA062" w14:textId="77777777" w:rsidR="00AA4898" w:rsidRPr="001260E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Threats</w:t>
      </w:r>
    </w:p>
    <w:p w14:paraId="6AE4A026"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 Intense competition • Regulatory pressures • Supply chain disruptions • Economic downturn Technological disruption</w:t>
      </w:r>
    </w:p>
    <w:p w14:paraId="5FE0B5C2" w14:textId="77777777" w:rsidR="00AA4898" w:rsidRPr="00145599" w:rsidRDefault="00AA4898" w:rsidP="00AA4898">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14:ligatures w14:val="none"/>
        </w:rPr>
      </w:pPr>
      <w:r w:rsidRPr="00145599">
        <w:rPr>
          <w:rFonts w:ascii="Times New Roman" w:eastAsia="Times New Roman" w:hAnsi="Times New Roman" w:cs="Times New Roman"/>
          <w:b/>
          <w:bCs/>
          <w:kern w:val="36"/>
          <w:sz w:val="24"/>
          <w:szCs w:val="24"/>
          <w:lang w:eastAsia="en-GB"/>
          <w14:ligatures w14:val="none"/>
        </w:rPr>
        <w:t>Strategy Formulation</w:t>
      </w:r>
    </w:p>
    <w:p w14:paraId="4AA9B94E" w14:textId="77777777" w:rsidR="00AA4898" w:rsidRPr="00145599" w:rsidRDefault="00AA4898" w:rsidP="00AA4898">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1. Accelerated Electrification Strategy</w:t>
      </w:r>
    </w:p>
    <w:p w14:paraId="6C36B967"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JLR must accelerate electric vehicle development to remain competitive. This includes increasing investment in battery technology, expanding EV product ranges, strengthening partnerships with battery suppliers, and developing charging infrastructure collaborations. This strategy aligns with regulatory pressures and consumer demand for sustainable mobility.</w:t>
      </w:r>
    </w:p>
    <w:p w14:paraId="0A739CFB" w14:textId="77777777" w:rsidR="00AA4898" w:rsidRPr="00145599" w:rsidRDefault="00AA4898" w:rsidP="00AA4898">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2. Supply Chain Resilience and Localisation</w:t>
      </w:r>
    </w:p>
    <w:p w14:paraId="105A06B4"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To mitigate supply chain risks, JLR should localise battery and semiconductor production, diversify supplier networks, invest in predictive supply chain analytics, and strengthen relationships with strategic suppliers. This enhances operational stability and reduces production delays.</w:t>
      </w:r>
    </w:p>
    <w:p w14:paraId="68BFDFBC" w14:textId="77777777" w:rsidR="00AA4898" w:rsidRPr="00145599" w:rsidRDefault="00AA4898" w:rsidP="00AA4898">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3. Digital Transformation and Software</w:t>
      </w:r>
      <w:r w:rsidRPr="00145599">
        <w:rPr>
          <w:rFonts w:ascii="Times New Roman" w:eastAsia="Times New Roman" w:hAnsi="Times New Roman" w:cs="Times New Roman"/>
          <w:b/>
          <w:bCs/>
          <w:kern w:val="0"/>
          <w:sz w:val="24"/>
          <w:szCs w:val="24"/>
          <w:lang w:eastAsia="en-GB"/>
          <w14:ligatures w14:val="none"/>
        </w:rPr>
        <w:noBreakHyphen/>
        <w:t>Defined Vehicles</w:t>
      </w:r>
    </w:p>
    <w:p w14:paraId="23F71FEB"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Digital capabilities are essential for competitiveness. JLR should develop proprietary software platforms, invest in AI</w:t>
      </w:r>
      <w:r w:rsidRPr="00145599">
        <w:rPr>
          <w:rFonts w:ascii="Times New Roman" w:eastAsia="Times New Roman" w:hAnsi="Times New Roman" w:cs="Times New Roman"/>
          <w:kern w:val="0"/>
          <w:sz w:val="24"/>
          <w:szCs w:val="24"/>
          <w:lang w:eastAsia="en-GB"/>
          <w14:ligatures w14:val="none"/>
        </w:rPr>
        <w:noBreakHyphen/>
        <w:t>driven predictive maintenance, expand digital sales channels, and enhance customer experience through personalised digital services. This supports long</w:t>
      </w:r>
      <w:r w:rsidRPr="00145599">
        <w:rPr>
          <w:rFonts w:ascii="Times New Roman" w:eastAsia="Times New Roman" w:hAnsi="Times New Roman" w:cs="Times New Roman"/>
          <w:kern w:val="0"/>
          <w:sz w:val="24"/>
          <w:szCs w:val="24"/>
          <w:lang w:eastAsia="en-GB"/>
          <w14:ligatures w14:val="none"/>
        </w:rPr>
        <w:noBreakHyphen/>
        <w:t>term differentiation and customer loyalty.</w:t>
      </w:r>
    </w:p>
    <w:p w14:paraId="5A902E12" w14:textId="77777777" w:rsidR="00AA4898" w:rsidRPr="00145599" w:rsidRDefault="00AA4898" w:rsidP="00AA4898">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t>4. Brand Repositioning and Market Expansion</w:t>
      </w:r>
    </w:p>
    <w:p w14:paraId="68444F1D"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JLR can strengthen its market position by repositioning Jaguar as a fully electric luxury brand, enhancing Land Rover’s sustainability credentials, expanding into high</w:t>
      </w:r>
      <w:r w:rsidRPr="00145599">
        <w:rPr>
          <w:rFonts w:ascii="Times New Roman" w:eastAsia="Times New Roman" w:hAnsi="Times New Roman" w:cs="Times New Roman"/>
          <w:kern w:val="0"/>
          <w:sz w:val="24"/>
          <w:szCs w:val="24"/>
          <w:lang w:eastAsia="en-GB"/>
          <w14:ligatures w14:val="none"/>
        </w:rPr>
        <w:noBreakHyphen/>
        <w:t>growth markets such as China and India, and leveraging heritage to reinforce premium identity.</w:t>
      </w:r>
    </w:p>
    <w:p w14:paraId="1F9BFEED" w14:textId="77777777" w:rsidR="00AA4898" w:rsidRPr="00145599" w:rsidRDefault="00AA4898" w:rsidP="00AA4898">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14:ligatures w14:val="none"/>
        </w:rPr>
      </w:pPr>
      <w:r w:rsidRPr="00145599">
        <w:rPr>
          <w:rFonts w:ascii="Times New Roman" w:eastAsia="Times New Roman" w:hAnsi="Times New Roman" w:cs="Times New Roman"/>
          <w:b/>
          <w:bCs/>
          <w:kern w:val="36"/>
          <w:sz w:val="24"/>
          <w:szCs w:val="24"/>
          <w:lang w:eastAsia="en-GB"/>
          <w14:ligatures w14:val="none"/>
        </w:rPr>
        <w:t>Conclusion and Recommendations</w:t>
      </w:r>
    </w:p>
    <w:p w14:paraId="3E8F9972"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JLR operates in a dynamic environment shaped by electrification, regulatory change, and evolving consumer expectations. The company possesses strong internal capabilities, including brand equity and engineering expertise, but faces challenges such as slow EV transition and supply chain vulnerabilities. Strategic analysis highlights the need for accelerated electrification, digital transformation, supply chain resilience, and brand repositioning.</w:t>
      </w:r>
    </w:p>
    <w:p w14:paraId="25FE91F8" w14:textId="77777777" w:rsidR="00AA4898" w:rsidRPr="00145599" w:rsidRDefault="00AA4898" w:rsidP="00AA4898">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145599">
        <w:rPr>
          <w:rFonts w:ascii="Times New Roman" w:eastAsia="Times New Roman" w:hAnsi="Times New Roman" w:cs="Times New Roman"/>
          <w:b/>
          <w:bCs/>
          <w:kern w:val="0"/>
          <w:sz w:val="24"/>
          <w:szCs w:val="24"/>
          <w:lang w:eastAsia="en-GB"/>
          <w14:ligatures w14:val="none"/>
        </w:rPr>
        <w:lastRenderedPageBreak/>
        <w:t>Recommendations</w:t>
      </w:r>
    </w:p>
    <w:p w14:paraId="32328B9F" w14:textId="77777777" w:rsidR="00AA4898" w:rsidRPr="00145599" w:rsidRDefault="00AA4898" w:rsidP="00AA4898">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Accelerate EV development through increased investment in battery technology and EV platforms.</w:t>
      </w:r>
    </w:p>
    <w:p w14:paraId="582312E6" w14:textId="77777777" w:rsidR="00AA4898" w:rsidRPr="00145599" w:rsidRDefault="00AA4898" w:rsidP="00AA4898">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Strengthen supply chain resilience by localising critical components and diversifying suppliers.</w:t>
      </w:r>
    </w:p>
    <w:p w14:paraId="5498EDFA" w14:textId="77777777" w:rsidR="00AA4898" w:rsidRPr="00145599" w:rsidRDefault="00AA4898" w:rsidP="00AA4898">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Invest in digital capabilities to support software</w:t>
      </w:r>
      <w:r w:rsidRPr="00145599">
        <w:rPr>
          <w:rFonts w:ascii="Times New Roman" w:eastAsia="Times New Roman" w:hAnsi="Times New Roman" w:cs="Times New Roman"/>
          <w:kern w:val="0"/>
          <w:sz w:val="24"/>
          <w:szCs w:val="24"/>
          <w:lang w:eastAsia="en-GB"/>
          <w14:ligatures w14:val="none"/>
        </w:rPr>
        <w:noBreakHyphen/>
        <w:t>defined vehicles and enhance customer experience.</w:t>
      </w:r>
    </w:p>
    <w:p w14:paraId="09EE634B" w14:textId="77777777" w:rsidR="00AA4898" w:rsidRPr="00145599" w:rsidRDefault="00AA4898" w:rsidP="00AA4898">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Reposition Jaguar and Land Rover to reinforce their electric and sustainable luxury identities.</w:t>
      </w:r>
    </w:p>
    <w:p w14:paraId="1963F510" w14:textId="77777777" w:rsidR="00AA4898" w:rsidRPr="00145599" w:rsidRDefault="00AA4898" w:rsidP="00AA4898">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Expand global market presence through targeted strategies in high</w:t>
      </w:r>
      <w:r w:rsidRPr="00145599">
        <w:rPr>
          <w:rFonts w:ascii="Times New Roman" w:eastAsia="Times New Roman" w:hAnsi="Times New Roman" w:cs="Times New Roman"/>
          <w:kern w:val="0"/>
          <w:sz w:val="24"/>
          <w:szCs w:val="24"/>
          <w:lang w:eastAsia="en-GB"/>
          <w14:ligatures w14:val="none"/>
        </w:rPr>
        <w:noBreakHyphen/>
        <w:t>growth regions.</w:t>
      </w:r>
    </w:p>
    <w:p w14:paraId="2ABD1EDC"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These recommendations will support JLR’s long</w:t>
      </w:r>
      <w:r w:rsidRPr="00145599">
        <w:rPr>
          <w:rFonts w:ascii="Times New Roman" w:eastAsia="Times New Roman" w:hAnsi="Times New Roman" w:cs="Times New Roman"/>
          <w:kern w:val="0"/>
          <w:sz w:val="24"/>
          <w:szCs w:val="24"/>
          <w:lang w:eastAsia="en-GB"/>
          <w14:ligatures w14:val="none"/>
        </w:rPr>
        <w:noBreakHyphen/>
        <w:t>term competitiveness, sustainability, and financial resilience.</w:t>
      </w:r>
    </w:p>
    <w:p w14:paraId="3455B2AB"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6B40E4E" w14:textId="77777777" w:rsidR="00AA4898" w:rsidRPr="00145599" w:rsidRDefault="00AA4898" w:rsidP="00AA4898">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14:ligatures w14:val="none"/>
        </w:rPr>
      </w:pPr>
      <w:r w:rsidRPr="00145599">
        <w:rPr>
          <w:rFonts w:ascii="Times New Roman" w:eastAsia="Times New Roman" w:hAnsi="Times New Roman" w:cs="Times New Roman"/>
          <w:b/>
          <w:bCs/>
          <w:kern w:val="36"/>
          <w:sz w:val="24"/>
          <w:szCs w:val="24"/>
          <w:lang w:eastAsia="en-GB"/>
          <w14:ligatures w14:val="none"/>
        </w:rPr>
        <w:t xml:space="preserve">References </w:t>
      </w:r>
    </w:p>
    <w:p w14:paraId="5495AB6A"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ACEA (2024) </w:t>
      </w:r>
      <w:r w:rsidRPr="00145599">
        <w:rPr>
          <w:rFonts w:ascii="Times New Roman" w:eastAsia="Times New Roman" w:hAnsi="Times New Roman" w:cs="Times New Roman"/>
          <w:i/>
          <w:iCs/>
          <w:kern w:val="0"/>
          <w:sz w:val="24"/>
          <w:szCs w:val="24"/>
          <w:lang w:eastAsia="en-GB"/>
          <w14:ligatures w14:val="none"/>
        </w:rPr>
        <w:t>Economic and Market Report: Global and EU Auto Industry 2024</w:t>
      </w:r>
      <w:r w:rsidRPr="00145599">
        <w:rPr>
          <w:rFonts w:ascii="Times New Roman" w:eastAsia="Times New Roman" w:hAnsi="Times New Roman" w:cs="Times New Roman"/>
          <w:kern w:val="0"/>
          <w:sz w:val="24"/>
          <w:szCs w:val="24"/>
          <w:lang w:eastAsia="en-GB"/>
          <w14:ligatures w14:val="none"/>
        </w:rPr>
        <w:t xml:space="preserve">. </w:t>
      </w:r>
    </w:p>
    <w:p w14:paraId="0CDDDCA0"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Barney, J. (1991) ‘Firm Resources and Sustained Competitive Advantage’, </w:t>
      </w:r>
      <w:r w:rsidRPr="00145599">
        <w:rPr>
          <w:rFonts w:ascii="Times New Roman" w:eastAsia="Times New Roman" w:hAnsi="Times New Roman" w:cs="Times New Roman"/>
          <w:i/>
          <w:iCs/>
          <w:kern w:val="0"/>
          <w:sz w:val="24"/>
          <w:szCs w:val="24"/>
          <w:lang w:eastAsia="en-GB"/>
          <w14:ligatures w14:val="none"/>
        </w:rPr>
        <w:t>Journal of Management</w:t>
      </w:r>
      <w:r w:rsidRPr="00145599">
        <w:rPr>
          <w:rFonts w:ascii="Times New Roman" w:eastAsia="Times New Roman" w:hAnsi="Times New Roman" w:cs="Times New Roman"/>
          <w:kern w:val="0"/>
          <w:sz w:val="24"/>
          <w:szCs w:val="24"/>
          <w:lang w:eastAsia="en-GB"/>
          <w14:ligatures w14:val="none"/>
        </w:rPr>
        <w:t xml:space="preserve">, 17(1), pp. 99–120. </w:t>
      </w:r>
    </w:p>
    <w:p w14:paraId="366594CE"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Deloitte (2024) </w:t>
      </w:r>
      <w:r w:rsidRPr="00145599">
        <w:rPr>
          <w:rFonts w:ascii="Times New Roman" w:eastAsia="Times New Roman" w:hAnsi="Times New Roman" w:cs="Times New Roman"/>
          <w:i/>
          <w:iCs/>
          <w:kern w:val="0"/>
          <w:sz w:val="24"/>
          <w:szCs w:val="24"/>
          <w:lang w:eastAsia="en-GB"/>
          <w14:ligatures w14:val="none"/>
        </w:rPr>
        <w:t>Global Automotive Consumer Study</w:t>
      </w:r>
      <w:r w:rsidRPr="00145599">
        <w:rPr>
          <w:rFonts w:ascii="Times New Roman" w:eastAsia="Times New Roman" w:hAnsi="Times New Roman" w:cs="Times New Roman"/>
          <w:kern w:val="0"/>
          <w:sz w:val="24"/>
          <w:szCs w:val="24"/>
          <w:lang w:eastAsia="en-GB"/>
          <w14:ligatures w14:val="none"/>
        </w:rPr>
        <w:t xml:space="preserve">. </w:t>
      </w:r>
    </w:p>
    <w:p w14:paraId="720A82E4"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European Commission (2024) </w:t>
      </w:r>
      <w:r w:rsidRPr="00145599">
        <w:rPr>
          <w:rFonts w:ascii="Times New Roman" w:eastAsia="Times New Roman" w:hAnsi="Times New Roman" w:cs="Times New Roman"/>
          <w:i/>
          <w:iCs/>
          <w:kern w:val="0"/>
          <w:sz w:val="24"/>
          <w:szCs w:val="24"/>
          <w:lang w:eastAsia="en-GB"/>
          <w14:ligatures w14:val="none"/>
        </w:rPr>
        <w:t>CO₂ Emissions Regulations for Passenger Cars</w:t>
      </w:r>
      <w:r w:rsidRPr="00145599">
        <w:rPr>
          <w:rFonts w:ascii="Times New Roman" w:eastAsia="Times New Roman" w:hAnsi="Times New Roman" w:cs="Times New Roman"/>
          <w:kern w:val="0"/>
          <w:sz w:val="24"/>
          <w:szCs w:val="24"/>
          <w:lang w:eastAsia="en-GB"/>
          <w14:ligatures w14:val="none"/>
        </w:rPr>
        <w:t xml:space="preserve">. </w:t>
      </w:r>
    </w:p>
    <w:p w14:paraId="184C5FCA"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Grant, R. (2022) </w:t>
      </w:r>
      <w:r w:rsidRPr="00145599">
        <w:rPr>
          <w:rFonts w:ascii="Times New Roman" w:eastAsia="Times New Roman" w:hAnsi="Times New Roman" w:cs="Times New Roman"/>
          <w:i/>
          <w:iCs/>
          <w:kern w:val="0"/>
          <w:sz w:val="24"/>
          <w:szCs w:val="24"/>
          <w:lang w:eastAsia="en-GB"/>
          <w14:ligatures w14:val="none"/>
        </w:rPr>
        <w:t>Contemporary Strategy Analysis</w:t>
      </w:r>
      <w:r w:rsidRPr="00145599">
        <w:rPr>
          <w:rFonts w:ascii="Times New Roman" w:eastAsia="Times New Roman" w:hAnsi="Times New Roman" w:cs="Times New Roman"/>
          <w:kern w:val="0"/>
          <w:sz w:val="24"/>
          <w:szCs w:val="24"/>
          <w:lang w:eastAsia="en-GB"/>
          <w14:ligatures w14:val="none"/>
        </w:rPr>
        <w:t xml:space="preserve">. 11th ed. Wiley. </w:t>
      </w:r>
    </w:p>
    <w:p w14:paraId="45037EB5"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HM Government (2023) </w:t>
      </w:r>
      <w:r w:rsidRPr="00145599">
        <w:rPr>
          <w:rFonts w:ascii="Times New Roman" w:eastAsia="Times New Roman" w:hAnsi="Times New Roman" w:cs="Times New Roman"/>
          <w:i/>
          <w:iCs/>
          <w:kern w:val="0"/>
          <w:sz w:val="24"/>
          <w:szCs w:val="24"/>
          <w:lang w:eastAsia="en-GB"/>
          <w14:ligatures w14:val="none"/>
        </w:rPr>
        <w:t>UK Electric Vehicle Strategy</w:t>
      </w:r>
      <w:r w:rsidRPr="00145599">
        <w:rPr>
          <w:rFonts w:ascii="Times New Roman" w:eastAsia="Times New Roman" w:hAnsi="Times New Roman" w:cs="Times New Roman"/>
          <w:kern w:val="0"/>
          <w:sz w:val="24"/>
          <w:szCs w:val="24"/>
          <w:lang w:eastAsia="en-GB"/>
          <w14:ligatures w14:val="none"/>
        </w:rPr>
        <w:t>.</w:t>
      </w:r>
    </w:p>
    <w:p w14:paraId="3220B3AE"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 JLR (2023) </w:t>
      </w:r>
      <w:r w:rsidRPr="00145599">
        <w:rPr>
          <w:rFonts w:ascii="Times New Roman" w:eastAsia="Times New Roman" w:hAnsi="Times New Roman" w:cs="Times New Roman"/>
          <w:i/>
          <w:iCs/>
          <w:kern w:val="0"/>
          <w:sz w:val="24"/>
          <w:szCs w:val="24"/>
          <w:lang w:eastAsia="en-GB"/>
          <w14:ligatures w14:val="none"/>
        </w:rPr>
        <w:t>Reimagine Strategy Overview</w:t>
      </w:r>
      <w:r w:rsidRPr="00145599">
        <w:rPr>
          <w:rFonts w:ascii="Times New Roman" w:eastAsia="Times New Roman" w:hAnsi="Times New Roman" w:cs="Times New Roman"/>
          <w:kern w:val="0"/>
          <w:sz w:val="24"/>
          <w:szCs w:val="24"/>
          <w:lang w:eastAsia="en-GB"/>
          <w14:ligatures w14:val="none"/>
        </w:rPr>
        <w:t xml:space="preserve">. </w:t>
      </w:r>
    </w:p>
    <w:p w14:paraId="2B99F074"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Johnson, G., Whittington, R. and Scholes, K. (2020) </w:t>
      </w:r>
      <w:r w:rsidRPr="00145599">
        <w:rPr>
          <w:rFonts w:ascii="Times New Roman" w:eastAsia="Times New Roman" w:hAnsi="Times New Roman" w:cs="Times New Roman"/>
          <w:i/>
          <w:iCs/>
          <w:kern w:val="0"/>
          <w:sz w:val="24"/>
          <w:szCs w:val="24"/>
          <w:lang w:eastAsia="en-GB"/>
          <w14:ligatures w14:val="none"/>
        </w:rPr>
        <w:t>Exploring Strategy</w:t>
      </w:r>
      <w:r w:rsidRPr="00145599">
        <w:rPr>
          <w:rFonts w:ascii="Times New Roman" w:eastAsia="Times New Roman" w:hAnsi="Times New Roman" w:cs="Times New Roman"/>
          <w:kern w:val="0"/>
          <w:sz w:val="24"/>
          <w:szCs w:val="24"/>
          <w:lang w:eastAsia="en-GB"/>
          <w14:ligatures w14:val="none"/>
        </w:rPr>
        <w:t xml:space="preserve">. 12th ed. Pearson. </w:t>
      </w:r>
    </w:p>
    <w:p w14:paraId="4BAA6E9A"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McKinsey &amp; Company (2023) </w:t>
      </w:r>
      <w:r w:rsidRPr="00145599">
        <w:rPr>
          <w:rFonts w:ascii="Times New Roman" w:eastAsia="Times New Roman" w:hAnsi="Times New Roman" w:cs="Times New Roman"/>
          <w:i/>
          <w:iCs/>
          <w:kern w:val="0"/>
          <w:sz w:val="24"/>
          <w:szCs w:val="24"/>
          <w:lang w:eastAsia="en-GB"/>
          <w14:ligatures w14:val="none"/>
        </w:rPr>
        <w:t>The Future of Mobility</w:t>
      </w:r>
      <w:r w:rsidRPr="00145599">
        <w:rPr>
          <w:rFonts w:ascii="Times New Roman" w:eastAsia="Times New Roman" w:hAnsi="Times New Roman" w:cs="Times New Roman"/>
          <w:kern w:val="0"/>
          <w:sz w:val="24"/>
          <w:szCs w:val="24"/>
          <w:lang w:eastAsia="en-GB"/>
          <w14:ligatures w14:val="none"/>
        </w:rPr>
        <w:t xml:space="preserve">. </w:t>
      </w:r>
    </w:p>
    <w:p w14:paraId="6461E954"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OECD (2024) </w:t>
      </w:r>
      <w:r w:rsidRPr="00145599">
        <w:rPr>
          <w:rFonts w:ascii="Times New Roman" w:eastAsia="Times New Roman" w:hAnsi="Times New Roman" w:cs="Times New Roman"/>
          <w:i/>
          <w:iCs/>
          <w:kern w:val="0"/>
          <w:sz w:val="24"/>
          <w:szCs w:val="24"/>
          <w:lang w:eastAsia="en-GB"/>
          <w14:ligatures w14:val="none"/>
        </w:rPr>
        <w:t>Economic Outlook 2024</w:t>
      </w:r>
      <w:r w:rsidRPr="00145599">
        <w:rPr>
          <w:rFonts w:ascii="Times New Roman" w:eastAsia="Times New Roman" w:hAnsi="Times New Roman" w:cs="Times New Roman"/>
          <w:kern w:val="0"/>
          <w:sz w:val="24"/>
          <w:szCs w:val="24"/>
          <w:lang w:eastAsia="en-GB"/>
          <w14:ligatures w14:val="none"/>
        </w:rPr>
        <w:t xml:space="preserve">. </w:t>
      </w:r>
    </w:p>
    <w:p w14:paraId="1B411E20"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OICA (2024) </w:t>
      </w:r>
      <w:r w:rsidRPr="00145599">
        <w:rPr>
          <w:rFonts w:ascii="Times New Roman" w:eastAsia="Times New Roman" w:hAnsi="Times New Roman" w:cs="Times New Roman"/>
          <w:i/>
          <w:iCs/>
          <w:kern w:val="0"/>
          <w:sz w:val="24"/>
          <w:szCs w:val="24"/>
          <w:lang w:eastAsia="en-GB"/>
          <w14:ligatures w14:val="none"/>
        </w:rPr>
        <w:t>Global Production Statistics</w:t>
      </w:r>
      <w:r w:rsidRPr="00145599">
        <w:rPr>
          <w:rFonts w:ascii="Times New Roman" w:eastAsia="Times New Roman" w:hAnsi="Times New Roman" w:cs="Times New Roman"/>
          <w:kern w:val="0"/>
          <w:sz w:val="24"/>
          <w:szCs w:val="24"/>
          <w:lang w:eastAsia="en-GB"/>
          <w14:ligatures w14:val="none"/>
        </w:rPr>
        <w:t xml:space="preserve">. </w:t>
      </w:r>
    </w:p>
    <w:p w14:paraId="2C2D669A"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Porter, M. (1985) </w:t>
      </w:r>
      <w:r w:rsidRPr="00145599">
        <w:rPr>
          <w:rFonts w:ascii="Times New Roman" w:eastAsia="Times New Roman" w:hAnsi="Times New Roman" w:cs="Times New Roman"/>
          <w:i/>
          <w:iCs/>
          <w:kern w:val="0"/>
          <w:sz w:val="24"/>
          <w:szCs w:val="24"/>
          <w:lang w:eastAsia="en-GB"/>
          <w14:ligatures w14:val="none"/>
        </w:rPr>
        <w:t>Competitive Advantage</w:t>
      </w:r>
      <w:r w:rsidRPr="00145599">
        <w:rPr>
          <w:rFonts w:ascii="Times New Roman" w:eastAsia="Times New Roman" w:hAnsi="Times New Roman" w:cs="Times New Roman"/>
          <w:kern w:val="0"/>
          <w:sz w:val="24"/>
          <w:szCs w:val="24"/>
          <w:lang w:eastAsia="en-GB"/>
          <w14:ligatures w14:val="none"/>
        </w:rPr>
        <w:t>.</w:t>
      </w:r>
    </w:p>
    <w:p w14:paraId="64C5E587"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 PwC (2023) </w:t>
      </w:r>
      <w:r w:rsidRPr="00145599">
        <w:rPr>
          <w:rFonts w:ascii="Times New Roman" w:eastAsia="Times New Roman" w:hAnsi="Times New Roman" w:cs="Times New Roman"/>
          <w:i/>
          <w:iCs/>
          <w:kern w:val="0"/>
          <w:sz w:val="24"/>
          <w:szCs w:val="24"/>
          <w:lang w:eastAsia="en-GB"/>
          <w14:ligatures w14:val="none"/>
        </w:rPr>
        <w:t>Electric Vehicle Outlook 2023</w:t>
      </w:r>
      <w:r w:rsidRPr="00145599">
        <w:rPr>
          <w:rFonts w:ascii="Times New Roman" w:eastAsia="Times New Roman" w:hAnsi="Times New Roman" w:cs="Times New Roman"/>
          <w:kern w:val="0"/>
          <w:sz w:val="24"/>
          <w:szCs w:val="24"/>
          <w:lang w:eastAsia="en-GB"/>
          <w14:ligatures w14:val="none"/>
        </w:rPr>
        <w:t xml:space="preserve">. </w:t>
      </w:r>
    </w:p>
    <w:p w14:paraId="1703661B"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SMMT (2024) </w:t>
      </w:r>
      <w:r w:rsidRPr="00145599">
        <w:rPr>
          <w:rFonts w:ascii="Times New Roman" w:eastAsia="Times New Roman" w:hAnsi="Times New Roman" w:cs="Times New Roman"/>
          <w:i/>
          <w:iCs/>
          <w:kern w:val="0"/>
          <w:sz w:val="24"/>
          <w:szCs w:val="24"/>
          <w:lang w:eastAsia="en-GB"/>
          <w14:ligatures w14:val="none"/>
        </w:rPr>
        <w:t>Automotive Industry Insights Report</w:t>
      </w:r>
      <w:r w:rsidRPr="00145599">
        <w:rPr>
          <w:rFonts w:ascii="Times New Roman" w:eastAsia="Times New Roman" w:hAnsi="Times New Roman" w:cs="Times New Roman"/>
          <w:kern w:val="0"/>
          <w:sz w:val="24"/>
          <w:szCs w:val="24"/>
          <w:lang w:eastAsia="en-GB"/>
          <w14:ligatures w14:val="none"/>
        </w:rPr>
        <w:t xml:space="preserve">. </w:t>
      </w:r>
    </w:p>
    <w:p w14:paraId="7870C929" w14:textId="77777777" w:rsidR="00AA4898"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t xml:space="preserve">Tata Motors (2023) </w:t>
      </w:r>
      <w:r w:rsidRPr="00145599">
        <w:rPr>
          <w:rFonts w:ascii="Times New Roman" w:eastAsia="Times New Roman" w:hAnsi="Times New Roman" w:cs="Times New Roman"/>
          <w:i/>
          <w:iCs/>
          <w:kern w:val="0"/>
          <w:sz w:val="24"/>
          <w:szCs w:val="24"/>
          <w:lang w:eastAsia="en-GB"/>
          <w14:ligatures w14:val="none"/>
        </w:rPr>
        <w:t>Annual Report 2023</w:t>
      </w:r>
      <w:r w:rsidRPr="00145599">
        <w:rPr>
          <w:rFonts w:ascii="Times New Roman" w:eastAsia="Times New Roman" w:hAnsi="Times New Roman" w:cs="Times New Roman"/>
          <w:kern w:val="0"/>
          <w:sz w:val="24"/>
          <w:szCs w:val="24"/>
          <w:lang w:eastAsia="en-GB"/>
          <w14:ligatures w14:val="none"/>
        </w:rPr>
        <w:t xml:space="preserve">. </w:t>
      </w:r>
    </w:p>
    <w:p w14:paraId="19E2224F" w14:textId="77777777" w:rsidR="00AA4898" w:rsidRPr="00145599" w:rsidRDefault="00AA4898" w:rsidP="00AA489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45599">
        <w:rPr>
          <w:rFonts w:ascii="Times New Roman" w:eastAsia="Times New Roman" w:hAnsi="Times New Roman" w:cs="Times New Roman"/>
          <w:kern w:val="0"/>
          <w:sz w:val="24"/>
          <w:szCs w:val="24"/>
          <w:lang w:eastAsia="en-GB"/>
          <w14:ligatures w14:val="none"/>
        </w:rPr>
        <w:lastRenderedPageBreak/>
        <w:t xml:space="preserve">Wernerfelt, B. (1984) ‘A Resource-Based View of the Firm’, </w:t>
      </w:r>
      <w:r w:rsidRPr="00145599">
        <w:rPr>
          <w:rFonts w:ascii="Times New Roman" w:eastAsia="Times New Roman" w:hAnsi="Times New Roman" w:cs="Times New Roman"/>
          <w:i/>
          <w:iCs/>
          <w:kern w:val="0"/>
          <w:sz w:val="24"/>
          <w:szCs w:val="24"/>
          <w:lang w:eastAsia="en-GB"/>
          <w14:ligatures w14:val="none"/>
        </w:rPr>
        <w:t>Strategic Management Journal</w:t>
      </w:r>
      <w:r w:rsidRPr="00145599">
        <w:rPr>
          <w:rFonts w:ascii="Times New Roman" w:eastAsia="Times New Roman" w:hAnsi="Times New Roman" w:cs="Times New Roman"/>
          <w:kern w:val="0"/>
          <w:sz w:val="24"/>
          <w:szCs w:val="24"/>
          <w:lang w:eastAsia="en-GB"/>
          <w14:ligatures w14:val="none"/>
        </w:rPr>
        <w:t>, (2), pp. 171–180.</w:t>
      </w:r>
    </w:p>
    <w:p w14:paraId="134AE048" w14:textId="77777777" w:rsidR="00AA4898" w:rsidRPr="00145599" w:rsidRDefault="00AA4898" w:rsidP="00AA4898">
      <w:pPr>
        <w:rPr>
          <w:rFonts w:ascii="Times New Roman" w:hAnsi="Times New Roman" w:cs="Times New Roman"/>
          <w:sz w:val="24"/>
          <w:szCs w:val="24"/>
        </w:rPr>
      </w:pPr>
    </w:p>
    <w:p w14:paraId="2F32A5D7" w14:textId="77777777" w:rsidR="00E738A0" w:rsidRDefault="00E738A0"/>
    <w:sectPr w:rsidR="00E738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D75FE2"/>
    <w:multiLevelType w:val="multilevel"/>
    <w:tmpl w:val="7B169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0846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898"/>
    <w:rsid w:val="00141F32"/>
    <w:rsid w:val="00142251"/>
    <w:rsid w:val="00855566"/>
    <w:rsid w:val="00AA4898"/>
    <w:rsid w:val="00BC5EC0"/>
    <w:rsid w:val="00E73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3E19C"/>
  <w15:chartTrackingRefBased/>
  <w15:docId w15:val="{18A9B010-CF3E-4B68-8056-638A25001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898"/>
  </w:style>
  <w:style w:type="paragraph" w:styleId="Heading1">
    <w:name w:val="heading 1"/>
    <w:basedOn w:val="Normal"/>
    <w:next w:val="Normal"/>
    <w:link w:val="Heading1Char"/>
    <w:uiPriority w:val="9"/>
    <w:qFormat/>
    <w:rsid w:val="00AA48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48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48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48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48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48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48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48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48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8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48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48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48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48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48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48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48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4898"/>
    <w:rPr>
      <w:rFonts w:eastAsiaTheme="majorEastAsia" w:cstheme="majorBidi"/>
      <w:color w:val="272727" w:themeColor="text1" w:themeTint="D8"/>
    </w:rPr>
  </w:style>
  <w:style w:type="paragraph" w:styleId="Title">
    <w:name w:val="Title"/>
    <w:basedOn w:val="Normal"/>
    <w:next w:val="Normal"/>
    <w:link w:val="TitleChar"/>
    <w:uiPriority w:val="10"/>
    <w:qFormat/>
    <w:rsid w:val="00AA48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48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48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48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4898"/>
    <w:pPr>
      <w:spacing w:before="160"/>
      <w:jc w:val="center"/>
    </w:pPr>
    <w:rPr>
      <w:i/>
      <w:iCs/>
      <w:color w:val="404040" w:themeColor="text1" w:themeTint="BF"/>
    </w:rPr>
  </w:style>
  <w:style w:type="character" w:customStyle="1" w:styleId="QuoteChar">
    <w:name w:val="Quote Char"/>
    <w:basedOn w:val="DefaultParagraphFont"/>
    <w:link w:val="Quote"/>
    <w:uiPriority w:val="29"/>
    <w:rsid w:val="00AA4898"/>
    <w:rPr>
      <w:i/>
      <w:iCs/>
      <w:color w:val="404040" w:themeColor="text1" w:themeTint="BF"/>
    </w:rPr>
  </w:style>
  <w:style w:type="paragraph" w:styleId="ListParagraph">
    <w:name w:val="List Paragraph"/>
    <w:basedOn w:val="Normal"/>
    <w:uiPriority w:val="34"/>
    <w:qFormat/>
    <w:rsid w:val="00AA4898"/>
    <w:pPr>
      <w:ind w:left="720"/>
      <w:contextualSpacing/>
    </w:pPr>
  </w:style>
  <w:style w:type="character" w:styleId="IntenseEmphasis">
    <w:name w:val="Intense Emphasis"/>
    <w:basedOn w:val="DefaultParagraphFont"/>
    <w:uiPriority w:val="21"/>
    <w:qFormat/>
    <w:rsid w:val="00AA4898"/>
    <w:rPr>
      <w:i/>
      <w:iCs/>
      <w:color w:val="0F4761" w:themeColor="accent1" w:themeShade="BF"/>
    </w:rPr>
  </w:style>
  <w:style w:type="paragraph" w:styleId="IntenseQuote">
    <w:name w:val="Intense Quote"/>
    <w:basedOn w:val="Normal"/>
    <w:next w:val="Normal"/>
    <w:link w:val="IntenseQuoteChar"/>
    <w:uiPriority w:val="30"/>
    <w:qFormat/>
    <w:rsid w:val="00AA48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4898"/>
    <w:rPr>
      <w:i/>
      <w:iCs/>
      <w:color w:val="0F4761" w:themeColor="accent1" w:themeShade="BF"/>
    </w:rPr>
  </w:style>
  <w:style w:type="character" w:styleId="IntenseReference">
    <w:name w:val="Intense Reference"/>
    <w:basedOn w:val="DefaultParagraphFont"/>
    <w:uiPriority w:val="32"/>
    <w:qFormat/>
    <w:rsid w:val="00AA4898"/>
    <w:rPr>
      <w:b/>
      <w:bCs/>
      <w:smallCaps/>
      <w:color w:val="0F4761" w:themeColor="accent1" w:themeShade="BF"/>
      <w:spacing w:val="5"/>
    </w:rPr>
  </w:style>
  <w:style w:type="paragraph" w:styleId="NoSpacing">
    <w:name w:val="No Spacing"/>
    <w:uiPriority w:val="1"/>
    <w:qFormat/>
    <w:rsid w:val="00AA4898"/>
    <w:pPr>
      <w:spacing w:after="0" w:line="240" w:lineRule="auto"/>
    </w:pPr>
  </w:style>
  <w:style w:type="table" w:styleId="TableGridLight">
    <w:name w:val="Grid Table Light"/>
    <w:basedOn w:val="TableNormal"/>
    <w:uiPriority w:val="40"/>
    <w:rsid w:val="00AA489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2272</Words>
  <Characters>12955</Characters>
  <Application>Microsoft Office Word</Application>
  <DocSecurity>0</DocSecurity>
  <Lines>107</Lines>
  <Paragraphs>30</Paragraphs>
  <ScaleCrop>false</ScaleCrop>
  <Company/>
  <LinksUpToDate>false</LinksUpToDate>
  <CharactersWithSpaces>15197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Alfred Olatunbosun Ojekere (2226760)</dc:creator>
  <cp:keywords/>
  <dc:description/>
  <cp:lastModifiedBy>Alfred Olatunbosun Ojekere (2226760)</cp:lastModifiedBy>
  <cp:revision>1</cp:revision>
  <dcterms:created xsi:type="dcterms:W3CDTF">2026-07-20T17:16:00Z</dcterms:created>
  <dcterms:modified xsi:type="dcterms:W3CDTF">2026-07-20T17:19:00Z</dcterms:modified>
</cp:coreProperties>
</file>