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41C36" w14:textId="77777777" w:rsidR="001E18EF" w:rsidRDefault="00000000">
      <w:pPr>
        <w:spacing w:after="0" w:line="360" w:lineRule="auto"/>
      </w:pPr>
      <w:r>
        <w:rPr>
          <w:noProof/>
        </w:rPr>
        <w:drawing>
          <wp:inline distT="0" distB="0" distL="0" distR="0" wp14:anchorId="091116A7" wp14:editId="6F9EAF13">
            <wp:extent cx="3343275" cy="1343025"/>
            <wp:effectExtent l="0" t="0" r="0" b="0"/>
            <wp:docPr id="4"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343275" cy="1343025"/>
                    </a:xfrm>
                    <a:prstGeom prst="rect">
                      <a:avLst/>
                    </a:prstGeom>
                    <a:ln/>
                  </pic:spPr>
                </pic:pic>
              </a:graphicData>
            </a:graphic>
          </wp:inline>
        </w:drawing>
      </w:r>
    </w:p>
    <w:p w14:paraId="504B2313" w14:textId="77777777" w:rsidR="001E18EF" w:rsidRDefault="001E18EF">
      <w:pPr>
        <w:spacing w:after="0" w:line="360" w:lineRule="auto"/>
        <w:rPr>
          <w:rFonts w:ascii="Quattrocento Sans" w:eastAsia="Quattrocento Sans" w:hAnsi="Quattrocento Sans" w:cs="Quattrocento Sans"/>
          <w:b/>
          <w:bCs/>
        </w:rPr>
      </w:pPr>
    </w:p>
    <w:p w14:paraId="6D8D7979" w14:textId="77777777" w:rsidR="001E18EF" w:rsidRDefault="001E18EF">
      <w:pPr>
        <w:spacing w:after="0" w:line="360" w:lineRule="auto"/>
        <w:rPr>
          <w:rFonts w:ascii="Arial" w:eastAsia="Arial" w:hAnsi="Arial" w:cs="Arial"/>
          <w:b/>
          <w:bCs/>
          <w:sz w:val="36"/>
          <w:szCs w:val="36"/>
        </w:rPr>
      </w:pPr>
    </w:p>
    <w:p w14:paraId="677A1489" w14:textId="77777777" w:rsidR="001E18EF" w:rsidRDefault="001E18EF">
      <w:pPr>
        <w:spacing w:after="0" w:line="360" w:lineRule="auto"/>
        <w:jc w:val="center"/>
        <w:rPr>
          <w:rFonts w:ascii="Arial" w:eastAsia="Arial" w:hAnsi="Arial" w:cs="Arial"/>
          <w:b/>
          <w:bCs/>
          <w:sz w:val="36"/>
          <w:szCs w:val="36"/>
        </w:rPr>
      </w:pPr>
    </w:p>
    <w:p w14:paraId="5172B618" w14:textId="77777777" w:rsidR="001E18EF" w:rsidRDefault="00000000">
      <w:pPr>
        <w:spacing w:after="0" w:line="360" w:lineRule="auto"/>
        <w:jc w:val="center"/>
        <w:rPr>
          <w:rFonts w:ascii="Arial" w:eastAsia="Arial" w:hAnsi="Arial" w:cs="Arial"/>
          <w:b/>
          <w:bCs/>
          <w:sz w:val="36"/>
          <w:szCs w:val="36"/>
        </w:rPr>
      </w:pPr>
      <w:r>
        <w:rPr>
          <w:rFonts w:ascii="Arial" w:eastAsia="Arial" w:hAnsi="Arial" w:cs="Arial"/>
          <w:b/>
          <w:bCs/>
          <w:sz w:val="36"/>
          <w:szCs w:val="36"/>
        </w:rPr>
        <w:t>Digital Transformation in the Health and Care Professions (BMHP6026)</w:t>
      </w:r>
    </w:p>
    <w:p w14:paraId="38C086E5" w14:textId="77777777" w:rsidR="001E18EF" w:rsidRDefault="00000000">
      <w:pPr>
        <w:spacing w:after="0" w:line="360" w:lineRule="auto"/>
        <w:jc w:val="center"/>
        <w:rPr>
          <w:rFonts w:ascii="Arial" w:eastAsia="Arial" w:hAnsi="Arial" w:cs="Arial"/>
          <w:b/>
          <w:bCs/>
          <w:sz w:val="36"/>
          <w:szCs w:val="36"/>
        </w:rPr>
      </w:pPr>
      <w:r>
        <w:rPr>
          <w:rFonts w:ascii="Arial" w:eastAsia="Arial" w:hAnsi="Arial" w:cs="Arial"/>
          <w:b/>
          <w:bCs/>
          <w:sz w:val="36"/>
          <w:szCs w:val="36"/>
        </w:rPr>
        <w:t>Component 1: Written Report</w:t>
      </w:r>
    </w:p>
    <w:p w14:paraId="4D03C04E" w14:textId="7697E9F1" w:rsidR="001E18EF" w:rsidRDefault="00000000">
      <w:pPr>
        <w:spacing w:after="0" w:line="360" w:lineRule="auto"/>
        <w:jc w:val="center"/>
        <w:rPr>
          <w:rFonts w:ascii="Arial" w:eastAsia="Arial" w:hAnsi="Arial" w:cs="Arial"/>
          <w:b/>
          <w:bCs/>
          <w:sz w:val="36"/>
          <w:szCs w:val="36"/>
        </w:rPr>
      </w:pPr>
      <w:r>
        <w:rPr>
          <w:rFonts w:ascii="Arial" w:eastAsia="Arial" w:hAnsi="Arial" w:cs="Arial"/>
          <w:b/>
          <w:bCs/>
          <w:sz w:val="36"/>
          <w:szCs w:val="36"/>
        </w:rPr>
        <w:t>Student Name:</w:t>
      </w:r>
      <w:r w:rsidR="00F9028F">
        <w:rPr>
          <w:rFonts w:ascii="Arial" w:eastAsia="Arial" w:hAnsi="Arial" w:cs="Arial"/>
          <w:b/>
          <w:bCs/>
          <w:sz w:val="36"/>
          <w:szCs w:val="36"/>
        </w:rPr>
        <w:t xml:space="preserve"> Kinga Julia Gisca</w:t>
      </w:r>
    </w:p>
    <w:p w14:paraId="23F54442" w14:textId="411A59FE" w:rsidR="001E18EF" w:rsidRDefault="00000000">
      <w:pPr>
        <w:spacing w:after="0" w:line="360" w:lineRule="auto"/>
        <w:jc w:val="center"/>
        <w:rPr>
          <w:rFonts w:ascii="Arial" w:eastAsia="Arial" w:hAnsi="Arial" w:cs="Arial"/>
          <w:b/>
          <w:bCs/>
          <w:sz w:val="36"/>
          <w:szCs w:val="36"/>
        </w:rPr>
      </w:pPr>
      <w:r>
        <w:rPr>
          <w:rFonts w:ascii="Arial" w:eastAsia="Arial" w:hAnsi="Arial" w:cs="Arial"/>
          <w:b/>
          <w:bCs/>
          <w:sz w:val="36"/>
          <w:szCs w:val="36"/>
        </w:rPr>
        <w:t>Student I</w:t>
      </w:r>
      <w:r w:rsidR="00F9028F">
        <w:rPr>
          <w:rFonts w:ascii="Arial" w:eastAsia="Arial" w:hAnsi="Arial" w:cs="Arial"/>
          <w:b/>
          <w:bCs/>
          <w:sz w:val="36"/>
          <w:szCs w:val="36"/>
        </w:rPr>
        <w:t>D</w:t>
      </w:r>
      <w:r>
        <w:rPr>
          <w:rFonts w:ascii="Arial" w:eastAsia="Arial" w:hAnsi="Arial" w:cs="Arial"/>
          <w:b/>
          <w:bCs/>
          <w:sz w:val="36"/>
          <w:szCs w:val="36"/>
        </w:rPr>
        <w:t>:</w:t>
      </w:r>
      <w:r w:rsidR="00F9028F">
        <w:rPr>
          <w:rFonts w:ascii="Arial" w:eastAsia="Arial" w:hAnsi="Arial" w:cs="Arial"/>
          <w:b/>
          <w:bCs/>
          <w:sz w:val="36"/>
          <w:szCs w:val="36"/>
        </w:rPr>
        <w:t xml:space="preserve"> 1916790</w:t>
      </w:r>
    </w:p>
    <w:p w14:paraId="13485C3D" w14:textId="472156BF" w:rsidR="001E18EF" w:rsidRDefault="00000000">
      <w:pPr>
        <w:spacing w:after="0" w:line="360" w:lineRule="auto"/>
        <w:jc w:val="center"/>
        <w:rPr>
          <w:rFonts w:ascii="Arial" w:eastAsia="Arial" w:hAnsi="Arial" w:cs="Arial"/>
          <w:b/>
          <w:bCs/>
          <w:sz w:val="36"/>
          <w:szCs w:val="36"/>
        </w:rPr>
      </w:pPr>
      <w:r>
        <w:rPr>
          <w:rFonts w:ascii="Arial" w:eastAsia="Arial" w:hAnsi="Arial" w:cs="Arial"/>
          <w:b/>
          <w:bCs/>
          <w:sz w:val="36"/>
          <w:szCs w:val="36"/>
        </w:rPr>
        <w:t>Lecturer Name:</w:t>
      </w:r>
      <w:r w:rsidR="00F9028F">
        <w:rPr>
          <w:rFonts w:ascii="Arial" w:eastAsia="Arial" w:hAnsi="Arial" w:cs="Arial"/>
          <w:b/>
          <w:bCs/>
          <w:sz w:val="36"/>
          <w:szCs w:val="36"/>
        </w:rPr>
        <w:t xml:space="preserve"> Muhammed Khan</w:t>
      </w:r>
    </w:p>
    <w:p w14:paraId="5A0755D8" w14:textId="77777777" w:rsidR="001E18EF" w:rsidRDefault="001E18EF">
      <w:pPr>
        <w:spacing w:after="0" w:line="360" w:lineRule="auto"/>
        <w:rPr>
          <w:sz w:val="36"/>
          <w:szCs w:val="36"/>
        </w:rPr>
      </w:pPr>
    </w:p>
    <w:p w14:paraId="66751675" w14:textId="77777777" w:rsidR="001E18EF" w:rsidRDefault="001E18EF">
      <w:pPr>
        <w:spacing w:after="0" w:line="360" w:lineRule="auto"/>
        <w:rPr>
          <w:rFonts w:ascii="Arial" w:eastAsia="Arial" w:hAnsi="Arial" w:cs="Arial"/>
          <w:sz w:val="36"/>
          <w:szCs w:val="36"/>
        </w:rPr>
      </w:pPr>
    </w:p>
    <w:p w14:paraId="34EB8249" w14:textId="77777777" w:rsidR="001E18EF" w:rsidRDefault="001E18EF">
      <w:pPr>
        <w:spacing w:after="0" w:line="360" w:lineRule="auto"/>
        <w:rPr>
          <w:rFonts w:ascii="Arial" w:eastAsia="Arial" w:hAnsi="Arial" w:cs="Arial"/>
          <w:sz w:val="36"/>
          <w:szCs w:val="36"/>
        </w:rPr>
      </w:pPr>
    </w:p>
    <w:p w14:paraId="49F2070E" w14:textId="77777777" w:rsidR="001E18EF" w:rsidRDefault="001E18EF">
      <w:pPr>
        <w:spacing w:after="0" w:line="360" w:lineRule="auto"/>
        <w:rPr>
          <w:rFonts w:ascii="Arial" w:eastAsia="Arial" w:hAnsi="Arial" w:cs="Arial"/>
          <w:sz w:val="36"/>
          <w:szCs w:val="36"/>
        </w:rPr>
      </w:pPr>
    </w:p>
    <w:p w14:paraId="65058A70" w14:textId="77777777" w:rsidR="001E18EF" w:rsidRDefault="001E18EF">
      <w:pPr>
        <w:pBdr>
          <w:top w:val="nil"/>
          <w:left w:val="nil"/>
          <w:bottom w:val="nil"/>
          <w:right w:val="nil"/>
          <w:between w:val="nil"/>
        </w:pBdr>
        <w:spacing w:after="0" w:line="360" w:lineRule="auto"/>
        <w:rPr>
          <w:rFonts w:ascii="Arial" w:eastAsia="Arial" w:hAnsi="Arial" w:cs="Arial"/>
          <w:b/>
          <w:bCs/>
        </w:rPr>
      </w:pPr>
    </w:p>
    <w:p w14:paraId="209CC92D" w14:textId="77777777" w:rsidR="001E18EF" w:rsidRDefault="001E18EF">
      <w:pPr>
        <w:pBdr>
          <w:top w:val="nil"/>
          <w:left w:val="nil"/>
          <w:bottom w:val="nil"/>
          <w:right w:val="nil"/>
          <w:between w:val="nil"/>
        </w:pBdr>
        <w:spacing w:after="0" w:line="360" w:lineRule="auto"/>
        <w:rPr>
          <w:rFonts w:ascii="Arial" w:eastAsia="Arial" w:hAnsi="Arial" w:cs="Arial"/>
          <w:b/>
          <w:bCs/>
        </w:rPr>
      </w:pPr>
    </w:p>
    <w:p w14:paraId="39DE78B3" w14:textId="77777777" w:rsidR="001E18EF" w:rsidRDefault="001E18EF">
      <w:pPr>
        <w:pBdr>
          <w:top w:val="nil"/>
          <w:left w:val="nil"/>
          <w:bottom w:val="nil"/>
          <w:right w:val="nil"/>
          <w:between w:val="nil"/>
        </w:pBdr>
        <w:spacing w:after="0" w:line="360" w:lineRule="auto"/>
        <w:rPr>
          <w:rFonts w:ascii="Arial" w:eastAsia="Arial" w:hAnsi="Arial" w:cs="Arial"/>
          <w:b/>
          <w:bCs/>
        </w:rPr>
      </w:pPr>
    </w:p>
    <w:p w14:paraId="26C92B18" w14:textId="77777777" w:rsidR="001E18EF" w:rsidRDefault="001E18EF">
      <w:pPr>
        <w:pBdr>
          <w:top w:val="nil"/>
          <w:left w:val="nil"/>
          <w:bottom w:val="nil"/>
          <w:right w:val="nil"/>
          <w:between w:val="nil"/>
        </w:pBdr>
        <w:spacing w:after="0" w:line="360" w:lineRule="auto"/>
        <w:rPr>
          <w:rFonts w:ascii="Arial" w:eastAsia="Arial" w:hAnsi="Arial" w:cs="Arial"/>
          <w:b/>
          <w:bCs/>
        </w:rPr>
      </w:pPr>
    </w:p>
    <w:p w14:paraId="0E86F6D0" w14:textId="77777777" w:rsidR="001E18EF" w:rsidRDefault="001E18EF">
      <w:pPr>
        <w:pBdr>
          <w:top w:val="nil"/>
          <w:left w:val="nil"/>
          <w:bottom w:val="nil"/>
          <w:right w:val="nil"/>
          <w:between w:val="nil"/>
        </w:pBdr>
        <w:spacing w:after="0" w:line="360" w:lineRule="auto"/>
        <w:rPr>
          <w:rFonts w:ascii="Arial" w:eastAsia="Arial" w:hAnsi="Arial" w:cs="Arial"/>
          <w:b/>
          <w:bCs/>
        </w:rPr>
      </w:pPr>
    </w:p>
    <w:p w14:paraId="6AB73ACA" w14:textId="77777777" w:rsidR="001E18EF" w:rsidRDefault="00000000">
      <w:pPr>
        <w:spacing w:after="0" w:line="360" w:lineRule="auto"/>
        <w:rPr>
          <w:rFonts w:ascii="Play" w:eastAsia="Play" w:hAnsi="Play" w:cs="Play"/>
          <w:sz w:val="40"/>
          <w:szCs w:val="40"/>
        </w:rPr>
      </w:pPr>
      <w:bookmarkStart w:id="0" w:name="_heading=h.10n9k9atahyr" w:colFirst="0" w:colLast="0"/>
      <w:bookmarkEnd w:id="0"/>
      <w:r>
        <w:br w:type="page"/>
      </w:r>
    </w:p>
    <w:p w14:paraId="12573E30" w14:textId="77777777" w:rsidR="001E18EF" w:rsidRDefault="00000000">
      <w:pPr>
        <w:keepNext/>
        <w:keepLines/>
        <w:pBdr>
          <w:top w:val="nil"/>
          <w:left w:val="nil"/>
          <w:bottom w:val="nil"/>
          <w:right w:val="nil"/>
          <w:between w:val="nil"/>
        </w:pBdr>
        <w:spacing w:after="0" w:line="360" w:lineRule="auto"/>
        <w:jc w:val="center"/>
        <w:rPr>
          <w:rFonts w:ascii="Arial" w:eastAsia="Arial" w:hAnsi="Arial" w:cs="Arial"/>
          <w:b/>
          <w:bCs/>
          <w:sz w:val="22"/>
          <w:szCs w:val="22"/>
        </w:rPr>
      </w:pPr>
      <w:r>
        <w:rPr>
          <w:rFonts w:ascii="Arial" w:eastAsia="Arial" w:hAnsi="Arial" w:cs="Arial"/>
          <w:b/>
          <w:bCs/>
          <w:sz w:val="22"/>
          <w:szCs w:val="22"/>
        </w:rPr>
        <w:lastRenderedPageBreak/>
        <w:t>Table of Contents</w:t>
      </w:r>
    </w:p>
    <w:sdt>
      <w:sdtPr>
        <w:id w:val="-514597911"/>
        <w:docPartObj>
          <w:docPartGallery w:val="Table of Contents"/>
          <w:docPartUnique/>
        </w:docPartObj>
      </w:sdtPr>
      <w:sdtContent>
        <w:p w14:paraId="37F97302" w14:textId="77777777" w:rsidR="001E18EF" w:rsidRDefault="00000000">
          <w:pPr>
            <w:pBdr>
              <w:top w:val="nil"/>
              <w:left w:val="nil"/>
              <w:bottom w:val="nil"/>
              <w:right w:val="nil"/>
              <w:between w:val="nil"/>
            </w:pBdr>
            <w:tabs>
              <w:tab w:val="right" w:pos="9016"/>
            </w:tabs>
            <w:spacing w:after="0" w:line="360" w:lineRule="auto"/>
            <w:jc w:val="both"/>
            <w:rPr>
              <w:rFonts w:ascii="Arial" w:eastAsia="Arial" w:hAnsi="Arial" w:cs="Arial"/>
              <w:sz w:val="22"/>
              <w:szCs w:val="22"/>
            </w:rPr>
          </w:pPr>
          <w:r>
            <w:fldChar w:fldCharType="begin"/>
          </w:r>
          <w:r>
            <w:instrText xml:space="preserve"> TOC \h \u \z \t "Heading 1,1,Heading 2,2,Heading 3,3,"</w:instrText>
          </w:r>
          <w:r>
            <w:fldChar w:fldCharType="separate"/>
          </w:r>
          <w:hyperlink w:anchor="_heading=h.56iqbuu38jrp">
            <w:r>
              <w:rPr>
                <w:rFonts w:ascii="Arial" w:eastAsia="Arial" w:hAnsi="Arial" w:cs="Arial"/>
                <w:sz w:val="22"/>
                <w:szCs w:val="22"/>
              </w:rPr>
              <w:t>Introduction</w:t>
            </w:r>
            <w:r>
              <w:rPr>
                <w:rFonts w:ascii="Arial" w:eastAsia="Arial" w:hAnsi="Arial" w:cs="Arial"/>
                <w:sz w:val="22"/>
                <w:szCs w:val="22"/>
              </w:rPr>
              <w:tab/>
              <w:t>3</w:t>
            </w:r>
          </w:hyperlink>
        </w:p>
        <w:p w14:paraId="77BDD6B6" w14:textId="77777777" w:rsidR="001E18EF" w:rsidRDefault="00000000">
          <w:pPr>
            <w:pBdr>
              <w:top w:val="nil"/>
              <w:left w:val="nil"/>
              <w:bottom w:val="nil"/>
              <w:right w:val="nil"/>
              <w:between w:val="nil"/>
            </w:pBdr>
            <w:tabs>
              <w:tab w:val="right" w:pos="9016"/>
            </w:tabs>
            <w:spacing w:after="0" w:line="360" w:lineRule="auto"/>
            <w:jc w:val="both"/>
            <w:rPr>
              <w:rFonts w:ascii="Arial" w:eastAsia="Arial" w:hAnsi="Arial" w:cs="Arial"/>
              <w:sz w:val="22"/>
              <w:szCs w:val="22"/>
            </w:rPr>
          </w:pPr>
          <w:hyperlink w:anchor="_heading=h.y5x8kej0nzv">
            <w:r>
              <w:rPr>
                <w:rFonts w:ascii="Arial" w:eastAsia="Arial" w:hAnsi="Arial" w:cs="Arial"/>
                <w:sz w:val="22"/>
                <w:szCs w:val="22"/>
              </w:rPr>
              <w:t>Impact on work force</w:t>
            </w:r>
            <w:r>
              <w:rPr>
                <w:rFonts w:ascii="Arial" w:eastAsia="Arial" w:hAnsi="Arial" w:cs="Arial"/>
                <w:sz w:val="22"/>
                <w:szCs w:val="22"/>
              </w:rPr>
              <w:tab/>
              <w:t>4</w:t>
            </w:r>
          </w:hyperlink>
        </w:p>
        <w:p w14:paraId="48E2ECCB" w14:textId="77777777" w:rsidR="001E18EF" w:rsidRDefault="00000000">
          <w:pPr>
            <w:pBdr>
              <w:top w:val="nil"/>
              <w:left w:val="nil"/>
              <w:bottom w:val="nil"/>
              <w:right w:val="nil"/>
              <w:between w:val="nil"/>
            </w:pBdr>
            <w:tabs>
              <w:tab w:val="right" w:pos="9016"/>
            </w:tabs>
            <w:spacing w:after="0" w:line="360" w:lineRule="auto"/>
            <w:jc w:val="both"/>
            <w:rPr>
              <w:rFonts w:ascii="Arial" w:eastAsia="Arial" w:hAnsi="Arial" w:cs="Arial"/>
              <w:sz w:val="22"/>
              <w:szCs w:val="22"/>
            </w:rPr>
          </w:pPr>
          <w:hyperlink w:anchor="_heading=h.921jjy9zw7ss">
            <w:r>
              <w:rPr>
                <w:rFonts w:ascii="Arial" w:eastAsia="Arial" w:hAnsi="Arial" w:cs="Arial"/>
                <w:sz w:val="22"/>
                <w:szCs w:val="22"/>
              </w:rPr>
              <w:t>Impact on service delivery</w:t>
            </w:r>
            <w:r>
              <w:rPr>
                <w:rFonts w:ascii="Arial" w:eastAsia="Arial" w:hAnsi="Arial" w:cs="Arial"/>
                <w:sz w:val="22"/>
                <w:szCs w:val="22"/>
              </w:rPr>
              <w:tab/>
              <w:t>5</w:t>
            </w:r>
          </w:hyperlink>
        </w:p>
        <w:p w14:paraId="44A2F825" w14:textId="77777777" w:rsidR="001E18EF" w:rsidRDefault="00000000">
          <w:pPr>
            <w:pBdr>
              <w:top w:val="nil"/>
              <w:left w:val="nil"/>
              <w:bottom w:val="nil"/>
              <w:right w:val="nil"/>
              <w:between w:val="nil"/>
            </w:pBdr>
            <w:tabs>
              <w:tab w:val="right" w:pos="9016"/>
            </w:tabs>
            <w:spacing w:after="0" w:line="360" w:lineRule="auto"/>
            <w:jc w:val="both"/>
            <w:rPr>
              <w:rFonts w:ascii="Arial" w:eastAsia="Arial" w:hAnsi="Arial" w:cs="Arial"/>
              <w:sz w:val="22"/>
              <w:szCs w:val="22"/>
            </w:rPr>
          </w:pPr>
          <w:hyperlink w:anchor="_heading=h.2irws94bqkam">
            <w:r>
              <w:rPr>
                <w:rFonts w:ascii="Arial" w:eastAsia="Arial" w:hAnsi="Arial" w:cs="Arial"/>
                <w:sz w:val="22"/>
                <w:szCs w:val="22"/>
              </w:rPr>
              <w:t>Impact on patients</w:t>
            </w:r>
            <w:r>
              <w:rPr>
                <w:rFonts w:ascii="Arial" w:eastAsia="Arial" w:hAnsi="Arial" w:cs="Arial"/>
                <w:sz w:val="22"/>
                <w:szCs w:val="22"/>
              </w:rPr>
              <w:tab/>
              <w:t>6</w:t>
            </w:r>
          </w:hyperlink>
        </w:p>
        <w:p w14:paraId="3B167976" w14:textId="77777777" w:rsidR="001E18EF" w:rsidRDefault="00000000">
          <w:pPr>
            <w:pBdr>
              <w:top w:val="nil"/>
              <w:left w:val="nil"/>
              <w:bottom w:val="nil"/>
              <w:right w:val="nil"/>
              <w:between w:val="nil"/>
            </w:pBdr>
            <w:tabs>
              <w:tab w:val="right" w:pos="9016"/>
            </w:tabs>
            <w:spacing w:after="0" w:line="360" w:lineRule="auto"/>
            <w:jc w:val="both"/>
            <w:rPr>
              <w:rFonts w:ascii="Arial" w:eastAsia="Arial" w:hAnsi="Arial" w:cs="Arial"/>
              <w:sz w:val="22"/>
              <w:szCs w:val="22"/>
            </w:rPr>
          </w:pPr>
          <w:hyperlink w:anchor="_heading=h.qzshn54b4u40">
            <w:r>
              <w:rPr>
                <w:rFonts w:ascii="Arial" w:eastAsia="Arial" w:hAnsi="Arial" w:cs="Arial"/>
                <w:sz w:val="22"/>
                <w:szCs w:val="22"/>
              </w:rPr>
              <w:t>Impact on community</w:t>
            </w:r>
            <w:r>
              <w:rPr>
                <w:rFonts w:ascii="Arial" w:eastAsia="Arial" w:hAnsi="Arial" w:cs="Arial"/>
                <w:sz w:val="22"/>
                <w:szCs w:val="22"/>
              </w:rPr>
              <w:tab/>
              <w:t>7</w:t>
            </w:r>
          </w:hyperlink>
        </w:p>
        <w:p w14:paraId="683E6B6C" w14:textId="77777777" w:rsidR="001E18EF" w:rsidRDefault="00000000">
          <w:pPr>
            <w:pBdr>
              <w:top w:val="nil"/>
              <w:left w:val="nil"/>
              <w:bottom w:val="nil"/>
              <w:right w:val="nil"/>
              <w:between w:val="nil"/>
            </w:pBdr>
            <w:tabs>
              <w:tab w:val="right" w:pos="9016"/>
            </w:tabs>
            <w:spacing w:after="0" w:line="360" w:lineRule="auto"/>
            <w:jc w:val="both"/>
            <w:rPr>
              <w:rFonts w:ascii="Arial" w:eastAsia="Arial" w:hAnsi="Arial" w:cs="Arial"/>
              <w:sz w:val="22"/>
              <w:szCs w:val="22"/>
            </w:rPr>
          </w:pPr>
          <w:hyperlink w:anchor="_heading=h.gwwh523pg80r">
            <w:r>
              <w:rPr>
                <w:rFonts w:ascii="Arial" w:eastAsia="Arial" w:hAnsi="Arial" w:cs="Arial"/>
                <w:sz w:val="22"/>
                <w:szCs w:val="22"/>
              </w:rPr>
              <w:t>Conclusion</w:t>
            </w:r>
            <w:r>
              <w:rPr>
                <w:rFonts w:ascii="Arial" w:eastAsia="Arial" w:hAnsi="Arial" w:cs="Arial"/>
                <w:sz w:val="22"/>
                <w:szCs w:val="22"/>
              </w:rPr>
              <w:tab/>
              <w:t>9</w:t>
            </w:r>
          </w:hyperlink>
        </w:p>
        <w:p w14:paraId="3DABF9FB" w14:textId="77777777" w:rsidR="001E18EF" w:rsidRDefault="00000000">
          <w:pPr>
            <w:pBdr>
              <w:top w:val="nil"/>
              <w:left w:val="nil"/>
              <w:bottom w:val="nil"/>
              <w:right w:val="nil"/>
              <w:between w:val="nil"/>
            </w:pBdr>
            <w:tabs>
              <w:tab w:val="right" w:pos="9016"/>
            </w:tabs>
            <w:spacing w:after="0" w:line="360" w:lineRule="auto"/>
            <w:jc w:val="both"/>
            <w:rPr>
              <w:rFonts w:ascii="Arial" w:eastAsia="Arial" w:hAnsi="Arial" w:cs="Arial"/>
              <w:sz w:val="22"/>
              <w:szCs w:val="22"/>
            </w:rPr>
          </w:pPr>
          <w:hyperlink w:anchor="_heading=h.ngz14cdgnqk1">
            <w:r>
              <w:rPr>
                <w:rFonts w:ascii="Arial" w:eastAsia="Arial" w:hAnsi="Arial" w:cs="Arial"/>
                <w:sz w:val="22"/>
                <w:szCs w:val="22"/>
              </w:rPr>
              <w:t>References</w:t>
            </w:r>
            <w:r>
              <w:rPr>
                <w:rFonts w:ascii="Arial" w:eastAsia="Arial" w:hAnsi="Arial" w:cs="Arial"/>
                <w:sz w:val="22"/>
                <w:szCs w:val="22"/>
              </w:rPr>
              <w:tab/>
              <w:t>10</w:t>
            </w:r>
          </w:hyperlink>
        </w:p>
        <w:p w14:paraId="09A1F3AB" w14:textId="77777777" w:rsidR="001E18EF" w:rsidRDefault="00000000">
          <w:pPr>
            <w:spacing w:after="0" w:line="360" w:lineRule="auto"/>
            <w:jc w:val="both"/>
          </w:pPr>
          <w:r>
            <w:fldChar w:fldCharType="end"/>
          </w:r>
        </w:p>
      </w:sdtContent>
    </w:sdt>
    <w:p w14:paraId="250DA6AA" w14:textId="77777777" w:rsidR="001E18EF" w:rsidRDefault="001E18EF">
      <w:pPr>
        <w:pStyle w:val="Heading1"/>
        <w:spacing w:before="0" w:after="0" w:line="360" w:lineRule="auto"/>
        <w:rPr>
          <w:rFonts w:ascii="Arial" w:eastAsia="Arial" w:hAnsi="Arial" w:cs="Arial"/>
          <w:b/>
          <w:bCs/>
          <w:color w:val="000000"/>
          <w:sz w:val="22"/>
          <w:szCs w:val="22"/>
        </w:rPr>
      </w:pPr>
    </w:p>
    <w:p w14:paraId="17BF7C6F" w14:textId="77777777" w:rsidR="001E18EF" w:rsidRDefault="00000000">
      <w:pPr>
        <w:spacing w:after="0" w:line="360" w:lineRule="auto"/>
        <w:rPr>
          <w:rFonts w:ascii="Arial" w:eastAsia="Arial" w:hAnsi="Arial" w:cs="Arial"/>
          <w:b/>
          <w:bCs/>
          <w:sz w:val="22"/>
          <w:szCs w:val="22"/>
        </w:rPr>
      </w:pPr>
      <w:bookmarkStart w:id="1" w:name="_heading=h.pz5jumr0x6ms" w:colFirst="0" w:colLast="0"/>
      <w:bookmarkEnd w:id="1"/>
      <w:r>
        <w:br w:type="page"/>
      </w:r>
    </w:p>
    <w:p w14:paraId="28157C67" w14:textId="77777777" w:rsidR="001E18EF" w:rsidRDefault="00000000">
      <w:pPr>
        <w:pStyle w:val="Heading1"/>
        <w:spacing w:before="0" w:after="0" w:line="360" w:lineRule="auto"/>
        <w:rPr>
          <w:rFonts w:ascii="Arial" w:eastAsia="Arial" w:hAnsi="Arial" w:cs="Arial"/>
          <w:b/>
          <w:bCs/>
          <w:color w:val="000000"/>
          <w:sz w:val="22"/>
          <w:szCs w:val="22"/>
        </w:rPr>
      </w:pPr>
      <w:bookmarkStart w:id="2" w:name="_heading=h.56iqbuu38jrp" w:colFirst="0" w:colLast="0"/>
      <w:bookmarkEnd w:id="2"/>
      <w:r>
        <w:rPr>
          <w:rFonts w:ascii="Arial" w:eastAsia="Arial" w:hAnsi="Arial" w:cs="Arial"/>
          <w:b/>
          <w:bCs/>
          <w:color w:val="000000"/>
          <w:sz w:val="22"/>
          <w:szCs w:val="22"/>
        </w:rPr>
        <w:lastRenderedPageBreak/>
        <w:t>Introduction</w:t>
      </w:r>
    </w:p>
    <w:p w14:paraId="5B52393C" w14:textId="7DC7F808"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Digital transformation is increasingly reshaping health and social care systems by improving how services are delivered, monitored, and assessed. Technologies like mobile health applications, wearable devices and digital platforms enable healthcare professionals to gather real-time health data and support more personalised care (</w:t>
      </w:r>
      <w:r>
        <w:rPr>
          <w:rFonts w:ascii="Arial" w:eastAsia="Arial" w:hAnsi="Arial" w:cs="Arial"/>
          <w:sz w:val="22"/>
          <w:szCs w:val="22"/>
          <w:highlight w:val="white"/>
        </w:rPr>
        <w:t>Dankwa-Mullan, 2024)</w:t>
      </w:r>
      <w:r>
        <w:rPr>
          <w:rFonts w:ascii="Arial" w:eastAsia="Arial" w:hAnsi="Arial" w:cs="Arial"/>
          <w:sz w:val="22"/>
          <w:szCs w:val="22"/>
        </w:rPr>
        <w:t xml:space="preserve">. These innovations can enhance patient engagement, allow remote tracking and improve clinical decision-making. As healthcare systems </w:t>
      </w:r>
      <w:r w:rsidR="00F9028F">
        <w:rPr>
          <w:rFonts w:ascii="Arial" w:eastAsia="Arial" w:hAnsi="Arial" w:cs="Arial"/>
          <w:sz w:val="22"/>
          <w:szCs w:val="22"/>
        </w:rPr>
        <w:t>experience</w:t>
      </w:r>
      <w:r>
        <w:rPr>
          <w:rFonts w:ascii="Arial" w:eastAsia="Arial" w:hAnsi="Arial" w:cs="Arial"/>
          <w:sz w:val="22"/>
          <w:szCs w:val="22"/>
        </w:rPr>
        <w:t xml:space="preserve"> increasing demand because of ageing populations and chronic illness</w:t>
      </w:r>
      <w:r w:rsidR="00F9028F">
        <w:rPr>
          <w:rFonts w:ascii="Arial" w:eastAsia="Arial" w:hAnsi="Arial" w:cs="Arial"/>
          <w:sz w:val="22"/>
          <w:szCs w:val="22"/>
        </w:rPr>
        <w:t>,</w:t>
      </w:r>
      <w:r>
        <w:rPr>
          <w:rFonts w:ascii="Arial" w:eastAsia="Arial" w:hAnsi="Arial" w:cs="Arial"/>
          <w:sz w:val="22"/>
          <w:szCs w:val="22"/>
        </w:rPr>
        <w:t xml:space="preserve"> digital tools are becoming useful in supporting effective and available care. One condition that needs consistent tracking is Parkinson’s disease, a long-term neurological disorder that affects movement, coordination and regular functioning. There are symptoms like tremors, slow movement and balance issues </w:t>
      </w:r>
      <w:r w:rsidR="00F9028F">
        <w:rPr>
          <w:rFonts w:ascii="Arial" w:eastAsia="Arial" w:hAnsi="Arial" w:cs="Arial"/>
          <w:sz w:val="22"/>
          <w:szCs w:val="22"/>
        </w:rPr>
        <w:t xml:space="preserve">that </w:t>
      </w:r>
      <w:r>
        <w:rPr>
          <w:rFonts w:ascii="Arial" w:eastAsia="Arial" w:hAnsi="Arial" w:cs="Arial"/>
          <w:sz w:val="22"/>
          <w:szCs w:val="22"/>
        </w:rPr>
        <w:t>usually change over time</w:t>
      </w:r>
      <w:r w:rsidR="00F9028F">
        <w:rPr>
          <w:rFonts w:ascii="Arial" w:eastAsia="Arial" w:hAnsi="Arial" w:cs="Arial"/>
          <w:sz w:val="22"/>
          <w:szCs w:val="22"/>
        </w:rPr>
        <w:t>,</w:t>
      </w:r>
      <w:r>
        <w:rPr>
          <w:rFonts w:ascii="Arial" w:eastAsia="Arial" w:hAnsi="Arial" w:cs="Arial"/>
          <w:sz w:val="22"/>
          <w:szCs w:val="22"/>
        </w:rPr>
        <w:t xml:space="preserve"> which makes consistent tracking significant for efficient treatment and disease management.</w:t>
      </w:r>
    </w:p>
    <w:p w14:paraId="7C6A8703" w14:textId="79979EE1" w:rsidR="001E18EF" w:rsidRDefault="00000000">
      <w:pPr>
        <w:spacing w:after="0" w:line="360" w:lineRule="auto"/>
        <w:jc w:val="both"/>
        <w:rPr>
          <w:rFonts w:ascii="Arial" w:eastAsia="Arial" w:hAnsi="Arial" w:cs="Arial"/>
          <w:i/>
          <w:iCs/>
          <w:sz w:val="22"/>
          <w:szCs w:val="22"/>
        </w:rPr>
      </w:pPr>
      <w:r>
        <w:rPr>
          <w:rFonts w:ascii="Arial" w:eastAsia="Arial" w:hAnsi="Arial" w:cs="Arial"/>
          <w:sz w:val="22"/>
          <w:szCs w:val="22"/>
        </w:rPr>
        <w:t>A main innovation designed to help these procedures is the mPower App</w:t>
      </w:r>
      <w:r w:rsidR="00F9028F">
        <w:rPr>
          <w:rFonts w:ascii="Arial" w:eastAsia="Arial" w:hAnsi="Arial" w:cs="Arial"/>
          <w:sz w:val="22"/>
          <w:szCs w:val="22"/>
        </w:rPr>
        <w:t>,</w:t>
      </w:r>
      <w:r>
        <w:rPr>
          <w:rFonts w:ascii="Arial" w:eastAsia="Arial" w:hAnsi="Arial" w:cs="Arial"/>
          <w:sz w:val="22"/>
          <w:szCs w:val="22"/>
        </w:rPr>
        <w:t xml:space="preserve"> developed as part of the Parkinson mPower Study through Sage Bionetworks. The smartphone-based application utilises built-in sensors that mostly </w:t>
      </w:r>
      <w:r w:rsidR="00F9028F">
        <w:rPr>
          <w:rFonts w:ascii="Arial" w:eastAsia="Arial" w:hAnsi="Arial" w:cs="Arial"/>
          <w:sz w:val="22"/>
          <w:szCs w:val="22"/>
        </w:rPr>
        <w:t>include</w:t>
      </w:r>
      <w:r>
        <w:rPr>
          <w:rFonts w:ascii="Arial" w:eastAsia="Arial" w:hAnsi="Arial" w:cs="Arial"/>
          <w:sz w:val="22"/>
          <w:szCs w:val="22"/>
        </w:rPr>
        <w:t xml:space="preserve"> the touchscreen and microphone to quantify the symptoms like tremor, walking speed, voice changes and balance. Users complete the simple activities like finger tapping, walking tasks and voice recordings which helps in creating digital biomarkers that help clinicians and researchers know about the symptom patterns. With around 145,000 people living with Parkinson’s disease in the UK, the mPower App demonstrated how digital technologies can help in remote tracking, research and personalised care (Parkinson’s </w:t>
      </w:r>
      <w:r>
        <w:rPr>
          <w:rFonts w:ascii="Arial" w:eastAsia="Arial" w:hAnsi="Arial" w:cs="Arial"/>
          <w:sz w:val="22"/>
          <w:szCs w:val="22"/>
          <w:highlight w:val="white"/>
        </w:rPr>
        <w:t>UK, 2018)</w:t>
      </w:r>
      <w:r>
        <w:rPr>
          <w:rFonts w:ascii="Arial" w:eastAsia="Arial" w:hAnsi="Arial" w:cs="Arial"/>
          <w:sz w:val="22"/>
          <w:szCs w:val="22"/>
        </w:rPr>
        <w:t>. This report assesses critically about its effect on the workforce, delivery of service, patients and broader community.</w:t>
      </w:r>
    </w:p>
    <w:p w14:paraId="1DCA8497" w14:textId="77777777" w:rsidR="001E18EF" w:rsidRDefault="001E18EF">
      <w:pPr>
        <w:pStyle w:val="Heading1"/>
        <w:spacing w:before="0" w:after="0" w:line="360" w:lineRule="auto"/>
        <w:rPr>
          <w:rFonts w:ascii="Arial" w:eastAsia="Arial" w:hAnsi="Arial" w:cs="Arial"/>
          <w:b/>
          <w:bCs/>
          <w:color w:val="000000"/>
          <w:sz w:val="22"/>
          <w:szCs w:val="22"/>
        </w:rPr>
      </w:pPr>
      <w:bookmarkStart w:id="3" w:name="_heading=h.ighd6genxrwk" w:colFirst="0" w:colLast="0"/>
      <w:bookmarkEnd w:id="3"/>
    </w:p>
    <w:p w14:paraId="7D4D4A20" w14:textId="77777777" w:rsidR="001E18EF" w:rsidRDefault="00000000">
      <w:pPr>
        <w:spacing w:after="0" w:line="360" w:lineRule="auto"/>
        <w:rPr>
          <w:rFonts w:ascii="Arial" w:eastAsia="Arial" w:hAnsi="Arial" w:cs="Arial"/>
          <w:b/>
          <w:bCs/>
          <w:sz w:val="22"/>
          <w:szCs w:val="22"/>
        </w:rPr>
      </w:pPr>
      <w:bookmarkStart w:id="4" w:name="_heading=h.twku4h51li5q" w:colFirst="0" w:colLast="0"/>
      <w:bookmarkEnd w:id="4"/>
      <w:r>
        <w:br w:type="page"/>
      </w:r>
    </w:p>
    <w:p w14:paraId="1921B373" w14:textId="77777777" w:rsidR="001E18EF" w:rsidRDefault="00000000">
      <w:pPr>
        <w:pStyle w:val="Heading1"/>
        <w:spacing w:before="0" w:after="0" w:line="360" w:lineRule="auto"/>
        <w:rPr>
          <w:rFonts w:ascii="Arial" w:eastAsia="Arial" w:hAnsi="Arial" w:cs="Arial"/>
          <w:b/>
          <w:bCs/>
          <w:color w:val="000000"/>
          <w:sz w:val="22"/>
          <w:szCs w:val="22"/>
        </w:rPr>
      </w:pPr>
      <w:bookmarkStart w:id="5" w:name="_heading=h.y5x8kej0nzv" w:colFirst="0" w:colLast="0"/>
      <w:bookmarkEnd w:id="5"/>
      <w:r>
        <w:rPr>
          <w:rFonts w:ascii="Arial" w:eastAsia="Arial" w:hAnsi="Arial" w:cs="Arial"/>
          <w:b/>
          <w:bCs/>
          <w:color w:val="000000"/>
          <w:sz w:val="22"/>
          <w:szCs w:val="22"/>
        </w:rPr>
        <w:lastRenderedPageBreak/>
        <w:t xml:space="preserve">Impact on work force </w:t>
      </w:r>
    </w:p>
    <w:p w14:paraId="3CEE0623"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The introduction of digital health technologies has significantly changed the healthcare workforce through changing professional roles, needed competencies and patterns of collaboration. The mPower App is a mobile health application designed to help people living with Parkinson’s disease which demonstrates how digital innovation can reshape the responsibilities of healthcare professionals while enhancing the clinical decision-making and patient monitoring (</w:t>
      </w:r>
      <w:r>
        <w:rPr>
          <w:rFonts w:ascii="Arial" w:eastAsia="Arial" w:hAnsi="Arial" w:cs="Arial"/>
          <w:sz w:val="22"/>
          <w:szCs w:val="22"/>
          <w:highlight w:val="white"/>
        </w:rPr>
        <w:t xml:space="preserve">Templeton </w:t>
      </w:r>
      <w:r>
        <w:rPr>
          <w:rFonts w:ascii="Arial" w:eastAsia="Arial" w:hAnsi="Arial" w:cs="Arial"/>
          <w:i/>
          <w:iCs/>
          <w:sz w:val="22"/>
          <w:szCs w:val="22"/>
          <w:highlight w:val="white"/>
        </w:rPr>
        <w:t>et al.,</w:t>
      </w:r>
      <w:r>
        <w:rPr>
          <w:rFonts w:ascii="Arial" w:eastAsia="Arial" w:hAnsi="Arial" w:cs="Arial"/>
          <w:sz w:val="22"/>
          <w:szCs w:val="22"/>
          <w:highlight w:val="white"/>
        </w:rPr>
        <w:t xml:space="preserve"> 2025)</w:t>
      </w:r>
      <w:r>
        <w:rPr>
          <w:rFonts w:ascii="Arial" w:eastAsia="Arial" w:hAnsi="Arial" w:cs="Arial"/>
          <w:sz w:val="22"/>
          <w:szCs w:val="22"/>
        </w:rPr>
        <w:t>. Through gathering real-time patient data from smartphone sensors, the application allows clinicians to attain deeper insights into symptom progression and treatment efficacy. One of the most significant workforce changes relates to the developing roles of healthcare professionals. Traditionally, the management of Parkinson’s Disease depends strongly on periodic in-person consultations with neurologists. During the time of these visits, clinicians assessed symptoms like speech changes, tremors, speech changes and motor difficulties which is based on short clinical observations. Thus, digital tools such as mPower App enable consistent tracking of symptoms from activities like voice tests, walking assessments and finger-tapping tasks that are completed by patients at home also. As a result, now the clinicians have accessibility to detailed longitudinal data instead of restricted snapshots of patient health. This shift means neurologists and other healthcare professionals have been dependent on digital data to help diagnose, monitor disease progression and adapt treatment plans more efficiently (</w:t>
      </w:r>
      <w:r>
        <w:rPr>
          <w:rFonts w:ascii="Arial" w:eastAsia="Arial" w:hAnsi="Arial" w:cs="Arial"/>
          <w:sz w:val="22"/>
          <w:szCs w:val="22"/>
          <w:highlight w:val="white"/>
        </w:rPr>
        <w:t xml:space="preserve">Ruokolainen </w:t>
      </w:r>
      <w:r>
        <w:rPr>
          <w:rFonts w:ascii="Arial" w:eastAsia="Arial" w:hAnsi="Arial" w:cs="Arial"/>
          <w:i/>
          <w:iCs/>
          <w:sz w:val="22"/>
          <w:szCs w:val="22"/>
          <w:highlight w:val="white"/>
        </w:rPr>
        <w:t>et al.,</w:t>
      </w:r>
      <w:r>
        <w:rPr>
          <w:rFonts w:ascii="Arial" w:eastAsia="Arial" w:hAnsi="Arial" w:cs="Arial"/>
          <w:sz w:val="22"/>
          <w:szCs w:val="22"/>
          <w:highlight w:val="white"/>
        </w:rPr>
        <w:t xml:space="preserve"> 2023)</w:t>
      </w:r>
      <w:r>
        <w:rPr>
          <w:rFonts w:ascii="Arial" w:eastAsia="Arial" w:hAnsi="Arial" w:cs="Arial"/>
          <w:sz w:val="22"/>
          <w:szCs w:val="22"/>
        </w:rPr>
        <w:t>. In addition to changing roles where digital technology needs healthcare workers to evolve new professional competencies. Digital literacy has now become a useful skill for clinicians working with mobile health applications and remote tracking systems. The healthcare professionals should know how to interpret the massive volumes of patient-generated data being produced by digital platforms. For example, clinicians might examine trends in tremor intensity, mobility or voice patterns that have been gathered from smartphone sensors to track early changes in symptoms. Thus, the growth of telehealth services means that the healthcare workers should also be capable of balancing remote consultations and interacting efficiently with patients from digital platforms (</w:t>
      </w:r>
      <w:r>
        <w:rPr>
          <w:rFonts w:ascii="Arial" w:eastAsia="Arial" w:hAnsi="Arial" w:cs="Arial"/>
          <w:sz w:val="22"/>
          <w:szCs w:val="22"/>
          <w:highlight w:val="white"/>
        </w:rPr>
        <w:t xml:space="preserve">Falkenburger </w:t>
      </w:r>
      <w:r>
        <w:rPr>
          <w:rFonts w:ascii="Arial" w:eastAsia="Arial" w:hAnsi="Arial" w:cs="Arial"/>
          <w:i/>
          <w:iCs/>
          <w:sz w:val="22"/>
          <w:szCs w:val="22"/>
          <w:highlight w:val="white"/>
        </w:rPr>
        <w:t>et al.,</w:t>
      </w:r>
      <w:r>
        <w:rPr>
          <w:rFonts w:ascii="Arial" w:eastAsia="Arial" w:hAnsi="Arial" w:cs="Arial"/>
          <w:sz w:val="22"/>
          <w:szCs w:val="22"/>
          <w:highlight w:val="white"/>
        </w:rPr>
        <w:t xml:space="preserve"> 2025)</w:t>
      </w:r>
      <w:r>
        <w:rPr>
          <w:rFonts w:ascii="Arial" w:eastAsia="Arial" w:hAnsi="Arial" w:cs="Arial"/>
          <w:sz w:val="22"/>
          <w:szCs w:val="22"/>
        </w:rPr>
        <w:t>. These competencies are increasingly significant as healthcare systems have extended the use of remote tracking and digital health technologies.</w:t>
      </w:r>
    </w:p>
    <w:p w14:paraId="126E51DF"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Digital innovation also encourages higher interdisciplinary collaboration under the healthcare teams. The development and application of digital health tools need cooperation among various professional groups. For example, neurologists work side by side with data scientists and software engineers to examine and interpret the bigger datasets created by mobile health applications (</w:t>
      </w:r>
      <w:r>
        <w:rPr>
          <w:rFonts w:ascii="Arial" w:eastAsia="Arial" w:hAnsi="Arial" w:cs="Arial"/>
          <w:sz w:val="22"/>
          <w:szCs w:val="22"/>
          <w:highlight w:val="white"/>
        </w:rPr>
        <w:t xml:space="preserve">Dash </w:t>
      </w:r>
      <w:r>
        <w:rPr>
          <w:rFonts w:ascii="Arial" w:eastAsia="Arial" w:hAnsi="Arial" w:cs="Arial"/>
          <w:i/>
          <w:iCs/>
          <w:sz w:val="22"/>
          <w:szCs w:val="22"/>
          <w:highlight w:val="white"/>
        </w:rPr>
        <w:t>et al.</w:t>
      </w:r>
      <w:r>
        <w:rPr>
          <w:rFonts w:ascii="Arial" w:eastAsia="Arial" w:hAnsi="Arial" w:cs="Arial"/>
          <w:sz w:val="22"/>
          <w:szCs w:val="22"/>
          <w:highlight w:val="white"/>
        </w:rPr>
        <w:t>, 2025)</w:t>
      </w:r>
      <w:r>
        <w:rPr>
          <w:rFonts w:ascii="Arial" w:eastAsia="Arial" w:hAnsi="Arial" w:cs="Arial"/>
          <w:sz w:val="22"/>
          <w:szCs w:val="22"/>
        </w:rPr>
        <w:t xml:space="preserve">. Information technology expertise also plays a main role in maintaining safe digital health infrastructure and assuring that applications work effectively </w:t>
      </w:r>
      <w:r>
        <w:rPr>
          <w:rFonts w:ascii="Arial" w:eastAsia="Arial" w:hAnsi="Arial" w:cs="Arial"/>
          <w:sz w:val="22"/>
          <w:szCs w:val="22"/>
        </w:rPr>
        <w:lastRenderedPageBreak/>
        <w:t>under healthcare systems. The digital health team helps clinicians in incorporating technological tools into regular clinical practice. This collaborative approach also allows healthcare companies to unify clinical specialists with technological innovation to enhance patient care. Despite these advantages, the introduction of digital technologies also shows many challenges for the healthcare workforce. There is one main problem is the increased workload associated with examining bigger volumes of patient-generated data. While consistent tracking can give valuable insights, clinicians might put effort into reviewing and clarifying all accessible information effectively (</w:t>
      </w:r>
      <w:r>
        <w:rPr>
          <w:rFonts w:ascii="Arial" w:eastAsia="Arial" w:hAnsi="Arial" w:cs="Arial"/>
          <w:sz w:val="22"/>
          <w:szCs w:val="22"/>
          <w:highlight w:val="white"/>
        </w:rPr>
        <w:t xml:space="preserve">Rana </w:t>
      </w:r>
      <w:r>
        <w:rPr>
          <w:rFonts w:ascii="Arial" w:eastAsia="Arial" w:hAnsi="Arial" w:cs="Arial"/>
          <w:i/>
          <w:iCs/>
          <w:sz w:val="22"/>
          <w:szCs w:val="22"/>
          <w:highlight w:val="white"/>
        </w:rPr>
        <w:t>et al.,</w:t>
      </w:r>
      <w:r>
        <w:rPr>
          <w:rFonts w:ascii="Arial" w:eastAsia="Arial" w:hAnsi="Arial" w:cs="Arial"/>
          <w:sz w:val="22"/>
          <w:szCs w:val="22"/>
          <w:highlight w:val="white"/>
        </w:rPr>
        <w:t xml:space="preserve"> 2022)</w:t>
      </w:r>
      <w:r>
        <w:rPr>
          <w:rFonts w:ascii="Arial" w:eastAsia="Arial" w:hAnsi="Arial" w:cs="Arial"/>
          <w:sz w:val="22"/>
          <w:szCs w:val="22"/>
        </w:rPr>
        <w:t>. Lack of enough training and support where employees might face difficulties adjusting to technological changes.</w:t>
      </w:r>
    </w:p>
    <w:p w14:paraId="2D4793BB" w14:textId="77777777" w:rsidR="001E18EF" w:rsidRDefault="00000000">
      <w:pPr>
        <w:pStyle w:val="Heading1"/>
        <w:spacing w:before="0" w:after="0" w:line="360" w:lineRule="auto"/>
        <w:rPr>
          <w:rFonts w:ascii="Arial" w:eastAsia="Arial" w:hAnsi="Arial" w:cs="Arial"/>
          <w:b/>
          <w:bCs/>
          <w:color w:val="000000"/>
          <w:sz w:val="22"/>
          <w:szCs w:val="22"/>
        </w:rPr>
      </w:pPr>
      <w:bookmarkStart w:id="6" w:name="_heading=h.921jjy9zw7ss" w:colFirst="0" w:colLast="0"/>
      <w:bookmarkEnd w:id="6"/>
      <w:r>
        <w:rPr>
          <w:rFonts w:ascii="Arial" w:eastAsia="Arial" w:hAnsi="Arial" w:cs="Arial"/>
          <w:b/>
          <w:bCs/>
          <w:color w:val="000000"/>
          <w:sz w:val="22"/>
          <w:szCs w:val="22"/>
        </w:rPr>
        <w:t>Impact on service delivery</w:t>
      </w:r>
    </w:p>
    <w:p w14:paraId="2DFB3DDC"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Digital health technologies are changing on how healthcare services are offered through enhancing effectiveness, availability and the quality of patient care. The use of mobile health applications like mPower App has introduced new ways of tracking and balancing lifetime conditions such as Parkinson’s disease. Through enabling patients to record the symptoms and health data from their smartphones where this technology changes the traditional healthcare methods and helps in more agile service delivery (</w:t>
      </w:r>
      <w:r>
        <w:rPr>
          <w:rFonts w:ascii="Arial" w:eastAsia="Arial" w:hAnsi="Arial" w:cs="Arial"/>
          <w:sz w:val="22"/>
          <w:szCs w:val="22"/>
          <w:highlight w:val="white"/>
        </w:rPr>
        <w:t>Cubo and Delgado-López, 2022)</w:t>
      </w:r>
      <w:r>
        <w:rPr>
          <w:rFonts w:ascii="Arial" w:eastAsia="Arial" w:hAnsi="Arial" w:cs="Arial"/>
          <w:sz w:val="22"/>
          <w:szCs w:val="22"/>
        </w:rPr>
        <w:t>. There is one main change in healthcare delivery is introducing remote tracking. Traditionally patients with Parkinson’s disease also required to visit hospitals or clinics every day during the time of short appointments. The data has been gathered through these activities that can be shared with the healthcare professions, allowing them to track symptoms consistently. As a result, the healthcare providers can monitor disease progression more appropriately without needing frequent hospital visits.</w:t>
      </w:r>
    </w:p>
    <w:p w14:paraId="1A80DAFE"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There is another effect on service delivery is the enhancement in healthcare effectively. Digital tracking can give clinicians real-time information about the conditions of patients which enables faster clinical decisions and more personalised care (</w:t>
      </w:r>
      <w:r>
        <w:rPr>
          <w:rFonts w:ascii="Arial" w:eastAsia="Arial" w:hAnsi="Arial" w:cs="Arial"/>
          <w:sz w:val="22"/>
          <w:szCs w:val="22"/>
          <w:highlight w:val="white"/>
        </w:rPr>
        <w:t>World Health Organisation, 2022)</w:t>
      </w:r>
      <w:r>
        <w:rPr>
          <w:rFonts w:ascii="Arial" w:eastAsia="Arial" w:hAnsi="Arial" w:cs="Arial"/>
          <w:sz w:val="22"/>
          <w:szCs w:val="22"/>
        </w:rPr>
        <w:t xml:space="preserve">. For example, neurologists might determine the patterns in symptom changes and modify medication or treatment strategies accordingly. The consistent monitoring for changes in symptoms supports healthcare professionals to determine first signs of deterioration that can prevent complications and improve lifetime disease management. The utilisation of digital health technologies also helps the integration of telemedicine and electronic health systems. In the UK, the National Health Service has been increasingly promoting digital healthcare initiatives that basically encourages the use of remote consultations and digital patient records. Mobile Health applications can also complement these initiatives through giving extra data that can be integrated into digital health systems. When patient-generated data is linked with electronic records where clinicians will attain more comprehensive knowledge of the health </w:t>
      </w:r>
      <w:r>
        <w:rPr>
          <w:rFonts w:ascii="Arial" w:eastAsia="Arial" w:hAnsi="Arial" w:cs="Arial"/>
          <w:sz w:val="22"/>
          <w:szCs w:val="22"/>
        </w:rPr>
        <w:lastRenderedPageBreak/>
        <w:t>condition of the patient. This incorporation can also enhance the communication among the healthcare professionals and improve the coordination of care.</w:t>
      </w:r>
    </w:p>
    <w:p w14:paraId="5C5E1358" w14:textId="77777777" w:rsidR="001E18EF" w:rsidRDefault="00000000">
      <w:pPr>
        <w:spacing w:after="0" w:line="360" w:lineRule="auto"/>
        <w:jc w:val="both"/>
        <w:rPr>
          <w:rFonts w:ascii="Arial" w:eastAsia="Arial" w:hAnsi="Arial" w:cs="Arial"/>
          <w:b/>
          <w:bCs/>
          <w:sz w:val="22"/>
          <w:szCs w:val="22"/>
        </w:rPr>
      </w:pPr>
      <w:r>
        <w:rPr>
          <w:rFonts w:ascii="Arial" w:eastAsia="Arial" w:hAnsi="Arial" w:cs="Arial"/>
          <w:sz w:val="22"/>
          <w:szCs w:val="22"/>
        </w:rPr>
        <w:t>Despite these benefits there are many challenges that affect the adoption of digital technologies in service delivery. One restriction is the challenges of incorporating mobile health applications with existing healthcare systems (</w:t>
      </w:r>
      <w:r>
        <w:rPr>
          <w:rFonts w:ascii="Arial" w:eastAsia="Arial" w:hAnsi="Arial" w:cs="Arial"/>
          <w:sz w:val="22"/>
          <w:szCs w:val="22"/>
          <w:highlight w:val="white"/>
        </w:rPr>
        <w:t xml:space="preserve">van Munster </w:t>
      </w:r>
      <w:r>
        <w:rPr>
          <w:rFonts w:ascii="Arial" w:eastAsia="Arial" w:hAnsi="Arial" w:cs="Arial"/>
          <w:i/>
          <w:iCs/>
          <w:sz w:val="22"/>
          <w:szCs w:val="22"/>
          <w:highlight w:val="white"/>
        </w:rPr>
        <w:t>et al.,</w:t>
      </w:r>
      <w:r>
        <w:rPr>
          <w:rFonts w:ascii="Arial" w:eastAsia="Arial" w:hAnsi="Arial" w:cs="Arial"/>
          <w:sz w:val="22"/>
          <w:szCs w:val="22"/>
          <w:highlight w:val="white"/>
        </w:rPr>
        <w:t xml:space="preserve"> 2022)</w:t>
      </w:r>
      <w:r>
        <w:rPr>
          <w:rFonts w:ascii="Arial" w:eastAsia="Arial" w:hAnsi="Arial" w:cs="Arial"/>
          <w:sz w:val="22"/>
          <w:szCs w:val="22"/>
        </w:rPr>
        <w:t>. The several clinics and hospitals also use various digital platforms which can generate problems of compatibility when attempting to combine patient-generated data with electronic records as well. Data privacy and security concerns also remain significant problems as sensitive health information should be safeguarded to maintain the confidentiality of patients.</w:t>
      </w:r>
    </w:p>
    <w:p w14:paraId="20190557" w14:textId="77777777" w:rsidR="001E18EF" w:rsidRDefault="00000000">
      <w:pPr>
        <w:pStyle w:val="Heading1"/>
        <w:spacing w:before="0" w:after="0" w:line="360" w:lineRule="auto"/>
        <w:jc w:val="both"/>
        <w:rPr>
          <w:rFonts w:ascii="Arial" w:eastAsia="Arial" w:hAnsi="Arial" w:cs="Arial"/>
          <w:b/>
          <w:bCs/>
          <w:color w:val="000000"/>
          <w:sz w:val="22"/>
          <w:szCs w:val="22"/>
        </w:rPr>
      </w:pPr>
      <w:bookmarkStart w:id="7" w:name="_heading=h.2irws94bqkam" w:colFirst="0" w:colLast="0"/>
      <w:bookmarkEnd w:id="7"/>
      <w:r>
        <w:rPr>
          <w:rFonts w:ascii="Arial" w:eastAsia="Arial" w:hAnsi="Arial" w:cs="Arial"/>
          <w:b/>
          <w:bCs/>
          <w:color w:val="000000"/>
          <w:sz w:val="22"/>
          <w:szCs w:val="22"/>
        </w:rPr>
        <w:t>Impact on patients</w:t>
      </w:r>
    </w:p>
    <w:p w14:paraId="7AEEA36F"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Digital health technologies have significantly affected the experiences of patients and service users through enhancing how people balance their health and communicate with healthcare services. Mobile health applications such as mPower App are designed to help people living with Parkinson’s disease from enabling the regular tracking of their symptoms and encourage them to involve themselves in their own care (</w:t>
      </w:r>
      <w:r>
        <w:rPr>
          <w:rFonts w:ascii="Arial" w:eastAsia="Arial" w:hAnsi="Arial" w:cs="Arial"/>
          <w:sz w:val="22"/>
          <w:szCs w:val="22"/>
          <w:highlight w:val="white"/>
        </w:rPr>
        <w:t>Gatsios, 2022)</w:t>
      </w:r>
      <w:r>
        <w:rPr>
          <w:rFonts w:ascii="Arial" w:eastAsia="Arial" w:hAnsi="Arial" w:cs="Arial"/>
          <w:sz w:val="22"/>
          <w:szCs w:val="22"/>
        </w:rPr>
        <w:t>. These technologies also play a significant role in helping self-management and enhancing communication among patients and healthcare professionals.</w:t>
      </w:r>
    </w:p>
    <w:p w14:paraId="3000C872"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One of the main transformations for patients is the increased capability to balance their situation independently. The digital tools allow patients to record their symptoms on a daily basis from doing simple activities like walking tests, voice recordings and finger taping tasks. This kind of consistent tracking supports patients to monitor how their symptoms change over time (</w:t>
      </w:r>
      <w:r>
        <w:rPr>
          <w:rFonts w:ascii="Arial" w:eastAsia="Arial" w:hAnsi="Arial" w:cs="Arial"/>
          <w:sz w:val="22"/>
          <w:szCs w:val="22"/>
          <w:highlight w:val="white"/>
        </w:rPr>
        <w:t>Lizárraga</w:t>
      </w:r>
      <w:r>
        <w:rPr>
          <w:rFonts w:ascii="Arial" w:eastAsia="Arial" w:hAnsi="Arial" w:cs="Arial"/>
          <w:i/>
          <w:iCs/>
          <w:sz w:val="22"/>
          <w:szCs w:val="22"/>
          <w:highlight w:val="white"/>
        </w:rPr>
        <w:t xml:space="preserve"> et al</w:t>
      </w:r>
      <w:r>
        <w:rPr>
          <w:rFonts w:ascii="Arial" w:eastAsia="Arial" w:hAnsi="Arial" w:cs="Arial"/>
          <w:sz w:val="22"/>
          <w:szCs w:val="22"/>
          <w:highlight w:val="white"/>
        </w:rPr>
        <w:t>., 2025)</w:t>
      </w:r>
      <w:r>
        <w:rPr>
          <w:rFonts w:ascii="Arial" w:eastAsia="Arial" w:hAnsi="Arial" w:cs="Arial"/>
          <w:sz w:val="22"/>
          <w:szCs w:val="22"/>
        </w:rPr>
        <w:t>. Through observing patterns in speech, tremors or movement individuals can also better know their health condition and identify when symptoms worsen. Research on mobile health technologies has reflected that consistent tracking can enhance engagement of patients and encourage more active participation in treatment decisions There is another advantage is enhanced accessibility to care and digital applications enable patients to share the date of health directly with healthcare professionals which decreases the requirements for frequent hospital visits. From remote tracking where clinicians can check symptom data and make treatment adaptability when necessary. This approach also helps in more personalised care as healthcare professionals can also use real-time information to know the everyday health experiences of patients instead of depending only on occasional clinic evaluations.</w:t>
      </w:r>
    </w:p>
    <w:p w14:paraId="29167F47" w14:textId="77777777" w:rsidR="001E18EF" w:rsidRDefault="00000000">
      <w:pPr>
        <w:spacing w:after="0" w:line="360" w:lineRule="auto"/>
        <w:jc w:val="both"/>
        <w:rPr>
          <w:rFonts w:ascii="Arial" w:eastAsia="Arial" w:hAnsi="Arial" w:cs="Arial"/>
          <w:b/>
          <w:bCs/>
          <w:i/>
          <w:iCs/>
          <w:sz w:val="22"/>
          <w:szCs w:val="22"/>
        </w:rPr>
      </w:pPr>
      <w:r>
        <w:rPr>
          <w:rFonts w:ascii="Arial" w:eastAsia="Arial" w:hAnsi="Arial" w:cs="Arial"/>
          <w:sz w:val="22"/>
          <w:szCs w:val="22"/>
        </w:rPr>
        <w:t>Digital technologies also give contributions to higher patient empowerment. When patients have accessibility to information about their symptoms and health trends as they are more likely to feel more confident in balancing their condition (</w:t>
      </w:r>
      <w:r>
        <w:rPr>
          <w:rFonts w:ascii="Arial" w:eastAsia="Arial" w:hAnsi="Arial" w:cs="Arial"/>
          <w:sz w:val="22"/>
          <w:szCs w:val="22"/>
          <w:highlight w:val="white"/>
        </w:rPr>
        <w:t>Esper, Valdovinos and Schneider, 2024)</w:t>
      </w:r>
      <w:r>
        <w:rPr>
          <w:rFonts w:ascii="Arial" w:eastAsia="Arial" w:hAnsi="Arial" w:cs="Arial"/>
          <w:sz w:val="22"/>
          <w:szCs w:val="22"/>
        </w:rPr>
        <w:t xml:space="preserve">. For example, initial detection of symptom changes from digital tracking might enable </w:t>
      </w:r>
      <w:r>
        <w:rPr>
          <w:rFonts w:ascii="Arial" w:eastAsia="Arial" w:hAnsi="Arial" w:cs="Arial"/>
          <w:sz w:val="22"/>
          <w:szCs w:val="22"/>
        </w:rPr>
        <w:lastRenderedPageBreak/>
        <w:t>healthcare professionals to adapt medication initially which can decrease the complexities and enhance the quality of life. In addition, using the digital health applications usually maximises engagement of patients with healthcare services as people become more aware of their condition and actively take part in tracking their health. Although, the utilisation of digital technologies also shows many challenges for patients and service users. There is one significant problem is digital literacy. Some people, especially elderly people, might find it very challenging to use smartphone applications or know about digital health tools. Parkinson's disease mainly puts an impact on elderly people where this can restrict the access of applications like mPower App. There is another main concern is data privacy and security. Patients also might worry about how their personal health information is stored and shared from digital platforms. Eventually, there is also a risk that patients might also become heavily reliant on digital tools and depend strongly on technology rather than looking for direct medical advice when required.</w:t>
      </w:r>
    </w:p>
    <w:p w14:paraId="5F1D93AB" w14:textId="77777777" w:rsidR="001E18EF" w:rsidRDefault="00000000">
      <w:pPr>
        <w:pStyle w:val="Heading1"/>
        <w:spacing w:before="0" w:after="0" w:line="360" w:lineRule="auto"/>
        <w:rPr>
          <w:rFonts w:ascii="Arial" w:eastAsia="Arial" w:hAnsi="Arial" w:cs="Arial"/>
          <w:b/>
          <w:bCs/>
          <w:color w:val="000000"/>
          <w:sz w:val="22"/>
          <w:szCs w:val="22"/>
        </w:rPr>
      </w:pPr>
      <w:bookmarkStart w:id="8" w:name="_heading=h.qzshn54b4u40" w:colFirst="0" w:colLast="0"/>
      <w:bookmarkEnd w:id="8"/>
      <w:r>
        <w:rPr>
          <w:rFonts w:ascii="Arial" w:eastAsia="Arial" w:hAnsi="Arial" w:cs="Arial"/>
          <w:b/>
          <w:bCs/>
          <w:color w:val="000000"/>
          <w:sz w:val="22"/>
          <w:szCs w:val="22"/>
        </w:rPr>
        <w:t>Impact on community</w:t>
      </w:r>
    </w:p>
    <w:p w14:paraId="0CB6EEE6"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Digital health technologies not only affect individual patients but also broader communities like families, researchers, caregivers and public health systems.The utilisation of mobile health applications like mPower App has generated new opportunities to enhance the support systems and maximise the knowledge of conditions like Parkinson’s disease. Through gathering health data from patients and sharing information with healthcare professionals where these digital tools can give contributions to wider community health advantages (</w:t>
      </w:r>
      <w:r>
        <w:rPr>
          <w:rFonts w:ascii="Arial" w:eastAsia="Arial" w:hAnsi="Arial" w:cs="Arial"/>
          <w:sz w:val="22"/>
          <w:szCs w:val="22"/>
          <w:highlight w:val="white"/>
        </w:rPr>
        <w:t>Esper, Valdovinos and Schneider, 2024)</w:t>
      </w:r>
      <w:r>
        <w:rPr>
          <w:rFonts w:ascii="Arial" w:eastAsia="Arial" w:hAnsi="Arial" w:cs="Arial"/>
          <w:sz w:val="22"/>
          <w:szCs w:val="22"/>
        </w:rPr>
        <w:t>. There is one significant community effect which is related to the role of family members as well as caregivers. Parkinson’s disease usually needs lifetime support through relatives or caregivers who help with daily activities and health management. The digital health applications can also support caregivers better to know about the condition of the patient through giving accessibility to symptom information and health trends. When symptoms changes are being recorded from mobile applications where caregivers might become more aware of the needs of the patient and give timely support. This enhanced awareness can also reinforce the communication among caregivers, patients and healthcare professionals which can direct to better overall care and emotional support.</w:t>
      </w:r>
    </w:p>
    <w:p w14:paraId="60F7B6FC"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Digital technologies also give significant public health advantages and applications like mPower App also gather bigger amounts of real-world data through patients who utilise the technology consistently.Through examining these datasets where researchers can evolve enhanced treatment strategies and improve the awareness about the disease (</w:t>
      </w:r>
      <w:r>
        <w:rPr>
          <w:rFonts w:ascii="Arial" w:eastAsia="Arial" w:hAnsi="Arial" w:cs="Arial"/>
          <w:sz w:val="22"/>
          <w:szCs w:val="22"/>
          <w:highlight w:val="white"/>
        </w:rPr>
        <w:t>Gatsios, 2022)</w:t>
      </w:r>
      <w:r>
        <w:rPr>
          <w:rFonts w:ascii="Arial" w:eastAsia="Arial" w:hAnsi="Arial" w:cs="Arial"/>
          <w:sz w:val="22"/>
          <w:szCs w:val="22"/>
        </w:rPr>
        <w:t>. Such kind of information might also help healthcare companies in designing better healthcare services and regulations for individuals living with Parkinson’s disease.</w:t>
      </w:r>
    </w:p>
    <w:p w14:paraId="1A33BBB0" w14:textId="77777777" w:rsidR="001E18EF" w:rsidRDefault="001E18EF">
      <w:pPr>
        <w:spacing w:after="0" w:line="360" w:lineRule="auto"/>
        <w:rPr>
          <w:rFonts w:ascii="Arial" w:eastAsia="Arial" w:hAnsi="Arial" w:cs="Arial"/>
          <w:b/>
          <w:bCs/>
          <w:sz w:val="22"/>
          <w:szCs w:val="22"/>
        </w:rPr>
      </w:pPr>
      <w:bookmarkStart w:id="9" w:name="_heading=h.fi5d1q2px412" w:colFirst="0" w:colLast="0"/>
      <w:bookmarkEnd w:id="9"/>
    </w:p>
    <w:p w14:paraId="4DB4161E" w14:textId="77777777" w:rsidR="001E18EF" w:rsidRDefault="00000000">
      <w:pPr>
        <w:pStyle w:val="Heading1"/>
        <w:spacing w:before="0" w:after="0" w:line="360" w:lineRule="auto"/>
        <w:rPr>
          <w:rFonts w:ascii="Arial" w:eastAsia="Arial" w:hAnsi="Arial" w:cs="Arial"/>
          <w:b/>
          <w:bCs/>
          <w:color w:val="000000"/>
          <w:sz w:val="22"/>
          <w:szCs w:val="22"/>
        </w:rPr>
      </w:pPr>
      <w:bookmarkStart w:id="10" w:name="_heading=h.gwwh523pg80r" w:colFirst="0" w:colLast="0"/>
      <w:bookmarkEnd w:id="10"/>
      <w:r>
        <w:rPr>
          <w:rFonts w:ascii="Arial" w:eastAsia="Arial" w:hAnsi="Arial" w:cs="Arial"/>
          <w:b/>
          <w:bCs/>
          <w:color w:val="000000"/>
          <w:sz w:val="22"/>
          <w:szCs w:val="22"/>
        </w:rPr>
        <w:lastRenderedPageBreak/>
        <w:t>Conclusion</w:t>
      </w:r>
    </w:p>
    <w:p w14:paraId="10C16C2C"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This report has explored the mPower App that shows a significant example of digital innovation within advanced healthcare. The implementation has been focused on demonstrating significant potential to enhance the management of Parkinson's disease through allowing consistent tracking of symptoms from smartphone technology. This report also reflects that the utilisation of digital tools can positively affect many areas of healthcare which includes workforce practices, delivery of services, experiences of patients and community support. Healthcare professionals can also make more informed decisions utilising real-time patient data while patients also get advantages through enhanced self-management and more personalised treatment approaches. This report also discusses the technological barriers, unequal access to digital devices and data privacy concerns that might restrict the efficacy of such innovations.</w:t>
      </w:r>
    </w:p>
    <w:p w14:paraId="675F7D58" w14:textId="77777777" w:rsidR="001E18EF" w:rsidRDefault="00000000">
      <w:pPr>
        <w:spacing w:after="0" w:line="360" w:lineRule="auto"/>
        <w:jc w:val="both"/>
        <w:rPr>
          <w:rFonts w:ascii="Arial" w:eastAsia="Arial" w:hAnsi="Arial" w:cs="Arial"/>
          <w:sz w:val="22"/>
          <w:szCs w:val="22"/>
        </w:rPr>
      </w:pPr>
      <w:r>
        <w:rPr>
          <w:rFonts w:ascii="Arial" w:eastAsia="Arial" w:hAnsi="Arial" w:cs="Arial"/>
          <w:sz w:val="22"/>
          <w:szCs w:val="22"/>
        </w:rPr>
        <w:t xml:space="preserve"> </w:t>
      </w:r>
    </w:p>
    <w:p w14:paraId="55587CFF" w14:textId="77777777" w:rsidR="001E18EF" w:rsidRDefault="001E18EF">
      <w:pPr>
        <w:spacing w:after="0" w:line="360" w:lineRule="auto"/>
        <w:jc w:val="both"/>
        <w:rPr>
          <w:rFonts w:ascii="Arial" w:eastAsia="Arial" w:hAnsi="Arial" w:cs="Arial"/>
          <w:sz w:val="22"/>
          <w:szCs w:val="22"/>
        </w:rPr>
      </w:pPr>
    </w:p>
    <w:p w14:paraId="3EC02F48" w14:textId="77777777" w:rsidR="001E18EF" w:rsidRDefault="001E18EF">
      <w:pPr>
        <w:spacing w:after="0" w:line="360" w:lineRule="auto"/>
        <w:jc w:val="both"/>
        <w:rPr>
          <w:rFonts w:ascii="Arial" w:eastAsia="Arial" w:hAnsi="Arial" w:cs="Arial"/>
          <w:sz w:val="22"/>
          <w:szCs w:val="22"/>
        </w:rPr>
      </w:pPr>
    </w:p>
    <w:p w14:paraId="6DE2C587" w14:textId="77777777" w:rsidR="001E18EF" w:rsidRDefault="001E18EF">
      <w:pPr>
        <w:spacing w:after="0" w:line="360" w:lineRule="auto"/>
        <w:jc w:val="both"/>
        <w:rPr>
          <w:rFonts w:ascii="Arial" w:eastAsia="Arial" w:hAnsi="Arial" w:cs="Arial"/>
          <w:sz w:val="22"/>
          <w:szCs w:val="22"/>
        </w:rPr>
      </w:pPr>
    </w:p>
    <w:p w14:paraId="2FC0CD38" w14:textId="77777777" w:rsidR="001E18EF" w:rsidRDefault="001E18EF">
      <w:pPr>
        <w:spacing w:after="0" w:line="360" w:lineRule="auto"/>
        <w:rPr>
          <w:rFonts w:ascii="Arial" w:eastAsia="Arial" w:hAnsi="Arial" w:cs="Arial"/>
          <w:sz w:val="22"/>
          <w:szCs w:val="22"/>
        </w:rPr>
      </w:pPr>
    </w:p>
    <w:p w14:paraId="128DBCE1" w14:textId="77777777" w:rsidR="001E18EF" w:rsidRDefault="001E18EF">
      <w:pPr>
        <w:spacing w:after="0" w:line="360" w:lineRule="auto"/>
        <w:rPr>
          <w:rFonts w:ascii="Arial" w:eastAsia="Arial" w:hAnsi="Arial" w:cs="Arial"/>
          <w:sz w:val="22"/>
          <w:szCs w:val="22"/>
        </w:rPr>
      </w:pPr>
    </w:p>
    <w:p w14:paraId="6293CDEA" w14:textId="77777777" w:rsidR="001E18EF" w:rsidRDefault="001E18EF">
      <w:pPr>
        <w:spacing w:after="0" w:line="360" w:lineRule="auto"/>
        <w:rPr>
          <w:rFonts w:ascii="Arial" w:eastAsia="Arial" w:hAnsi="Arial" w:cs="Arial"/>
          <w:sz w:val="22"/>
          <w:szCs w:val="22"/>
        </w:rPr>
      </w:pPr>
    </w:p>
    <w:p w14:paraId="5B4F8377" w14:textId="77777777" w:rsidR="001E18EF" w:rsidRDefault="001E18EF">
      <w:pPr>
        <w:pStyle w:val="Heading1"/>
        <w:spacing w:before="0" w:after="0" w:line="360" w:lineRule="auto"/>
        <w:rPr>
          <w:rFonts w:ascii="Arial" w:eastAsia="Arial" w:hAnsi="Arial" w:cs="Arial"/>
          <w:b/>
          <w:bCs/>
          <w:color w:val="000000"/>
          <w:sz w:val="24"/>
          <w:szCs w:val="24"/>
        </w:rPr>
      </w:pPr>
      <w:bookmarkStart w:id="11" w:name="_heading=h.zgi085705q0y" w:colFirst="0" w:colLast="0"/>
      <w:bookmarkEnd w:id="11"/>
    </w:p>
    <w:p w14:paraId="147356EE" w14:textId="77777777" w:rsidR="001E18EF" w:rsidRDefault="00000000">
      <w:pPr>
        <w:spacing w:after="0" w:line="360" w:lineRule="auto"/>
        <w:rPr>
          <w:rFonts w:ascii="Arial" w:eastAsia="Arial" w:hAnsi="Arial" w:cs="Arial"/>
          <w:b/>
          <w:bCs/>
          <w:sz w:val="22"/>
          <w:szCs w:val="22"/>
        </w:rPr>
      </w:pPr>
      <w:bookmarkStart w:id="12" w:name="_heading=h.o4ia1eflrki" w:colFirst="0" w:colLast="0"/>
      <w:bookmarkEnd w:id="12"/>
      <w:r>
        <w:br w:type="page"/>
      </w:r>
    </w:p>
    <w:p w14:paraId="27DAB51D" w14:textId="77777777" w:rsidR="001E18EF" w:rsidRDefault="00000000">
      <w:pPr>
        <w:pStyle w:val="Heading1"/>
        <w:spacing w:before="0" w:after="0" w:line="360" w:lineRule="auto"/>
        <w:rPr>
          <w:rFonts w:ascii="Arial" w:eastAsia="Arial" w:hAnsi="Arial" w:cs="Arial"/>
          <w:b/>
          <w:bCs/>
          <w:color w:val="000000"/>
          <w:sz w:val="22"/>
          <w:szCs w:val="22"/>
        </w:rPr>
      </w:pPr>
      <w:bookmarkStart w:id="13" w:name="_heading=h.ngz14cdgnqk1" w:colFirst="0" w:colLast="0"/>
      <w:bookmarkEnd w:id="13"/>
      <w:r>
        <w:rPr>
          <w:rFonts w:ascii="Arial" w:eastAsia="Arial" w:hAnsi="Arial" w:cs="Arial"/>
          <w:b/>
          <w:bCs/>
          <w:color w:val="000000"/>
          <w:sz w:val="22"/>
          <w:szCs w:val="22"/>
        </w:rPr>
        <w:lastRenderedPageBreak/>
        <w:t>References</w:t>
      </w:r>
    </w:p>
    <w:p w14:paraId="0C62EC69"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rPr>
        <w:t>(Parkinson’s UK</w:t>
      </w:r>
      <w:r>
        <w:rPr>
          <w:rFonts w:ascii="Arial" w:eastAsia="Arial" w:hAnsi="Arial" w:cs="Arial"/>
          <w:sz w:val="22"/>
          <w:szCs w:val="22"/>
          <w:highlight w:val="white"/>
        </w:rPr>
        <w:t xml:space="preserve"> (2018) Number of People with Parkinson’s Rising. Parkinson’s UK. Available at: https://www.parkinsons.org.uk/news/2018/number-people-parkinsons-rising (Accessed: March 7, 2026). </w:t>
      </w:r>
    </w:p>
    <w:p w14:paraId="4A142793"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Cubo, E. and Delgado-López, P.D., (2022). Telemedicine in the management of Parkinson’s disease: achievements, challenges, and future perspectives. </w:t>
      </w:r>
      <w:r>
        <w:rPr>
          <w:rFonts w:ascii="Arial" w:eastAsia="Arial" w:hAnsi="Arial" w:cs="Arial"/>
          <w:i/>
          <w:iCs/>
          <w:sz w:val="22"/>
          <w:szCs w:val="22"/>
          <w:highlight w:val="white"/>
        </w:rPr>
        <w:t>Brain Sciences</w:t>
      </w:r>
      <w:r>
        <w:rPr>
          <w:rFonts w:ascii="Arial" w:eastAsia="Arial" w:hAnsi="Arial" w:cs="Arial"/>
          <w:sz w:val="22"/>
          <w:szCs w:val="22"/>
          <w:highlight w:val="white"/>
        </w:rPr>
        <w:t xml:space="preserve">, </w:t>
      </w:r>
      <w:r>
        <w:rPr>
          <w:rFonts w:ascii="Arial" w:eastAsia="Arial" w:hAnsi="Arial" w:cs="Arial"/>
          <w:i/>
          <w:iCs/>
          <w:sz w:val="22"/>
          <w:szCs w:val="22"/>
          <w:highlight w:val="white"/>
        </w:rPr>
        <w:t>12</w:t>
      </w:r>
      <w:r>
        <w:rPr>
          <w:rFonts w:ascii="Arial" w:eastAsia="Arial" w:hAnsi="Arial" w:cs="Arial"/>
          <w:sz w:val="22"/>
          <w:szCs w:val="22"/>
          <w:highlight w:val="white"/>
        </w:rPr>
        <w:t>(12), p.1735.</w:t>
      </w:r>
    </w:p>
    <w:p w14:paraId="023F0B6C" w14:textId="77777777" w:rsidR="001E18EF" w:rsidRDefault="00000000">
      <w:pPr>
        <w:spacing w:after="0" w:line="360" w:lineRule="auto"/>
        <w:jc w:val="both"/>
        <w:rPr>
          <w:sz w:val="26"/>
          <w:szCs w:val="26"/>
        </w:rPr>
      </w:pPr>
      <w:r>
        <w:rPr>
          <w:rFonts w:ascii="Arial" w:eastAsia="Arial" w:hAnsi="Arial" w:cs="Arial"/>
          <w:sz w:val="22"/>
          <w:szCs w:val="22"/>
          <w:highlight w:val="white"/>
        </w:rPr>
        <w:t xml:space="preserve">Dankwa-Mullan, I., (2024). Health equity and ethical considerations in using artificial intelligence in public health and medicine. </w:t>
      </w:r>
      <w:r>
        <w:rPr>
          <w:rFonts w:ascii="Arial" w:eastAsia="Arial" w:hAnsi="Arial" w:cs="Arial"/>
          <w:i/>
          <w:iCs/>
          <w:sz w:val="22"/>
          <w:szCs w:val="22"/>
          <w:highlight w:val="white"/>
        </w:rPr>
        <w:t>Preventing chronic disease</w:t>
      </w:r>
      <w:r>
        <w:rPr>
          <w:rFonts w:ascii="Arial" w:eastAsia="Arial" w:hAnsi="Arial" w:cs="Arial"/>
          <w:sz w:val="22"/>
          <w:szCs w:val="22"/>
          <w:highlight w:val="white"/>
        </w:rPr>
        <w:t xml:space="preserve">, </w:t>
      </w:r>
      <w:r>
        <w:rPr>
          <w:rFonts w:ascii="Arial" w:eastAsia="Arial" w:hAnsi="Arial" w:cs="Arial"/>
          <w:i/>
          <w:iCs/>
          <w:sz w:val="22"/>
          <w:szCs w:val="22"/>
          <w:highlight w:val="white"/>
        </w:rPr>
        <w:t>21</w:t>
      </w:r>
      <w:r>
        <w:rPr>
          <w:rFonts w:ascii="Arial" w:eastAsia="Arial" w:hAnsi="Arial" w:cs="Arial"/>
          <w:sz w:val="22"/>
          <w:szCs w:val="22"/>
          <w:highlight w:val="white"/>
        </w:rPr>
        <w:t>, p.E64.</w:t>
      </w:r>
    </w:p>
    <w:p w14:paraId="47A5D99E"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Dash, D., Fabbri, M., Saade, J., Van Munster, M., Pedrosa, D., Růžička, E., Gal, O., Ferreira, J.J., Sánchez‐Ferro, Á., Lynch, T. and Eggers, C., (2025). Transforming Care Across Countries: Lessons from the Integrated Care Networks for Parkinson's Disease Study (iCARE‐PD). </w:t>
      </w:r>
      <w:r>
        <w:rPr>
          <w:rFonts w:ascii="Arial" w:eastAsia="Arial" w:hAnsi="Arial" w:cs="Arial"/>
          <w:i/>
          <w:iCs/>
          <w:sz w:val="22"/>
          <w:szCs w:val="22"/>
          <w:highlight w:val="white"/>
        </w:rPr>
        <w:t>Movement Disorders</w:t>
      </w:r>
      <w:r>
        <w:rPr>
          <w:rFonts w:ascii="Arial" w:eastAsia="Arial" w:hAnsi="Arial" w:cs="Arial"/>
          <w:sz w:val="22"/>
          <w:szCs w:val="22"/>
          <w:highlight w:val="white"/>
        </w:rPr>
        <w:t>.</w:t>
      </w:r>
    </w:p>
    <w:p w14:paraId="409A62C2"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Esper, C.D., Valdovinos, B.Y. and Schneider, R.B., (2024). The importance of digital health literacy in an evolving Parkinson’s disease care system. </w:t>
      </w:r>
      <w:r>
        <w:rPr>
          <w:rFonts w:ascii="Arial" w:eastAsia="Arial" w:hAnsi="Arial" w:cs="Arial"/>
          <w:i/>
          <w:iCs/>
          <w:sz w:val="22"/>
          <w:szCs w:val="22"/>
          <w:highlight w:val="white"/>
        </w:rPr>
        <w:t>Journal of Parkinson’s Disease</w:t>
      </w:r>
      <w:r>
        <w:rPr>
          <w:rFonts w:ascii="Arial" w:eastAsia="Arial" w:hAnsi="Arial" w:cs="Arial"/>
          <w:sz w:val="22"/>
          <w:szCs w:val="22"/>
          <w:highlight w:val="white"/>
        </w:rPr>
        <w:t xml:space="preserve">, </w:t>
      </w:r>
      <w:r>
        <w:rPr>
          <w:rFonts w:ascii="Arial" w:eastAsia="Arial" w:hAnsi="Arial" w:cs="Arial"/>
          <w:i/>
          <w:iCs/>
          <w:sz w:val="22"/>
          <w:szCs w:val="22"/>
          <w:highlight w:val="white"/>
        </w:rPr>
        <w:t>14</w:t>
      </w:r>
      <w:r>
        <w:rPr>
          <w:rFonts w:ascii="Arial" w:eastAsia="Arial" w:hAnsi="Arial" w:cs="Arial"/>
          <w:sz w:val="22"/>
          <w:szCs w:val="22"/>
          <w:highlight w:val="white"/>
        </w:rPr>
        <w:t>(s1), pp.S181-S189.</w:t>
      </w:r>
    </w:p>
    <w:p w14:paraId="7DCB8D95"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Falkenburger, B., Fanciulli, A., Pötter-Nerger, M., Van Eimeren, T., Classen, J., Höglinger, G., Redecker, C., Winkler, J. and Klucken, J., (2025). Clinical utility of digital technologies in Parkinson’s disease. </w:t>
      </w:r>
      <w:r>
        <w:rPr>
          <w:rFonts w:ascii="Arial" w:eastAsia="Arial" w:hAnsi="Arial" w:cs="Arial"/>
          <w:i/>
          <w:iCs/>
          <w:sz w:val="22"/>
          <w:szCs w:val="22"/>
          <w:highlight w:val="white"/>
        </w:rPr>
        <w:t>Journal of Neural Transmission</w:t>
      </w:r>
      <w:r>
        <w:rPr>
          <w:rFonts w:ascii="Arial" w:eastAsia="Arial" w:hAnsi="Arial" w:cs="Arial"/>
          <w:sz w:val="22"/>
          <w:szCs w:val="22"/>
          <w:highlight w:val="white"/>
        </w:rPr>
        <w:t>, pp.1-11.</w:t>
      </w:r>
    </w:p>
    <w:p w14:paraId="0503768F"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Gatsios, D., (2022). Technology solutions and online training in the care of Parkinson's disease and related movement disorders.</w:t>
      </w:r>
    </w:p>
    <w:p w14:paraId="70E7EEF0"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Lizárraga, K.J., Salazar, I.C., Zizzi, C., Romero, S., Arispe, J.C., Quico, A.V., Dye, T.D., Dorsey, E.R. and Castaneda, B., (2025). Locally adapting digital health technologies to address the global challenge of Parkinson’s disease. </w:t>
      </w:r>
      <w:r>
        <w:rPr>
          <w:rFonts w:ascii="Arial" w:eastAsia="Arial" w:hAnsi="Arial" w:cs="Arial"/>
          <w:i/>
          <w:iCs/>
          <w:sz w:val="22"/>
          <w:szCs w:val="22"/>
          <w:highlight w:val="white"/>
        </w:rPr>
        <w:t>Equity neuroscience</w:t>
      </w:r>
      <w:r>
        <w:rPr>
          <w:rFonts w:ascii="Arial" w:eastAsia="Arial" w:hAnsi="Arial" w:cs="Arial"/>
          <w:sz w:val="22"/>
          <w:szCs w:val="22"/>
          <w:highlight w:val="white"/>
        </w:rPr>
        <w:t xml:space="preserve">, </w:t>
      </w:r>
      <w:r>
        <w:rPr>
          <w:rFonts w:ascii="Arial" w:eastAsia="Arial" w:hAnsi="Arial" w:cs="Arial"/>
          <w:i/>
          <w:iCs/>
          <w:sz w:val="22"/>
          <w:szCs w:val="22"/>
          <w:highlight w:val="white"/>
        </w:rPr>
        <w:t>1</w:t>
      </w:r>
      <w:r>
        <w:rPr>
          <w:rFonts w:ascii="Arial" w:eastAsia="Arial" w:hAnsi="Arial" w:cs="Arial"/>
          <w:sz w:val="22"/>
          <w:szCs w:val="22"/>
          <w:highlight w:val="white"/>
        </w:rPr>
        <w:t>(2), p.100010.</w:t>
      </w:r>
    </w:p>
    <w:p w14:paraId="0CC666BA" w14:textId="77777777" w:rsidR="001E18EF" w:rsidRDefault="00000000">
      <w:pPr>
        <w:spacing w:after="0" w:line="360" w:lineRule="auto"/>
        <w:jc w:val="both"/>
        <w:rPr>
          <w:rFonts w:ascii="Arial" w:eastAsia="Arial" w:hAnsi="Arial" w:cs="Arial"/>
          <w:highlight w:val="white"/>
        </w:rPr>
      </w:pPr>
      <w:r>
        <w:rPr>
          <w:rFonts w:ascii="Arial" w:eastAsia="Arial" w:hAnsi="Arial" w:cs="Arial"/>
          <w:sz w:val="22"/>
          <w:szCs w:val="22"/>
          <w:highlight w:val="white"/>
        </w:rPr>
        <w:t xml:space="preserve">Rana, A., Dumka, A., Singh, R., Panda, M.K., Priyadarshi, N. and Twala, B., (2022). Imperative role of machine learning algorithm for detection of Parkinson’s disease: review, challenges and recommendations. </w:t>
      </w:r>
      <w:r>
        <w:rPr>
          <w:rFonts w:ascii="Arial" w:eastAsia="Arial" w:hAnsi="Arial" w:cs="Arial"/>
          <w:i/>
          <w:iCs/>
          <w:sz w:val="22"/>
          <w:szCs w:val="22"/>
          <w:highlight w:val="white"/>
        </w:rPr>
        <w:t>Diagnostics</w:t>
      </w:r>
      <w:r>
        <w:rPr>
          <w:rFonts w:ascii="Arial" w:eastAsia="Arial" w:hAnsi="Arial" w:cs="Arial"/>
          <w:sz w:val="22"/>
          <w:szCs w:val="22"/>
          <w:highlight w:val="white"/>
        </w:rPr>
        <w:t xml:space="preserve">, </w:t>
      </w:r>
      <w:r>
        <w:rPr>
          <w:rFonts w:ascii="Arial" w:eastAsia="Arial" w:hAnsi="Arial" w:cs="Arial"/>
          <w:i/>
          <w:iCs/>
          <w:sz w:val="22"/>
          <w:szCs w:val="22"/>
          <w:highlight w:val="white"/>
        </w:rPr>
        <w:t>12</w:t>
      </w:r>
      <w:r>
        <w:rPr>
          <w:rFonts w:ascii="Arial" w:eastAsia="Arial" w:hAnsi="Arial" w:cs="Arial"/>
          <w:sz w:val="22"/>
          <w:szCs w:val="22"/>
          <w:highlight w:val="white"/>
        </w:rPr>
        <w:t>(8), p.2003.</w:t>
      </w:r>
    </w:p>
    <w:p w14:paraId="325F92A9"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Ruokolainen, J., Nätti, S., Juutinen, M., Puustinen, J., Holm, A., Vehkaoja, A. and Nieminen, H., (2023). Digital healthcare platform ecosystem design: A case study of an ecosystem for Parkinson's disease patients. </w:t>
      </w:r>
      <w:r>
        <w:rPr>
          <w:rFonts w:ascii="Arial" w:eastAsia="Arial" w:hAnsi="Arial" w:cs="Arial"/>
          <w:i/>
          <w:iCs/>
          <w:sz w:val="22"/>
          <w:szCs w:val="22"/>
          <w:highlight w:val="white"/>
        </w:rPr>
        <w:t>Technovation</w:t>
      </w:r>
      <w:r>
        <w:rPr>
          <w:rFonts w:ascii="Arial" w:eastAsia="Arial" w:hAnsi="Arial" w:cs="Arial"/>
          <w:sz w:val="22"/>
          <w:szCs w:val="22"/>
          <w:highlight w:val="white"/>
        </w:rPr>
        <w:t xml:space="preserve">, </w:t>
      </w:r>
      <w:r>
        <w:rPr>
          <w:rFonts w:ascii="Arial" w:eastAsia="Arial" w:hAnsi="Arial" w:cs="Arial"/>
          <w:i/>
          <w:iCs/>
          <w:sz w:val="22"/>
          <w:szCs w:val="22"/>
          <w:highlight w:val="white"/>
        </w:rPr>
        <w:t>120</w:t>
      </w:r>
      <w:r>
        <w:rPr>
          <w:rFonts w:ascii="Arial" w:eastAsia="Arial" w:hAnsi="Arial" w:cs="Arial"/>
          <w:sz w:val="22"/>
          <w:szCs w:val="22"/>
          <w:highlight w:val="white"/>
        </w:rPr>
        <w:t>, p.102551.</w:t>
      </w:r>
    </w:p>
    <w:p w14:paraId="178A33DD"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Templeton, J.M., Poellabauer, C., Schneider, S., Rahimi, M., Braimoh, T., Tadamarry, F., Margolesky, J., Burke, S. and Al Masry, Z., (2025). Modernizing the staging of Parkinson disease using digital health technology. </w:t>
      </w:r>
      <w:r>
        <w:rPr>
          <w:rFonts w:ascii="Arial" w:eastAsia="Arial" w:hAnsi="Arial" w:cs="Arial"/>
          <w:i/>
          <w:iCs/>
          <w:sz w:val="22"/>
          <w:szCs w:val="22"/>
          <w:highlight w:val="white"/>
        </w:rPr>
        <w:t>Journal of Medical Internet Research</w:t>
      </w:r>
      <w:r>
        <w:rPr>
          <w:rFonts w:ascii="Arial" w:eastAsia="Arial" w:hAnsi="Arial" w:cs="Arial"/>
          <w:sz w:val="22"/>
          <w:szCs w:val="22"/>
          <w:highlight w:val="white"/>
        </w:rPr>
        <w:t xml:space="preserve">, </w:t>
      </w:r>
      <w:r>
        <w:rPr>
          <w:rFonts w:ascii="Arial" w:eastAsia="Arial" w:hAnsi="Arial" w:cs="Arial"/>
          <w:i/>
          <w:iCs/>
          <w:sz w:val="22"/>
          <w:szCs w:val="22"/>
          <w:highlight w:val="white"/>
        </w:rPr>
        <w:t>27</w:t>
      </w:r>
      <w:r>
        <w:rPr>
          <w:rFonts w:ascii="Arial" w:eastAsia="Arial" w:hAnsi="Arial" w:cs="Arial"/>
          <w:sz w:val="22"/>
          <w:szCs w:val="22"/>
          <w:highlight w:val="white"/>
        </w:rPr>
        <w:t>, p.e63105.</w:t>
      </w:r>
    </w:p>
    <w:p w14:paraId="2BF4704A"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van Munster, M., Stümpel, J., Thieken, F., Ratajczak, F., Rascol, O., Fabbri, M., Clemens, T., Czabanowska, K., Mestre, T.A., Pedrosa, D.J. and iCARE-PD consortium, (2022). The role of Parkinson nurses for personalizing Care in Parkinson’s disease: a systematic review and Meta-analysis. </w:t>
      </w:r>
      <w:r>
        <w:rPr>
          <w:rFonts w:ascii="Arial" w:eastAsia="Arial" w:hAnsi="Arial" w:cs="Arial"/>
          <w:i/>
          <w:iCs/>
          <w:sz w:val="22"/>
          <w:szCs w:val="22"/>
          <w:highlight w:val="white"/>
        </w:rPr>
        <w:t>Journal of Parkinson’s Disease</w:t>
      </w:r>
      <w:r>
        <w:rPr>
          <w:rFonts w:ascii="Arial" w:eastAsia="Arial" w:hAnsi="Arial" w:cs="Arial"/>
          <w:sz w:val="22"/>
          <w:szCs w:val="22"/>
          <w:highlight w:val="white"/>
        </w:rPr>
        <w:t xml:space="preserve">, </w:t>
      </w:r>
      <w:r>
        <w:rPr>
          <w:rFonts w:ascii="Arial" w:eastAsia="Arial" w:hAnsi="Arial" w:cs="Arial"/>
          <w:i/>
          <w:iCs/>
          <w:sz w:val="22"/>
          <w:szCs w:val="22"/>
          <w:highlight w:val="white"/>
        </w:rPr>
        <w:t>12</w:t>
      </w:r>
      <w:r>
        <w:rPr>
          <w:rFonts w:ascii="Arial" w:eastAsia="Arial" w:hAnsi="Arial" w:cs="Arial"/>
          <w:sz w:val="22"/>
          <w:szCs w:val="22"/>
          <w:highlight w:val="white"/>
        </w:rPr>
        <w:t>(6), pp.1807-1831.</w:t>
      </w:r>
    </w:p>
    <w:p w14:paraId="5B8499E7" w14:textId="77777777" w:rsidR="001E18EF" w:rsidRDefault="00000000">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lastRenderedPageBreak/>
        <w:t xml:space="preserve">World Health Organization, (2022). </w:t>
      </w:r>
      <w:r>
        <w:rPr>
          <w:rFonts w:ascii="Arial" w:eastAsia="Arial" w:hAnsi="Arial" w:cs="Arial"/>
          <w:i/>
          <w:iCs/>
          <w:sz w:val="22"/>
          <w:szCs w:val="22"/>
          <w:highlight w:val="white"/>
        </w:rPr>
        <w:t>Parkinson disease: a public health approach. Technical brief</w:t>
      </w:r>
      <w:r>
        <w:rPr>
          <w:rFonts w:ascii="Arial" w:eastAsia="Arial" w:hAnsi="Arial" w:cs="Arial"/>
          <w:sz w:val="22"/>
          <w:szCs w:val="22"/>
          <w:highlight w:val="white"/>
        </w:rPr>
        <w:t>. World Health Organization.</w:t>
      </w:r>
    </w:p>
    <w:sectPr w:rsidR="001E18EF">
      <w:footerReference w:type="defaul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4472B" w14:textId="77777777" w:rsidR="003C36A2" w:rsidRDefault="003C36A2">
      <w:pPr>
        <w:spacing w:after="0" w:line="240" w:lineRule="auto"/>
      </w:pPr>
      <w:r>
        <w:separator/>
      </w:r>
    </w:p>
  </w:endnote>
  <w:endnote w:type="continuationSeparator" w:id="0">
    <w:p w14:paraId="246E9C8B" w14:textId="77777777" w:rsidR="003C36A2" w:rsidRDefault="003C3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4707E382-9419-4B55-909F-FE85E5E6FD71}"/>
    <w:embedItalic r:id="rId2" w:fontKey="{D1CF5D54-5B68-4F5A-9DB7-2D25AC056E51}"/>
  </w:font>
  <w:font w:name="Play">
    <w:charset w:val="00"/>
    <w:family w:val="auto"/>
    <w:pitch w:val="default"/>
    <w:embedRegular r:id="rId3" w:fontKey="{9341D41B-6D87-4335-9A87-DDAFA72E1862}"/>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4315CEB7-B708-4FC0-B3D0-F2AAB51C2592}"/>
  </w:font>
  <w:font w:name="Quattrocento Sans">
    <w:charset w:val="00"/>
    <w:family w:val="swiss"/>
    <w:pitch w:val="variable"/>
    <w:sig w:usb0="800000BF" w:usb1="4000005B" w:usb2="00000000" w:usb3="00000000" w:csb0="00000001" w:csb1="00000000"/>
    <w:embedBold r:id="rId5" w:fontKey="{7066432B-550F-4F32-A614-61513ECF052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F8A71DD3-F333-4D6B-8AEA-990FA1F92F0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9EDF57" w14:textId="77777777" w:rsidR="001E18EF"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F9028F">
      <w:rPr>
        <w:noProof/>
        <w:color w:val="000000"/>
      </w:rPr>
      <w:t>2</w:t>
    </w:r>
    <w:r>
      <w:rPr>
        <w:color w:val="000000"/>
      </w:rPr>
      <w:fldChar w:fldCharType="end"/>
    </w:r>
  </w:p>
  <w:p w14:paraId="47EAFFD8" w14:textId="77777777" w:rsidR="001E18EF" w:rsidRDefault="001E18EF">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92B8E" w14:textId="77777777" w:rsidR="003C36A2" w:rsidRDefault="003C36A2">
      <w:pPr>
        <w:spacing w:after="0" w:line="240" w:lineRule="auto"/>
      </w:pPr>
      <w:r>
        <w:separator/>
      </w:r>
    </w:p>
  </w:footnote>
  <w:footnote w:type="continuationSeparator" w:id="0">
    <w:p w14:paraId="46F8A4E3" w14:textId="77777777" w:rsidR="003C36A2" w:rsidRDefault="003C36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8EF"/>
    <w:rsid w:val="00167268"/>
    <w:rsid w:val="001E18EF"/>
    <w:rsid w:val="003C36A2"/>
    <w:rsid w:val="00F90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82243"/>
  <w15:docId w15:val="{178532D7-A0D2-4E2A-AAFD-3B86684F3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727E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727EF"/>
    <w:pPr>
      <w:spacing w:after="100"/>
    </w:pPr>
  </w:style>
  <w:style w:type="character" w:styleId="Hyperlink">
    <w:name w:val="Hyperlink"/>
    <w:basedOn w:val="DefaultParagraphFont"/>
    <w:uiPriority w:val="99"/>
    <w:unhideWhenUsed/>
    <w:rsid w:val="003727EF"/>
    <w:rPr>
      <w:color w:val="0000FF" w:themeColor="hyperlink"/>
      <w:u w:val="single"/>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O7xoaz+bbLBG0CbWUncWO6V6Ag==">CgMxLjAyDmguMTBuOWs5YXRhaHlyMg5oLnB6NWp1bXIweDZtczIOaC41NmlxYnV1MzhqcnAyDmguaWdoZDZnZW54cndrMg5oLnR3a3U0aDUxbGk1cTINaC55NXg4a2VqMG56djIOaC45MjFqank5enc3c3MyDmguMmlyd3M5NGJxa2FtMg5oLnF6c2huNTRiNHU0MDIOaC5maTVkMXEycHg0MTIyDmguZ3d3aDUyM3BnODByMg5oLnpnaTA4NTcwNXEweTINaC5vNGlhMWVmbHJraTIOaC5uZ3oxNGNkZ25xazE4AHIhMVJxTnFkNWhKemJKYkljUndRMHpLYjZPTEFVY2gyLU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2797</Words>
  <Characters>15948</Characters>
  <Application>Microsoft Office Word</Application>
  <DocSecurity>0</DocSecurity>
  <Lines>132</Lines>
  <Paragraphs>37</Paragraphs>
  <ScaleCrop>false</ScaleCrop>
  <Company/>
  <LinksUpToDate>false</LinksUpToDate>
  <CharactersWithSpaces>18708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Kinga Gisca (1916790)</cp:lastModifiedBy>
  <cp:revision>2</cp:revision>
  <dcterms:created xsi:type="dcterms:W3CDTF">2026-03-07T13:57:00Z</dcterms:created>
  <dcterms:modified xsi:type="dcterms:W3CDTF">2026-03-17T14:08:00Z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a808cc7c-200e-4a82-9bd4-ec03361109f1</vt:lpwstr>
  </property>
</Properties>
</file>