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5354" w14:textId="1E2CE99B" w:rsidR="00D41A1C" w:rsidRDefault="00D41A1C" w:rsidP="00D41A1C">
      <w:pPr>
        <w:jc w:val="center"/>
        <w:rPr>
          <w:sz w:val="36"/>
          <w:szCs w:val="36"/>
        </w:rPr>
      </w:pPr>
      <w:r>
        <w:rPr>
          <w:noProof/>
          <w:sz w:val="36"/>
          <w:szCs w:val="36"/>
        </w:rPr>
        <mc:AlternateContent>
          <mc:Choice Requires="wps">
            <w:drawing>
              <wp:anchor distT="0" distB="0" distL="114300" distR="114300" simplePos="0" relativeHeight="251659264" behindDoc="0" locked="0" layoutInCell="1" allowOverlap="1" wp14:anchorId="3C0AA25F" wp14:editId="235AEFEF">
                <wp:simplePos x="0" y="0"/>
                <wp:positionH relativeFrom="column">
                  <wp:posOffset>-247650</wp:posOffset>
                </wp:positionH>
                <wp:positionV relativeFrom="paragraph">
                  <wp:posOffset>-222250</wp:posOffset>
                </wp:positionV>
                <wp:extent cx="6140450" cy="952500"/>
                <wp:effectExtent l="0" t="0" r="12700" b="19050"/>
                <wp:wrapNone/>
                <wp:docPr id="1700178064" name="Rectangle: Rounded Corners 1"/>
                <wp:cNvGraphicFramePr/>
                <a:graphic xmlns:a="http://schemas.openxmlformats.org/drawingml/2006/main">
                  <a:graphicData uri="http://schemas.microsoft.com/office/word/2010/wordprocessingShape">
                    <wps:wsp>
                      <wps:cNvSpPr/>
                      <wps:spPr>
                        <a:xfrm>
                          <a:off x="0" y="0"/>
                          <a:ext cx="6140450" cy="952500"/>
                        </a:xfrm>
                        <a:prstGeom prst="roundRect">
                          <a:avLst/>
                        </a:prstGeom>
                        <a:solidFill>
                          <a:schemeClr val="accent4">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707BC0F" w14:textId="77777777" w:rsidR="00D41A1C" w:rsidRPr="00AC7B0D" w:rsidRDefault="00D41A1C" w:rsidP="00D41A1C">
                            <w:pPr>
                              <w:jc w:val="center"/>
                              <w:rPr>
                                <w:rFonts w:ascii="Bradley Hand ITC" w:hAnsi="Bradley Hand ITC"/>
                                <w:b/>
                                <w:bCs/>
                                <w:color w:val="000000" w:themeColor="text1"/>
                                <w:sz w:val="44"/>
                                <w:szCs w:val="44"/>
                              </w:rPr>
                            </w:pPr>
                            <w:r w:rsidRPr="00AC7B0D">
                              <w:rPr>
                                <w:rFonts w:ascii="Bradley Hand ITC" w:hAnsi="Bradley Hand ITC"/>
                                <w:b/>
                                <w:bCs/>
                                <w:color w:val="000000" w:themeColor="text1"/>
                                <w:sz w:val="44"/>
                                <w:szCs w:val="44"/>
                              </w:rPr>
                              <w:t>Learning and Development Blog</w:t>
                            </w:r>
                          </w:p>
                          <w:p w14:paraId="5C3E5E2F" w14:textId="363839EA" w:rsidR="00D41A1C" w:rsidRPr="00AC7B0D" w:rsidRDefault="00FC585C" w:rsidP="00D41A1C">
                            <w:pPr>
                              <w:jc w:val="center"/>
                              <w:rPr>
                                <w:rFonts w:ascii="Bradley Hand ITC" w:hAnsi="Bradley Hand ITC"/>
                                <w:b/>
                                <w:bCs/>
                                <w:color w:val="000000" w:themeColor="text1"/>
                                <w:sz w:val="24"/>
                                <w:szCs w:val="24"/>
                              </w:rPr>
                            </w:pPr>
                            <w:r>
                              <w:rPr>
                                <w:rFonts w:ascii="Bradley Hand ITC" w:hAnsi="Bradley Hand ITC"/>
                                <w:b/>
                                <w:bCs/>
                                <w:color w:val="000000" w:themeColor="text1"/>
                                <w:sz w:val="24"/>
                                <w:szCs w:val="24"/>
                              </w:rPr>
                              <w:t xml:space="preserve">Author: </w:t>
                            </w:r>
                            <w:r w:rsidR="00D41A1C" w:rsidRPr="00AC7B0D">
                              <w:rPr>
                                <w:rFonts w:ascii="Bradley Hand ITC" w:hAnsi="Bradley Hand ITC"/>
                                <w:b/>
                                <w:bCs/>
                                <w:color w:val="000000" w:themeColor="text1"/>
                                <w:sz w:val="24"/>
                                <w:szCs w:val="24"/>
                              </w:rPr>
                              <w:t xml:space="preserve">Eve Churchward </w:t>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t xml:space="preserve">Dated: </w:t>
                            </w:r>
                            <w:r w:rsidR="00D41A1C" w:rsidRPr="00AC7B0D">
                              <w:rPr>
                                <w:rFonts w:ascii="Bradley Hand ITC" w:hAnsi="Bradley Hand ITC"/>
                                <w:b/>
                                <w:bCs/>
                                <w:color w:val="000000" w:themeColor="text1"/>
                                <w:sz w:val="24"/>
                                <w:szCs w:val="24"/>
                              </w:rPr>
                              <w:t>2</w:t>
                            </w:r>
                            <w:r w:rsidR="00D41A1C" w:rsidRPr="00AC7B0D">
                              <w:rPr>
                                <w:rFonts w:ascii="Bradley Hand ITC" w:hAnsi="Bradley Hand ITC"/>
                                <w:b/>
                                <w:bCs/>
                                <w:color w:val="000000" w:themeColor="text1"/>
                                <w:sz w:val="24"/>
                                <w:szCs w:val="24"/>
                                <w:vertAlign w:val="superscript"/>
                              </w:rPr>
                              <w:t>nd</w:t>
                            </w:r>
                            <w:r w:rsidR="00D41A1C" w:rsidRPr="00AC7B0D">
                              <w:rPr>
                                <w:rFonts w:ascii="Bradley Hand ITC" w:hAnsi="Bradley Hand ITC"/>
                                <w:b/>
                                <w:bCs/>
                                <w:color w:val="000000" w:themeColor="text1"/>
                                <w:sz w:val="24"/>
                                <w:szCs w:val="24"/>
                              </w:rPr>
                              <w:t xml:space="preserve"> October 2024.</w:t>
                            </w:r>
                          </w:p>
                          <w:p w14:paraId="585A27D5" w14:textId="77777777" w:rsidR="00D41A1C" w:rsidRDefault="00D41A1C" w:rsidP="00D41A1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0AA25F" id="Rectangle: Rounded Corners 1" o:spid="_x0000_s1026" style="position:absolute;left:0;text-align:left;margin-left:-19.5pt;margin-top:-17.5pt;width:483.5pt;height: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QPWkwIAAJUFAAAOAAAAZHJzL2Uyb0RvYy54bWysVE1v2zAMvQ/YfxB0X20HTrcGdYogRYYB&#10;XVu0HXpWZKkWIIuapMTOfv0o2XGDrthhWA6OxI9H8onk5VXfarIXziswFS3OckqE4VAr81LRH0+b&#10;T18o8YGZmmkwoqIH4enV8uOHy84uxAwa0LVwBEGMX3S2ok0IdpFlnjeiZf4MrDColOBaFvDqXrLa&#10;sQ7RW53N8vw868DV1gEX3qP0elDSZcKXUvBwJ6UXgeiKYm4hfV36buM3W16yxYtjtlF8TIP9QxYt&#10;UwaDTlDXLDCyc+oPqFZxBx5kOOPQZiCl4iLVgNUU+ZtqHhtmRaoFyfF2osn/P1h+u3+09w5p6Kxf&#10;eDzGKnrp2viP+ZE+kXWYyBJ9IByF50WZl3PklKPuYj6b54nN7NXbOh++CmhJPFTUwc7UD/giiSi2&#10;v/EBw6L90S5G9KBVvVFap0vsArHWjuwZvh/jXJhQJne9a79DPcjPc/wNL4lifO9BXB7FGCL1U0RK&#10;AU+CZK9lp1M4aBFDa/MgJFE1FjpLASeE01yKQdWwWgziAlk40jB5pJgJMCJLLG7CHgHeq7OIFWHq&#10;o310FamhJ+f8b4kNzpNHigwmTM6tMuDeA9BhijzYYxYn1MRj6Lf92DFbqA/3jjgYJstbvlH42jfM&#10;h3vmcJSwQXA9hDv8SA1dRWE8UdKA+/WePNpjh6OWkg5Hs6L+5445QYn+ZrD3L4qyjLOcLuX88wwv&#10;7lSzPdWYXbsG7J4CF5Hl6Rjtgz4epYP2GbfIKkZFFTMcY1eUB3e8rMOwMnAPcbFaJTOcX8vCjXm0&#10;PIJHgmMjP/XPzNmx5QMOyy0cx5gt3jT9YBs9Dax2AaRKExEpHngdqcfZT60w7qm4XE7vyep1my5/&#10;AwAA//8DAFBLAwQUAAYACAAAACEA0zrSuN4AAAALAQAADwAAAGRycy9kb3ducmV2LnhtbEyPzU7D&#10;MBCE70i8g7VI3Fo7rUBNiFMhpIoLqkT5EUc3XuKIeB3Zbpu+PdsT3GZ3R7Pf1OvJD+KIMfWBNBRz&#10;BQKpDbanTsP722a2ApGyIWuGQKjhjAnWzfVVbSobTvSKx13uBIdQqowGl/NYSZlah96keRiR+PYd&#10;ojeZx9hJG82Jw/0gF0rdS2964g/OjPjksP3ZHbwGFbdT9MuizE49v+SPz/P2a9NrfXszPT6AyDjl&#10;PzNc8BkdGmbahwPZJAYNs2XJXfJF3LFgR7lYsdizteCNbGr5v0PzCwAA//8DAFBLAQItABQABgAI&#10;AAAAIQC2gziS/gAAAOEBAAATAAAAAAAAAAAAAAAAAAAAAABbQ29udGVudF9UeXBlc10ueG1sUEsB&#10;Ai0AFAAGAAgAAAAhADj9If/WAAAAlAEAAAsAAAAAAAAAAAAAAAAALwEAAF9yZWxzLy5yZWxzUEsB&#10;Ai0AFAAGAAgAAAAhABCtA9aTAgAAlQUAAA4AAAAAAAAAAAAAAAAALgIAAGRycy9lMm9Eb2MueG1s&#10;UEsBAi0AFAAGAAgAAAAhANM60rjeAAAACwEAAA8AAAAAAAAAAAAAAAAA7QQAAGRycy9kb3ducmV2&#10;LnhtbFBLBQYAAAAABAAEAPMAAAD4BQAAAAA=&#10;" fillcolor="#ffd966 [1943]" strokecolor="#09101d [484]" strokeweight="1pt">
                <v:stroke joinstyle="miter"/>
                <v:textbox>
                  <w:txbxContent>
                    <w:p w14:paraId="2707BC0F" w14:textId="77777777" w:rsidR="00D41A1C" w:rsidRPr="00AC7B0D" w:rsidRDefault="00D41A1C" w:rsidP="00D41A1C">
                      <w:pPr>
                        <w:jc w:val="center"/>
                        <w:rPr>
                          <w:rFonts w:ascii="Bradley Hand ITC" w:hAnsi="Bradley Hand ITC"/>
                          <w:b/>
                          <w:bCs/>
                          <w:color w:val="000000" w:themeColor="text1"/>
                          <w:sz w:val="44"/>
                          <w:szCs w:val="44"/>
                        </w:rPr>
                      </w:pPr>
                      <w:r w:rsidRPr="00AC7B0D">
                        <w:rPr>
                          <w:rFonts w:ascii="Bradley Hand ITC" w:hAnsi="Bradley Hand ITC"/>
                          <w:b/>
                          <w:bCs/>
                          <w:color w:val="000000" w:themeColor="text1"/>
                          <w:sz w:val="44"/>
                          <w:szCs w:val="44"/>
                        </w:rPr>
                        <w:t>Learning and Development Blog</w:t>
                      </w:r>
                    </w:p>
                    <w:p w14:paraId="5C3E5E2F" w14:textId="363839EA" w:rsidR="00D41A1C" w:rsidRPr="00AC7B0D" w:rsidRDefault="00FC585C" w:rsidP="00D41A1C">
                      <w:pPr>
                        <w:jc w:val="center"/>
                        <w:rPr>
                          <w:rFonts w:ascii="Bradley Hand ITC" w:hAnsi="Bradley Hand ITC"/>
                          <w:b/>
                          <w:bCs/>
                          <w:color w:val="000000" w:themeColor="text1"/>
                          <w:sz w:val="24"/>
                          <w:szCs w:val="24"/>
                        </w:rPr>
                      </w:pPr>
                      <w:r>
                        <w:rPr>
                          <w:rFonts w:ascii="Bradley Hand ITC" w:hAnsi="Bradley Hand ITC"/>
                          <w:b/>
                          <w:bCs/>
                          <w:color w:val="000000" w:themeColor="text1"/>
                          <w:sz w:val="24"/>
                          <w:szCs w:val="24"/>
                        </w:rPr>
                        <w:t xml:space="preserve">Author: </w:t>
                      </w:r>
                      <w:r w:rsidR="00D41A1C" w:rsidRPr="00AC7B0D">
                        <w:rPr>
                          <w:rFonts w:ascii="Bradley Hand ITC" w:hAnsi="Bradley Hand ITC"/>
                          <w:b/>
                          <w:bCs/>
                          <w:color w:val="000000" w:themeColor="text1"/>
                          <w:sz w:val="24"/>
                          <w:szCs w:val="24"/>
                        </w:rPr>
                        <w:t xml:space="preserve">Eve Churchward </w:t>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r>
                      <w:r w:rsidR="00C3273A">
                        <w:rPr>
                          <w:rFonts w:ascii="Bradley Hand ITC" w:hAnsi="Bradley Hand ITC"/>
                          <w:b/>
                          <w:bCs/>
                          <w:color w:val="000000" w:themeColor="text1"/>
                          <w:sz w:val="24"/>
                          <w:szCs w:val="24"/>
                        </w:rPr>
                        <w:tab/>
                        <w:t xml:space="preserve">Dated: </w:t>
                      </w:r>
                      <w:r w:rsidR="00D41A1C" w:rsidRPr="00AC7B0D">
                        <w:rPr>
                          <w:rFonts w:ascii="Bradley Hand ITC" w:hAnsi="Bradley Hand ITC"/>
                          <w:b/>
                          <w:bCs/>
                          <w:color w:val="000000" w:themeColor="text1"/>
                          <w:sz w:val="24"/>
                          <w:szCs w:val="24"/>
                        </w:rPr>
                        <w:t>2</w:t>
                      </w:r>
                      <w:r w:rsidR="00D41A1C" w:rsidRPr="00AC7B0D">
                        <w:rPr>
                          <w:rFonts w:ascii="Bradley Hand ITC" w:hAnsi="Bradley Hand ITC"/>
                          <w:b/>
                          <w:bCs/>
                          <w:color w:val="000000" w:themeColor="text1"/>
                          <w:sz w:val="24"/>
                          <w:szCs w:val="24"/>
                          <w:vertAlign w:val="superscript"/>
                        </w:rPr>
                        <w:t>nd</w:t>
                      </w:r>
                      <w:r w:rsidR="00D41A1C" w:rsidRPr="00AC7B0D">
                        <w:rPr>
                          <w:rFonts w:ascii="Bradley Hand ITC" w:hAnsi="Bradley Hand ITC"/>
                          <w:b/>
                          <w:bCs/>
                          <w:color w:val="000000" w:themeColor="text1"/>
                          <w:sz w:val="24"/>
                          <w:szCs w:val="24"/>
                        </w:rPr>
                        <w:t xml:space="preserve"> October 2024.</w:t>
                      </w:r>
                    </w:p>
                    <w:p w14:paraId="585A27D5" w14:textId="77777777" w:rsidR="00D41A1C" w:rsidRDefault="00D41A1C" w:rsidP="00D41A1C">
                      <w:pPr>
                        <w:jc w:val="center"/>
                      </w:pPr>
                    </w:p>
                  </w:txbxContent>
                </v:textbox>
              </v:roundrect>
            </w:pict>
          </mc:Fallback>
        </mc:AlternateContent>
      </w:r>
    </w:p>
    <w:p w14:paraId="2D5950C4" w14:textId="77777777" w:rsidR="00D41A1C" w:rsidRDefault="00D41A1C" w:rsidP="00D41A1C">
      <w:pPr>
        <w:jc w:val="center"/>
        <w:rPr>
          <w:sz w:val="36"/>
          <w:szCs w:val="36"/>
        </w:rPr>
      </w:pPr>
    </w:p>
    <w:p w14:paraId="567BD113" w14:textId="77777777" w:rsidR="00D41A1C" w:rsidRDefault="00D41A1C" w:rsidP="00D41A1C">
      <w:pPr>
        <w:rPr>
          <w:sz w:val="36"/>
          <w:szCs w:val="36"/>
        </w:rPr>
      </w:pPr>
    </w:p>
    <w:p w14:paraId="79251844" w14:textId="6AEE9142" w:rsidR="00D41A1C" w:rsidRPr="00104B22" w:rsidRDefault="00D41A1C" w:rsidP="00D41A1C">
      <w:pPr>
        <w:jc w:val="center"/>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04B22">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 an Upstander not a bystander</w:t>
      </w:r>
      <w:r w:rsidR="00197A50">
        <w:rPr>
          <w:color w:val="4472C4" w:themeColor="accent1"/>
          <w:sz w:val="36"/>
          <w:szCs w:val="3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motivation to learn.</w:t>
      </w:r>
    </w:p>
    <w:p w14:paraId="4DC77044" w14:textId="7D09BF22" w:rsidR="00D41A1C" w:rsidRPr="00FC585C" w:rsidRDefault="00D41A1C" w:rsidP="00D41A1C">
      <w:r w:rsidRPr="00FC585C">
        <w:t xml:space="preserve">This training was developed by The College of Policing and has been rolled out as mandatory training for every person employed in the Police Service.  The training is being delivered initially to Police Officers followed by Police staff over the whole organisation. </w:t>
      </w:r>
    </w:p>
    <w:p w14:paraId="772AB512" w14:textId="06FD3EA6" w:rsidR="00D41A1C" w:rsidRPr="00FC585C" w:rsidRDefault="00D41A1C" w:rsidP="00D41A1C">
      <w:r w:rsidRPr="00FC585C">
        <w:t>The course aims to tackle cultural issues within the police environment and provides a toolkit for officers and staff to be confident in reporting inappropriate behaviour in the workplace.</w:t>
      </w:r>
    </w:p>
    <w:p w14:paraId="3C71619C" w14:textId="4B5D8B1D" w:rsidR="00D41A1C" w:rsidRPr="00FC585C" w:rsidRDefault="00D41A1C" w:rsidP="00D41A1C">
      <w:r w:rsidRPr="00FC585C">
        <w:t xml:space="preserve">I was given the ‘train the trainer’ training in July and asked to deliver the </w:t>
      </w:r>
      <w:r w:rsidR="00197A50">
        <w:t>package</w:t>
      </w:r>
      <w:r w:rsidRPr="00FC585C">
        <w:t xml:space="preserve"> </w:t>
      </w:r>
      <w:r w:rsidR="00197A50">
        <w:t>with other</w:t>
      </w:r>
      <w:r w:rsidRPr="00FC585C">
        <w:t xml:space="preserve"> Police trainers </w:t>
      </w:r>
      <w:r w:rsidR="00197A50">
        <w:t xml:space="preserve">to Police officers </w:t>
      </w:r>
      <w:r w:rsidRPr="00FC585C">
        <w:t>for the</w:t>
      </w:r>
      <w:r w:rsidR="00197A50">
        <w:t xml:space="preserve">ir </w:t>
      </w:r>
      <w:r w:rsidRPr="00FC585C">
        <w:t>training days. Th</w:t>
      </w:r>
      <w:r w:rsidR="00197A50">
        <w:t>e force training days</w:t>
      </w:r>
      <w:r w:rsidRPr="00FC585C">
        <w:t xml:space="preserve"> are notoriously difficult to deliver training as the</w:t>
      </w:r>
      <w:r w:rsidR="00197A50">
        <w:t>y</w:t>
      </w:r>
      <w:r w:rsidRPr="00FC585C">
        <w:t xml:space="preserve"> </w:t>
      </w:r>
      <w:r w:rsidR="00197A50">
        <w:t>take up</w:t>
      </w:r>
      <w:r w:rsidRPr="00FC585C">
        <w:t xml:space="preserve"> one of the Police Officers’ rest days therefore the officers are not happy when attending these sessions and would rather have their time off.  </w:t>
      </w:r>
      <w:r w:rsidR="00197A50">
        <w:t xml:space="preserve">My team and I </w:t>
      </w:r>
      <w:r w:rsidRPr="00FC585C">
        <w:t>raised their concerns regarding delivering this content during that time as it would be difficult to get learner engagement</w:t>
      </w:r>
      <w:r w:rsidR="00197A50">
        <w:t xml:space="preserve"> and it would lose the impact that is required for such a sensitive subject.</w:t>
      </w:r>
    </w:p>
    <w:p w14:paraId="64BA7111" w14:textId="2E1A9A9A" w:rsidR="00D41A1C" w:rsidRPr="00FC585C" w:rsidRDefault="00D41A1C" w:rsidP="00D41A1C">
      <w:r w:rsidRPr="00FC585C">
        <w:t xml:space="preserve">The issue of police culture has been </w:t>
      </w:r>
      <w:r w:rsidR="00197A50">
        <w:t>a hot topic</w:t>
      </w:r>
      <w:r w:rsidRPr="00FC585C">
        <w:t xml:space="preserve"> in the media in recent years which is now being addressed </w:t>
      </w:r>
      <w:r w:rsidR="00197A50">
        <w:t>through th</w:t>
      </w:r>
      <w:r w:rsidR="0072639D">
        <w:t>is</w:t>
      </w:r>
      <w:r w:rsidR="00197A50">
        <w:t xml:space="preserve"> training package</w:t>
      </w:r>
      <w:r w:rsidR="0072639D">
        <w:t xml:space="preserve"> amongst other projects. It</w:t>
      </w:r>
      <w:r w:rsidRPr="00FC585C">
        <w:t xml:space="preserve"> involves discussing examples of when inappropriate behaviour has happened either to themselves or they have witnessed such behaviour and maybe not felt confident to report it. </w:t>
      </w:r>
    </w:p>
    <w:p w14:paraId="5F907962" w14:textId="7F172498" w:rsidR="00D41A1C" w:rsidRPr="00FC585C" w:rsidRDefault="00D41A1C" w:rsidP="00D41A1C">
      <w:r w:rsidRPr="00FC585C">
        <w:t xml:space="preserve">The first time I delivered this training was to a group of 20 Police officers including 2 Sergeants.  I anticipated that this was going to be a tough session due to it being a force training day and </w:t>
      </w:r>
      <w:r w:rsidR="00197A50">
        <w:t>because</w:t>
      </w:r>
      <w:r w:rsidRPr="00FC585C">
        <w:t xml:space="preserve"> o</w:t>
      </w:r>
      <w:r w:rsidR="00197A50">
        <w:t>f</w:t>
      </w:r>
      <w:r w:rsidRPr="00FC585C">
        <w:t xml:space="preserve"> the content of the lesson.  I began by introducing myself and asking each officer to introduce themselves, so they felt at ease knowing who was in the room. The introductions gave me information that some of the officers had long service and some with only 3 years’ service.  This helped me pitch the tone of the training and draw on the differences between culture of then and now</w:t>
      </w:r>
      <w:r w:rsidR="00197A50">
        <w:t xml:space="preserve"> and how it has vastly improved. </w:t>
      </w:r>
      <w:r w:rsidR="00A152B3" w:rsidRPr="00FC585C">
        <w:t xml:space="preserve"> I continued with discussion questions but quickly realised that the group were remaining silent and were reluctant to engage.  It was evident that although adult </w:t>
      </w:r>
      <w:r w:rsidR="00197A50" w:rsidRPr="00FC585C">
        <w:t>learners</w:t>
      </w:r>
      <w:r w:rsidR="00A152B3" w:rsidRPr="00FC585C">
        <w:t xml:space="preserve"> </w:t>
      </w:r>
      <w:r w:rsidR="00CF7C85">
        <w:t xml:space="preserve">learn </w:t>
      </w:r>
      <w:r w:rsidR="0072639D">
        <w:t>by</w:t>
      </w:r>
      <w:r w:rsidR="00A152B3" w:rsidRPr="00FC585C">
        <w:t xml:space="preserve"> andragogy</w:t>
      </w:r>
      <w:r w:rsidR="00CF7C85">
        <w:t>,</w:t>
      </w:r>
      <w:r w:rsidR="00A152B3" w:rsidRPr="00FC585C">
        <w:t xml:space="preserve"> </w:t>
      </w:r>
      <w:r w:rsidR="00CF7C85">
        <w:t xml:space="preserve">they </w:t>
      </w:r>
      <w:r w:rsidR="00A152B3" w:rsidRPr="00FC585C">
        <w:t xml:space="preserve">should </w:t>
      </w:r>
      <w:r w:rsidR="00395DD2" w:rsidRPr="00FC585C">
        <w:t>be motivated</w:t>
      </w:r>
      <w:r w:rsidR="00A152B3" w:rsidRPr="00FC585C">
        <w:t xml:space="preserve"> to learn for several reasons and can draw on person life experience, </w:t>
      </w:r>
      <w:r w:rsidR="00395DD2">
        <w:t>ho</w:t>
      </w:r>
      <w:r w:rsidR="00E43B5B">
        <w:t xml:space="preserve">wever </w:t>
      </w:r>
      <w:r w:rsidR="00A152B3" w:rsidRPr="00FC585C">
        <w:t xml:space="preserve">it wasn’t the case for this session.  </w:t>
      </w:r>
    </w:p>
    <w:p w14:paraId="2A5390C0" w14:textId="6211EB38" w:rsidR="00E1064D" w:rsidRPr="00FC585C" w:rsidRDefault="00CF7C85" w:rsidP="00D41A1C">
      <w:r w:rsidRPr="00FC585C">
        <w:t>Maslow’s</w:t>
      </w:r>
      <w:r w:rsidR="00E1064D" w:rsidRPr="00FC585C">
        <w:t xml:space="preserve"> hierarchy of needs underlies the motivation for human behaviour </w:t>
      </w:r>
      <w:r w:rsidR="00317564" w:rsidRPr="00FC585C">
        <w:t>as explain that:</w:t>
      </w:r>
    </w:p>
    <w:p w14:paraId="5DFFF1D2" w14:textId="77777777" w:rsidR="00CF7C85" w:rsidRDefault="00317564" w:rsidP="00CF7C85">
      <w:r w:rsidRPr="00CF7C85">
        <w:t>If a student is tired, cold, and hungry, then the quality of learning will be reduced.  The student who feels threatened in the learning situation is unlikely to learn effectively. Our task as teachers is to create an environment where students feel part of a group and feel that their contribution has worth.</w:t>
      </w:r>
    </w:p>
    <w:p w14:paraId="04FF7D5B" w14:textId="2D1371C2" w:rsidR="00CF7C85" w:rsidRPr="00CF7C85" w:rsidRDefault="00CF7C85" w:rsidP="00CF7C85">
      <w:pPr>
        <w:ind w:left="5040" w:firstLine="720"/>
      </w:pPr>
      <w:r>
        <w:t>(</w:t>
      </w:r>
      <w:r w:rsidRPr="00CF7C85">
        <w:t>Reece and Walker</w:t>
      </w:r>
      <w:r>
        <w:t>,</w:t>
      </w:r>
      <w:r w:rsidRPr="00CF7C85">
        <w:t xml:space="preserve"> </w:t>
      </w:r>
      <w:r>
        <w:t xml:space="preserve">2007, </w:t>
      </w:r>
      <w:r w:rsidRPr="00CF7C85">
        <w:t>p.87)</w:t>
      </w:r>
    </w:p>
    <w:p w14:paraId="23CDBD68" w14:textId="77777777" w:rsidR="00CF7C85" w:rsidRDefault="00CF7C85" w:rsidP="00D41A1C"/>
    <w:p w14:paraId="5FF61DFE" w14:textId="3A3E11D5" w:rsidR="00FE030E" w:rsidRDefault="00FA6EE8" w:rsidP="00D41A1C">
      <w:r w:rsidRPr="00FC585C">
        <w:t xml:space="preserve">The difficulty with this training is that those factors won’t apply here as the officers’ basic needs are met, </w:t>
      </w:r>
      <w:r w:rsidR="00CB5B51">
        <w:t xml:space="preserve">the </w:t>
      </w:r>
      <w:r w:rsidRPr="00FC585C">
        <w:t>group</w:t>
      </w:r>
      <w:r w:rsidR="00CB5B51">
        <w:t xml:space="preserve"> environment was created,</w:t>
      </w:r>
      <w:r w:rsidRPr="00FC585C">
        <w:t xml:space="preserve"> however they will not feel that their contribution </w:t>
      </w:r>
      <w:r w:rsidR="00734C4D">
        <w:t xml:space="preserve">would be </w:t>
      </w:r>
      <w:r w:rsidRPr="00FC585C">
        <w:lastRenderedPageBreak/>
        <w:t>worth</w:t>
      </w:r>
      <w:r w:rsidR="00F3713D" w:rsidRPr="00FC585C">
        <w:t xml:space="preserve"> </w:t>
      </w:r>
      <w:r w:rsidR="00734C4D">
        <w:t xml:space="preserve">it </w:t>
      </w:r>
      <w:r w:rsidR="00F3713D" w:rsidRPr="00FC585C">
        <w:t>as they believe whatever they say, it won’t be listened to by senior management as</w:t>
      </w:r>
      <w:r w:rsidR="0072639D">
        <w:t xml:space="preserve"> this</w:t>
      </w:r>
      <w:r w:rsidR="00F3713D" w:rsidRPr="00FC585C">
        <w:t xml:space="preserve"> has been prove</w:t>
      </w:r>
      <w:r w:rsidR="0072639D">
        <w:t>n</w:t>
      </w:r>
      <w:r w:rsidR="00F3713D" w:rsidRPr="00FC585C">
        <w:t xml:space="preserve"> in the past.</w:t>
      </w:r>
      <w:r w:rsidRPr="00FC585C">
        <w:t xml:space="preserve">  </w:t>
      </w:r>
      <w:r w:rsidR="000C1B97">
        <w:t>So,</w:t>
      </w:r>
      <w:r w:rsidR="00CF7C85">
        <w:t xml:space="preserve"> no matter how comfortable they are</w:t>
      </w:r>
      <w:r w:rsidR="007114AE">
        <w:t xml:space="preserve">, they will not </w:t>
      </w:r>
      <w:proofErr w:type="gramStart"/>
      <w:r w:rsidR="007114AE">
        <w:t>open up</w:t>
      </w:r>
      <w:proofErr w:type="gramEnd"/>
      <w:r w:rsidR="007114AE">
        <w:t xml:space="preserve"> about their experiences as they fear repercussions for their career.</w:t>
      </w:r>
    </w:p>
    <w:p w14:paraId="75D07793" w14:textId="5D0FAEA3" w:rsidR="007543D7" w:rsidRPr="00FE030E" w:rsidRDefault="00FA6EE8" w:rsidP="00D41A1C">
      <w:r w:rsidRPr="00FC585C">
        <w:t xml:space="preserve">The officers are told to attend the training as it is a mandatory requirement, </w:t>
      </w:r>
      <w:r w:rsidR="00F3713D" w:rsidRPr="00FC585C">
        <w:t>but</w:t>
      </w:r>
      <w:r w:rsidRPr="00FC585C">
        <w:t xml:space="preserve"> there is nothing to motivate them to engage with the session.  </w:t>
      </w:r>
    </w:p>
    <w:p w14:paraId="158BC17B" w14:textId="77777777" w:rsidR="00FE030E" w:rsidRDefault="00FE030E" w:rsidP="00D41A1C">
      <w:pPr>
        <w:rPr>
          <w:sz w:val="24"/>
          <w:szCs w:val="24"/>
        </w:rPr>
      </w:pPr>
    </w:p>
    <w:p w14:paraId="11B4C586" w14:textId="0223772A" w:rsidR="007543D7" w:rsidRDefault="007543D7" w:rsidP="00D41A1C">
      <w:pPr>
        <w:rPr>
          <w:sz w:val="24"/>
          <w:szCs w:val="24"/>
        </w:rPr>
      </w:pPr>
      <w:r>
        <w:rPr>
          <w:noProof/>
        </w:rPr>
        <mc:AlternateContent>
          <mc:Choice Requires="wps">
            <w:drawing>
              <wp:anchor distT="0" distB="0" distL="114300" distR="114300" simplePos="0" relativeHeight="251660288" behindDoc="0" locked="0" layoutInCell="1" allowOverlap="1" wp14:anchorId="259F3DEE" wp14:editId="6D6B7756">
                <wp:simplePos x="0" y="0"/>
                <wp:positionH relativeFrom="column">
                  <wp:posOffset>3291806</wp:posOffset>
                </wp:positionH>
                <wp:positionV relativeFrom="paragraph">
                  <wp:posOffset>91808</wp:posOffset>
                </wp:positionV>
                <wp:extent cx="2781701" cy="1236846"/>
                <wp:effectExtent l="0" t="0" r="19050" b="20955"/>
                <wp:wrapNone/>
                <wp:docPr id="1786700408" name="Rectangle: Rounded Corners 2"/>
                <wp:cNvGraphicFramePr/>
                <a:graphic xmlns:a="http://schemas.openxmlformats.org/drawingml/2006/main">
                  <a:graphicData uri="http://schemas.microsoft.com/office/word/2010/wordprocessingShape">
                    <wps:wsp>
                      <wps:cNvSpPr/>
                      <wps:spPr>
                        <a:xfrm>
                          <a:off x="0" y="0"/>
                          <a:ext cx="2781701" cy="1236846"/>
                        </a:xfrm>
                        <a:prstGeom prst="roundRect">
                          <a:avLst/>
                        </a:prstGeom>
                        <a:solidFill>
                          <a:schemeClr val="accent6">
                            <a:lumMod val="40000"/>
                            <a:lumOff val="6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AF15F3E" w14:textId="44128881" w:rsidR="007543D7" w:rsidRPr="007543D7" w:rsidRDefault="007543D7" w:rsidP="007543D7">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43D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Hertzberg 2 factor theory of motivation identifies further motivational factors for adult learners including meaningful work, recognition, accomplishment, and opportunity for growth.</w:t>
                            </w:r>
                          </w:p>
                          <w:p w14:paraId="160B92A9" w14:textId="77777777" w:rsidR="007543D7" w:rsidRDefault="007543D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59F3DEE" id="Rectangle: Rounded Corners 2" o:spid="_x0000_s1027" style="position:absolute;margin-left:259.2pt;margin-top:7.25pt;width:219.05pt;height:97.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60YkQIAAJ0FAAAOAAAAZHJzL2Uyb0RvYy54bWysVN1P2zAQf5+0/8Hy+0jSlVIqUlSBmCYx&#10;QMDEs+vYxJLj82y3SffX7+ykaQVoD9P6kJ7v43ffd3HZNZpshfMKTEmLk5wSYThUyryW9OfzzZc5&#10;JT4wUzENRpR0Jzy9XH7+dNHahZhADboSjiCI8YvWlrQOwS6yzPNaNMyfgBUGhRJcwwI+3WtWOdYi&#10;eqOzSZ7PshZcZR1w4T1yr3shXSZ8KQUP91J6EYguKcYW0tel7zp+s+UFW7w6ZmvFhzDYP0TRMGXQ&#10;6Qh1zQIjG6feQTWKO/AgwwmHJgMpFRcpB8ymyN9k81QzK1IuWBxvxzL5/wfL77ZP9sFhGVrrFx7J&#10;mEUnXRP/MT7SpWLtxmKJLhCOzMnZvDjLC0o4yorJ19l8OovlzA7m1vnwTUBDIlFSBxtTPWJLUqXY&#10;9taHXn+vF1160Kq6UVqnRxwDcaUd2TJsIONcmDBL5nrT/ICq509z/PWtRDY2vGfP9mwMKQ1UREoB&#10;HjnJDnknKuy0iK61eRSSqCpmmhyOCMexFL2oZpXo2cXpEMo7nwkwIktMbsQeAD7KsxiqOehHU5Em&#10;ejTO/xZYX9rRInkGE0bjRhlwHwHoMHru9bFkR6WJZOjWHdYG+x5jjJw1VLsHRxz0G+Ytv1HY9Fvm&#10;wwNzuFK4fHgmwj1+pIa2pDBQlNTgfn/Ej/o46SilpMUVLan/tWFOUKK/G9yB82I6jTudHtPTswk+&#10;3LFkfSwxm+YKcIhwYjG6REb9oPekdNC84DVZRa8oYoaj75Ly4PaPq9CfDrxHXKxWSQ332LJwa54s&#10;j+CxznGen7sX5uww+QGX5g7268wWb2a/142WBlabAFKlxTjUdegA3oA0vsO9ikfm+J20Dld1+QcA&#10;AP//AwBQSwMEFAAGAAgAAAAhAB9OrPnhAAAACgEAAA8AAABkcnMvZG93bnJldi54bWxMj8FOwzAM&#10;hu9IvENkJG4s3WjHVppOCIkDByZtgOCYNqataJyoybqOp8c7wc3W/+n352Iz2V6MOITOkYL5LAGB&#10;VDvTUaPg7fXpZgUiRE1G945QwQkDbMrLi0Lnxh1ph+M+NoJLKORaQRujz6UMdYtWh5nzSJx9ucHq&#10;yOvQSDPoI5fbXi6SZCmt7ogvtNrjY4v19/5gFTR19fP88r6d6M7vqtF/fMbtKVXq+mp6uAcRcYp/&#10;MJz1WR1KdqrcgUwQvYJsvkoZ5SDNQDCwzpY8VAoWyfoWZFnI/y+UvwAAAP//AwBQSwECLQAUAAYA&#10;CAAAACEAtoM4kv4AAADhAQAAEwAAAAAAAAAAAAAAAAAAAAAAW0NvbnRlbnRfVHlwZXNdLnhtbFBL&#10;AQItABQABgAIAAAAIQA4/SH/1gAAAJQBAAALAAAAAAAAAAAAAAAAAC8BAABfcmVscy8ucmVsc1BL&#10;AQItABQABgAIAAAAIQAFN60YkQIAAJ0FAAAOAAAAAAAAAAAAAAAAAC4CAABkcnMvZTJvRG9jLnht&#10;bFBLAQItABQABgAIAAAAIQAfTqz54QAAAAoBAAAPAAAAAAAAAAAAAAAAAOsEAABkcnMvZG93bnJl&#10;di54bWxQSwUGAAAAAAQABADzAAAA+QUAAAAA&#10;" fillcolor="#c5e0b3 [1305]" strokecolor="#09101d [484]" strokeweight="1pt">
                <v:stroke joinstyle="miter"/>
                <v:textbox>
                  <w:txbxContent>
                    <w:p w14:paraId="2AF15F3E" w14:textId="44128881" w:rsidR="007543D7" w:rsidRPr="007543D7" w:rsidRDefault="007543D7" w:rsidP="007543D7">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7543D7">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Hertzberg 2 factor theory of motivation identifies further motivational factors for adult learners including meaningful work, recognition, accomplishment, and opportunity for growth.</w:t>
                      </w:r>
                    </w:p>
                    <w:p w14:paraId="160B92A9" w14:textId="77777777" w:rsidR="007543D7" w:rsidRDefault="007543D7"/>
                  </w:txbxContent>
                </v:textbox>
              </v:roundrect>
            </w:pict>
          </mc:Fallback>
        </mc:AlternateContent>
      </w:r>
      <w:r>
        <w:rPr>
          <w:noProof/>
        </w:rPr>
        <w:drawing>
          <wp:inline distT="0" distB="0" distL="0" distR="0" wp14:anchorId="3C7AF9FE" wp14:editId="5A8E882A">
            <wp:extent cx="2857930" cy="1487103"/>
            <wp:effectExtent l="0" t="0" r="0" b="0"/>
            <wp:docPr id="2" name="Picture 1" descr="Herzberg's Motivation-Hygiene Theor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rzberg's Motivation-Hygiene Theory ..."/>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891275" cy="1504454"/>
                    </a:xfrm>
                    <a:prstGeom prst="rect">
                      <a:avLst/>
                    </a:prstGeom>
                    <a:noFill/>
                    <a:ln>
                      <a:noFill/>
                    </a:ln>
                  </pic:spPr>
                </pic:pic>
              </a:graphicData>
            </a:graphic>
          </wp:inline>
        </w:drawing>
      </w:r>
    </w:p>
    <w:p w14:paraId="4CB09E11" w14:textId="7277359F" w:rsidR="0072639D" w:rsidRDefault="0072639D" w:rsidP="0072639D">
      <w:pPr>
        <w:ind w:left="6480"/>
      </w:pPr>
      <w:r>
        <w:t>(Google stock images)</w:t>
      </w:r>
    </w:p>
    <w:p w14:paraId="1C426EFA" w14:textId="7B7182B7" w:rsidR="00B87898" w:rsidRDefault="00E93BA6">
      <w:r>
        <w:t xml:space="preserve">The Hertzberg theory </w:t>
      </w:r>
      <w:r w:rsidR="00640A20">
        <w:t>identifie</w:t>
      </w:r>
      <w:r w:rsidR="00ED3FC6">
        <w:t>s</w:t>
      </w:r>
      <w:r w:rsidR="00640A20">
        <w:t xml:space="preserve"> opportunity for growt</w:t>
      </w:r>
      <w:r w:rsidR="00ED3FC6">
        <w:t xml:space="preserve">h so I used this as a motivation to </w:t>
      </w:r>
      <w:r w:rsidR="00F75A3B">
        <w:t>encourage</w:t>
      </w:r>
      <w:r w:rsidR="00ED3FC6">
        <w:t xml:space="preserve"> engage</w:t>
      </w:r>
      <w:r w:rsidR="00F75A3B">
        <w:t>ment</w:t>
      </w:r>
      <w:r w:rsidR="00ED3FC6">
        <w:t xml:space="preserve"> with the training</w:t>
      </w:r>
      <w:r w:rsidR="00FF6D8B">
        <w:t>,</w:t>
      </w:r>
      <w:r w:rsidR="00ED3FC6">
        <w:t xml:space="preserve"> explaining that the</w:t>
      </w:r>
      <w:r w:rsidR="007114AE">
        <w:t xml:space="preserve"> learners</w:t>
      </w:r>
      <w:r w:rsidR="00ED3FC6">
        <w:t xml:space="preserve"> can use this training </w:t>
      </w:r>
      <w:r w:rsidR="002F38F2">
        <w:t xml:space="preserve">as an example in their promotional </w:t>
      </w:r>
      <w:r w:rsidR="00DC017E">
        <w:t>interviews and Personal Development Review (PDR)</w:t>
      </w:r>
      <w:r w:rsidR="00FF6D8B">
        <w:t xml:space="preserve"> as they </w:t>
      </w:r>
      <w:r w:rsidR="00F37AFB">
        <w:t xml:space="preserve">now </w:t>
      </w:r>
      <w:r w:rsidR="00FF6D8B">
        <w:t>have the toolkit</w:t>
      </w:r>
      <w:r w:rsidR="00F37AFB">
        <w:t xml:space="preserve"> and knowledge</w:t>
      </w:r>
      <w:r w:rsidR="00FF6D8B">
        <w:t xml:space="preserve"> to assist </w:t>
      </w:r>
      <w:r w:rsidR="009D1255">
        <w:t>them if an issue of inappropriate behaviour is reported to them.</w:t>
      </w:r>
      <w:r w:rsidR="00253B50">
        <w:t xml:space="preserve">  They </w:t>
      </w:r>
      <w:r w:rsidR="002E5CB4">
        <w:t xml:space="preserve">can use personal examples and </w:t>
      </w:r>
      <w:r w:rsidR="00BB37F7">
        <w:t xml:space="preserve">show the promotional board how they applied the toolkit, explained the reporting </w:t>
      </w:r>
      <w:r w:rsidR="00F26627">
        <w:t>mechanisms,</w:t>
      </w:r>
      <w:r w:rsidR="00BB37F7">
        <w:t xml:space="preserve"> and </w:t>
      </w:r>
      <w:r w:rsidR="00F26627">
        <w:t>provided support whilst doing so.</w:t>
      </w:r>
    </w:p>
    <w:p w14:paraId="223E8CCA" w14:textId="33E536BB" w:rsidR="007114AE" w:rsidRDefault="007114AE" w:rsidP="007A43B2">
      <w:r>
        <w:t xml:space="preserve">Adaptability is a key skill for </w:t>
      </w:r>
      <w:r w:rsidR="009F290B">
        <w:t>trainers,</w:t>
      </w:r>
      <w:r>
        <w:t xml:space="preserve"> and </w:t>
      </w:r>
      <w:r w:rsidR="009F290B">
        <w:t>I realised that the session was not going well with learner engagement</w:t>
      </w:r>
      <w:r>
        <w:t xml:space="preserve">, </w:t>
      </w:r>
      <w:r w:rsidR="009F290B">
        <w:t xml:space="preserve">therefore </w:t>
      </w:r>
      <w:r>
        <w:t>us</w:t>
      </w:r>
      <w:r w:rsidR="009F290B">
        <w:t>ing</w:t>
      </w:r>
      <w:r>
        <w:t xml:space="preserve"> Schon’s reflect</w:t>
      </w:r>
      <w:r w:rsidR="009F290B">
        <w:t>ion</w:t>
      </w:r>
      <w:r>
        <w:t xml:space="preserve">-in-action theory </w:t>
      </w:r>
      <w:r w:rsidR="009F290B">
        <w:t xml:space="preserve">I </w:t>
      </w:r>
      <w:r>
        <w:t>observe</w:t>
      </w:r>
      <w:r w:rsidR="009F290B">
        <w:t>d</w:t>
      </w:r>
      <w:r w:rsidR="008C4312">
        <w:t xml:space="preserve"> and reflect</w:t>
      </w:r>
      <w:r w:rsidR="009F290B">
        <w:t>ed</w:t>
      </w:r>
      <w:r w:rsidR="008C4312">
        <w:t xml:space="preserve"> </w:t>
      </w:r>
      <w:r w:rsidR="009F290B">
        <w:t xml:space="preserve">in the moment and </w:t>
      </w:r>
      <w:r w:rsidR="0072639D">
        <w:t>acted</w:t>
      </w:r>
      <w:r w:rsidR="008C4312">
        <w:t xml:space="preserve"> immediately</w:t>
      </w:r>
      <w:r w:rsidR="009F290B">
        <w:t xml:space="preserve"> to improve their motivation and engagement.</w:t>
      </w:r>
    </w:p>
    <w:p w14:paraId="7039EC31" w14:textId="5CB0A8B2" w:rsidR="00981996" w:rsidRDefault="008C4312">
      <w:r>
        <w:tab/>
      </w:r>
      <w:r>
        <w:tab/>
      </w:r>
      <w:r>
        <w:rPr>
          <w:noProof/>
        </w:rPr>
        <w:drawing>
          <wp:inline distT="0" distB="0" distL="0" distR="0" wp14:anchorId="6C1152E2" wp14:editId="21F40664">
            <wp:extent cx="3377370" cy="2216150"/>
            <wp:effectExtent l="0" t="0" r="0" b="0"/>
            <wp:docPr id="2023789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789285" name=""/>
                    <pic:cNvPicPr/>
                  </pic:nvPicPr>
                  <pic:blipFill>
                    <a:blip r:embed="rId5"/>
                    <a:stretch>
                      <a:fillRect/>
                    </a:stretch>
                  </pic:blipFill>
                  <pic:spPr>
                    <a:xfrm>
                      <a:off x="0" y="0"/>
                      <a:ext cx="3421038" cy="2244804"/>
                    </a:xfrm>
                    <a:prstGeom prst="rect">
                      <a:avLst/>
                    </a:prstGeom>
                  </pic:spPr>
                </pic:pic>
              </a:graphicData>
            </a:graphic>
          </wp:inline>
        </w:drawing>
      </w:r>
    </w:p>
    <w:p w14:paraId="64FDD94C" w14:textId="77777777" w:rsidR="009F290B" w:rsidRDefault="00000000" w:rsidP="009F290B">
      <w:pPr>
        <w:ind w:left="1440" w:firstLine="720"/>
      </w:pPr>
      <w:hyperlink r:id="rId6" w:history="1">
        <w:r w:rsidR="009F290B" w:rsidRPr="009F290B">
          <w:rPr>
            <w:color w:val="0000FF"/>
            <w:u w:val="single"/>
          </w:rPr>
          <w:t xml:space="preserve">Schön - Reflection in action/on action - </w:t>
        </w:r>
        <w:proofErr w:type="spellStart"/>
        <w:r w:rsidR="009F290B" w:rsidRPr="009F290B">
          <w:rPr>
            <w:color w:val="0000FF"/>
            <w:u w:val="single"/>
          </w:rPr>
          <w:t>Marcr</w:t>
        </w:r>
        <w:proofErr w:type="spellEnd"/>
      </w:hyperlink>
      <w:r w:rsidR="009F290B">
        <w:t xml:space="preserve"> </w:t>
      </w:r>
    </w:p>
    <w:p w14:paraId="395141A4" w14:textId="77777777" w:rsidR="00EE4211" w:rsidRDefault="009F290B" w:rsidP="009F290B">
      <w:r>
        <w:t xml:space="preserve">I </w:t>
      </w:r>
      <w:r w:rsidR="00F66562">
        <w:t>decided to</w:t>
      </w:r>
      <w:r>
        <w:t xml:space="preserve"> use my personal experience of witnessing inappropriate behaviour in the workplace </w:t>
      </w:r>
      <w:r w:rsidR="00F66562">
        <w:t xml:space="preserve">to get the officers talking </w:t>
      </w:r>
      <w:r>
        <w:t>as I knew that the offending person was known to some officers in the group</w:t>
      </w:r>
      <w:r w:rsidR="00F66562">
        <w:t xml:space="preserve"> which would create a talking point. I did not divulge the name of the person involved but the person</w:t>
      </w:r>
      <w:r w:rsidR="00EE4211">
        <w:t xml:space="preserve"> </w:t>
      </w:r>
      <w:r w:rsidR="00F66562">
        <w:t>was well known</w:t>
      </w:r>
      <w:r w:rsidR="00EE4211">
        <w:t xml:space="preserve"> in the organisation</w:t>
      </w:r>
      <w:r w:rsidR="00F66562">
        <w:t xml:space="preserve"> for the behaviour and dismissed from the force a few years </w:t>
      </w:r>
      <w:r w:rsidR="00F66562">
        <w:lastRenderedPageBreak/>
        <w:t xml:space="preserve">previously. </w:t>
      </w:r>
      <w:r>
        <w:t xml:space="preserve"> I asked the</w:t>
      </w:r>
      <w:r w:rsidR="00F66562">
        <w:t xml:space="preserve"> learners</w:t>
      </w:r>
      <w:r>
        <w:t xml:space="preserve"> to provide their opinion of the situation which then became a whole group discussion</w:t>
      </w:r>
      <w:r w:rsidR="00F66562">
        <w:t xml:space="preserve"> with most of the learners speaking out</w:t>
      </w:r>
      <w:r>
        <w:t xml:space="preserve">. </w:t>
      </w:r>
    </w:p>
    <w:p w14:paraId="33B92F98" w14:textId="6DF05DF4" w:rsidR="00F66562" w:rsidRDefault="009F290B" w:rsidP="009F290B">
      <w:r>
        <w:t>As a trainer it is important to have strategies to assist delivery of training, the Teaching and Learning Research Programme conducted from 2000-2011 highlights 10 guiding principles including Principle 6: Effective teaching and learning promotes the active engagement of the learner.</w:t>
      </w:r>
      <w:r w:rsidRPr="007A43B2">
        <w:t xml:space="preserve"> </w:t>
      </w:r>
      <w:r>
        <w:t>Gregson and Duncan (2020, p.94)</w:t>
      </w:r>
      <w:r w:rsidR="00F66562">
        <w:t>.</w:t>
      </w:r>
    </w:p>
    <w:p w14:paraId="568CBAC3" w14:textId="7D500EE9" w:rsidR="008C4312" w:rsidRDefault="00F66562">
      <w:r>
        <w:t>By the end of the session the learners were fully engaged and understood the value of the training. I received good feedback from the learners and used Schon’s reflection on action theory to understand how the session was improved when I gave my own personal experience. I spoke to the other trainers</w:t>
      </w:r>
      <w:r w:rsidR="000C1B97">
        <w:t xml:space="preserve"> delivering the package who said they would also implement this strategy as they were also finding it difficult to motivate and engage the learners. I have implemented the changes and will use this strategy going forward.</w:t>
      </w:r>
    </w:p>
    <w:p w14:paraId="06B38B7B" w14:textId="77777777" w:rsidR="00EE4211" w:rsidRPr="00EE4211" w:rsidRDefault="00EE4211"/>
    <w:p w14:paraId="4AB389C4" w14:textId="71BF64D9" w:rsidR="007A43B2" w:rsidRDefault="002D026A">
      <w:pPr>
        <w:rPr>
          <w:b/>
          <w:bCs/>
          <w:u w:val="single"/>
        </w:rPr>
      </w:pPr>
      <w:r w:rsidRPr="00DC5DE5">
        <w:rPr>
          <w:b/>
          <w:bCs/>
          <w:u w:val="single"/>
        </w:rPr>
        <w:t xml:space="preserve">References: </w:t>
      </w:r>
    </w:p>
    <w:p w14:paraId="7506E753" w14:textId="2F487E1F" w:rsidR="009F290B" w:rsidRPr="009F290B" w:rsidRDefault="009F290B">
      <w:r>
        <w:t xml:space="preserve">Career </w:t>
      </w:r>
      <w:proofErr w:type="spellStart"/>
      <w:r>
        <w:t>Marcr</w:t>
      </w:r>
      <w:proofErr w:type="spellEnd"/>
      <w:r>
        <w:t xml:space="preserve"> for Career Professionals. Career Development Institute.  </w:t>
      </w:r>
      <w:hyperlink r:id="rId7" w:history="1">
        <w:r w:rsidRPr="000C0FD8">
          <w:rPr>
            <w:rStyle w:val="Hyperlink"/>
          </w:rPr>
          <w:t>https://marcr.net/marcr-for-career-professionals/career-theory/career-theories-and-theorists/schon-reflection-in-action-on-action-1983/</w:t>
        </w:r>
      </w:hyperlink>
      <w:r>
        <w:t xml:space="preserve"> (Accessed 17/12/24).</w:t>
      </w:r>
    </w:p>
    <w:p w14:paraId="28445A2E" w14:textId="611D246B" w:rsidR="007A43B2" w:rsidRDefault="00EB26FF">
      <w:r>
        <w:t>Gregson</w:t>
      </w:r>
      <w:r w:rsidR="004E45D7">
        <w:t>,</w:t>
      </w:r>
      <w:r>
        <w:t xml:space="preserve"> M. Duncan</w:t>
      </w:r>
      <w:r w:rsidR="004E45D7">
        <w:t>,</w:t>
      </w:r>
      <w:r>
        <w:t xml:space="preserve"> S. (2020) </w:t>
      </w:r>
      <w:r w:rsidRPr="002B1D99">
        <w:rPr>
          <w:i/>
          <w:iCs/>
        </w:rPr>
        <w:t xml:space="preserve">Reflective Teaching in further, </w:t>
      </w:r>
      <w:r w:rsidR="008C4312" w:rsidRPr="002B1D99">
        <w:rPr>
          <w:i/>
          <w:iCs/>
        </w:rPr>
        <w:t>adult,</w:t>
      </w:r>
      <w:r w:rsidRPr="002B1D99">
        <w:rPr>
          <w:i/>
          <w:iCs/>
        </w:rPr>
        <w:t xml:space="preserve"> and </w:t>
      </w:r>
      <w:r w:rsidR="004E45D7" w:rsidRPr="002B1D99">
        <w:rPr>
          <w:i/>
          <w:iCs/>
        </w:rPr>
        <w:t>vocational education</w:t>
      </w:r>
      <w:r w:rsidR="004E45D7">
        <w:t>. Bloomsbury Publishing.</w:t>
      </w:r>
    </w:p>
    <w:p w14:paraId="611530EC" w14:textId="77777777" w:rsidR="008C4312" w:rsidRDefault="004E45D7">
      <w:r>
        <w:t>Reece</w:t>
      </w:r>
      <w:r w:rsidR="00EC4197">
        <w:t>, I. Walker, S. (</w:t>
      </w:r>
      <w:r w:rsidR="00C23FCE">
        <w:t xml:space="preserve">2009) </w:t>
      </w:r>
      <w:r w:rsidR="00530094" w:rsidRPr="002B1D99">
        <w:rPr>
          <w:i/>
          <w:iCs/>
        </w:rPr>
        <w:t>Teaching, training &amp; learning. A practical guide</w:t>
      </w:r>
      <w:r w:rsidR="00530094">
        <w:t>. 6</w:t>
      </w:r>
      <w:r w:rsidR="00530094" w:rsidRPr="00530094">
        <w:rPr>
          <w:vertAlign w:val="superscript"/>
        </w:rPr>
        <w:t>th</w:t>
      </w:r>
      <w:r w:rsidR="00530094">
        <w:t xml:space="preserve"> Edition revised.</w:t>
      </w:r>
      <w:r w:rsidR="005D1436">
        <w:t xml:space="preserve"> Business Education Publishers.</w:t>
      </w:r>
    </w:p>
    <w:sectPr w:rsidR="008C43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1A1C"/>
    <w:rsid w:val="000806C4"/>
    <w:rsid w:val="000C14A4"/>
    <w:rsid w:val="000C1B97"/>
    <w:rsid w:val="00104B22"/>
    <w:rsid w:val="00142D52"/>
    <w:rsid w:val="00190776"/>
    <w:rsid w:val="00197A50"/>
    <w:rsid w:val="001F1DEB"/>
    <w:rsid w:val="00202BB9"/>
    <w:rsid w:val="00205E7B"/>
    <w:rsid w:val="00253B50"/>
    <w:rsid w:val="002B1D99"/>
    <w:rsid w:val="002D026A"/>
    <w:rsid w:val="002E5CB4"/>
    <w:rsid w:val="002F38F2"/>
    <w:rsid w:val="00317564"/>
    <w:rsid w:val="003342DA"/>
    <w:rsid w:val="00374DA5"/>
    <w:rsid w:val="003937E4"/>
    <w:rsid w:val="00395DD2"/>
    <w:rsid w:val="004B2327"/>
    <w:rsid w:val="004E45D7"/>
    <w:rsid w:val="00530094"/>
    <w:rsid w:val="005D1436"/>
    <w:rsid w:val="00640A20"/>
    <w:rsid w:val="00674879"/>
    <w:rsid w:val="006A3C2A"/>
    <w:rsid w:val="007114AE"/>
    <w:rsid w:val="0072639D"/>
    <w:rsid w:val="00734C4D"/>
    <w:rsid w:val="007543D7"/>
    <w:rsid w:val="00795F3D"/>
    <w:rsid w:val="007A43B2"/>
    <w:rsid w:val="008929E5"/>
    <w:rsid w:val="008C4312"/>
    <w:rsid w:val="008D3AEF"/>
    <w:rsid w:val="00981996"/>
    <w:rsid w:val="009B5F10"/>
    <w:rsid w:val="009D1255"/>
    <w:rsid w:val="009D3F30"/>
    <w:rsid w:val="009F290B"/>
    <w:rsid w:val="00A021AD"/>
    <w:rsid w:val="00A152B3"/>
    <w:rsid w:val="00A36D6A"/>
    <w:rsid w:val="00B117EF"/>
    <w:rsid w:val="00B87898"/>
    <w:rsid w:val="00BA065A"/>
    <w:rsid w:val="00BB37F7"/>
    <w:rsid w:val="00C071AB"/>
    <w:rsid w:val="00C220A3"/>
    <w:rsid w:val="00C23FCE"/>
    <w:rsid w:val="00C3273A"/>
    <w:rsid w:val="00CB5B51"/>
    <w:rsid w:val="00CF7C85"/>
    <w:rsid w:val="00D065BA"/>
    <w:rsid w:val="00D41A1C"/>
    <w:rsid w:val="00D6481C"/>
    <w:rsid w:val="00D671CB"/>
    <w:rsid w:val="00DC017E"/>
    <w:rsid w:val="00DC5DE5"/>
    <w:rsid w:val="00E1064D"/>
    <w:rsid w:val="00E43B5B"/>
    <w:rsid w:val="00E536AA"/>
    <w:rsid w:val="00E54EE7"/>
    <w:rsid w:val="00E93BA6"/>
    <w:rsid w:val="00EB26FF"/>
    <w:rsid w:val="00EC4197"/>
    <w:rsid w:val="00ED3FC6"/>
    <w:rsid w:val="00EE4211"/>
    <w:rsid w:val="00F26627"/>
    <w:rsid w:val="00F3713D"/>
    <w:rsid w:val="00F37AFB"/>
    <w:rsid w:val="00F400F9"/>
    <w:rsid w:val="00F51412"/>
    <w:rsid w:val="00F66562"/>
    <w:rsid w:val="00F736AA"/>
    <w:rsid w:val="00F75A3B"/>
    <w:rsid w:val="00F9398C"/>
    <w:rsid w:val="00FA6EE8"/>
    <w:rsid w:val="00FC585C"/>
    <w:rsid w:val="00FE030E"/>
    <w:rsid w:val="00FE171E"/>
    <w:rsid w:val="00FF6D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1AB7"/>
  <w15:chartTrackingRefBased/>
  <w15:docId w15:val="{AAE72FF8-7E23-4BED-9337-D2E5D8DED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A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F1DEB"/>
    <w:rPr>
      <w:color w:val="0563C1" w:themeColor="hyperlink"/>
      <w:u w:val="single"/>
    </w:rPr>
  </w:style>
  <w:style w:type="character" w:styleId="UnresolvedMention">
    <w:name w:val="Unresolved Mention"/>
    <w:basedOn w:val="DefaultParagraphFont"/>
    <w:uiPriority w:val="99"/>
    <w:semiHidden/>
    <w:unhideWhenUsed/>
    <w:rsid w:val="001F1D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marcr.net/marcr-for-career-professionals/career-theory/career-theories-and-theorists/schon-reflection-in-action-on-action-198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rcr.net/marcr-for-career-professionals/career-theory/career-theories-and-theorists/schon-reflection-in-action-on-action-1983/" TargetMode="External"/><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3</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Churchward, Eve</dc:creator>
  <cp:keywords/>
  <dc:description/>
  <cp:lastModifiedBy>Churchward, Eve</cp:lastModifiedBy>
  <cp:revision>5</cp:revision>
  <dcterms:created xsi:type="dcterms:W3CDTF">2024-10-22T12:00:00Z</dcterms:created>
  <dcterms:modified xsi:type="dcterms:W3CDTF">2025-01-02T13:33:00Z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2024-10-18T12:15:44Z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c548fe6d-c355-4aab-b2ed-22c461e0ee94</vt:lpwstr>
  </property>
  <property fmtid="{D5CDD505-2E9C-101B-9397-08002B2CF9AE}" pid="8" name="MSIP_Label_f2acd28b-79a3-4a0f-b0ff-4b75658b1549_ContentBits">
    <vt:lpwstr>0</vt:lpwstr>
  </property>
</Properties>
</file>