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909B3" w:rsidRDefault="002616D7" w:rsidP="007909B3">
      <w:pPr>
        <w:jc w:val="center"/>
        <w:rPr>
          <w:b/>
          <w:bCs/>
          <w:iCs/>
        </w:rPr>
      </w:pPr>
      <w:bookmarkStart w:id="0" w:name="_Toc206086017"/>
      <w:proofErr w:type="spellStart"/>
      <w:r>
        <w:rPr>
          <w:b/>
          <w:bCs/>
          <w:iCs/>
        </w:rPr>
        <w:t>Kudeja</w:t>
      </w:r>
      <w:proofErr w:type="spellEnd"/>
      <w:r>
        <w:rPr>
          <w:b/>
          <w:bCs/>
          <w:iCs/>
        </w:rPr>
        <w:t xml:space="preserve"> Begum</w:t>
      </w:r>
    </w:p>
    <w:p w:rsidR="002616D7" w:rsidRPr="002616D7" w:rsidRDefault="002616D7" w:rsidP="007909B3">
      <w:pPr>
        <w:jc w:val="center"/>
        <w:rPr>
          <w:b/>
          <w:bCs/>
          <w:iCs/>
        </w:rPr>
      </w:pPr>
    </w:p>
    <w:p w:rsidR="007909B3" w:rsidRDefault="002616D7" w:rsidP="007909B3">
      <w:pPr>
        <w:jc w:val="center"/>
        <w:rPr>
          <w:b/>
          <w:bCs/>
          <w:iCs/>
        </w:rPr>
      </w:pPr>
      <w:proofErr w:type="gramStart"/>
      <w:r>
        <w:rPr>
          <w:b/>
          <w:bCs/>
          <w:iCs/>
        </w:rPr>
        <w:t>Student ID.</w:t>
      </w:r>
      <w:proofErr w:type="gramEnd"/>
      <w:r>
        <w:rPr>
          <w:b/>
          <w:bCs/>
          <w:iCs/>
        </w:rPr>
        <w:t xml:space="preserve"> 2313856</w:t>
      </w:r>
    </w:p>
    <w:p w:rsidR="002616D7" w:rsidRDefault="002616D7" w:rsidP="007909B3">
      <w:pPr>
        <w:jc w:val="center"/>
        <w:rPr>
          <w:b/>
          <w:bCs/>
          <w:iCs/>
        </w:rPr>
      </w:pPr>
    </w:p>
    <w:p w:rsidR="002616D7" w:rsidRDefault="002616D7" w:rsidP="007909B3">
      <w:pPr>
        <w:jc w:val="center"/>
        <w:rPr>
          <w:b/>
          <w:bCs/>
          <w:iCs/>
        </w:rPr>
      </w:pPr>
      <w:r>
        <w:rPr>
          <w:b/>
          <w:bCs/>
          <w:iCs/>
        </w:rPr>
        <w:t>Creativity and Innovation</w:t>
      </w:r>
    </w:p>
    <w:p w:rsidR="002616D7" w:rsidRPr="002616D7" w:rsidRDefault="002616D7" w:rsidP="007909B3">
      <w:pPr>
        <w:jc w:val="center"/>
        <w:rPr>
          <w:b/>
          <w:bCs/>
          <w:iCs/>
        </w:rPr>
      </w:pPr>
      <w:r>
        <w:rPr>
          <w:b/>
          <w:bCs/>
          <w:iCs/>
        </w:rPr>
        <w:t>BMSW5013</w:t>
      </w:r>
    </w:p>
    <w:p w:rsidR="007909B3" w:rsidRDefault="007909B3" w:rsidP="007909B3">
      <w:pPr>
        <w:rPr>
          <w:rFonts w:eastAsiaTheme="majorEastAsia" w:cstheme="majorBidi"/>
          <w:color w:val="000000" w:themeColor="text1"/>
          <w:szCs w:val="40"/>
        </w:rPr>
      </w:pPr>
      <w:r>
        <w:br w:type="page"/>
      </w:r>
    </w:p>
    <w:p w:rsidR="00862FA4" w:rsidRDefault="00862FA4" w:rsidP="007909B3">
      <w:pPr>
        <w:pStyle w:val="Heading1"/>
        <w:spacing w:line="360" w:lineRule="auto"/>
      </w:pPr>
      <w:r w:rsidRPr="00862FA4">
        <w:lastRenderedPageBreak/>
        <w:t>Executive Summary</w:t>
      </w:r>
      <w:bookmarkEnd w:id="0"/>
    </w:p>
    <w:p w:rsidR="005D6544" w:rsidRDefault="00862FA4" w:rsidP="007909B3">
      <w:pPr>
        <w:spacing w:line="360" w:lineRule="auto"/>
      </w:pPr>
      <w:r w:rsidRPr="00862FA4">
        <w:t xml:space="preserve">Unilever UK is one of the world's leading multinationals that carries out its activities in various </w:t>
      </w:r>
      <w:r w:rsidR="005A6FFF">
        <w:t xml:space="preserve">countries and </w:t>
      </w:r>
      <w:r w:rsidRPr="00862FA4">
        <w:t xml:space="preserve">product categories, such as personal care, food, and household products. Global environmental and regulatory demands on packaging are increasing. Consequently, this report recommends the development and implementation of more sustainable bio-based packaging options to support brand value and mitigate environmental impacts. The evaluation is based on the analysis of the strategic significance of creativity and innovation in the FMCG industry, </w:t>
      </w:r>
      <w:proofErr w:type="spellStart"/>
      <w:r w:rsidRPr="00862FA4">
        <w:t>utilising</w:t>
      </w:r>
      <w:proofErr w:type="spellEnd"/>
      <w:r w:rsidRPr="00862FA4">
        <w:t xml:space="preserve"> the 4Ps of Innovation model to </w:t>
      </w:r>
      <w:proofErr w:type="spellStart"/>
      <w:r w:rsidRPr="00862FA4">
        <w:t>categorise</w:t>
      </w:r>
      <w:proofErr w:type="spellEnd"/>
      <w:r w:rsidRPr="00862FA4">
        <w:t xml:space="preserve"> the proposal as primarily focused on product and process innovation. The creativity process is supported by a design thinking approach that will lead to the stakeholder-oriented definition of a problem and the creation of a solution. The Force Field Analysis by </w:t>
      </w:r>
      <w:proofErr w:type="spellStart"/>
      <w:r w:rsidRPr="00862FA4">
        <w:t>Lewin</w:t>
      </w:r>
      <w:proofErr w:type="spellEnd"/>
      <w:r w:rsidRPr="00862FA4">
        <w:t xml:space="preserve"> </w:t>
      </w:r>
      <w:proofErr w:type="spellStart"/>
      <w:r w:rsidRPr="00862FA4">
        <w:t>recognises</w:t>
      </w:r>
      <w:proofErr w:type="spellEnd"/>
      <w:r w:rsidRPr="00862FA4">
        <w:t xml:space="preserve"> effective driving forces like sustainability imperatives and brand differentiation, but counter to it are restraining forces like the cost of the supply chain and price sensitivity of the consumers. The analysis of </w:t>
      </w:r>
      <w:proofErr w:type="spellStart"/>
      <w:r w:rsidRPr="00862FA4">
        <w:t>organisational</w:t>
      </w:r>
      <w:proofErr w:type="spellEnd"/>
      <w:r w:rsidRPr="00862FA4">
        <w:t xml:space="preserve"> climate de</w:t>
      </w:r>
      <w:r w:rsidR="005A6FFF">
        <w:t>picts the positive leadership at</w:t>
      </w:r>
      <w:r w:rsidRPr="00862FA4">
        <w:t xml:space="preserve"> Unilever, a culture of cooperation, </w:t>
      </w:r>
      <w:r w:rsidR="005A6FFF">
        <w:t>and resources that allow people</w:t>
      </w:r>
      <w:r w:rsidRPr="00862FA4">
        <w:t xml:space="preserve"> to embrace innovations. Generally, the results indicate that the proposal is strategically sound, operationally feasible, and offers practical competitive and environmental advantages.</w:t>
      </w:r>
    </w:p>
    <w:p w:rsidR="00862FA4" w:rsidRDefault="00862FA4" w:rsidP="007909B3">
      <w:pPr>
        <w:spacing w:line="360" w:lineRule="auto"/>
      </w:pPr>
    </w:p>
    <w:p w:rsidR="00862FA4" w:rsidRDefault="00862FA4" w:rsidP="007909B3">
      <w:pPr>
        <w:spacing w:line="360" w:lineRule="auto"/>
      </w:pPr>
    </w:p>
    <w:p w:rsidR="00862FA4" w:rsidRDefault="00862FA4" w:rsidP="007909B3">
      <w:pPr>
        <w:spacing w:line="360" w:lineRule="auto"/>
      </w:pPr>
    </w:p>
    <w:p w:rsidR="00862FA4" w:rsidRDefault="00862FA4" w:rsidP="007909B3">
      <w:pPr>
        <w:spacing w:line="360" w:lineRule="auto"/>
      </w:pPr>
    </w:p>
    <w:p w:rsidR="00862FA4" w:rsidRDefault="00862FA4" w:rsidP="007909B3">
      <w:pPr>
        <w:spacing w:line="360" w:lineRule="auto"/>
      </w:pPr>
    </w:p>
    <w:p w:rsidR="00862FA4" w:rsidRDefault="00862FA4" w:rsidP="007909B3">
      <w:pPr>
        <w:spacing w:line="360" w:lineRule="auto"/>
      </w:pPr>
    </w:p>
    <w:p w:rsidR="00862FA4" w:rsidRDefault="00862FA4" w:rsidP="007909B3">
      <w:pPr>
        <w:spacing w:line="360" w:lineRule="auto"/>
      </w:pPr>
    </w:p>
    <w:p w:rsidR="00862FA4" w:rsidRDefault="00862FA4" w:rsidP="007909B3">
      <w:pPr>
        <w:spacing w:line="360" w:lineRule="auto"/>
      </w:pPr>
    </w:p>
    <w:p w:rsidR="00862FA4" w:rsidRDefault="00862FA4" w:rsidP="007909B3">
      <w:pPr>
        <w:spacing w:line="360" w:lineRule="auto"/>
      </w:pPr>
    </w:p>
    <w:p w:rsidR="00862FA4" w:rsidRDefault="00862FA4" w:rsidP="007909B3">
      <w:pPr>
        <w:spacing w:line="360" w:lineRule="auto"/>
      </w:pPr>
    </w:p>
    <w:p w:rsidR="00862FA4" w:rsidRDefault="00862FA4" w:rsidP="007909B3">
      <w:pPr>
        <w:spacing w:line="360" w:lineRule="auto"/>
      </w:pPr>
    </w:p>
    <w:sdt>
      <w:sdtPr>
        <w:rPr>
          <w:rFonts w:ascii="Times New Roman" w:eastAsiaTheme="minorHAnsi" w:hAnsi="Times New Roman" w:cstheme="minorBidi"/>
          <w:b/>
          <w:bCs/>
          <w:color w:val="auto"/>
          <w:kern w:val="2"/>
          <w:sz w:val="24"/>
          <w:szCs w:val="24"/>
        </w:rPr>
        <w:id w:val="-379864294"/>
        <w:docPartObj>
          <w:docPartGallery w:val="Table of Contents"/>
          <w:docPartUnique/>
        </w:docPartObj>
      </w:sdtPr>
      <w:sdtEndPr>
        <w:rPr>
          <w:noProof/>
        </w:rPr>
      </w:sdtEndPr>
      <w:sdtContent>
        <w:p w:rsidR="007909B3" w:rsidRPr="007909B3" w:rsidRDefault="007909B3" w:rsidP="007909B3">
          <w:pPr>
            <w:pStyle w:val="TOCHeading"/>
            <w:jc w:val="center"/>
            <w:rPr>
              <w:b/>
              <w:bCs/>
              <w:color w:val="auto"/>
              <w:sz w:val="24"/>
              <w:szCs w:val="24"/>
            </w:rPr>
          </w:pPr>
          <w:r w:rsidRPr="007909B3">
            <w:rPr>
              <w:b/>
              <w:bCs/>
              <w:color w:val="auto"/>
              <w:sz w:val="24"/>
              <w:szCs w:val="24"/>
            </w:rPr>
            <w:t>Table of Contents</w:t>
          </w:r>
        </w:p>
        <w:p w:rsidR="007909B3" w:rsidRDefault="002937FD">
          <w:pPr>
            <w:pStyle w:val="TOC1"/>
            <w:tabs>
              <w:tab w:val="right" w:leader="dot" w:pos="9350"/>
            </w:tabs>
            <w:rPr>
              <w:noProof/>
            </w:rPr>
          </w:pPr>
          <w:r w:rsidRPr="002937FD">
            <w:fldChar w:fldCharType="begin"/>
          </w:r>
          <w:r w:rsidR="007909B3">
            <w:instrText xml:space="preserve"> TOC \o "1-3" \h \z \u </w:instrText>
          </w:r>
          <w:r w:rsidRPr="002937FD">
            <w:fldChar w:fldCharType="separate"/>
          </w:r>
          <w:hyperlink w:anchor="_Toc206086017" w:history="1">
            <w:r w:rsidR="007909B3" w:rsidRPr="00AA33A3">
              <w:rPr>
                <w:rStyle w:val="Hyperlink"/>
                <w:noProof/>
              </w:rPr>
              <w:t>Executive Summary</w:t>
            </w:r>
            <w:r w:rsidR="007909B3">
              <w:rPr>
                <w:noProof/>
                <w:webHidden/>
              </w:rPr>
              <w:tab/>
            </w:r>
            <w:r>
              <w:rPr>
                <w:noProof/>
                <w:webHidden/>
              </w:rPr>
              <w:fldChar w:fldCharType="begin"/>
            </w:r>
            <w:r w:rsidR="007909B3">
              <w:rPr>
                <w:noProof/>
                <w:webHidden/>
              </w:rPr>
              <w:instrText xml:space="preserve"> PAGEREF _Toc206086017 \h </w:instrText>
            </w:r>
            <w:r>
              <w:rPr>
                <w:noProof/>
                <w:webHidden/>
              </w:rPr>
            </w:r>
            <w:r>
              <w:rPr>
                <w:noProof/>
                <w:webHidden/>
              </w:rPr>
              <w:fldChar w:fldCharType="separate"/>
            </w:r>
            <w:r w:rsidR="007909B3">
              <w:rPr>
                <w:noProof/>
                <w:webHidden/>
              </w:rPr>
              <w:t>1</w:t>
            </w:r>
            <w:r>
              <w:rPr>
                <w:noProof/>
                <w:webHidden/>
              </w:rPr>
              <w:fldChar w:fldCharType="end"/>
            </w:r>
          </w:hyperlink>
        </w:p>
        <w:p w:rsidR="007909B3" w:rsidRDefault="002937FD">
          <w:pPr>
            <w:pStyle w:val="TOC1"/>
            <w:tabs>
              <w:tab w:val="right" w:leader="dot" w:pos="9350"/>
            </w:tabs>
            <w:rPr>
              <w:noProof/>
            </w:rPr>
          </w:pPr>
          <w:hyperlink w:anchor="_Toc206086018" w:history="1">
            <w:r w:rsidR="007909B3" w:rsidRPr="00AA33A3">
              <w:rPr>
                <w:rStyle w:val="Hyperlink"/>
                <w:noProof/>
              </w:rPr>
              <w:t>Introduction &amp; Organisational Context</w:t>
            </w:r>
            <w:r w:rsidR="007909B3">
              <w:rPr>
                <w:noProof/>
                <w:webHidden/>
              </w:rPr>
              <w:tab/>
            </w:r>
            <w:r>
              <w:rPr>
                <w:noProof/>
                <w:webHidden/>
              </w:rPr>
              <w:fldChar w:fldCharType="begin"/>
            </w:r>
            <w:r w:rsidR="007909B3">
              <w:rPr>
                <w:noProof/>
                <w:webHidden/>
              </w:rPr>
              <w:instrText xml:space="preserve"> PAGEREF _Toc206086018 \h </w:instrText>
            </w:r>
            <w:r>
              <w:rPr>
                <w:noProof/>
                <w:webHidden/>
              </w:rPr>
            </w:r>
            <w:r>
              <w:rPr>
                <w:noProof/>
                <w:webHidden/>
              </w:rPr>
              <w:fldChar w:fldCharType="separate"/>
            </w:r>
            <w:r w:rsidR="007909B3">
              <w:rPr>
                <w:noProof/>
                <w:webHidden/>
              </w:rPr>
              <w:t>3</w:t>
            </w:r>
            <w:r>
              <w:rPr>
                <w:noProof/>
                <w:webHidden/>
              </w:rPr>
              <w:fldChar w:fldCharType="end"/>
            </w:r>
          </w:hyperlink>
        </w:p>
        <w:p w:rsidR="007909B3" w:rsidRDefault="002937FD">
          <w:pPr>
            <w:pStyle w:val="TOC1"/>
            <w:tabs>
              <w:tab w:val="right" w:leader="dot" w:pos="9350"/>
            </w:tabs>
            <w:rPr>
              <w:noProof/>
            </w:rPr>
          </w:pPr>
          <w:hyperlink w:anchor="_Toc206086019" w:history="1">
            <w:r w:rsidR="007909B3" w:rsidRPr="00AA33A3">
              <w:rPr>
                <w:rStyle w:val="Hyperlink"/>
                <w:noProof/>
              </w:rPr>
              <w:t>Importance of Creativity and Innovation in the FMCG Sector</w:t>
            </w:r>
            <w:r w:rsidR="007909B3">
              <w:rPr>
                <w:noProof/>
                <w:webHidden/>
              </w:rPr>
              <w:tab/>
            </w:r>
            <w:r>
              <w:rPr>
                <w:noProof/>
                <w:webHidden/>
              </w:rPr>
              <w:fldChar w:fldCharType="begin"/>
            </w:r>
            <w:r w:rsidR="007909B3">
              <w:rPr>
                <w:noProof/>
                <w:webHidden/>
              </w:rPr>
              <w:instrText xml:space="preserve"> PAGEREF _Toc206086019 \h </w:instrText>
            </w:r>
            <w:r>
              <w:rPr>
                <w:noProof/>
                <w:webHidden/>
              </w:rPr>
            </w:r>
            <w:r>
              <w:rPr>
                <w:noProof/>
                <w:webHidden/>
              </w:rPr>
              <w:fldChar w:fldCharType="separate"/>
            </w:r>
            <w:r w:rsidR="007909B3">
              <w:rPr>
                <w:noProof/>
                <w:webHidden/>
              </w:rPr>
              <w:t>4</w:t>
            </w:r>
            <w:r>
              <w:rPr>
                <w:noProof/>
                <w:webHidden/>
              </w:rPr>
              <w:fldChar w:fldCharType="end"/>
            </w:r>
          </w:hyperlink>
        </w:p>
        <w:p w:rsidR="007909B3" w:rsidRDefault="002937FD">
          <w:pPr>
            <w:pStyle w:val="TOC1"/>
            <w:tabs>
              <w:tab w:val="right" w:leader="dot" w:pos="9350"/>
            </w:tabs>
            <w:rPr>
              <w:noProof/>
            </w:rPr>
          </w:pPr>
          <w:hyperlink w:anchor="_Toc206086020" w:history="1">
            <w:r w:rsidR="007909B3" w:rsidRPr="00AA33A3">
              <w:rPr>
                <w:rStyle w:val="Hyperlink"/>
                <w:noProof/>
              </w:rPr>
              <w:t>4Ps of Innovation Classification</w:t>
            </w:r>
            <w:r w:rsidR="007909B3">
              <w:rPr>
                <w:noProof/>
                <w:webHidden/>
              </w:rPr>
              <w:tab/>
            </w:r>
            <w:r>
              <w:rPr>
                <w:noProof/>
                <w:webHidden/>
              </w:rPr>
              <w:fldChar w:fldCharType="begin"/>
            </w:r>
            <w:r w:rsidR="007909B3">
              <w:rPr>
                <w:noProof/>
                <w:webHidden/>
              </w:rPr>
              <w:instrText xml:space="preserve"> PAGEREF _Toc206086020 \h </w:instrText>
            </w:r>
            <w:r>
              <w:rPr>
                <w:noProof/>
                <w:webHidden/>
              </w:rPr>
            </w:r>
            <w:r>
              <w:rPr>
                <w:noProof/>
                <w:webHidden/>
              </w:rPr>
              <w:fldChar w:fldCharType="separate"/>
            </w:r>
            <w:r w:rsidR="007909B3">
              <w:rPr>
                <w:noProof/>
                <w:webHidden/>
              </w:rPr>
              <w:t>6</w:t>
            </w:r>
            <w:r>
              <w:rPr>
                <w:noProof/>
                <w:webHidden/>
              </w:rPr>
              <w:fldChar w:fldCharType="end"/>
            </w:r>
          </w:hyperlink>
        </w:p>
        <w:p w:rsidR="007909B3" w:rsidRDefault="002937FD">
          <w:pPr>
            <w:pStyle w:val="TOC1"/>
            <w:tabs>
              <w:tab w:val="right" w:leader="dot" w:pos="9350"/>
            </w:tabs>
            <w:rPr>
              <w:noProof/>
            </w:rPr>
          </w:pPr>
          <w:hyperlink w:anchor="_Toc206086021" w:history="1">
            <w:r w:rsidR="007909B3" w:rsidRPr="00AA33A3">
              <w:rPr>
                <w:rStyle w:val="Hyperlink"/>
                <w:noProof/>
              </w:rPr>
              <w:t>Creativity Process Applied</w:t>
            </w:r>
            <w:r w:rsidR="007909B3">
              <w:rPr>
                <w:noProof/>
                <w:webHidden/>
              </w:rPr>
              <w:tab/>
            </w:r>
            <w:r>
              <w:rPr>
                <w:noProof/>
                <w:webHidden/>
              </w:rPr>
              <w:fldChar w:fldCharType="begin"/>
            </w:r>
            <w:r w:rsidR="007909B3">
              <w:rPr>
                <w:noProof/>
                <w:webHidden/>
              </w:rPr>
              <w:instrText xml:space="preserve"> PAGEREF _Toc206086021 \h </w:instrText>
            </w:r>
            <w:r>
              <w:rPr>
                <w:noProof/>
                <w:webHidden/>
              </w:rPr>
            </w:r>
            <w:r>
              <w:rPr>
                <w:noProof/>
                <w:webHidden/>
              </w:rPr>
              <w:fldChar w:fldCharType="separate"/>
            </w:r>
            <w:r w:rsidR="007909B3">
              <w:rPr>
                <w:noProof/>
                <w:webHidden/>
              </w:rPr>
              <w:t>8</w:t>
            </w:r>
            <w:r>
              <w:rPr>
                <w:noProof/>
                <w:webHidden/>
              </w:rPr>
              <w:fldChar w:fldCharType="end"/>
            </w:r>
          </w:hyperlink>
        </w:p>
        <w:p w:rsidR="007909B3" w:rsidRDefault="002937FD">
          <w:pPr>
            <w:pStyle w:val="TOC1"/>
            <w:tabs>
              <w:tab w:val="right" w:leader="dot" w:pos="9350"/>
            </w:tabs>
            <w:rPr>
              <w:noProof/>
            </w:rPr>
          </w:pPr>
          <w:hyperlink w:anchor="_Toc206086022" w:history="1">
            <w:r w:rsidR="007909B3" w:rsidRPr="00AA33A3">
              <w:rPr>
                <w:rStyle w:val="Hyperlink"/>
                <w:noProof/>
              </w:rPr>
              <w:t>Lewin’s Force Field Analysis for Viability</w:t>
            </w:r>
            <w:r w:rsidR="007909B3">
              <w:rPr>
                <w:noProof/>
                <w:webHidden/>
              </w:rPr>
              <w:tab/>
            </w:r>
            <w:r>
              <w:rPr>
                <w:noProof/>
                <w:webHidden/>
              </w:rPr>
              <w:fldChar w:fldCharType="begin"/>
            </w:r>
            <w:r w:rsidR="007909B3">
              <w:rPr>
                <w:noProof/>
                <w:webHidden/>
              </w:rPr>
              <w:instrText xml:space="preserve"> PAGEREF _Toc206086022 \h </w:instrText>
            </w:r>
            <w:r>
              <w:rPr>
                <w:noProof/>
                <w:webHidden/>
              </w:rPr>
            </w:r>
            <w:r>
              <w:rPr>
                <w:noProof/>
                <w:webHidden/>
              </w:rPr>
              <w:fldChar w:fldCharType="separate"/>
            </w:r>
            <w:r w:rsidR="007909B3">
              <w:rPr>
                <w:noProof/>
                <w:webHidden/>
              </w:rPr>
              <w:t>10</w:t>
            </w:r>
            <w:r>
              <w:rPr>
                <w:noProof/>
                <w:webHidden/>
              </w:rPr>
              <w:fldChar w:fldCharType="end"/>
            </w:r>
          </w:hyperlink>
        </w:p>
        <w:p w:rsidR="007909B3" w:rsidRDefault="002937FD">
          <w:pPr>
            <w:pStyle w:val="TOC1"/>
            <w:tabs>
              <w:tab w:val="right" w:leader="dot" w:pos="9350"/>
            </w:tabs>
            <w:rPr>
              <w:noProof/>
            </w:rPr>
          </w:pPr>
          <w:hyperlink w:anchor="_Toc206086023" w:history="1">
            <w:r w:rsidR="007909B3" w:rsidRPr="00AA33A3">
              <w:rPr>
                <w:rStyle w:val="Hyperlink"/>
                <w:noProof/>
              </w:rPr>
              <w:t>Organisational Climate for Innovation</w:t>
            </w:r>
            <w:r w:rsidR="007909B3">
              <w:rPr>
                <w:noProof/>
                <w:webHidden/>
              </w:rPr>
              <w:tab/>
            </w:r>
            <w:r>
              <w:rPr>
                <w:noProof/>
                <w:webHidden/>
              </w:rPr>
              <w:fldChar w:fldCharType="begin"/>
            </w:r>
            <w:r w:rsidR="007909B3">
              <w:rPr>
                <w:noProof/>
                <w:webHidden/>
              </w:rPr>
              <w:instrText xml:space="preserve"> PAGEREF _Toc206086023 \h </w:instrText>
            </w:r>
            <w:r>
              <w:rPr>
                <w:noProof/>
                <w:webHidden/>
              </w:rPr>
            </w:r>
            <w:r>
              <w:rPr>
                <w:noProof/>
                <w:webHidden/>
              </w:rPr>
              <w:fldChar w:fldCharType="separate"/>
            </w:r>
            <w:r w:rsidR="007909B3">
              <w:rPr>
                <w:noProof/>
                <w:webHidden/>
              </w:rPr>
              <w:t>11</w:t>
            </w:r>
            <w:r>
              <w:rPr>
                <w:noProof/>
                <w:webHidden/>
              </w:rPr>
              <w:fldChar w:fldCharType="end"/>
            </w:r>
          </w:hyperlink>
        </w:p>
        <w:p w:rsidR="007909B3" w:rsidRDefault="002937FD">
          <w:pPr>
            <w:pStyle w:val="TOC1"/>
            <w:tabs>
              <w:tab w:val="right" w:leader="dot" w:pos="9350"/>
            </w:tabs>
            <w:rPr>
              <w:noProof/>
            </w:rPr>
          </w:pPr>
          <w:hyperlink w:anchor="_Toc206086024" w:history="1">
            <w:r w:rsidR="007909B3" w:rsidRPr="00AA33A3">
              <w:rPr>
                <w:rStyle w:val="Hyperlink"/>
                <w:noProof/>
              </w:rPr>
              <w:t>Conclusion</w:t>
            </w:r>
            <w:r w:rsidR="007909B3">
              <w:rPr>
                <w:noProof/>
                <w:webHidden/>
              </w:rPr>
              <w:tab/>
            </w:r>
            <w:r>
              <w:rPr>
                <w:noProof/>
                <w:webHidden/>
              </w:rPr>
              <w:fldChar w:fldCharType="begin"/>
            </w:r>
            <w:r w:rsidR="007909B3">
              <w:rPr>
                <w:noProof/>
                <w:webHidden/>
              </w:rPr>
              <w:instrText xml:space="preserve"> PAGEREF _Toc206086024 \h </w:instrText>
            </w:r>
            <w:r>
              <w:rPr>
                <w:noProof/>
                <w:webHidden/>
              </w:rPr>
            </w:r>
            <w:r>
              <w:rPr>
                <w:noProof/>
                <w:webHidden/>
              </w:rPr>
              <w:fldChar w:fldCharType="separate"/>
            </w:r>
            <w:r w:rsidR="007909B3">
              <w:rPr>
                <w:noProof/>
                <w:webHidden/>
              </w:rPr>
              <w:t>12</w:t>
            </w:r>
            <w:r>
              <w:rPr>
                <w:noProof/>
                <w:webHidden/>
              </w:rPr>
              <w:fldChar w:fldCharType="end"/>
            </w:r>
          </w:hyperlink>
        </w:p>
        <w:p w:rsidR="007909B3" w:rsidRDefault="002937FD">
          <w:pPr>
            <w:pStyle w:val="TOC1"/>
            <w:tabs>
              <w:tab w:val="right" w:leader="dot" w:pos="9350"/>
            </w:tabs>
            <w:rPr>
              <w:noProof/>
            </w:rPr>
          </w:pPr>
          <w:hyperlink w:anchor="_Toc206086025" w:history="1">
            <w:r w:rsidR="007909B3" w:rsidRPr="00AA33A3">
              <w:rPr>
                <w:rStyle w:val="Hyperlink"/>
                <w:noProof/>
              </w:rPr>
              <w:t>References</w:t>
            </w:r>
            <w:r w:rsidR="007909B3">
              <w:rPr>
                <w:noProof/>
                <w:webHidden/>
              </w:rPr>
              <w:tab/>
            </w:r>
            <w:r>
              <w:rPr>
                <w:noProof/>
                <w:webHidden/>
              </w:rPr>
              <w:fldChar w:fldCharType="begin"/>
            </w:r>
            <w:r w:rsidR="007909B3">
              <w:rPr>
                <w:noProof/>
                <w:webHidden/>
              </w:rPr>
              <w:instrText xml:space="preserve"> PAGEREF _Toc206086025 \h </w:instrText>
            </w:r>
            <w:r>
              <w:rPr>
                <w:noProof/>
                <w:webHidden/>
              </w:rPr>
            </w:r>
            <w:r>
              <w:rPr>
                <w:noProof/>
                <w:webHidden/>
              </w:rPr>
              <w:fldChar w:fldCharType="separate"/>
            </w:r>
            <w:r w:rsidR="007909B3">
              <w:rPr>
                <w:noProof/>
                <w:webHidden/>
              </w:rPr>
              <w:t>14</w:t>
            </w:r>
            <w:r>
              <w:rPr>
                <w:noProof/>
                <w:webHidden/>
              </w:rPr>
              <w:fldChar w:fldCharType="end"/>
            </w:r>
          </w:hyperlink>
        </w:p>
        <w:p w:rsidR="007909B3" w:rsidRDefault="002937FD">
          <w:r>
            <w:rPr>
              <w:b/>
              <w:bCs/>
              <w:noProof/>
            </w:rPr>
            <w:fldChar w:fldCharType="end"/>
          </w:r>
        </w:p>
      </w:sdtContent>
    </w:sdt>
    <w:p w:rsidR="007909B3" w:rsidRDefault="007909B3" w:rsidP="007909B3"/>
    <w:p w:rsidR="007909B3" w:rsidRDefault="007909B3" w:rsidP="007909B3">
      <w:pPr>
        <w:rPr>
          <w:rFonts w:eastAsiaTheme="majorEastAsia" w:cstheme="majorBidi"/>
          <w:color w:val="000000" w:themeColor="text1"/>
          <w:szCs w:val="40"/>
        </w:rPr>
      </w:pPr>
      <w:r>
        <w:br w:type="page"/>
      </w:r>
    </w:p>
    <w:p w:rsidR="00862FA4" w:rsidRDefault="00862FA4" w:rsidP="007909B3">
      <w:pPr>
        <w:pStyle w:val="Heading1"/>
        <w:spacing w:line="360" w:lineRule="auto"/>
        <w:jc w:val="both"/>
      </w:pPr>
      <w:bookmarkStart w:id="1" w:name="_Toc206086018"/>
      <w:r w:rsidRPr="00862FA4">
        <w:lastRenderedPageBreak/>
        <w:t>Introduction &amp;</w:t>
      </w:r>
      <w:r w:rsidR="005A6FFF">
        <w:t xml:space="preserve"> </w:t>
      </w:r>
      <w:proofErr w:type="spellStart"/>
      <w:r w:rsidRPr="00862FA4">
        <w:t>Organisational</w:t>
      </w:r>
      <w:proofErr w:type="spellEnd"/>
      <w:r w:rsidRPr="00862FA4">
        <w:t xml:space="preserve"> Context</w:t>
      </w:r>
      <w:bookmarkEnd w:id="1"/>
    </w:p>
    <w:p w:rsidR="00862FA4" w:rsidRDefault="00862FA4" w:rsidP="007909B3">
      <w:pPr>
        <w:spacing w:line="360" w:lineRule="auto"/>
      </w:pPr>
      <w:r>
        <w:t>Unilev</w:t>
      </w:r>
      <w:r w:rsidR="00377E2D">
        <w:t>er UK is part of a multinational</w:t>
      </w:r>
      <w:r>
        <w:t xml:space="preserve"> company, Unilever PLC, selling fast-moving consumer goods (FMCG) worldwide in more than 190 countries, with millions of customers served by the company daily. In the United Kingdom, the firm deals with various products that include personal care, home care, as well as foo</w:t>
      </w:r>
      <w:r w:rsidR="005A6FFF">
        <w:t>d and refreshments, household</w:t>
      </w:r>
      <w:r>
        <w:t xml:space="preserve"> products like Dove, Persil, and Hellmann's. The </w:t>
      </w:r>
      <w:proofErr w:type="spellStart"/>
      <w:r>
        <w:t>organisation</w:t>
      </w:r>
      <w:proofErr w:type="spellEnd"/>
      <w:r>
        <w:t xml:space="preserve"> has a long tradition of innovation, sustainability and value creation, implying in turn its strategic priorities and its investments in research and development (R&amp;D). This attention to innovation is built throughout its supply chain, marketing, and product development plans, and so the company complies with the changing consumer trends and legislative demands.</w:t>
      </w:r>
    </w:p>
    <w:p w:rsidR="00862FA4" w:rsidRDefault="00862FA4" w:rsidP="007909B3">
      <w:pPr>
        <w:spacing w:line="360" w:lineRule="auto"/>
      </w:pPr>
      <w:r>
        <w:t>In this project, I am hypothetically placed in a sustainability and innovation team at Unilever, and I would serve as an internal project lead in printing innovation in packaging. This requires ensuring the cross-functional teamwork of R&amp;D, procurement, marketing and outside partners to brainstorm, prototype, and test concepts for new packaging solutions. Stakeholder engagement is also a crucial role that must be fulfilled, as it ensures consistency between operational feasibility, sustainability, and competitiveness within the market.</w:t>
      </w:r>
    </w:p>
    <w:p w:rsidR="00862FA4" w:rsidRDefault="00862FA4" w:rsidP="007909B3">
      <w:pPr>
        <w:spacing w:line="360" w:lineRule="auto"/>
      </w:pPr>
      <w:r>
        <w:t xml:space="preserve">The identified operational issue is the necessity to search for sustainable and bio-based packaging, which would be demanded by Unilever's personal care and food divisions. Even packaging formats that can be in part recycled heavily depend on virgin plastics based on fossil fuels. This poses reputational, regulatory, and environmental risks, especially following increasing consumer awareness, the tightening of environmental laws, and pledge commitments to the UK Plastics Pact. Managing this challenge will enable Unilever to </w:t>
      </w:r>
      <w:proofErr w:type="spellStart"/>
      <w:r>
        <w:t>minimise</w:t>
      </w:r>
      <w:proofErr w:type="spellEnd"/>
      <w:r>
        <w:t xml:space="preserve"> its carbon footprint, enhance its brand equity, and distinguish itself among competitors trying to implement sustainability through packaging innovation.</w:t>
      </w:r>
    </w:p>
    <w:p w:rsidR="00862FA4" w:rsidRDefault="00862FA4" w:rsidP="007909B3">
      <w:pPr>
        <w:spacing w:line="360" w:lineRule="auto"/>
      </w:pPr>
      <w:r>
        <w:t xml:space="preserve">FMCG is a highly competitive industry, </w:t>
      </w:r>
      <w:proofErr w:type="spellStart"/>
      <w:r>
        <w:t>characterised</w:t>
      </w:r>
      <w:proofErr w:type="spellEnd"/>
      <w:r>
        <w:t xml:space="preserve"> by high product turnover, and there is a growing interest in purchasing environmentally friendly products. The need to stay relevant in terms of packaging design, material composition, and having a strategy that covers the reduction of waste has forced market leaders to innovate in a bid to maintain the trust of consumers and drive towards achieving sustainability goals. Since the innovation governance style of Unilever relies on large pools of suppliers and partners, it allows working together to solve problems and </w:t>
      </w:r>
      <w:r>
        <w:lastRenderedPageBreak/>
        <w:t xml:space="preserve">share resources (Laursen and Andersen, 2023). The company's open innovation enables joint ventures and collaborations on new technologies and sustainable solutions as quickly as possible (Toldbod and Laursen, 2024). Nonetheless, the process of </w:t>
      </w:r>
      <w:proofErr w:type="spellStart"/>
      <w:r>
        <w:t>digitalising</w:t>
      </w:r>
      <w:proofErr w:type="spellEnd"/>
      <w:r>
        <w:t xml:space="preserve"> R&amp;D to enable such innovation projects creates difficulties in integrating technologies, meeting skills requirements, and managing data complexity (El Samra et al., 2024).</w:t>
      </w:r>
    </w:p>
    <w:p w:rsidR="00862FA4" w:rsidRDefault="00862FA4" w:rsidP="007909B3">
      <w:pPr>
        <w:spacing w:line="360" w:lineRule="auto"/>
      </w:pPr>
      <w:r>
        <w:t xml:space="preserve">Against this backdrop, this report proposes an elaborate, design and implementation-oriented program to encourage Unilever to shift towards </w:t>
      </w:r>
      <w:proofErr w:type="spellStart"/>
      <w:r>
        <w:t>utilising</w:t>
      </w:r>
      <w:proofErr w:type="spellEnd"/>
      <w:r>
        <w:t xml:space="preserve"> bio-based, renewable materials in its packaging. This innovation will meet market expectations, align with the evolving environmental standards, and enhance Unilever's reputation as a sustainability leader in the UK FMCG industry.</w:t>
      </w:r>
    </w:p>
    <w:p w:rsidR="00862FA4" w:rsidRDefault="00075FB8" w:rsidP="007909B3">
      <w:pPr>
        <w:pStyle w:val="Heading1"/>
        <w:spacing w:line="360" w:lineRule="auto"/>
        <w:jc w:val="both"/>
      </w:pPr>
      <w:bookmarkStart w:id="2" w:name="_Toc206086019"/>
      <w:r w:rsidRPr="00075FB8">
        <w:t>Importance of Creativity and Innovation in the FMCG Sector</w:t>
      </w:r>
      <w:bookmarkEnd w:id="2"/>
    </w:p>
    <w:p w:rsidR="00075FB8" w:rsidRDefault="00075FB8" w:rsidP="007909B3">
      <w:pPr>
        <w:spacing w:line="360" w:lineRule="auto"/>
      </w:pPr>
      <w:r>
        <w:t xml:space="preserve">The concepts of creativity and innovation are crucial for understanding the relevance of competitiveness in the UK fast-moving consumer goods (FMCG) industry. Creativity, which involves producing new and valuable ideas and driving innovation, is key to long-term improvement (Tidd, 2023). This is achieved by putting these ideas into practice to produce marketable products, services, or processes. Finally, high-velocity product cycles, high competition rates, and changes in consumer taste and demands in the FMCG context call </w:t>
      </w:r>
      <w:proofErr w:type="spellStart"/>
      <w:r>
        <w:t>organisations</w:t>
      </w:r>
      <w:proofErr w:type="spellEnd"/>
      <w:r>
        <w:t xml:space="preserve"> to innovate to maintain a balance between operational efficiency and constant change. The ability to sustainably compete, act by the law, and anticipate emerging market needs is becoming an inevitable part of competitiveness within this sector. Innovative cultures are, however, difficult to sustain because they need to find a way to reconcile risk-taking and operational discipline (Pisano, 2019). To global brands like Unilever UK, this balance plays the critical role of ensuring that the brands strike a delicate balance between creativity, profitability and attracting market leadership. The increasing demands of consumers, policymakers, and investors have boosted sustainability as a strategic necessity, drawing it into the innovation processes.</w:t>
      </w:r>
    </w:p>
    <w:p w:rsidR="00075FB8" w:rsidRDefault="00075FB8" w:rsidP="007909B3">
      <w:pPr>
        <w:spacing w:line="360" w:lineRule="auto"/>
      </w:pPr>
      <w:r>
        <w:t xml:space="preserve">The integration of sustainability into the innovation cycles will guarantee that environmental- and social-related aspects will not be seen as a side of the competitive advantage but a part of it (Jain et al., 2021). The adoption of sustainable packaging by firms in the FMCG industry reflects a shift in addressing ecological and consumer needs. The study shows that consumers have been </w:t>
      </w:r>
      <w:r>
        <w:lastRenderedPageBreak/>
        <w:t>much more critical about the long-term packaging possibilities and the materials used to achieve sustainability, as the responsible brands are proving to be environmentally friendly (Boz et al., 2020). The innovation of such solutions, though, is associated with the simultaneous innovation within supply chains.</w:t>
      </w:r>
    </w:p>
    <w:p w:rsidR="00075FB8" w:rsidRDefault="00075FB8" w:rsidP="007909B3">
      <w:pPr>
        <w:spacing w:line="360" w:lineRule="auto"/>
      </w:pPr>
      <w:r>
        <w:t>Sustainable packaging presents opportunities and challenges to every supply chain. Though switching to more sustainable materials may cause longer-term cost increases and introduce changes to the prevailing production models, it could also stimulate efficiency and robustness in the long term (</w:t>
      </w:r>
      <w:proofErr w:type="spellStart"/>
      <w:r>
        <w:t>Morashti</w:t>
      </w:r>
      <w:proofErr w:type="spellEnd"/>
      <w:r>
        <w:t xml:space="preserve"> et al., 2022). This twofold impact is evident in the integration of bio-based packaging technologies, which provides quantifiable benefits such as a decrease in carbon footprint and enables companies to stand out in the market (</w:t>
      </w:r>
      <w:proofErr w:type="spellStart"/>
      <w:r>
        <w:t>Versino</w:t>
      </w:r>
      <w:proofErr w:type="spellEnd"/>
      <w:r>
        <w:t xml:space="preserve"> et al., 2023). These innovations must not only be technically viable but also align with evolving consumer preferences and legislative standards.</w:t>
      </w:r>
    </w:p>
    <w:p w:rsidR="00075FB8" w:rsidRDefault="00075FB8" w:rsidP="007909B3">
      <w:pPr>
        <w:spacing w:line="360" w:lineRule="auto"/>
      </w:pPr>
      <w:r>
        <w:t>Cooperation with other players is becoming an accepted factor in the eco-innovation in the FMCG business. The cooperation with green start-ups, such as the access to innovative (sustainable) technologies and fast experimentation, can help established companies to reduce the speed of innovation cycles (</w:t>
      </w:r>
      <w:proofErr w:type="spellStart"/>
      <w:r>
        <w:t>Riandita</w:t>
      </w:r>
      <w:proofErr w:type="spellEnd"/>
      <w:r>
        <w:t xml:space="preserve"> et al., 2025). Collaboration also counters the internal obstacles to sustainability-based creativity, including instances of resource limits and risk aversion. Design thinking is particularly relevant for ensuring that FMCG innovations meet consumer needs and address societal changes. The use of iterative, human-</w:t>
      </w:r>
      <w:proofErr w:type="spellStart"/>
      <w:r>
        <w:t>centred</w:t>
      </w:r>
      <w:proofErr w:type="spellEnd"/>
      <w:r>
        <w:t xml:space="preserve"> processes enables </w:t>
      </w:r>
      <w:proofErr w:type="spellStart"/>
      <w:r>
        <w:t>organisations</w:t>
      </w:r>
      <w:proofErr w:type="spellEnd"/>
      <w:r>
        <w:t xml:space="preserve"> to come up with desirable and feasible solutions. The methodology will combine the perspectives of various stakeholders and lead to cross-functional cooperation, as well as </w:t>
      </w:r>
      <w:proofErr w:type="spellStart"/>
      <w:r>
        <w:t>minimise</w:t>
      </w:r>
      <w:proofErr w:type="spellEnd"/>
      <w:r>
        <w:t xml:space="preserve"> the chances of expensive backfiring in terms of product features and market requirements.</w:t>
      </w:r>
    </w:p>
    <w:p w:rsidR="00075FB8" w:rsidRDefault="00075FB8" w:rsidP="007909B3">
      <w:pPr>
        <w:spacing w:line="360" w:lineRule="auto"/>
      </w:pPr>
      <w:r w:rsidRPr="00075FB8">
        <w:t xml:space="preserve">Despite the evident benefits, FMCG innovation faces notable barriers that can slow progress. Cost implications of adopting sustainable materials, potential disruptions to supply chains, and uncertainty regarding consumer acceptance can deter rapid implementation. Additionally, internal </w:t>
      </w:r>
      <w:proofErr w:type="spellStart"/>
      <w:r w:rsidRPr="00075FB8">
        <w:t>organisational</w:t>
      </w:r>
      <w:proofErr w:type="spellEnd"/>
      <w:r w:rsidRPr="00075FB8">
        <w:t xml:space="preserve"> constraints</w:t>
      </w:r>
      <w:r w:rsidR="00C15D5D">
        <w:t xml:space="preserve"> </w:t>
      </w:r>
      <w:r w:rsidRPr="00075FB8">
        <w:t xml:space="preserve">such as </w:t>
      </w:r>
      <w:proofErr w:type="spellStart"/>
      <w:r w:rsidRPr="00075FB8">
        <w:t>siloed</w:t>
      </w:r>
      <w:proofErr w:type="spellEnd"/>
      <w:r w:rsidRPr="00075FB8">
        <w:t xml:space="preserve"> decision-making, limited cross-departmental knowledge sharing, and resistance to changecan undermine creativity. Market volatility and evolving regulatory standards add further complexity, requiring firms to remain agile and proactive in their innovation strategies. Addressing these barriers demands strategic alignment </w:t>
      </w:r>
      <w:r w:rsidRPr="00075FB8">
        <w:lastRenderedPageBreak/>
        <w:t>between leadership vision, resource allocation, and employee engagement to ensure that innovation efforts are sustained and deliver meaningful competitive advantage.</w:t>
      </w:r>
    </w:p>
    <w:p w:rsidR="00075FB8" w:rsidRDefault="00075FB8" w:rsidP="007909B3">
      <w:pPr>
        <w:spacing w:line="360" w:lineRule="auto"/>
      </w:pPr>
      <w:r>
        <w:t xml:space="preserve">To </w:t>
      </w:r>
      <w:r w:rsidR="00377E2D">
        <w:t>sum up</w:t>
      </w:r>
      <w:r>
        <w:t xml:space="preserve">, creativity and innovation in the FMCG industry are no longer optional competitive advantage drivers but vital factors to facilitate sustainability, brand differentiation and long-run profitability. Incorporating sustainability into innovation practice, leveraging consumer wisdom, and </w:t>
      </w:r>
      <w:proofErr w:type="spellStart"/>
      <w:r>
        <w:t>utilising</w:t>
      </w:r>
      <w:proofErr w:type="spellEnd"/>
      <w:r>
        <w:t xml:space="preserve"> partnership networks are essential for UK-based companies like Unilever to succeed in the fast-changing business environment.</w:t>
      </w:r>
    </w:p>
    <w:p w:rsidR="00075FB8" w:rsidRDefault="006721BA" w:rsidP="007909B3">
      <w:pPr>
        <w:pStyle w:val="Heading1"/>
        <w:spacing w:line="360" w:lineRule="auto"/>
        <w:jc w:val="both"/>
      </w:pPr>
      <w:bookmarkStart w:id="3" w:name="_Toc206086020"/>
      <w:r w:rsidRPr="006721BA">
        <w:t>4Ps of Innovation Classification</w:t>
      </w:r>
      <w:bookmarkEnd w:id="3"/>
    </w:p>
    <w:p w:rsidR="006721BA" w:rsidRDefault="006721BA" w:rsidP="007909B3">
      <w:pPr>
        <w:spacing w:line="360" w:lineRule="auto"/>
      </w:pPr>
      <w:r>
        <w:t xml:space="preserve">The 4P model, presented by Tidd (2023), provides an </w:t>
      </w:r>
      <w:proofErr w:type="spellStart"/>
      <w:r>
        <w:t>organisational</w:t>
      </w:r>
      <w:proofErr w:type="spellEnd"/>
      <w:r>
        <w:t xml:space="preserve"> orientation for classifying innovation into four distinct but interconnected categories: Product, Process, Position, and Paradigm. Product innovation involves introducing goods or services that are new, or significantly enhanced, in terms of design, features, or performance. Process innovation deals with the improvement of production or delivery processes to be more efficient, offer greater quality, or offer a lower price. Position innovation means reconceptualizing existing products or services in new markets or customer groups. Paradigm innovation is an even more basic change, in that the rules-based changes on which </w:t>
      </w:r>
      <w:proofErr w:type="spellStart"/>
      <w:r>
        <w:t>organisations</w:t>
      </w:r>
      <w:proofErr w:type="spellEnd"/>
      <w:r>
        <w:t xml:space="preserve"> operate, their mental models, or business paradigm.</w:t>
      </w:r>
    </w:p>
    <w:p w:rsidR="00075FB8" w:rsidRDefault="006721BA" w:rsidP="007909B3">
      <w:pPr>
        <w:spacing w:line="360" w:lineRule="auto"/>
      </w:pPr>
      <w:r>
        <w:t xml:space="preserve">The main classification in the proposed sustainable packaging project of Unilever UK lies in Product and Process innovation. On the product level, the evolution to bio-based, recyclable, or compostable packs involves a direct change in the physical properties and usability of the goods the company deals with. The innovation aspect does not only dwell on the environmentally friendly nature of materials used, but equally on the capacity to retain the durability, shelf life, and convenience to the consumer, which are all very important aspects in the FMCG industry.On the process front, switching to sustainable packaging needs massive alterations in manufacturing, sourcing, and quality control processes. The process of adopting such products can be associated with a rearrangement of production lines, retraining of employees, and developing new relations with suppliers, along with establishing more strict arrangements relating to waste management. The success of process innovation in this sense is based on the absorptive capacity of the </w:t>
      </w:r>
      <w:proofErr w:type="spellStart"/>
      <w:r>
        <w:t>organisation</w:t>
      </w:r>
      <w:proofErr w:type="spellEnd"/>
      <w:r>
        <w:t xml:space="preserve">, or, in other words, its capability to learn and implement the external knowledge, </w:t>
      </w:r>
      <w:r>
        <w:lastRenderedPageBreak/>
        <w:t xml:space="preserve">and can be endowed by design thinking and cross-company work (Cousins, 2018). Such capabilities are necessary to make sure that the packaging innovation is not a technical update only, but a transformation in the entire </w:t>
      </w:r>
      <w:proofErr w:type="spellStart"/>
      <w:r>
        <w:t>organisation</w:t>
      </w:r>
      <w:proofErr w:type="spellEnd"/>
      <w:r>
        <w:t>.</w:t>
      </w:r>
    </w:p>
    <w:p w:rsidR="006721BA" w:rsidRDefault="006721BA" w:rsidP="007909B3">
      <w:pPr>
        <w:spacing w:line="360" w:lineRule="auto"/>
      </w:pPr>
      <w:r>
        <w:t>Sustainability is the main motive power behind the two dimensions of the product and process. To a multinational such as Unilev</w:t>
      </w:r>
      <w:r w:rsidR="001A2685">
        <w:t xml:space="preserve">er, the commitments that </w:t>
      </w:r>
      <w:proofErr w:type="spellStart"/>
      <w:r w:rsidR="001A2685">
        <w:t>organis</w:t>
      </w:r>
      <w:r>
        <w:t>ations</w:t>
      </w:r>
      <w:proofErr w:type="spellEnd"/>
      <w:r>
        <w:t xml:space="preserve"> make to be sustainable are not just a corporate responsibility issue but a strategic need, given the growing environmental regulations in the UK and the EU, and consumer preference towards eco-friendly products. Sustainable firms, according to Lavorato (n.d.), have management control systems to which innovations are central, making their implementation in regular business activities. When sustainability goals are realized in such systems, management of sustainability necessitates the realization of performance goals as measurable, resource distribution, and accountability. This involves the minimization of the risks of implementation.The innovation also has the possibility of a Paradigm element. By shifting the brand strategy to focus on sustainable packaging, Unilever UK might also move to change the way consumers think about the company to </w:t>
      </w:r>
      <w:proofErr w:type="spellStart"/>
      <w:r>
        <w:t>minimise</w:t>
      </w:r>
      <w:proofErr w:type="spellEnd"/>
      <w:r>
        <w:t xml:space="preserve"> the focus on the company being a household goods producer and instead consider it as the major producer of environmentally friendly goods. This is a repositioning of the market identity of the company and the value package that will be applied to increase brand loyalty and tap into envir</w:t>
      </w:r>
      <w:r w:rsidR="001A2685">
        <w:t>onmentally conscious demographic</w:t>
      </w:r>
      <w:r>
        <w:t>s. Shifts of this kind can only be followed up by continuous communication processes, responsible disclosures, and authenticity of external certification to counter allegations of greenwashing.</w:t>
      </w:r>
    </w:p>
    <w:p w:rsidR="006721BA" w:rsidRDefault="006721BA" w:rsidP="007909B3">
      <w:pPr>
        <w:spacing w:line="360" w:lineRule="auto"/>
      </w:pPr>
      <w:r>
        <w:t>Position innovation is less evident in this case, but the package project may also help to target the new consumer groups, including followers of the zero-waste movement or ethically-conscious younger audiences. Nevertheless, such positioning benefits would be minor achievements of the main changes in the core products and processes, instead of the primary innovation goal.</w:t>
      </w:r>
    </w:p>
    <w:p w:rsidR="006721BA" w:rsidRDefault="006721BA" w:rsidP="007909B3">
      <w:pPr>
        <w:spacing w:line="360" w:lineRule="auto"/>
      </w:pPr>
      <w:r>
        <w:t xml:space="preserve">These dimensions prove the alignment of the 4Ps model as the initiative is classified along them. It highlights how innovation in FMCG is seldom isolated; alterations in product and processes more usually provide the stimuli to broader change in positioning and paradigms. Further, the performance of such an arrangement depends on whether the </w:t>
      </w:r>
      <w:proofErr w:type="spellStart"/>
      <w:r>
        <w:t>organisation</w:t>
      </w:r>
      <w:proofErr w:type="spellEnd"/>
      <w:r>
        <w:t xml:space="preserve"> can handle the process of innovation as a whole. Management innovation needs to be an essential element of management to make sure that technical innovations will lead to long-term competitive </w:t>
      </w:r>
      <w:r>
        <w:lastRenderedPageBreak/>
        <w:t xml:space="preserve">advantage, as Khosravi et al. (2019) underline, by adapting </w:t>
      </w:r>
      <w:proofErr w:type="spellStart"/>
      <w:r>
        <w:t>organisational</w:t>
      </w:r>
      <w:proofErr w:type="spellEnd"/>
      <w:r>
        <w:t xml:space="preserve"> structure, leadership practice, and cultural norms.</w:t>
      </w:r>
    </w:p>
    <w:p w:rsidR="006721BA" w:rsidRDefault="006721BA" w:rsidP="007909B3">
      <w:pPr>
        <w:spacing w:line="360" w:lineRule="auto"/>
      </w:pPr>
      <w:r>
        <w:t>Contextualizing the sustainable packaging innovation, made by Unilever UK, into the 4Ps management planning provides the answer that this project is not merely an operational improvement and material enhancement that could be equated to a simple upgrade. Rather, it is a strategic tool that can be used to manipulate brand positioning in the long term with regard to market relevancy.</w:t>
      </w:r>
    </w:p>
    <w:p w:rsidR="00075FB8" w:rsidRDefault="006721BA" w:rsidP="007909B3">
      <w:pPr>
        <w:pStyle w:val="Heading1"/>
        <w:spacing w:line="360" w:lineRule="auto"/>
        <w:jc w:val="both"/>
      </w:pPr>
      <w:bookmarkStart w:id="4" w:name="_Toc206086021"/>
      <w:r w:rsidRPr="006721BA">
        <w:t>Creativity Process Applied</w:t>
      </w:r>
      <w:bookmarkEnd w:id="4"/>
    </w:p>
    <w:p w:rsidR="006721BA" w:rsidRDefault="006721BA" w:rsidP="007909B3">
      <w:pPr>
        <w:spacing w:line="360" w:lineRule="auto"/>
      </w:pPr>
      <w:r>
        <w:t>Design Thinking has become an increasingly favored technology to foster innovation in situations where innovation is critical and where the target market is consumers, as is the case with the FMCG sector. In the case of the Unilever UK sustainable packaging initiative, this approach provides a structure for solving a problem and is flexible at the same time, since human needs are within the scope, but it adjusts to any technical and operational requirements. It is also the most adequate method to use in sustainability-based innovation because of its ability to balance creativity and practical application (Liedtka, 2018).</w:t>
      </w:r>
    </w:p>
    <w:p w:rsidR="006721BA" w:rsidRDefault="001A2685" w:rsidP="007909B3">
      <w:pPr>
        <w:spacing w:line="360" w:lineRule="auto"/>
      </w:pPr>
      <w:r>
        <w:t>Emphasis</w:t>
      </w:r>
      <w:r w:rsidR="006721BA">
        <w:t xml:space="preserve"> is the first stage, which amounts to knowing the views, values, and priorities of key stakeholders such as consumers, suppliers, regulators, as well as internal teams. Ethnographic research, customer journey mapping, and interviews are methods that can help Unilever unveil more subtle insights into what the customers expect sustainable packaging to look like. Engagement based on trust and shared ownership will promote collaboration and is a very important component of increasing the results of innovation efforts (Schlott, 2024).</w:t>
      </w:r>
    </w:p>
    <w:p w:rsidR="006721BA" w:rsidRDefault="006721BA" w:rsidP="007909B3">
      <w:pPr>
        <w:spacing w:line="360" w:lineRule="auto"/>
      </w:pPr>
      <w:r>
        <w:t xml:space="preserve">In the second stage, the results are </w:t>
      </w:r>
      <w:proofErr w:type="spellStart"/>
      <w:r>
        <w:t>summarised</w:t>
      </w:r>
      <w:proofErr w:type="spellEnd"/>
      <w:r>
        <w:t xml:space="preserve"> as a specific problem statement. E.g.: “How can we redesign Unilever UK packaging to lower its burden on the environment and still maintain quality with both the product and at a reasonable price?” Such framing will make the creative activities targeted and well-placed with the objectives. An effective process of definition also goes into combating the possibility of improperly aligned solutions, especially in cross-functional settings where priorities tend to be misaligned (Lee et al., 2020).</w:t>
      </w:r>
    </w:p>
    <w:p w:rsidR="006721BA" w:rsidRDefault="006721BA" w:rsidP="007909B3">
      <w:pPr>
        <w:spacing w:line="360" w:lineRule="auto"/>
      </w:pPr>
      <w:r>
        <w:t xml:space="preserve">The Ideate stage will promote the development of many possible solutions by brainstorming, cross-functional workshops, and mind mapping. In this case, the plurality of opinions is </w:t>
      </w:r>
      <w:r>
        <w:lastRenderedPageBreak/>
        <w:t>paramount, as this can make it possible to reveal opportunities that would have been missed. Nevertheless, the concept of innovation in the FMCG field may be under time pressure on both a commercial and operational level, and thus, ideation sessions with manageable timeframes are key (</w:t>
      </w:r>
      <w:proofErr w:type="spellStart"/>
      <w:r>
        <w:t>Balzano</w:t>
      </w:r>
      <w:proofErr w:type="spellEnd"/>
      <w:r>
        <w:t xml:space="preserve"> </w:t>
      </w:r>
      <w:proofErr w:type="spellStart"/>
      <w:r w:rsidR="007909B3">
        <w:t>and</w:t>
      </w:r>
      <w:r>
        <w:t>Bortoluzzi</w:t>
      </w:r>
      <w:proofErr w:type="spellEnd"/>
      <w:r>
        <w:t>, 2024).</w:t>
      </w:r>
    </w:p>
    <w:p w:rsidR="006721BA" w:rsidRDefault="006721BA" w:rsidP="007909B3">
      <w:pPr>
        <w:spacing w:line="360" w:lineRule="auto"/>
      </w:pPr>
      <w:r>
        <w:t>This is followed by the development of prototypes, where everything is turned into physical concepts and allowed to be tested. The samples of the prototypes in terms of a package could be made of compostable bioplastics, recycled paperboard, or plant films. The goal is never to make nice products, yet at this point, the goal is to quickly explore through iterative cycles of form, functionality, and possibility. Incorporating data-driven design like lifecycle analysis or predictive modelling may greatly contribute to more acc</w:t>
      </w:r>
      <w:r w:rsidR="001A2685">
        <w:t>urate decision making.</w:t>
      </w:r>
      <w:r>
        <w:t xml:space="preserve"> Keywords</w:t>
      </w:r>
      <w:r w:rsidR="001A2685">
        <w:t>,</w:t>
      </w:r>
      <w:r>
        <w:t xml:space="preserve"> data driven design, lifecycle analysis, predictive modelling, decision accuracy </w:t>
      </w:r>
      <w:proofErr w:type="gramStart"/>
      <w:r>
        <w:t>This</w:t>
      </w:r>
      <w:proofErr w:type="gramEnd"/>
      <w:r>
        <w:t xml:space="preserve"> modus operandi provides the source of evidence in environmental claims and the provision of solutions that meet the regulatory as well as consumer performance thresholds.</w:t>
      </w:r>
    </w:p>
    <w:p w:rsidR="006721BA" w:rsidRDefault="006721BA" w:rsidP="007909B3">
      <w:pPr>
        <w:spacing w:line="360" w:lineRule="auto"/>
      </w:pPr>
      <w:r>
        <w:t>The last phase, Test, identifies prototypes in real life and uses feedback from consumers, retailers, and operational groups. It is not only that testing can confirm functionality and attractiveness, but it also points out the unexpected difficulties, including supply chain compatibility or resista</w:t>
      </w:r>
      <w:r w:rsidR="001A2685">
        <w:t xml:space="preserve">nce during transport. The </w:t>
      </w:r>
      <w:proofErr w:type="spellStart"/>
      <w:r w:rsidR="001A2685">
        <w:t>utilis</w:t>
      </w:r>
      <w:r>
        <w:t>ation</w:t>
      </w:r>
      <w:proofErr w:type="spellEnd"/>
      <w:r>
        <w:t xml:space="preserve"> of methodological pluralism, the combination of performance indicators that are quantifiable with those that are qualitative user reviews, enhances the robustness of the results of the testing (Allen </w:t>
      </w:r>
      <w:r w:rsidR="007909B3">
        <w:t>and</w:t>
      </w:r>
      <w:r>
        <w:t xml:space="preserve"> McDonald, 2025).</w:t>
      </w:r>
    </w:p>
    <w:p w:rsidR="006721BA" w:rsidRDefault="006721BA" w:rsidP="007909B3">
      <w:pPr>
        <w:spacing w:line="360" w:lineRule="auto"/>
      </w:pPr>
      <w:r>
        <w:t>The iterative nature of Design Thinking means that over all stages, there is an opportunity to refine again and avoid failures that occur at late stages, and to ensure the conformity of solutions and stakeholder needs. This process is not just helpful in stimulating technical innovation, but it also serves to strengthen brand credibility in the Unilever context through showing the responsiveness towards consumer and environmental priorities.</w:t>
      </w:r>
    </w:p>
    <w:p w:rsidR="006721BA" w:rsidRPr="006721BA" w:rsidRDefault="001A2685" w:rsidP="007909B3">
      <w:pPr>
        <w:spacing w:line="360" w:lineRule="auto"/>
      </w:pPr>
      <w:r>
        <w:t>To sum up</w:t>
      </w:r>
      <w:r w:rsidR="00EF1248">
        <w:t xml:space="preserve">, </w:t>
      </w:r>
      <w:r w:rsidR="006721BA">
        <w:t>Design Thinking can be used to help Unilever UK approach the danger zone of creativity, practicability, and demand when applied to their development of sustainable packages. Shaping empathy, collaboration, and evidence-based decision-making into</w:t>
      </w:r>
      <w:r>
        <w:t xml:space="preserve"> the essence of innovation puts</w:t>
      </w:r>
      <w:r w:rsidR="006721BA">
        <w:t xml:space="preserve"> Unilever</w:t>
      </w:r>
      <w:r w:rsidR="002616D7">
        <w:t xml:space="preserve"> in a strong</w:t>
      </w:r>
      <w:r w:rsidR="006721BA">
        <w:t xml:space="preserve"> position to provide solutions that meet sustainability goals and at the same time are commercially viable.</w:t>
      </w:r>
    </w:p>
    <w:p w:rsidR="00075FB8" w:rsidRDefault="00EF1248" w:rsidP="007909B3">
      <w:pPr>
        <w:pStyle w:val="Heading1"/>
        <w:spacing w:line="360" w:lineRule="auto"/>
        <w:jc w:val="both"/>
      </w:pPr>
      <w:bookmarkStart w:id="5" w:name="_Toc206086022"/>
      <w:r w:rsidRPr="00EF1248">
        <w:lastRenderedPageBreak/>
        <w:t>Lewin’s Force Field Analysis for Viability</w:t>
      </w:r>
      <w:bookmarkEnd w:id="5"/>
    </w:p>
    <w:p w:rsidR="00EF1248" w:rsidRDefault="00EF1248" w:rsidP="007909B3">
      <w:pPr>
        <w:spacing w:line="360" w:lineRule="auto"/>
      </w:pPr>
      <w:r>
        <w:t xml:space="preserve">The Force Field Analysis system developed by Lewin suggests a way of assessing the practicability of the </w:t>
      </w:r>
      <w:proofErr w:type="spellStart"/>
      <w:r>
        <w:t>organisational</w:t>
      </w:r>
      <w:proofErr w:type="spellEnd"/>
      <w:r>
        <w:t xml:space="preserve"> change and finding the equilibrium between the driving and the restraining forces determining the process of change. Within the frame of the Unilever UK sustainability packaging project, the model might be applied to facilitate a systematic evaluation of those factors that make or reduce the opportunity of adoption, also providing insight into the location of the areas where the intervention is primarily needed.</w:t>
      </w:r>
    </w:p>
    <w:p w:rsidR="00EF1248" w:rsidRDefault="00EF1248" w:rsidP="007909B3">
      <w:pPr>
        <w:spacing w:line="360" w:lineRule="auto"/>
      </w:pPr>
      <w:r>
        <w:t xml:space="preserve">Drivers are the overall trend of becoming more sustainable, where environmental issues are increasingly the factor that is driving consumer behaviour and regulatory demands. The increased attention to the issue of climate change and plastic pollution strengthens the social and legislative pressure toward sustainable packaging (Jain et al., 2021). The business case is further made robust by cost savings achieved in the long term through the efficiency in materials used and wastage. Improved brand equity is a boosting factor too, since sustainability leadership can make Unilever stand out against the other companies and appeal to ethically sensitive customers. Environmental goals are </w:t>
      </w:r>
      <w:proofErr w:type="spellStart"/>
      <w:r>
        <w:t>internalised</w:t>
      </w:r>
      <w:proofErr w:type="spellEnd"/>
      <w:r>
        <w:t xml:space="preserve"> in </w:t>
      </w:r>
      <w:proofErr w:type="spellStart"/>
      <w:r>
        <w:t>organisational</w:t>
      </w:r>
      <w:proofErr w:type="spellEnd"/>
      <w:r>
        <w:t xml:space="preserve"> routines through the innovation culture and management systems, which incorporate the concept of sustainability in the operations (Lavorato, n.d.). Strategic collaboration with suppliers and green innovators also offers access to new technologies and capabilities that make adoption much faster.</w:t>
      </w:r>
    </w:p>
    <w:p w:rsidR="00EF1248" w:rsidRDefault="00EF1248" w:rsidP="007909B3">
      <w:pPr>
        <w:spacing w:line="360" w:lineRule="auto"/>
      </w:pPr>
      <w:r>
        <w:t>Constraining forces would involve an increase in the initial investment when the supply chain involves the use of sustainable materials and redesigning the manufacturing systems. Another challenge will also be consumer price sensitivity, whereby there might be certain eco-friendly options that are initially found to have cost premiums. The implementation can be delayed by the operational complexity and new requirements of quality controls. The unwillingness of employees or any other partner in the supply chain to cooperate with change may also interfere with the progress, especially when perceived risks are high in comparison to the perceived benefits. Additionally, decision-making is also hampered by market uncertainty, such as the uncertain supply of raw materials. According to the findings of Voigt et al. (2020), the ability to scale respective sustainable innovations can be restricted by structural and financial restrictions.</w:t>
      </w:r>
    </w:p>
    <w:p w:rsidR="00EF1248" w:rsidRDefault="00EF1248" w:rsidP="007909B3">
      <w:pPr>
        <w:spacing w:line="360" w:lineRule="auto"/>
      </w:pPr>
      <w:r>
        <w:t xml:space="preserve">The activities to be applied to reinforce driving forces are the development of the integrated abilities, both on a training basis, through the sharing of knowledge, and the ways to incentivize </w:t>
      </w:r>
      <w:r>
        <w:lastRenderedPageBreak/>
        <w:t>teams to think sustainably. Consumer trust through transparent communication and certification has the potential to strengthen brand equity and pay the premium to go sustainable. Management innovation that, upon adoption, can streamline the decision-making process and minimize implementation backlogs includes agile governance structures (Khosravi et al., 2019). The cooperation with the outside parties, such as technology providers and academic institutions, may inhibit the cost-cutting of the R&amp;D activity and cut short the flow of innovations.</w:t>
      </w:r>
    </w:p>
    <w:p w:rsidR="00EF1248" w:rsidRDefault="00EF1248" w:rsidP="007909B3">
      <w:pPr>
        <w:spacing w:line="360" w:lineRule="auto"/>
      </w:pPr>
      <w:r>
        <w:t xml:space="preserve">Ways of overcoming restraining forces involve taking the phased implementation approach to phase out the capital expenditure rather than all at once, and reducing disruption. The price sensitivity can be reduced through specific consumer education programs, in which the long-term environmental and societal advantages of sustainable packaging are emphasized. Mr. USA's Vulnerability to market trends falls as a result of diversifying eco-materials suppliers, and sustainability metrics can be embedded in the performance assessment system to </w:t>
      </w:r>
      <w:proofErr w:type="spellStart"/>
      <w:r>
        <w:t>maximise</w:t>
      </w:r>
      <w:proofErr w:type="spellEnd"/>
      <w:r>
        <w:t xml:space="preserve"> agreement between employee </w:t>
      </w:r>
      <w:proofErr w:type="spellStart"/>
      <w:r>
        <w:t>behaviour</w:t>
      </w:r>
      <w:proofErr w:type="spellEnd"/>
      <w:r>
        <w:t xml:space="preserve"> and the </w:t>
      </w:r>
      <w:proofErr w:type="spellStart"/>
      <w:r>
        <w:t>organisational</w:t>
      </w:r>
      <w:proofErr w:type="spellEnd"/>
      <w:r>
        <w:t xml:space="preserve"> goals.</w:t>
      </w:r>
    </w:p>
    <w:p w:rsidR="00EF1248" w:rsidRPr="00EF1248" w:rsidRDefault="00EF1248" w:rsidP="007909B3">
      <w:pPr>
        <w:spacing w:line="360" w:lineRule="auto"/>
      </w:pPr>
      <w:r>
        <w:t>Through a logical treatment of the forces of driving and restraining, Unilever UK could improve the feasibility of its sustainable packaging innovation and ensure that it matches the demand of the market, trends associated with regulations, and the corporate strategy of the company in the long term.</w:t>
      </w:r>
    </w:p>
    <w:p w:rsidR="00862FA4" w:rsidRDefault="00EF1248" w:rsidP="007909B3">
      <w:pPr>
        <w:pStyle w:val="Heading1"/>
        <w:spacing w:line="360" w:lineRule="auto"/>
        <w:jc w:val="both"/>
      </w:pPr>
      <w:bookmarkStart w:id="6" w:name="_Toc206086023"/>
      <w:proofErr w:type="spellStart"/>
      <w:r w:rsidRPr="00EF1248">
        <w:t>Organisational</w:t>
      </w:r>
      <w:proofErr w:type="spellEnd"/>
      <w:r w:rsidRPr="00EF1248">
        <w:t xml:space="preserve"> Climate for Innovation</w:t>
      </w:r>
      <w:bookmarkEnd w:id="6"/>
    </w:p>
    <w:p w:rsidR="00EF1248" w:rsidRDefault="00EF1248" w:rsidP="007909B3">
      <w:pPr>
        <w:spacing w:line="360" w:lineRule="auto"/>
      </w:pPr>
      <w:r>
        <w:t xml:space="preserve">An </w:t>
      </w:r>
      <w:proofErr w:type="spellStart"/>
      <w:r>
        <w:t>organisational</w:t>
      </w:r>
      <w:proofErr w:type="spellEnd"/>
      <w:r>
        <w:t xml:space="preserve"> climate for innovation can be described as a set of perceptions and attitudes held within a workplace that maintains, promotes, and facilitates the creation and execution of</w:t>
      </w:r>
      <w:r w:rsidR="002616D7">
        <w:t xml:space="preserve"> innovative ideas. At the centre</w:t>
      </w:r>
      <w:r>
        <w:t xml:space="preserve"> of this climate is the notion of psychological safety: a mutual agreement that people can share ideas, express doubts, and venture without the risks of being penalized (Edmondson, 2018). Psychological safety in the context of innovation builds the confidence of employees to explore and defy traditional procedures, which is vital in the generation of new solutions.</w:t>
      </w:r>
    </w:p>
    <w:p w:rsidR="00EF1248" w:rsidRDefault="00EF1248" w:rsidP="007909B3">
      <w:pPr>
        <w:spacing w:line="360" w:lineRule="auto"/>
      </w:pPr>
      <w:r>
        <w:t xml:space="preserve">The studies show that psychological safety preconditions openness, collaboration, and engagement, which is a further precondition of an effective innovation climate (Newman et al., 2017). These weather systems tend to be </w:t>
      </w:r>
      <w:proofErr w:type="spellStart"/>
      <w:r>
        <w:t>characterised</w:t>
      </w:r>
      <w:proofErr w:type="spellEnd"/>
      <w:r>
        <w:t xml:space="preserve"> by trust, access to resources, positive criticism, and allowance of calculated risk-taking. Questionnaires like the KEYS climate </w:t>
      </w:r>
      <w:r>
        <w:lastRenderedPageBreak/>
        <w:t xml:space="preserve">assessment model can be used to assess the dimensions like </w:t>
      </w:r>
      <w:proofErr w:type="spellStart"/>
      <w:r>
        <w:t>organisational</w:t>
      </w:r>
      <w:proofErr w:type="spellEnd"/>
      <w:r>
        <w:t xml:space="preserve"> encouragement, autonomy, and workload pressures that give an idea about the degree to which the environment is conducive to innovation.</w:t>
      </w:r>
    </w:p>
    <w:p w:rsidR="00EF1248" w:rsidRDefault="00EF1248" w:rsidP="007909B3">
      <w:pPr>
        <w:spacing w:line="360" w:lineRule="auto"/>
      </w:pPr>
      <w:r>
        <w:t xml:space="preserve">In the case of Unilever UK, a climate of innovation exists at the company owing to its good leadership that has sought to pursue sustainability and market responsiveness. Leaders state specific innovation objectives and fund R&amp;D, and give an indication that they favor experimentation, including sustainable packaging. Such a leadership-oriented vision is useful to incorporate innovations as a part of the strategic priorities, and this is done by being in line with </w:t>
      </w:r>
      <w:proofErr w:type="spellStart"/>
      <w:r>
        <w:t>organisational</w:t>
      </w:r>
      <w:proofErr w:type="spellEnd"/>
      <w:r>
        <w:t xml:space="preserve"> values. A middle to high risk tolerance of the company, especially in sustainability projects, also results in a search for unconventional solutions. The combination of sufficient financial and technological resources and cross-functional collaboration leads to a supportive infrastructure of innovation activity.</w:t>
      </w:r>
    </w:p>
    <w:p w:rsidR="00862FA4" w:rsidRDefault="00EF1248" w:rsidP="007909B3">
      <w:pPr>
        <w:spacing w:line="360" w:lineRule="auto"/>
      </w:pPr>
      <w:r>
        <w:t xml:space="preserve">This connection between the climate of innovation and the behaviour of the employees is crucial. </w:t>
      </w:r>
      <w:proofErr w:type="spellStart"/>
      <w:r>
        <w:t>Favourable</w:t>
      </w:r>
      <w:proofErr w:type="spellEnd"/>
      <w:r>
        <w:t xml:space="preserve"> climate contributes to the psychological capital of employees, which has a positive effect on their readiness to participate in innovative behaviours (Hsu </w:t>
      </w:r>
      <w:r w:rsidR="007909B3">
        <w:t>and</w:t>
      </w:r>
      <w:r>
        <w:t xml:space="preserve"> Chen, 2017). Also, learning climates at the team level which encourage sharing knowledge, embrace mistakes as a learning experience have been found to boost innovation performance by making the team more able to find solutions to problems and be flexible (Li et al., 2023).</w:t>
      </w:r>
    </w:p>
    <w:p w:rsidR="00EF1248" w:rsidRDefault="007909B3" w:rsidP="007909B3">
      <w:pPr>
        <w:spacing w:line="360" w:lineRule="auto"/>
      </w:pPr>
      <w:r w:rsidRPr="007909B3">
        <w:t xml:space="preserve">Based on these, there are high chances of the implementation of ideas in Unilever UK, especially in projects that touch on sustainability and would have met the corporate strategy. Psychological safety, strategic leadership, provision of resources, and team learning orientation place the </w:t>
      </w:r>
      <w:proofErr w:type="spellStart"/>
      <w:r w:rsidRPr="007909B3">
        <w:t>organisation</w:t>
      </w:r>
      <w:proofErr w:type="spellEnd"/>
      <w:r w:rsidRPr="007909B3">
        <w:t xml:space="preserve"> in a strategic position to convert creative ideas into strategies that can be applied in the market, maintaining its competitive advantage in the UK FMCG industry.</w:t>
      </w:r>
    </w:p>
    <w:p w:rsidR="007909B3" w:rsidRDefault="007909B3" w:rsidP="007909B3">
      <w:pPr>
        <w:pStyle w:val="Heading1"/>
        <w:spacing w:line="360" w:lineRule="auto"/>
        <w:jc w:val="both"/>
      </w:pPr>
      <w:bookmarkStart w:id="7" w:name="_Toc206086024"/>
      <w:r w:rsidRPr="007909B3">
        <w:t>Conclusion</w:t>
      </w:r>
      <w:bookmarkEnd w:id="7"/>
    </w:p>
    <w:p w:rsidR="00862FA4" w:rsidRDefault="007909B3" w:rsidP="007909B3">
      <w:pPr>
        <w:spacing w:line="360" w:lineRule="auto"/>
      </w:pPr>
      <w:r w:rsidRPr="007909B3">
        <w:t xml:space="preserve">As indicated in the analysis, Unilever UK has a good base that would enable it not only to maintain innovation but also to continue with it even on matters related to sustainable product development. The establishment of structured creativity frameworks, support of </w:t>
      </w:r>
      <w:proofErr w:type="spellStart"/>
      <w:r w:rsidRPr="007909B3">
        <w:t>favourable</w:t>
      </w:r>
      <w:proofErr w:type="spellEnd"/>
      <w:r w:rsidR="00C15D5D">
        <w:t xml:space="preserve"> </w:t>
      </w:r>
      <w:proofErr w:type="spellStart"/>
      <w:r w:rsidRPr="007909B3">
        <w:t>organisational</w:t>
      </w:r>
      <w:proofErr w:type="spellEnd"/>
      <w:r w:rsidRPr="007909B3">
        <w:t xml:space="preserve"> climates, and addressing of driving and restraining forces, through strategic interventions, makes the company well placed to ensure that it sustains its competitive edge. Its </w:t>
      </w:r>
      <w:r w:rsidRPr="007909B3">
        <w:lastRenderedPageBreak/>
        <w:t xml:space="preserve">aptitude in translating innovative ideas into tangible outcomes is supported by leadership commitment, resource allocation, and an openness, in a measured way, to the taking of risks. Some forces, like the cost of supply chains and sensitivities of market prices to prices, are still present; these are alleviated by the existing proactive culture and change strategies. The mix of psychological safety, cross-functional collaboration, and market responsiveness is used, which presupposes that creativity not only can be encouraged but also implemented successfully. In general, the innovation strategy adopted by Unilever UK is a moderate mix of strategic planning, empowerment of its workforce, and market orientation that allows the </w:t>
      </w:r>
      <w:proofErr w:type="spellStart"/>
      <w:r w:rsidRPr="007909B3">
        <w:t>organisation</w:t>
      </w:r>
      <w:proofErr w:type="spellEnd"/>
      <w:r w:rsidRPr="007909B3">
        <w:t xml:space="preserve"> to stay afloat in even the turbulent world of business.</w:t>
      </w:r>
    </w:p>
    <w:p w:rsidR="00862FA4" w:rsidRDefault="00862FA4" w:rsidP="007909B3">
      <w:pPr>
        <w:spacing w:line="360" w:lineRule="auto"/>
      </w:pPr>
    </w:p>
    <w:p w:rsidR="00862FA4" w:rsidRDefault="00862FA4" w:rsidP="007909B3">
      <w:pPr>
        <w:spacing w:line="360" w:lineRule="auto"/>
      </w:pPr>
    </w:p>
    <w:p w:rsidR="007909B3" w:rsidRDefault="007909B3" w:rsidP="007909B3">
      <w:pPr>
        <w:spacing w:line="360" w:lineRule="auto"/>
      </w:pPr>
    </w:p>
    <w:p w:rsidR="007909B3" w:rsidRDefault="007909B3" w:rsidP="007909B3">
      <w:pPr>
        <w:spacing w:line="360" w:lineRule="auto"/>
      </w:pPr>
    </w:p>
    <w:p w:rsidR="007909B3" w:rsidRDefault="007909B3" w:rsidP="007909B3">
      <w:pPr>
        <w:spacing w:line="360" w:lineRule="auto"/>
      </w:pPr>
    </w:p>
    <w:p w:rsidR="007909B3" w:rsidRDefault="007909B3" w:rsidP="007909B3">
      <w:pPr>
        <w:spacing w:line="360" w:lineRule="auto"/>
      </w:pPr>
    </w:p>
    <w:p w:rsidR="007909B3" w:rsidRDefault="007909B3" w:rsidP="007909B3">
      <w:pPr>
        <w:spacing w:line="360" w:lineRule="auto"/>
      </w:pPr>
    </w:p>
    <w:p w:rsidR="007909B3" w:rsidRDefault="007909B3" w:rsidP="007909B3">
      <w:pPr>
        <w:spacing w:line="360" w:lineRule="auto"/>
      </w:pPr>
    </w:p>
    <w:p w:rsidR="007909B3" w:rsidRDefault="007909B3" w:rsidP="007909B3">
      <w:pPr>
        <w:spacing w:line="360" w:lineRule="auto"/>
      </w:pPr>
    </w:p>
    <w:p w:rsidR="007909B3" w:rsidRDefault="007909B3" w:rsidP="007909B3">
      <w:pPr>
        <w:spacing w:line="360" w:lineRule="auto"/>
      </w:pPr>
    </w:p>
    <w:p w:rsidR="007909B3" w:rsidRDefault="007909B3" w:rsidP="007909B3">
      <w:pPr>
        <w:spacing w:line="360" w:lineRule="auto"/>
      </w:pPr>
    </w:p>
    <w:p w:rsidR="007909B3" w:rsidRDefault="007909B3" w:rsidP="007909B3">
      <w:pPr>
        <w:spacing w:line="360" w:lineRule="auto"/>
      </w:pPr>
    </w:p>
    <w:p w:rsidR="007909B3" w:rsidRDefault="007909B3" w:rsidP="007909B3">
      <w:pPr>
        <w:spacing w:line="360" w:lineRule="auto"/>
      </w:pPr>
    </w:p>
    <w:p w:rsidR="007909B3" w:rsidRDefault="007909B3" w:rsidP="007909B3">
      <w:pPr>
        <w:spacing w:line="360" w:lineRule="auto"/>
      </w:pPr>
    </w:p>
    <w:p w:rsidR="007909B3" w:rsidRDefault="007909B3" w:rsidP="007909B3">
      <w:pPr>
        <w:spacing w:line="360" w:lineRule="auto"/>
      </w:pPr>
    </w:p>
    <w:p w:rsidR="007909B3" w:rsidRDefault="007909B3" w:rsidP="007909B3">
      <w:pPr>
        <w:spacing w:line="360" w:lineRule="auto"/>
      </w:pPr>
    </w:p>
    <w:p w:rsidR="007909B3" w:rsidRDefault="007909B3" w:rsidP="007909B3">
      <w:pPr>
        <w:spacing w:line="360" w:lineRule="auto"/>
      </w:pPr>
    </w:p>
    <w:p w:rsidR="007909B3" w:rsidRDefault="007909B3" w:rsidP="007909B3">
      <w:pPr>
        <w:pStyle w:val="Heading1"/>
        <w:jc w:val="both"/>
      </w:pPr>
      <w:bookmarkStart w:id="8" w:name="_Toc206086025"/>
      <w:r>
        <w:lastRenderedPageBreak/>
        <w:t>References</w:t>
      </w:r>
      <w:bookmarkEnd w:id="8"/>
    </w:p>
    <w:p w:rsidR="007909B3" w:rsidRDefault="007909B3" w:rsidP="007909B3">
      <w:pPr>
        <w:ind w:left="720" w:hanging="720"/>
      </w:pPr>
      <w:r w:rsidRPr="00D47118">
        <w:t>Allen, R.T. and McDonald, R.M., 2025. Methodological pluralism and innovation in data-driven organizations. </w:t>
      </w:r>
      <w:r w:rsidRPr="002E1257">
        <w:rPr>
          <w:i/>
          <w:iCs/>
        </w:rPr>
        <w:t>Administrative Science Quarterly</w:t>
      </w:r>
      <w:r w:rsidRPr="00D47118">
        <w:t>, </w:t>
      </w:r>
      <w:r w:rsidRPr="002E1257">
        <w:rPr>
          <w:i/>
          <w:iCs/>
        </w:rPr>
        <w:t>70</w:t>
      </w:r>
      <w:r w:rsidRPr="00D47118">
        <w:t>(2), pp.403-443.</w:t>
      </w:r>
    </w:p>
    <w:p w:rsidR="007909B3" w:rsidRDefault="007909B3" w:rsidP="007909B3">
      <w:pPr>
        <w:ind w:left="720" w:hanging="720"/>
      </w:pPr>
      <w:r w:rsidRPr="00D47118">
        <w:t xml:space="preserve">Balzano, M. and </w:t>
      </w:r>
      <w:proofErr w:type="spellStart"/>
      <w:r w:rsidRPr="00D47118">
        <w:t>Bortoluzzi</w:t>
      </w:r>
      <w:proofErr w:type="spellEnd"/>
      <w:r w:rsidRPr="00D47118">
        <w:t>, G., 2024. Time is running out: How design thinking shapes team innovation under time constraints. </w:t>
      </w:r>
      <w:r w:rsidRPr="002E1257">
        <w:rPr>
          <w:i/>
          <w:iCs/>
        </w:rPr>
        <w:t>European Management Journal</w:t>
      </w:r>
      <w:r w:rsidRPr="00D47118">
        <w:t>.</w:t>
      </w:r>
    </w:p>
    <w:p w:rsidR="007909B3" w:rsidRDefault="007909B3" w:rsidP="007909B3">
      <w:pPr>
        <w:ind w:left="720" w:hanging="720"/>
      </w:pPr>
      <w:r w:rsidRPr="002E1257">
        <w:t>Boz, Z., Korhonen, V. and Koelsch Sand, C., 2020. Consumer considerations for the implementation of sustainable packaging: A review. </w:t>
      </w:r>
      <w:r w:rsidRPr="002E1257">
        <w:rPr>
          <w:i/>
          <w:iCs/>
        </w:rPr>
        <w:t>Sustainability</w:t>
      </w:r>
      <w:r w:rsidRPr="002E1257">
        <w:t>, </w:t>
      </w:r>
      <w:r w:rsidRPr="002E1257">
        <w:rPr>
          <w:i/>
          <w:iCs/>
        </w:rPr>
        <w:t>12</w:t>
      </w:r>
      <w:r w:rsidRPr="002E1257">
        <w:t>(6), p.2192.</w:t>
      </w:r>
    </w:p>
    <w:p w:rsidR="007909B3" w:rsidRDefault="007909B3" w:rsidP="007909B3">
      <w:pPr>
        <w:ind w:left="720" w:hanging="720"/>
      </w:pPr>
      <w:r w:rsidRPr="00D47118">
        <w:t>Cousins, B., 2018. Validating a design thinking strategy: Merging design thinking and absorptive capacity to build a dynamic capability and competitive advantage. </w:t>
      </w:r>
      <w:r w:rsidRPr="002E1257">
        <w:rPr>
          <w:i/>
          <w:iCs/>
        </w:rPr>
        <w:t>Journal of Innovation Management</w:t>
      </w:r>
      <w:r w:rsidRPr="00D47118">
        <w:t>, </w:t>
      </w:r>
      <w:r w:rsidRPr="002E1257">
        <w:rPr>
          <w:i/>
          <w:iCs/>
        </w:rPr>
        <w:t>6</w:t>
      </w:r>
      <w:r w:rsidRPr="00D47118">
        <w:t>(2), pp.102-120.</w:t>
      </w:r>
    </w:p>
    <w:p w:rsidR="007909B3" w:rsidRDefault="007909B3" w:rsidP="007909B3">
      <w:pPr>
        <w:ind w:left="720" w:hanging="720"/>
      </w:pPr>
      <w:r w:rsidRPr="00D47118">
        <w:t>Edmondson, A.C., 2018. </w:t>
      </w:r>
      <w:r w:rsidRPr="002E1257">
        <w:rPr>
          <w:i/>
          <w:iCs/>
        </w:rPr>
        <w:t>The fearless organization: Creating psychological safety in the workplace for learning, innovation, and growth</w:t>
      </w:r>
      <w:r w:rsidRPr="00D47118">
        <w:t>. John Wiley &amp; Sons.</w:t>
      </w:r>
    </w:p>
    <w:p w:rsidR="007909B3" w:rsidRDefault="007909B3" w:rsidP="007909B3">
      <w:pPr>
        <w:ind w:left="720" w:hanging="720"/>
      </w:pPr>
      <w:r w:rsidRPr="002E1257">
        <w:t>El Samra, A., James, A. and Malik, K., 2024. Disrupt through digital: a study on the challenges faced when digitalizing R&amp;D. </w:t>
      </w:r>
      <w:proofErr w:type="spellStart"/>
      <w:r w:rsidRPr="002E1257">
        <w:rPr>
          <w:i/>
          <w:iCs/>
        </w:rPr>
        <w:t>R&amp;d</w:t>
      </w:r>
      <w:proofErr w:type="spellEnd"/>
      <w:r w:rsidRPr="002E1257">
        <w:rPr>
          <w:i/>
          <w:iCs/>
        </w:rPr>
        <w:t xml:space="preserve"> Management</w:t>
      </w:r>
      <w:r w:rsidRPr="002E1257">
        <w:t>, </w:t>
      </w:r>
      <w:r w:rsidRPr="002E1257">
        <w:rPr>
          <w:i/>
          <w:iCs/>
        </w:rPr>
        <w:t>54</w:t>
      </w:r>
      <w:r w:rsidRPr="002E1257">
        <w:t>(4), pp.713-723.</w:t>
      </w:r>
    </w:p>
    <w:p w:rsidR="007909B3" w:rsidRDefault="007909B3" w:rsidP="007909B3">
      <w:pPr>
        <w:ind w:left="720" w:hanging="720"/>
      </w:pPr>
      <w:r w:rsidRPr="00D47118">
        <w:t>Hsu, M.L. and Chen, F.H., 2017. The cross‐level mediating effect of psychological capital on the organizational innovation climate–employee innovative behavior relationship. </w:t>
      </w:r>
      <w:r w:rsidRPr="002E1257">
        <w:rPr>
          <w:i/>
          <w:iCs/>
        </w:rPr>
        <w:t>The Journal of Creative Behavior</w:t>
      </w:r>
      <w:r w:rsidRPr="00D47118">
        <w:t>, </w:t>
      </w:r>
      <w:r w:rsidRPr="002E1257">
        <w:rPr>
          <w:i/>
          <w:iCs/>
        </w:rPr>
        <w:t>51</w:t>
      </w:r>
      <w:r w:rsidRPr="00D47118">
        <w:t>(2), pp.128-139.</w:t>
      </w:r>
      <w:r>
        <w:t>\</w:t>
      </w:r>
    </w:p>
    <w:p w:rsidR="007909B3" w:rsidRDefault="007909B3" w:rsidP="007909B3">
      <w:pPr>
        <w:ind w:left="720" w:hanging="720"/>
      </w:pPr>
      <w:r w:rsidRPr="002E1257">
        <w:t>Jain, P., Chou, M.C., Fan, F. and Santoso, M.P., 2021. Embedding sustainability in the consumer goods innovation cycle and enabling tools to measure progress and capabilities. </w:t>
      </w:r>
      <w:r w:rsidRPr="002E1257">
        <w:rPr>
          <w:i/>
          <w:iCs/>
        </w:rPr>
        <w:t>Sustainability</w:t>
      </w:r>
      <w:r w:rsidRPr="002E1257">
        <w:t>, </w:t>
      </w:r>
      <w:r w:rsidRPr="002E1257">
        <w:rPr>
          <w:i/>
          <w:iCs/>
        </w:rPr>
        <w:t>13</w:t>
      </w:r>
      <w:r w:rsidRPr="002E1257">
        <w:t>(12), p.6662.</w:t>
      </w:r>
    </w:p>
    <w:p w:rsidR="007909B3" w:rsidRDefault="007909B3" w:rsidP="007909B3">
      <w:pPr>
        <w:ind w:left="720" w:hanging="720"/>
      </w:pPr>
      <w:r w:rsidRPr="00D47118">
        <w:t>Khosravi, P., Newton, C. and Rezvani, A., 2019. Management innovation: A systematic review and meta-analysis of past decades of research. </w:t>
      </w:r>
      <w:r w:rsidRPr="002E1257">
        <w:rPr>
          <w:i/>
          <w:iCs/>
        </w:rPr>
        <w:t>European Management Journal</w:t>
      </w:r>
      <w:r w:rsidRPr="00D47118">
        <w:t>, </w:t>
      </w:r>
      <w:r w:rsidRPr="002E1257">
        <w:rPr>
          <w:i/>
          <w:iCs/>
        </w:rPr>
        <w:t>37</w:t>
      </w:r>
      <w:r w:rsidRPr="00D47118">
        <w:t>(6), pp.694-707.</w:t>
      </w:r>
    </w:p>
    <w:p w:rsidR="007909B3" w:rsidRDefault="007909B3" w:rsidP="007909B3">
      <w:pPr>
        <w:ind w:left="720" w:hanging="720"/>
      </w:pPr>
      <w:r w:rsidRPr="00D47118">
        <w:t>Laursen, L.N. and Andersen, P.H., 2023. Resource and supplier interaction in network innovation governance: the case of innovating at Unilever. </w:t>
      </w:r>
      <w:r w:rsidRPr="002E1257">
        <w:rPr>
          <w:i/>
          <w:iCs/>
        </w:rPr>
        <w:t>Journal of business research</w:t>
      </w:r>
      <w:r w:rsidRPr="00D47118">
        <w:t>, </w:t>
      </w:r>
      <w:r w:rsidRPr="002E1257">
        <w:rPr>
          <w:i/>
          <w:iCs/>
        </w:rPr>
        <w:t>156</w:t>
      </w:r>
      <w:r w:rsidRPr="00D47118">
        <w:t>, p.113465.</w:t>
      </w:r>
    </w:p>
    <w:p w:rsidR="007909B3" w:rsidRDefault="007909B3" w:rsidP="007909B3">
      <w:pPr>
        <w:ind w:left="720" w:hanging="720"/>
      </w:pPr>
      <w:r w:rsidRPr="002E1257">
        <w:t>Lavorato, D., Management Control System in Smart and Sustainable Firms.</w:t>
      </w:r>
    </w:p>
    <w:p w:rsidR="007909B3" w:rsidRDefault="007909B3" w:rsidP="007909B3">
      <w:pPr>
        <w:ind w:left="720" w:hanging="720"/>
      </w:pPr>
      <w:r w:rsidRPr="00D47118">
        <w:t>Lee, J.H., Ostwald, M.J. and Gu, N., 2020. </w:t>
      </w:r>
      <w:r w:rsidRPr="002E1257">
        <w:rPr>
          <w:i/>
          <w:iCs/>
        </w:rPr>
        <w:t>Design thinking: creativity, collaboration and culture</w:t>
      </w:r>
      <w:r w:rsidRPr="00D47118">
        <w:t> (Vol. 12). Cham: Springer.</w:t>
      </w:r>
    </w:p>
    <w:p w:rsidR="007909B3" w:rsidRDefault="007909B3" w:rsidP="007909B3">
      <w:pPr>
        <w:ind w:left="720" w:hanging="720"/>
      </w:pPr>
      <w:r w:rsidRPr="00D47118">
        <w:t>Li, M.S., Li, J., Li, J.M., Liu, Z.W. and Deng, X.T., 2023. The Impact of team learning climate on innovation performance–mediating role of knowledge integration capability. </w:t>
      </w:r>
      <w:r w:rsidRPr="002E1257">
        <w:rPr>
          <w:i/>
          <w:iCs/>
        </w:rPr>
        <w:t>Frontiers in psychology</w:t>
      </w:r>
      <w:r w:rsidRPr="00D47118">
        <w:t>, </w:t>
      </w:r>
      <w:r w:rsidRPr="002E1257">
        <w:rPr>
          <w:i/>
          <w:iCs/>
        </w:rPr>
        <w:t>13</w:t>
      </w:r>
      <w:r w:rsidRPr="00D47118">
        <w:t>, p.1104073.</w:t>
      </w:r>
    </w:p>
    <w:p w:rsidR="007909B3" w:rsidRDefault="007909B3" w:rsidP="007909B3">
      <w:pPr>
        <w:ind w:left="720" w:hanging="720"/>
      </w:pPr>
      <w:r w:rsidRPr="00D47118">
        <w:t>Liedtka, J., 2018. Why design thinking works. </w:t>
      </w:r>
      <w:r w:rsidRPr="002E1257">
        <w:rPr>
          <w:i/>
          <w:iCs/>
        </w:rPr>
        <w:t>Harvard Business Review</w:t>
      </w:r>
      <w:r w:rsidRPr="00D47118">
        <w:t>, </w:t>
      </w:r>
      <w:r w:rsidRPr="002E1257">
        <w:rPr>
          <w:i/>
          <w:iCs/>
        </w:rPr>
        <w:t>96</w:t>
      </w:r>
      <w:r w:rsidRPr="00D47118">
        <w:t>(5), pp.72-79.</w:t>
      </w:r>
    </w:p>
    <w:p w:rsidR="007909B3" w:rsidRDefault="007909B3" w:rsidP="007909B3">
      <w:pPr>
        <w:ind w:left="720" w:hanging="720"/>
      </w:pPr>
      <w:proofErr w:type="spellStart"/>
      <w:r w:rsidRPr="002E1257">
        <w:t>Morashti</w:t>
      </w:r>
      <w:proofErr w:type="spellEnd"/>
      <w:r w:rsidRPr="002E1257">
        <w:t>, J.A., An, Y. and Jang, H., 2022. A systematic literature review of sustainable packaging in supply chain management. </w:t>
      </w:r>
      <w:r w:rsidRPr="002E1257">
        <w:rPr>
          <w:i/>
          <w:iCs/>
        </w:rPr>
        <w:t>Sustainability</w:t>
      </w:r>
      <w:r w:rsidRPr="002E1257">
        <w:t>, </w:t>
      </w:r>
      <w:r w:rsidRPr="002E1257">
        <w:rPr>
          <w:i/>
          <w:iCs/>
        </w:rPr>
        <w:t>14</w:t>
      </w:r>
      <w:r w:rsidRPr="002E1257">
        <w:t>(9), p.4921.</w:t>
      </w:r>
    </w:p>
    <w:p w:rsidR="007909B3" w:rsidRDefault="007909B3" w:rsidP="007909B3">
      <w:pPr>
        <w:ind w:left="720" w:hanging="720"/>
      </w:pPr>
      <w:r w:rsidRPr="00D47118">
        <w:lastRenderedPageBreak/>
        <w:t>Newman, A., Donohue, R. and Eva, N., 2017. Psychological safety: A systematic review of the literature. </w:t>
      </w:r>
      <w:r w:rsidRPr="002E1257">
        <w:rPr>
          <w:i/>
          <w:iCs/>
        </w:rPr>
        <w:t>Human resource management review</w:t>
      </w:r>
      <w:r w:rsidRPr="00D47118">
        <w:t>, </w:t>
      </w:r>
      <w:r w:rsidRPr="002E1257">
        <w:rPr>
          <w:i/>
          <w:iCs/>
        </w:rPr>
        <w:t>27</w:t>
      </w:r>
      <w:r w:rsidRPr="00D47118">
        <w:t>(3), pp.521-535.</w:t>
      </w:r>
    </w:p>
    <w:p w:rsidR="007909B3" w:rsidRDefault="007909B3" w:rsidP="007909B3">
      <w:pPr>
        <w:ind w:left="720" w:hanging="720"/>
      </w:pPr>
      <w:r w:rsidRPr="00D47118">
        <w:t>Pisano, G.P., 2019. The hard truth about innovative. </w:t>
      </w:r>
      <w:r w:rsidRPr="002E1257">
        <w:rPr>
          <w:i/>
          <w:iCs/>
        </w:rPr>
        <w:t>Harvard Business Review</w:t>
      </w:r>
      <w:r w:rsidRPr="00D47118">
        <w:t>, </w:t>
      </w:r>
      <w:r w:rsidRPr="002E1257">
        <w:rPr>
          <w:i/>
          <w:iCs/>
        </w:rPr>
        <w:t>97</w:t>
      </w:r>
      <w:r w:rsidRPr="00D47118">
        <w:t>(1), pp.62-71.</w:t>
      </w:r>
    </w:p>
    <w:p w:rsidR="007909B3" w:rsidRDefault="007909B3" w:rsidP="007909B3">
      <w:pPr>
        <w:ind w:left="720" w:hanging="720"/>
      </w:pPr>
      <w:r w:rsidRPr="00D47118">
        <w:t>Quiñones-Gómez, J.C., Mor, E. and Chacón, J., 2025. Data-driven design in the design process: A systematic literature review on challenges and opportunities. </w:t>
      </w:r>
      <w:r w:rsidRPr="002E1257">
        <w:rPr>
          <w:i/>
          <w:iCs/>
        </w:rPr>
        <w:t>International Journal of Human–Computer Interaction</w:t>
      </w:r>
      <w:r w:rsidRPr="00D47118">
        <w:t>, </w:t>
      </w:r>
      <w:r w:rsidRPr="002E1257">
        <w:rPr>
          <w:i/>
          <w:iCs/>
        </w:rPr>
        <w:t>41</w:t>
      </w:r>
      <w:r w:rsidRPr="00D47118">
        <w:t>(4), pp.2227-2252.</w:t>
      </w:r>
    </w:p>
    <w:p w:rsidR="007909B3" w:rsidRDefault="007909B3" w:rsidP="007909B3">
      <w:pPr>
        <w:ind w:left="720" w:hanging="720"/>
      </w:pPr>
      <w:proofErr w:type="spellStart"/>
      <w:r w:rsidRPr="002E1257">
        <w:t>Riandita</w:t>
      </w:r>
      <w:proofErr w:type="spellEnd"/>
      <w:r w:rsidRPr="002E1257">
        <w:t xml:space="preserve">, A., </w:t>
      </w:r>
      <w:proofErr w:type="spellStart"/>
      <w:r w:rsidRPr="002E1257">
        <w:t>Broström</w:t>
      </w:r>
      <w:proofErr w:type="spellEnd"/>
      <w:r w:rsidRPr="002E1257">
        <w:t xml:space="preserve">, A. and </w:t>
      </w:r>
      <w:proofErr w:type="spellStart"/>
      <w:r w:rsidRPr="002E1257">
        <w:t>Cagliano</w:t>
      </w:r>
      <w:proofErr w:type="spellEnd"/>
      <w:r w:rsidRPr="002E1257">
        <w:t>, R., 2025. Partnering with green start-ups: a vehicle for eco-innovation</w:t>
      </w:r>
      <w:proofErr w:type="gramStart"/>
      <w:r w:rsidRPr="002E1257">
        <w:t>?.</w:t>
      </w:r>
      <w:proofErr w:type="gramEnd"/>
      <w:r w:rsidRPr="002E1257">
        <w:t> </w:t>
      </w:r>
      <w:r w:rsidRPr="002E1257">
        <w:rPr>
          <w:i/>
          <w:iCs/>
        </w:rPr>
        <w:t>Industry and Innovation</w:t>
      </w:r>
      <w:r w:rsidRPr="002E1257">
        <w:t>, </w:t>
      </w:r>
      <w:r w:rsidRPr="002E1257">
        <w:rPr>
          <w:i/>
          <w:iCs/>
        </w:rPr>
        <w:t>32</w:t>
      </w:r>
      <w:r w:rsidRPr="002E1257">
        <w:t>(1), pp.24-52.</w:t>
      </w:r>
    </w:p>
    <w:p w:rsidR="007909B3" w:rsidRDefault="007909B3" w:rsidP="007909B3">
      <w:pPr>
        <w:ind w:left="720" w:hanging="720"/>
      </w:pPr>
      <w:r w:rsidRPr="00D47118">
        <w:t>Schlott, C.K., 2024. Design Thinking and teamwork—measuring impact: a systematic literature review. </w:t>
      </w:r>
      <w:r w:rsidRPr="002E1257">
        <w:rPr>
          <w:i/>
          <w:iCs/>
        </w:rPr>
        <w:t>Journal of Organization Design</w:t>
      </w:r>
      <w:r w:rsidRPr="00D47118">
        <w:t>, </w:t>
      </w:r>
      <w:r w:rsidRPr="002E1257">
        <w:rPr>
          <w:i/>
          <w:iCs/>
        </w:rPr>
        <w:t>13</w:t>
      </w:r>
      <w:r w:rsidRPr="00D47118">
        <w:t>(4), pp.163-196.</w:t>
      </w:r>
    </w:p>
    <w:p w:rsidR="007909B3" w:rsidRDefault="007909B3" w:rsidP="007909B3">
      <w:pPr>
        <w:ind w:left="720" w:hanging="720"/>
      </w:pPr>
      <w:r w:rsidRPr="002E1257">
        <w:t>Tidd, J., 2023. Managing innovation. </w:t>
      </w:r>
      <w:r w:rsidRPr="002E1257">
        <w:rPr>
          <w:i/>
          <w:iCs/>
        </w:rPr>
        <w:t>IEEE Technology and Engineering Management Society Body of Knowledge (TEMSBOK)</w:t>
      </w:r>
      <w:r w:rsidRPr="002E1257">
        <w:t>, pp.95-108.</w:t>
      </w:r>
    </w:p>
    <w:p w:rsidR="007909B3" w:rsidRDefault="007909B3" w:rsidP="007909B3">
      <w:pPr>
        <w:ind w:left="720" w:hanging="720"/>
      </w:pPr>
      <w:r w:rsidRPr="00D47118">
        <w:t>Toldbod, T. and Laursen, L.N., 2024. Time and the sequential integration of management controls in open innovation between Unilever and its partners: A procedural perspective. </w:t>
      </w:r>
      <w:r w:rsidRPr="002E1257">
        <w:rPr>
          <w:i/>
          <w:iCs/>
        </w:rPr>
        <w:t>Management Accounting Research</w:t>
      </w:r>
      <w:r w:rsidRPr="00D47118">
        <w:t>, </w:t>
      </w:r>
      <w:r w:rsidRPr="002E1257">
        <w:rPr>
          <w:i/>
          <w:iCs/>
        </w:rPr>
        <w:t>65</w:t>
      </w:r>
      <w:r w:rsidRPr="00D47118">
        <w:t>, p.100901.</w:t>
      </w:r>
    </w:p>
    <w:p w:rsidR="007909B3" w:rsidRDefault="007909B3" w:rsidP="007909B3">
      <w:pPr>
        <w:ind w:left="720" w:hanging="720"/>
      </w:pPr>
      <w:proofErr w:type="spellStart"/>
      <w:r w:rsidRPr="002E1257">
        <w:t>Versino</w:t>
      </w:r>
      <w:proofErr w:type="spellEnd"/>
      <w:r w:rsidRPr="002E1257">
        <w:t>, F., Ortega, F., Monroy, Y., Rivero, S., López, O.V. and García, M.A., 2023. Sustainable and bio-based food packaging: A review on past and current design innovations. </w:t>
      </w:r>
      <w:r w:rsidRPr="002E1257">
        <w:rPr>
          <w:i/>
          <w:iCs/>
        </w:rPr>
        <w:t>Foods</w:t>
      </w:r>
      <w:r w:rsidRPr="002E1257">
        <w:t>, </w:t>
      </w:r>
      <w:r w:rsidRPr="002E1257">
        <w:rPr>
          <w:i/>
          <w:iCs/>
        </w:rPr>
        <w:t>12</w:t>
      </w:r>
      <w:r w:rsidRPr="002E1257">
        <w:t>(5), p.1057.</w:t>
      </w:r>
    </w:p>
    <w:p w:rsidR="007909B3" w:rsidRDefault="007909B3" w:rsidP="007909B3">
      <w:pPr>
        <w:ind w:left="720" w:hanging="720"/>
      </w:pPr>
      <w:r w:rsidRPr="002E1257">
        <w:t xml:space="preserve">Voigt, M., Schobert, D. and Christof, J., 2020. </w:t>
      </w:r>
      <w:proofErr w:type="spellStart"/>
      <w:r w:rsidRPr="002E1257">
        <w:t>EinrichtungeinesPublikationsfonds</w:t>
      </w:r>
      <w:proofErr w:type="spellEnd"/>
      <w:r w:rsidRPr="002E1257">
        <w:t xml:space="preserve"> </w:t>
      </w:r>
      <w:proofErr w:type="spellStart"/>
      <w:r w:rsidRPr="002E1257">
        <w:t>für</w:t>
      </w:r>
      <w:proofErr w:type="spellEnd"/>
      <w:r w:rsidRPr="002E1257">
        <w:t xml:space="preserve"> die </w:t>
      </w:r>
      <w:proofErr w:type="spellStart"/>
      <w:r w:rsidRPr="002E1257">
        <w:t>Technische</w:t>
      </w:r>
      <w:proofErr w:type="spellEnd"/>
      <w:r w:rsidRPr="002E1257">
        <w:t xml:space="preserve"> </w:t>
      </w:r>
      <w:proofErr w:type="spellStart"/>
      <w:r w:rsidRPr="002E1257">
        <w:t>Universität</w:t>
      </w:r>
      <w:proofErr w:type="spellEnd"/>
      <w:r w:rsidRPr="002E1257">
        <w:t xml:space="preserve"> Berlin und </w:t>
      </w:r>
      <w:proofErr w:type="spellStart"/>
      <w:r w:rsidRPr="002E1257">
        <w:t>Aufbau</w:t>
      </w:r>
      <w:proofErr w:type="spellEnd"/>
      <w:r w:rsidRPr="002E1257">
        <w:t xml:space="preserve"> </w:t>
      </w:r>
      <w:proofErr w:type="spellStart"/>
      <w:r w:rsidRPr="002E1257">
        <w:t>dauerhafter</w:t>
      </w:r>
      <w:proofErr w:type="spellEnd"/>
      <w:r w:rsidRPr="002E1257">
        <w:t xml:space="preserve"> und </w:t>
      </w:r>
      <w:proofErr w:type="spellStart"/>
      <w:r w:rsidRPr="002E1257">
        <w:t>verlässlicherStrukturenzurFinanzierung</w:t>
      </w:r>
      <w:proofErr w:type="spellEnd"/>
      <w:r w:rsidRPr="002E1257">
        <w:t xml:space="preserve"> von Open-Access-</w:t>
      </w:r>
      <w:proofErr w:type="spellStart"/>
      <w:r w:rsidRPr="002E1257">
        <w:t>Publikationen</w:t>
      </w:r>
      <w:proofErr w:type="spellEnd"/>
      <w:r w:rsidRPr="002E1257">
        <w:t>.</w:t>
      </w:r>
    </w:p>
    <w:p w:rsidR="00862FA4" w:rsidRDefault="00862FA4" w:rsidP="007909B3">
      <w:pPr>
        <w:spacing w:line="360" w:lineRule="auto"/>
      </w:pPr>
    </w:p>
    <w:p w:rsidR="00862FA4" w:rsidRDefault="00862FA4" w:rsidP="007909B3">
      <w:pPr>
        <w:spacing w:line="360" w:lineRule="auto"/>
      </w:pPr>
    </w:p>
    <w:p w:rsidR="00862FA4" w:rsidRDefault="00862FA4" w:rsidP="007909B3">
      <w:pPr>
        <w:spacing w:line="360" w:lineRule="auto"/>
      </w:pPr>
    </w:p>
    <w:p w:rsidR="00862FA4" w:rsidRDefault="00862FA4" w:rsidP="007909B3">
      <w:pPr>
        <w:spacing w:line="360" w:lineRule="auto"/>
      </w:pPr>
    </w:p>
    <w:p w:rsidR="00862FA4" w:rsidRDefault="00862FA4" w:rsidP="007909B3">
      <w:pPr>
        <w:spacing w:line="360" w:lineRule="auto"/>
      </w:pPr>
    </w:p>
    <w:p w:rsidR="00862FA4" w:rsidRDefault="00862FA4" w:rsidP="007909B3">
      <w:pPr>
        <w:spacing w:line="360" w:lineRule="auto"/>
      </w:pPr>
    </w:p>
    <w:p w:rsidR="00862FA4" w:rsidRDefault="00862FA4" w:rsidP="007909B3">
      <w:pPr>
        <w:spacing w:line="360" w:lineRule="auto"/>
      </w:pPr>
    </w:p>
    <w:p w:rsidR="00862FA4" w:rsidRDefault="00862FA4" w:rsidP="007909B3">
      <w:pPr>
        <w:spacing w:line="360" w:lineRule="auto"/>
      </w:pPr>
    </w:p>
    <w:p w:rsidR="00862FA4" w:rsidRDefault="00862FA4" w:rsidP="007909B3">
      <w:pPr>
        <w:spacing w:line="360" w:lineRule="auto"/>
      </w:pPr>
    </w:p>
    <w:p w:rsidR="00862FA4" w:rsidRDefault="00862FA4" w:rsidP="007909B3">
      <w:pPr>
        <w:spacing w:line="360" w:lineRule="auto"/>
      </w:pPr>
    </w:p>
    <w:sectPr w:rsidR="00862FA4" w:rsidSect="00C83EDD">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62FA4"/>
    <w:rsid w:val="00002885"/>
    <w:rsid w:val="00075FB8"/>
    <w:rsid w:val="00145CC5"/>
    <w:rsid w:val="001A2685"/>
    <w:rsid w:val="001F4A8E"/>
    <w:rsid w:val="002616D7"/>
    <w:rsid w:val="002937FD"/>
    <w:rsid w:val="002F2C0E"/>
    <w:rsid w:val="00377E2D"/>
    <w:rsid w:val="005A6FFF"/>
    <w:rsid w:val="005D6544"/>
    <w:rsid w:val="00631225"/>
    <w:rsid w:val="006721BA"/>
    <w:rsid w:val="00783265"/>
    <w:rsid w:val="007909B3"/>
    <w:rsid w:val="00862FA4"/>
    <w:rsid w:val="0087376C"/>
    <w:rsid w:val="009648EB"/>
    <w:rsid w:val="00967BF5"/>
    <w:rsid w:val="009E597C"/>
    <w:rsid w:val="00C15D5D"/>
    <w:rsid w:val="00C83EDD"/>
    <w:rsid w:val="00CC1F46"/>
    <w:rsid w:val="00DB39E0"/>
    <w:rsid w:val="00EA3A1C"/>
    <w:rsid w:val="00EF1248"/>
    <w:rsid w:val="00FC657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6544"/>
    <w:pPr>
      <w:spacing w:before="120" w:after="120"/>
      <w:jc w:val="both"/>
    </w:pPr>
    <w:rPr>
      <w:rFonts w:ascii="Times New Roman" w:hAnsi="Times New Roman"/>
    </w:rPr>
  </w:style>
  <w:style w:type="paragraph" w:styleId="Heading1">
    <w:name w:val="heading 1"/>
    <w:basedOn w:val="Normal"/>
    <w:next w:val="Normal"/>
    <w:link w:val="Heading1Char"/>
    <w:autoRedefine/>
    <w:uiPriority w:val="9"/>
    <w:qFormat/>
    <w:rsid w:val="007909B3"/>
    <w:pPr>
      <w:keepNext/>
      <w:keepLines/>
      <w:spacing w:before="360" w:after="80"/>
      <w:jc w:val="center"/>
      <w:outlineLvl w:val="0"/>
    </w:pPr>
    <w:rPr>
      <w:rFonts w:eastAsiaTheme="majorEastAsia" w:cstheme="majorBidi"/>
      <w:b/>
      <w:color w:val="000000" w:themeColor="text1"/>
      <w:szCs w:val="40"/>
    </w:rPr>
  </w:style>
  <w:style w:type="paragraph" w:styleId="Heading2">
    <w:name w:val="heading 2"/>
    <w:basedOn w:val="Normal"/>
    <w:next w:val="Normal"/>
    <w:link w:val="Heading2Char"/>
    <w:autoRedefine/>
    <w:uiPriority w:val="9"/>
    <w:unhideWhenUsed/>
    <w:qFormat/>
    <w:rsid w:val="009648EB"/>
    <w:pPr>
      <w:keepNext/>
      <w:keepLines/>
      <w:spacing w:before="160" w:after="80"/>
      <w:jc w:val="left"/>
      <w:outlineLvl w:val="1"/>
    </w:pPr>
    <w:rPr>
      <w:rFonts w:eastAsiaTheme="majorEastAsia" w:cstheme="majorBidi"/>
      <w:b/>
      <w:i/>
      <w:color w:val="000000" w:themeColor="text1"/>
      <w:szCs w:val="32"/>
    </w:rPr>
  </w:style>
  <w:style w:type="paragraph" w:styleId="Heading3">
    <w:name w:val="heading 3"/>
    <w:basedOn w:val="Normal"/>
    <w:next w:val="Normal"/>
    <w:link w:val="Heading3Char"/>
    <w:autoRedefine/>
    <w:uiPriority w:val="9"/>
    <w:semiHidden/>
    <w:unhideWhenUsed/>
    <w:qFormat/>
    <w:rsid w:val="00783265"/>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862FA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62FA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62FA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62FA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62FA4"/>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62FA4"/>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09B3"/>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9648EB"/>
    <w:rPr>
      <w:rFonts w:ascii="Times New Roman" w:eastAsiaTheme="majorEastAsia" w:hAnsi="Times New Roman" w:cstheme="majorBidi"/>
      <w:b/>
      <w:i/>
      <w:color w:val="000000" w:themeColor="text1"/>
      <w:szCs w:val="32"/>
    </w:rPr>
  </w:style>
  <w:style w:type="character" w:customStyle="1" w:styleId="Heading3Char">
    <w:name w:val="Heading 3 Char"/>
    <w:basedOn w:val="DefaultParagraphFont"/>
    <w:link w:val="Heading3"/>
    <w:uiPriority w:val="9"/>
    <w:semiHidden/>
    <w:rsid w:val="00783265"/>
    <w:rPr>
      <w:rFonts w:ascii="Times New Roman" w:eastAsiaTheme="majorEastAsia" w:hAnsi="Times New Roman" w:cstheme="majorBidi"/>
      <w:i/>
      <w:szCs w:val="28"/>
    </w:rPr>
  </w:style>
  <w:style w:type="character" w:customStyle="1" w:styleId="Heading4Char">
    <w:name w:val="Heading 4 Char"/>
    <w:basedOn w:val="DefaultParagraphFont"/>
    <w:link w:val="Heading4"/>
    <w:uiPriority w:val="9"/>
    <w:semiHidden/>
    <w:rsid w:val="00862FA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62FA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62F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2F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2F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2FA4"/>
    <w:rPr>
      <w:rFonts w:eastAsiaTheme="majorEastAsia" w:cstheme="majorBidi"/>
      <w:color w:val="272727" w:themeColor="text1" w:themeTint="D8"/>
    </w:rPr>
  </w:style>
  <w:style w:type="paragraph" w:styleId="Title">
    <w:name w:val="Title"/>
    <w:basedOn w:val="Normal"/>
    <w:next w:val="Normal"/>
    <w:link w:val="TitleChar"/>
    <w:uiPriority w:val="10"/>
    <w:qFormat/>
    <w:rsid w:val="00862FA4"/>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2F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2FA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2F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2FA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62FA4"/>
    <w:rPr>
      <w:rFonts w:ascii="Times New Roman" w:hAnsi="Times New Roman"/>
      <w:i/>
      <w:iCs/>
      <w:color w:val="404040" w:themeColor="text1" w:themeTint="BF"/>
    </w:rPr>
  </w:style>
  <w:style w:type="paragraph" w:styleId="ListParagraph">
    <w:name w:val="List Paragraph"/>
    <w:basedOn w:val="Normal"/>
    <w:uiPriority w:val="34"/>
    <w:qFormat/>
    <w:rsid w:val="00862FA4"/>
    <w:pPr>
      <w:ind w:left="720"/>
      <w:contextualSpacing/>
    </w:pPr>
  </w:style>
  <w:style w:type="character" w:styleId="IntenseEmphasis">
    <w:name w:val="Intense Emphasis"/>
    <w:basedOn w:val="DefaultParagraphFont"/>
    <w:uiPriority w:val="21"/>
    <w:qFormat/>
    <w:rsid w:val="00862FA4"/>
    <w:rPr>
      <w:i/>
      <w:iCs/>
      <w:color w:val="2F5496" w:themeColor="accent1" w:themeShade="BF"/>
    </w:rPr>
  </w:style>
  <w:style w:type="paragraph" w:styleId="IntenseQuote">
    <w:name w:val="Intense Quote"/>
    <w:basedOn w:val="Normal"/>
    <w:next w:val="Normal"/>
    <w:link w:val="IntenseQuoteChar"/>
    <w:uiPriority w:val="30"/>
    <w:qFormat/>
    <w:rsid w:val="00862FA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62FA4"/>
    <w:rPr>
      <w:rFonts w:ascii="Times New Roman" w:hAnsi="Times New Roman"/>
      <w:i/>
      <w:iCs/>
      <w:color w:val="2F5496" w:themeColor="accent1" w:themeShade="BF"/>
    </w:rPr>
  </w:style>
  <w:style w:type="character" w:styleId="IntenseReference">
    <w:name w:val="Intense Reference"/>
    <w:basedOn w:val="DefaultParagraphFont"/>
    <w:uiPriority w:val="32"/>
    <w:qFormat/>
    <w:rsid w:val="00862FA4"/>
    <w:rPr>
      <w:b/>
      <w:bCs/>
      <w:smallCaps/>
      <w:color w:val="2F5496" w:themeColor="accent1" w:themeShade="BF"/>
      <w:spacing w:val="5"/>
    </w:rPr>
  </w:style>
  <w:style w:type="paragraph" w:styleId="TOCHeading">
    <w:name w:val="TOC Heading"/>
    <w:basedOn w:val="Heading1"/>
    <w:next w:val="Normal"/>
    <w:uiPriority w:val="39"/>
    <w:unhideWhenUsed/>
    <w:qFormat/>
    <w:rsid w:val="007909B3"/>
    <w:pPr>
      <w:spacing w:before="240" w:after="0" w:line="259" w:lineRule="auto"/>
      <w:jc w:val="left"/>
      <w:outlineLvl w:val="9"/>
    </w:pPr>
    <w:rPr>
      <w:rFonts w:asciiTheme="majorHAnsi" w:hAnsiTheme="majorHAnsi"/>
      <w:b w:val="0"/>
      <w:color w:val="2F5496" w:themeColor="accent1" w:themeShade="BF"/>
      <w:kern w:val="0"/>
      <w:sz w:val="32"/>
      <w:szCs w:val="32"/>
    </w:rPr>
  </w:style>
  <w:style w:type="paragraph" w:styleId="TOC1">
    <w:name w:val="toc 1"/>
    <w:basedOn w:val="Normal"/>
    <w:next w:val="Normal"/>
    <w:autoRedefine/>
    <w:uiPriority w:val="39"/>
    <w:unhideWhenUsed/>
    <w:rsid w:val="007909B3"/>
    <w:pPr>
      <w:spacing w:after="100"/>
    </w:pPr>
  </w:style>
  <w:style w:type="character" w:styleId="Hyperlink">
    <w:name w:val="Hyperlink"/>
    <w:basedOn w:val="DefaultParagraphFont"/>
    <w:uiPriority w:val="99"/>
    <w:unhideWhenUsed/>
    <w:rsid w:val="007909B3"/>
    <w:rPr>
      <w:color w:val="0563C1" w:themeColor="hyperlink"/>
      <w:u w:val="single"/>
    </w:rPr>
  </w:style>
  <w:style w:type="paragraph" w:styleId="BalloonText">
    <w:name w:val="Balloon Text"/>
    <w:basedOn w:val="Normal"/>
    <w:link w:val="BalloonTextChar"/>
    <w:uiPriority w:val="99"/>
    <w:semiHidden/>
    <w:unhideWhenUsed/>
    <w:rsid w:val="005A6FF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6FF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CF4FAA-85A0-4A81-8B3B-2F6F289E1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4921</Words>
  <Characters>28051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32907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Kudeja Begum</dc:creator>
  <cp:lastModifiedBy>user</cp:lastModifiedBy>
  <cp:revision>2</cp:revision>
  <dcterms:created xsi:type="dcterms:W3CDTF">2025-08-24T20:56:00Z</dcterms:created>
  <dcterms:modified xsi:type="dcterms:W3CDTF">2025-08-24T20:56:00Z</dcterms:modified>
</cp:coreProperties>
</file>