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Default Extension="odttf" ContentType="application/vnd.openxmlformats-officedocument.obfuscatedFont"/>
  <Override PartName="/word/document.xml" ContentType="application/vnd.openxmlformats-officedocument.wordprocessingml.document.main+xml"/>
  <Override PartName="/customXml/itemProps1.xml" ContentType="application/vnd.openxmlformats-officedocument.customXmlProperties+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body>
    <w:p w14:paraId="635F2C84" w14:textId="77777777" w:rsidR="00684A83" w:rsidRDefault="00836F93">
      <w:pPr>
        <w:jc w:val="center"/>
        <w:rPr>
          <w:rFonts w:ascii="Arial" w:eastAsia="Arial" w:hAnsi="Arial" w:cs="Arial"/>
          <w:b/>
          <w:bCs/>
          <w:sz w:val="32"/>
          <w:szCs w:val="32"/>
        </w:rPr>
      </w:pPr>
      <w:bookmarkStart w:id="0" w:name="_heading=h.9eji37hgo5y" w:colFirst="0" w:colLast="0"/>
      <w:bookmarkEnd w:id="0"/>
      <w:r>
        <w:rPr>
          <w:rFonts w:ascii="Arial" w:eastAsia="Arial" w:hAnsi="Arial" w:cs="Arial"/>
          <w:b/>
          <w:bCs/>
          <w:noProof/>
          <w:sz w:val="32"/>
          <w:szCs w:val="32"/>
          <w:lang w:val="ro-RO" w:eastAsia="ro-RO"/>
        </w:rPr>
        <w:drawing>
          <wp:inline distT="0" distB="0" distL="0" distR="0" wp14:anchorId="0105B7C1" wp14:editId="5367289A">
            <wp:extent cx="2514729" cy="1238314"/>
            <wp:effectExtent l="0" t="0" r="0" b="0"/>
            <wp:docPr id="386938902" name="image1.png"/>
            <wp:cNvGraphicFramePr/>
            <a:graphic xmlns:a="http://schemas.openxmlformats.org/drawingml/2006/main">
              <a:graphicData uri="http://schemas.openxmlformats.org/drawingml/2006/picture">
                <pic:pic xmlns:pic="http://schemas.openxmlformats.org/drawingml/2006/picture">
                  <pic:nvPicPr>
                    <pic:cNvPr id="0" name="image1.png"/>
                    <pic:cNvPicPr preferRelativeResize="0"/>
                  </pic:nvPicPr>
                  <pic:blipFill>
                    <a:blip r:embed="rId7"/>
                    <a:srcRect/>
                    <a:stretch>
                      <a:fillRect/>
                    </a:stretch>
                  </pic:blipFill>
                  <pic:spPr>
                    <a:xfrm>
                      <a:off x="0" y="0"/>
                      <a:ext cx="2514729" cy="1238314"/>
                    </a:xfrm>
                    <a:prstGeom prst="rect">
                      <a:avLst/>
                    </a:prstGeom>
                    <a:ln/>
                  </pic:spPr>
                </pic:pic>
              </a:graphicData>
            </a:graphic>
          </wp:inline>
        </w:drawing>
      </w:r>
    </w:p>
    <w:p w14:paraId="553BC2A8" w14:textId="77777777" w:rsidR="00684A83" w:rsidRDefault="00684A83">
      <w:pPr>
        <w:jc w:val="center"/>
        <w:rPr>
          <w:rFonts w:ascii="Arial" w:eastAsia="Arial" w:hAnsi="Arial" w:cs="Arial"/>
          <w:b/>
          <w:bCs/>
          <w:sz w:val="32"/>
          <w:szCs w:val="32"/>
        </w:rPr>
      </w:pPr>
    </w:p>
    <w:p w14:paraId="70A786C9" w14:textId="77777777" w:rsidR="00684A83" w:rsidRDefault="00684A83">
      <w:pPr>
        <w:jc w:val="center"/>
        <w:rPr>
          <w:rFonts w:ascii="Arial" w:eastAsia="Arial" w:hAnsi="Arial" w:cs="Arial"/>
          <w:b/>
          <w:bCs/>
          <w:sz w:val="32"/>
          <w:szCs w:val="32"/>
        </w:rPr>
      </w:pPr>
    </w:p>
    <w:p w14:paraId="65EAD277" w14:textId="77777777" w:rsidR="00684A83" w:rsidRDefault="00836F93">
      <w:pPr>
        <w:jc w:val="center"/>
        <w:rPr>
          <w:rFonts w:ascii="Arial" w:eastAsia="Arial" w:hAnsi="Arial" w:cs="Arial"/>
          <w:b/>
          <w:bCs/>
          <w:sz w:val="32"/>
          <w:szCs w:val="32"/>
        </w:rPr>
      </w:pPr>
      <w:r>
        <w:rPr>
          <w:rFonts w:ascii="Arial" w:eastAsia="Arial" w:hAnsi="Arial" w:cs="Arial"/>
          <w:b/>
          <w:bCs/>
          <w:sz w:val="32"/>
          <w:szCs w:val="32"/>
        </w:rPr>
        <w:t>Programme: BA (Hons) Business Management</w:t>
      </w:r>
    </w:p>
    <w:p w14:paraId="7C990C66" w14:textId="77777777" w:rsidR="00684A83" w:rsidRDefault="00836F93">
      <w:pPr>
        <w:jc w:val="center"/>
        <w:rPr>
          <w:rFonts w:ascii="Arial" w:eastAsia="Arial" w:hAnsi="Arial" w:cs="Arial"/>
          <w:b/>
          <w:bCs/>
          <w:sz w:val="32"/>
          <w:szCs w:val="32"/>
        </w:rPr>
      </w:pPr>
      <w:r>
        <w:rPr>
          <w:rFonts w:ascii="Arial" w:eastAsia="Arial" w:hAnsi="Arial" w:cs="Arial"/>
          <w:b/>
          <w:bCs/>
          <w:sz w:val="32"/>
          <w:szCs w:val="32"/>
        </w:rPr>
        <w:t>Module: Academic Skills</w:t>
      </w:r>
    </w:p>
    <w:p w14:paraId="167D97D9" w14:textId="77777777" w:rsidR="00684A83" w:rsidRDefault="00836F93">
      <w:pPr>
        <w:jc w:val="center"/>
        <w:rPr>
          <w:rFonts w:ascii="Arial" w:eastAsia="Arial" w:hAnsi="Arial" w:cs="Arial"/>
          <w:b/>
          <w:bCs/>
          <w:sz w:val="32"/>
          <w:szCs w:val="32"/>
        </w:rPr>
      </w:pPr>
      <w:r>
        <w:rPr>
          <w:rFonts w:ascii="Arial" w:eastAsia="Arial" w:hAnsi="Arial" w:cs="Arial"/>
          <w:b/>
          <w:bCs/>
          <w:sz w:val="32"/>
          <w:szCs w:val="32"/>
        </w:rPr>
        <w:t>Module code: LCBB4012</w:t>
      </w:r>
    </w:p>
    <w:p w14:paraId="3C7EFD44" w14:textId="64AA2D78" w:rsidR="00684A83" w:rsidRDefault="00836F93" w:rsidP="00660094">
      <w:pPr>
        <w:jc w:val="center"/>
        <w:rPr>
          <w:rFonts w:ascii="Arial" w:eastAsia="Arial" w:hAnsi="Arial" w:cs="Arial"/>
          <w:b/>
          <w:bCs/>
          <w:sz w:val="32"/>
          <w:szCs w:val="32"/>
        </w:rPr>
      </w:pPr>
      <w:r>
        <w:rPr>
          <w:rFonts w:ascii="Arial" w:eastAsia="Arial" w:hAnsi="Arial" w:cs="Arial"/>
          <w:b/>
          <w:bCs/>
          <w:sz w:val="32"/>
          <w:szCs w:val="32"/>
        </w:rPr>
        <w:t>Assignment Title: Component 2: Coursework Group Report</w:t>
      </w:r>
    </w:p>
    <w:p w14:paraId="6134F045" w14:textId="27DF53CF" w:rsidR="00684A83" w:rsidRDefault="00836F93" w:rsidP="00025252">
      <w:pPr>
        <w:jc w:val="center"/>
        <w:rPr>
          <w:rFonts w:ascii="Arial" w:eastAsia="Arial" w:hAnsi="Arial" w:cs="Arial"/>
          <w:b/>
          <w:bCs/>
          <w:sz w:val="32"/>
          <w:szCs w:val="32"/>
        </w:rPr>
      </w:pPr>
      <w:r>
        <w:rPr>
          <w:rFonts w:ascii="Arial" w:eastAsia="Arial" w:hAnsi="Arial" w:cs="Arial"/>
          <w:b/>
          <w:bCs/>
          <w:sz w:val="32"/>
          <w:szCs w:val="32"/>
        </w:rPr>
        <w:t>Student Name: Alina Simon</w:t>
      </w:r>
    </w:p>
    <w:p w14:paraId="06F95D0E" w14:textId="1C541244" w:rsidR="00660094" w:rsidRDefault="00025252" w:rsidP="00836F93">
      <w:pPr>
        <w:jc w:val="center"/>
        <w:rPr>
          <w:rFonts w:ascii="Arial" w:eastAsia="Arial" w:hAnsi="Arial" w:cs="Arial"/>
          <w:b/>
          <w:bCs/>
          <w:sz w:val="32"/>
          <w:szCs w:val="32"/>
        </w:rPr>
      </w:pPr>
      <w:r>
        <w:rPr>
          <w:rFonts w:ascii="Arial" w:eastAsia="Arial" w:hAnsi="Arial" w:cs="Arial"/>
          <w:b/>
          <w:bCs/>
          <w:sz w:val="32"/>
          <w:szCs w:val="32"/>
        </w:rPr>
        <w:t>Student ID:</w:t>
      </w:r>
      <w:r w:rsidR="00836F93">
        <w:rPr>
          <w:rFonts w:ascii="Arial" w:eastAsia="Arial" w:hAnsi="Arial" w:cs="Arial"/>
          <w:b/>
          <w:bCs/>
          <w:sz w:val="32"/>
          <w:szCs w:val="32"/>
        </w:rPr>
        <w:t xml:space="preserve"> 2513662</w:t>
      </w:r>
      <w:bookmarkStart w:id="1" w:name="_GoBack"/>
      <w:bookmarkEnd w:id="1"/>
    </w:p>
    <w:p w14:paraId="5EC3D030" w14:textId="77777777" w:rsidR="00684A83" w:rsidRDefault="00836F93">
      <w:pPr>
        <w:rPr>
          <w:rFonts w:ascii="Arial" w:eastAsia="Arial" w:hAnsi="Arial" w:cs="Arial"/>
          <w:b/>
          <w:bCs/>
          <w:sz w:val="32"/>
          <w:szCs w:val="32"/>
        </w:rPr>
      </w:pPr>
      <w:r>
        <w:br w:type="page"/>
      </w:r>
    </w:p>
    <w:p w14:paraId="1916B31B" w14:textId="77777777" w:rsidR="00684A83" w:rsidRDefault="00836F93">
      <w:pPr>
        <w:keepNext/>
        <w:keepLines/>
        <w:pBdr>
          <w:top w:val="nil"/>
          <w:left w:val="nil"/>
          <w:bottom w:val="nil"/>
          <w:right w:val="nil"/>
          <w:between w:val="nil"/>
        </w:pBdr>
        <w:spacing w:before="240" w:after="0"/>
        <w:jc w:val="center"/>
        <w:rPr>
          <w:rFonts w:ascii="Arial" w:eastAsia="Arial" w:hAnsi="Arial" w:cs="Arial"/>
          <w:b/>
          <w:bCs/>
          <w:color w:val="000000"/>
        </w:rPr>
      </w:pPr>
      <w:r>
        <w:rPr>
          <w:rFonts w:ascii="Arial" w:eastAsia="Arial" w:hAnsi="Arial" w:cs="Arial"/>
          <w:b/>
          <w:bCs/>
          <w:color w:val="000000"/>
        </w:rPr>
        <w:lastRenderedPageBreak/>
        <w:t>Table of Contents</w:t>
      </w:r>
    </w:p>
    <w:sdt>
      <w:sdtPr>
        <w:id w:val="1977167338"/>
        <w:docPartObj>
          <w:docPartGallery w:val="Table of Contents"/>
          <w:docPartUnique/>
        </w:docPartObj>
      </w:sdtPr>
      <w:sdtEndPr/>
      <w:sdtContent>
        <w:p w14:paraId="16E1DB58" w14:textId="77777777" w:rsidR="00684A83" w:rsidRDefault="00836F93">
          <w:pPr>
            <w:pBdr>
              <w:top w:val="nil"/>
              <w:left w:val="nil"/>
              <w:bottom w:val="nil"/>
              <w:right w:val="nil"/>
              <w:between w:val="nil"/>
            </w:pBdr>
            <w:tabs>
              <w:tab w:val="right" w:leader="dot" w:pos="9019"/>
            </w:tabs>
            <w:spacing w:after="100"/>
            <w:rPr>
              <w:rFonts w:ascii="Arial" w:eastAsia="Arial" w:hAnsi="Arial" w:cs="Arial"/>
              <w:color w:val="000000"/>
            </w:rPr>
          </w:pPr>
          <w:r>
            <w:fldChar w:fldCharType="begin"/>
          </w:r>
          <w:r>
            <w:instrText xml:space="preserve"> TOC \h \u \z \t "Heading 1,1,Heading 2,2,Heading 3,3,"</w:instrText>
          </w:r>
          <w:r>
            <w:fldChar w:fldCharType="separate"/>
          </w:r>
          <w:hyperlink w:anchor="_heading=h.yu3pgsk60dmp">
            <w:r>
              <w:rPr>
                <w:rFonts w:ascii="Arial" w:eastAsia="Arial" w:hAnsi="Arial" w:cs="Arial"/>
                <w:color w:val="000000"/>
              </w:rPr>
              <w:t>1. Introduction</w:t>
            </w:r>
            <w:r>
              <w:rPr>
                <w:rFonts w:ascii="Arial" w:eastAsia="Arial" w:hAnsi="Arial" w:cs="Arial"/>
                <w:color w:val="000000"/>
              </w:rPr>
              <w:tab/>
              <w:t>3</w:t>
            </w:r>
          </w:hyperlink>
        </w:p>
        <w:p w14:paraId="71A86BD9" w14:textId="77777777" w:rsidR="00684A83" w:rsidRDefault="00836F93">
          <w:pPr>
            <w:pBdr>
              <w:top w:val="nil"/>
              <w:left w:val="nil"/>
              <w:bottom w:val="nil"/>
              <w:right w:val="nil"/>
              <w:between w:val="nil"/>
            </w:pBdr>
            <w:tabs>
              <w:tab w:val="right" w:leader="dot" w:pos="9019"/>
            </w:tabs>
            <w:spacing w:after="100"/>
            <w:ind w:left="240"/>
            <w:rPr>
              <w:rFonts w:ascii="Arial" w:eastAsia="Arial" w:hAnsi="Arial" w:cs="Arial"/>
              <w:color w:val="000000"/>
            </w:rPr>
          </w:pPr>
          <w:hyperlink w:anchor="_heading=h.az6aps160e4m">
            <w:r>
              <w:rPr>
                <w:rFonts w:ascii="Arial" w:eastAsia="Arial" w:hAnsi="Arial" w:cs="Arial"/>
                <w:color w:val="000000"/>
              </w:rPr>
              <w:t>1.1 Chosen topics</w:t>
            </w:r>
            <w:r>
              <w:rPr>
                <w:rFonts w:ascii="Arial" w:eastAsia="Arial" w:hAnsi="Arial" w:cs="Arial"/>
                <w:color w:val="000000"/>
              </w:rPr>
              <w:tab/>
              <w:t>3</w:t>
            </w:r>
          </w:hyperlink>
        </w:p>
        <w:p w14:paraId="653E5C77" w14:textId="77777777" w:rsidR="00684A83" w:rsidRDefault="00836F93">
          <w:pPr>
            <w:pBdr>
              <w:top w:val="nil"/>
              <w:left w:val="nil"/>
              <w:bottom w:val="nil"/>
              <w:right w:val="nil"/>
              <w:between w:val="nil"/>
            </w:pBdr>
            <w:tabs>
              <w:tab w:val="right" w:leader="dot" w:pos="9019"/>
            </w:tabs>
            <w:spacing w:after="100"/>
            <w:ind w:left="240"/>
            <w:rPr>
              <w:rFonts w:ascii="Arial" w:eastAsia="Arial" w:hAnsi="Arial" w:cs="Arial"/>
              <w:color w:val="000000"/>
            </w:rPr>
          </w:pPr>
          <w:hyperlink w:anchor="_heading=h.n6rg8y71lwpa">
            <w:r>
              <w:rPr>
                <w:rFonts w:ascii="Arial" w:eastAsia="Arial" w:hAnsi="Arial" w:cs="Arial"/>
                <w:color w:val="000000"/>
              </w:rPr>
              <w:t>1.2 Purpose and structure of the report</w:t>
            </w:r>
            <w:r>
              <w:rPr>
                <w:rFonts w:ascii="Arial" w:eastAsia="Arial" w:hAnsi="Arial" w:cs="Arial"/>
                <w:color w:val="000000"/>
              </w:rPr>
              <w:tab/>
              <w:t>3</w:t>
            </w:r>
          </w:hyperlink>
        </w:p>
        <w:p w14:paraId="246E2C28" w14:textId="77777777" w:rsidR="00684A83" w:rsidRDefault="00836F93">
          <w:pPr>
            <w:pBdr>
              <w:top w:val="nil"/>
              <w:left w:val="nil"/>
              <w:bottom w:val="nil"/>
              <w:right w:val="nil"/>
              <w:between w:val="nil"/>
            </w:pBdr>
            <w:tabs>
              <w:tab w:val="right" w:leader="dot" w:pos="9019"/>
            </w:tabs>
            <w:spacing w:after="100"/>
            <w:rPr>
              <w:rFonts w:ascii="Arial" w:eastAsia="Arial" w:hAnsi="Arial" w:cs="Arial"/>
              <w:color w:val="000000"/>
            </w:rPr>
          </w:pPr>
          <w:hyperlink w:anchor="_heading=h.du72mosvy8ls">
            <w:r>
              <w:rPr>
                <w:rFonts w:ascii="Arial" w:eastAsia="Arial" w:hAnsi="Arial" w:cs="Arial"/>
                <w:color w:val="000000"/>
              </w:rPr>
              <w:t>2. Definition of the skills</w:t>
            </w:r>
            <w:r>
              <w:rPr>
                <w:rFonts w:ascii="Arial" w:eastAsia="Arial" w:hAnsi="Arial" w:cs="Arial"/>
                <w:color w:val="000000"/>
              </w:rPr>
              <w:tab/>
              <w:t>3</w:t>
            </w:r>
          </w:hyperlink>
        </w:p>
        <w:p w14:paraId="31A0B5BA" w14:textId="77777777" w:rsidR="00684A83" w:rsidRDefault="00836F93">
          <w:pPr>
            <w:pBdr>
              <w:top w:val="nil"/>
              <w:left w:val="nil"/>
              <w:bottom w:val="nil"/>
              <w:right w:val="nil"/>
              <w:between w:val="nil"/>
            </w:pBdr>
            <w:tabs>
              <w:tab w:val="right" w:leader="dot" w:pos="9019"/>
            </w:tabs>
            <w:spacing w:after="100"/>
            <w:ind w:left="240"/>
            <w:rPr>
              <w:rFonts w:ascii="Arial" w:eastAsia="Arial" w:hAnsi="Arial" w:cs="Arial"/>
              <w:color w:val="000000"/>
            </w:rPr>
          </w:pPr>
          <w:hyperlink w:anchor="_heading=h.pvi3iddbf8dh">
            <w:r>
              <w:rPr>
                <w:rFonts w:ascii="Arial" w:eastAsia="Arial" w:hAnsi="Arial" w:cs="Arial"/>
                <w:color w:val="000000"/>
              </w:rPr>
              <w:t>2.1 Defining teamwork and academic writing skill</w:t>
            </w:r>
            <w:r>
              <w:rPr>
                <w:rFonts w:ascii="Arial" w:eastAsia="Arial" w:hAnsi="Arial" w:cs="Arial"/>
                <w:color w:val="000000"/>
              </w:rPr>
              <w:t>s</w:t>
            </w:r>
            <w:r>
              <w:rPr>
                <w:rFonts w:ascii="Arial" w:eastAsia="Arial" w:hAnsi="Arial" w:cs="Arial"/>
                <w:color w:val="000000"/>
              </w:rPr>
              <w:tab/>
              <w:t>3</w:t>
            </w:r>
          </w:hyperlink>
        </w:p>
        <w:p w14:paraId="7D686713" w14:textId="77777777" w:rsidR="00684A83" w:rsidRDefault="00836F93">
          <w:pPr>
            <w:pBdr>
              <w:top w:val="nil"/>
              <w:left w:val="nil"/>
              <w:bottom w:val="nil"/>
              <w:right w:val="nil"/>
              <w:between w:val="nil"/>
            </w:pBdr>
            <w:tabs>
              <w:tab w:val="right" w:leader="dot" w:pos="9019"/>
            </w:tabs>
            <w:spacing w:after="100"/>
            <w:ind w:left="240"/>
            <w:rPr>
              <w:rFonts w:ascii="Arial" w:eastAsia="Arial" w:hAnsi="Arial" w:cs="Arial"/>
              <w:color w:val="000000"/>
            </w:rPr>
          </w:pPr>
          <w:hyperlink w:anchor="_heading=h.phcaggp70qft">
            <w:r>
              <w:rPr>
                <w:rFonts w:ascii="Arial" w:eastAsia="Arial" w:hAnsi="Arial" w:cs="Arial"/>
                <w:color w:val="000000"/>
              </w:rPr>
              <w:t>2.2 Key components relevant to each skill</w:t>
            </w:r>
            <w:r>
              <w:rPr>
                <w:rFonts w:ascii="Arial" w:eastAsia="Arial" w:hAnsi="Arial" w:cs="Arial"/>
                <w:color w:val="000000"/>
              </w:rPr>
              <w:tab/>
              <w:t>4</w:t>
            </w:r>
          </w:hyperlink>
        </w:p>
        <w:p w14:paraId="2947412F" w14:textId="77777777" w:rsidR="00684A83" w:rsidRDefault="00836F93">
          <w:pPr>
            <w:pBdr>
              <w:top w:val="nil"/>
              <w:left w:val="nil"/>
              <w:bottom w:val="nil"/>
              <w:right w:val="nil"/>
              <w:between w:val="nil"/>
            </w:pBdr>
            <w:tabs>
              <w:tab w:val="right" w:leader="dot" w:pos="9019"/>
            </w:tabs>
            <w:spacing w:after="100"/>
            <w:rPr>
              <w:rFonts w:ascii="Arial" w:eastAsia="Arial" w:hAnsi="Arial" w:cs="Arial"/>
              <w:color w:val="000000"/>
            </w:rPr>
          </w:pPr>
          <w:hyperlink w:anchor="_heading=h.d99krc6deu0p">
            <w:r>
              <w:rPr>
                <w:rFonts w:ascii="Arial" w:eastAsia="Arial" w:hAnsi="Arial" w:cs="Arial"/>
                <w:color w:val="000000"/>
              </w:rPr>
              <w:t>3. Importance of the skill 1 (teamwork skills)</w:t>
            </w:r>
            <w:r>
              <w:rPr>
                <w:rFonts w:ascii="Arial" w:eastAsia="Arial" w:hAnsi="Arial" w:cs="Arial"/>
                <w:color w:val="000000"/>
              </w:rPr>
              <w:tab/>
              <w:t>4</w:t>
            </w:r>
          </w:hyperlink>
        </w:p>
        <w:p w14:paraId="2D9C7687" w14:textId="77777777" w:rsidR="00684A83" w:rsidRDefault="00836F93">
          <w:pPr>
            <w:pBdr>
              <w:top w:val="nil"/>
              <w:left w:val="nil"/>
              <w:bottom w:val="nil"/>
              <w:right w:val="nil"/>
              <w:between w:val="nil"/>
            </w:pBdr>
            <w:tabs>
              <w:tab w:val="right" w:leader="dot" w:pos="9019"/>
            </w:tabs>
            <w:spacing w:after="100"/>
            <w:ind w:left="240"/>
            <w:rPr>
              <w:rFonts w:ascii="Arial" w:eastAsia="Arial" w:hAnsi="Arial" w:cs="Arial"/>
              <w:color w:val="000000"/>
            </w:rPr>
          </w:pPr>
          <w:hyperlink w:anchor="_heading=h.d2x928wpbg6h">
            <w:r>
              <w:rPr>
                <w:rFonts w:ascii="Arial" w:eastAsia="Arial" w:hAnsi="Arial" w:cs="Arial"/>
                <w:color w:val="000000"/>
              </w:rPr>
              <w:t>3.1 Importance of tea</w:t>
            </w:r>
            <w:r>
              <w:rPr>
                <w:rFonts w:ascii="Arial" w:eastAsia="Arial" w:hAnsi="Arial" w:cs="Arial"/>
                <w:color w:val="000000"/>
              </w:rPr>
              <w:t>mwork skills in academic success</w:t>
            </w:r>
            <w:r>
              <w:rPr>
                <w:rFonts w:ascii="Arial" w:eastAsia="Arial" w:hAnsi="Arial" w:cs="Arial"/>
                <w:color w:val="000000"/>
              </w:rPr>
              <w:tab/>
              <w:t>4</w:t>
            </w:r>
          </w:hyperlink>
        </w:p>
        <w:p w14:paraId="667BD356" w14:textId="77777777" w:rsidR="00684A83" w:rsidRDefault="00836F93">
          <w:pPr>
            <w:pBdr>
              <w:top w:val="nil"/>
              <w:left w:val="nil"/>
              <w:bottom w:val="nil"/>
              <w:right w:val="nil"/>
              <w:between w:val="nil"/>
            </w:pBdr>
            <w:tabs>
              <w:tab w:val="right" w:leader="dot" w:pos="9019"/>
            </w:tabs>
            <w:spacing w:after="100"/>
            <w:ind w:left="240"/>
            <w:rPr>
              <w:rFonts w:ascii="Arial" w:eastAsia="Arial" w:hAnsi="Arial" w:cs="Arial"/>
              <w:color w:val="000000"/>
            </w:rPr>
          </w:pPr>
          <w:hyperlink w:anchor="_heading=h.t4ung6gfuy6">
            <w:r>
              <w:rPr>
                <w:rFonts w:ascii="Arial" w:eastAsia="Arial" w:hAnsi="Arial" w:cs="Arial"/>
                <w:color w:val="000000"/>
              </w:rPr>
              <w:t>3.2 Exploring its relevance in professional or business environments</w:t>
            </w:r>
            <w:r>
              <w:rPr>
                <w:rFonts w:ascii="Arial" w:eastAsia="Arial" w:hAnsi="Arial" w:cs="Arial"/>
                <w:color w:val="000000"/>
              </w:rPr>
              <w:tab/>
              <w:t>5</w:t>
            </w:r>
          </w:hyperlink>
        </w:p>
        <w:p w14:paraId="37677038" w14:textId="77777777" w:rsidR="00684A83" w:rsidRDefault="00836F93">
          <w:pPr>
            <w:pBdr>
              <w:top w:val="nil"/>
              <w:left w:val="nil"/>
              <w:bottom w:val="nil"/>
              <w:right w:val="nil"/>
              <w:between w:val="nil"/>
            </w:pBdr>
            <w:tabs>
              <w:tab w:val="right" w:leader="dot" w:pos="9019"/>
            </w:tabs>
            <w:spacing w:after="100"/>
            <w:rPr>
              <w:rFonts w:ascii="Arial" w:eastAsia="Arial" w:hAnsi="Arial" w:cs="Arial"/>
              <w:color w:val="000000"/>
            </w:rPr>
          </w:pPr>
          <w:hyperlink w:anchor="_heading=h.hd24kafb4ti8">
            <w:r>
              <w:rPr>
                <w:rFonts w:ascii="Arial" w:eastAsia="Arial" w:hAnsi="Arial" w:cs="Arial"/>
                <w:color w:val="000000"/>
              </w:rPr>
              <w:t>4. Importance of skill 2 (academic writing skills)</w:t>
            </w:r>
            <w:r>
              <w:rPr>
                <w:rFonts w:ascii="Arial" w:eastAsia="Arial" w:hAnsi="Arial" w:cs="Arial"/>
                <w:color w:val="000000"/>
              </w:rPr>
              <w:tab/>
              <w:t>5</w:t>
            </w:r>
          </w:hyperlink>
        </w:p>
        <w:p w14:paraId="1648F65A" w14:textId="77777777" w:rsidR="00684A83" w:rsidRDefault="00836F93">
          <w:pPr>
            <w:pBdr>
              <w:top w:val="nil"/>
              <w:left w:val="nil"/>
              <w:bottom w:val="nil"/>
              <w:right w:val="nil"/>
              <w:between w:val="nil"/>
            </w:pBdr>
            <w:tabs>
              <w:tab w:val="right" w:leader="dot" w:pos="9019"/>
            </w:tabs>
            <w:spacing w:after="100"/>
            <w:ind w:left="240"/>
            <w:rPr>
              <w:rFonts w:ascii="Arial" w:eastAsia="Arial" w:hAnsi="Arial" w:cs="Arial"/>
              <w:color w:val="000000"/>
            </w:rPr>
          </w:pPr>
          <w:hyperlink w:anchor="_heading=h.klpydbtzrgei">
            <w:r>
              <w:rPr>
                <w:rFonts w:ascii="Arial" w:eastAsia="Arial" w:hAnsi="Arial" w:cs="Arial"/>
                <w:color w:val="000000"/>
              </w:rPr>
              <w:t>4.1 Significance of academic writing skills in academic success</w:t>
            </w:r>
            <w:r>
              <w:rPr>
                <w:rFonts w:ascii="Arial" w:eastAsia="Arial" w:hAnsi="Arial" w:cs="Arial"/>
                <w:color w:val="000000"/>
              </w:rPr>
              <w:tab/>
              <w:t>5</w:t>
            </w:r>
          </w:hyperlink>
        </w:p>
        <w:p w14:paraId="081FA4A7" w14:textId="77777777" w:rsidR="00684A83" w:rsidRDefault="00836F93">
          <w:pPr>
            <w:pBdr>
              <w:top w:val="nil"/>
              <w:left w:val="nil"/>
              <w:bottom w:val="nil"/>
              <w:right w:val="nil"/>
              <w:between w:val="nil"/>
            </w:pBdr>
            <w:tabs>
              <w:tab w:val="right" w:leader="dot" w:pos="9019"/>
            </w:tabs>
            <w:spacing w:after="100"/>
            <w:ind w:left="240"/>
            <w:rPr>
              <w:rFonts w:ascii="Arial" w:eastAsia="Arial" w:hAnsi="Arial" w:cs="Arial"/>
              <w:color w:val="000000"/>
            </w:rPr>
          </w:pPr>
          <w:hyperlink w:anchor="_heading=h.nsjk49xiiy35">
            <w:r>
              <w:rPr>
                <w:rFonts w:ascii="Arial" w:eastAsia="Arial" w:hAnsi="Arial" w:cs="Arial"/>
                <w:color w:val="000000"/>
              </w:rPr>
              <w:t>4.2 Exploring its relevance in professional or business environments</w:t>
            </w:r>
            <w:r>
              <w:rPr>
                <w:rFonts w:ascii="Arial" w:eastAsia="Arial" w:hAnsi="Arial" w:cs="Arial"/>
                <w:color w:val="000000"/>
              </w:rPr>
              <w:tab/>
              <w:t>6</w:t>
            </w:r>
          </w:hyperlink>
        </w:p>
        <w:p w14:paraId="40FC58DC" w14:textId="77777777" w:rsidR="00684A83" w:rsidRDefault="00836F93">
          <w:pPr>
            <w:pBdr>
              <w:top w:val="nil"/>
              <w:left w:val="nil"/>
              <w:bottom w:val="nil"/>
              <w:right w:val="nil"/>
              <w:between w:val="nil"/>
            </w:pBdr>
            <w:tabs>
              <w:tab w:val="right" w:leader="dot" w:pos="9019"/>
            </w:tabs>
            <w:spacing w:after="100"/>
            <w:rPr>
              <w:rFonts w:ascii="Arial" w:eastAsia="Arial" w:hAnsi="Arial" w:cs="Arial"/>
              <w:color w:val="000000"/>
            </w:rPr>
          </w:pPr>
          <w:hyperlink w:anchor="_heading=h.9128t35fs05r">
            <w:r>
              <w:rPr>
                <w:rFonts w:ascii="Arial" w:eastAsia="Arial" w:hAnsi="Arial" w:cs="Arial"/>
                <w:color w:val="000000"/>
              </w:rPr>
              <w:t>5. Strategies to improve skill 1</w:t>
            </w:r>
            <w:r>
              <w:rPr>
                <w:rFonts w:ascii="Arial" w:eastAsia="Arial" w:hAnsi="Arial" w:cs="Arial"/>
                <w:color w:val="000000"/>
              </w:rPr>
              <w:tab/>
              <w:t>6</w:t>
            </w:r>
          </w:hyperlink>
        </w:p>
        <w:p w14:paraId="2BE9C09F" w14:textId="77777777" w:rsidR="00684A83" w:rsidRDefault="00836F93">
          <w:pPr>
            <w:pBdr>
              <w:top w:val="nil"/>
              <w:left w:val="nil"/>
              <w:bottom w:val="nil"/>
              <w:right w:val="nil"/>
              <w:between w:val="nil"/>
            </w:pBdr>
            <w:tabs>
              <w:tab w:val="right" w:leader="dot" w:pos="9019"/>
            </w:tabs>
            <w:spacing w:after="100"/>
            <w:ind w:left="240"/>
            <w:rPr>
              <w:rFonts w:ascii="Arial" w:eastAsia="Arial" w:hAnsi="Arial" w:cs="Arial"/>
              <w:color w:val="000000"/>
            </w:rPr>
          </w:pPr>
          <w:hyperlink w:anchor="_heading=h.nyrjs1nlfzmo">
            <w:r>
              <w:rPr>
                <w:rFonts w:ascii="Arial" w:eastAsia="Arial" w:hAnsi="Arial" w:cs="Arial"/>
                <w:color w:val="000000"/>
              </w:rPr>
              <w:t>5.1 Two strategies students or professionals can use to improve teamwork skills</w:t>
            </w:r>
            <w:r>
              <w:rPr>
                <w:rFonts w:ascii="Arial" w:eastAsia="Arial" w:hAnsi="Arial" w:cs="Arial"/>
                <w:color w:val="000000"/>
              </w:rPr>
              <w:tab/>
              <w:t>6</w:t>
            </w:r>
          </w:hyperlink>
        </w:p>
        <w:p w14:paraId="418F5F4A" w14:textId="77777777" w:rsidR="00684A83" w:rsidRDefault="00836F93">
          <w:pPr>
            <w:pBdr>
              <w:top w:val="nil"/>
              <w:left w:val="nil"/>
              <w:bottom w:val="nil"/>
              <w:right w:val="nil"/>
              <w:between w:val="nil"/>
            </w:pBdr>
            <w:tabs>
              <w:tab w:val="right" w:leader="dot" w:pos="9019"/>
            </w:tabs>
            <w:spacing w:after="100"/>
            <w:rPr>
              <w:rFonts w:ascii="Arial" w:eastAsia="Arial" w:hAnsi="Arial" w:cs="Arial"/>
              <w:color w:val="000000"/>
            </w:rPr>
          </w:pPr>
          <w:hyperlink w:anchor="_heading=h.p75tmsg2o55o">
            <w:r>
              <w:rPr>
                <w:rFonts w:ascii="Arial" w:eastAsia="Arial" w:hAnsi="Arial" w:cs="Arial"/>
                <w:color w:val="000000"/>
              </w:rPr>
              <w:t>6. Strategies to improve skill</w:t>
            </w:r>
            <w:r>
              <w:rPr>
                <w:rFonts w:ascii="Arial" w:eastAsia="Arial" w:hAnsi="Arial" w:cs="Arial"/>
                <w:color w:val="000000"/>
              </w:rPr>
              <w:t xml:space="preserve"> 2</w:t>
            </w:r>
            <w:r>
              <w:rPr>
                <w:rFonts w:ascii="Arial" w:eastAsia="Arial" w:hAnsi="Arial" w:cs="Arial"/>
                <w:color w:val="000000"/>
              </w:rPr>
              <w:tab/>
              <w:t>7</w:t>
            </w:r>
          </w:hyperlink>
        </w:p>
        <w:p w14:paraId="34477752" w14:textId="77777777" w:rsidR="00684A83" w:rsidRDefault="00836F93">
          <w:pPr>
            <w:pBdr>
              <w:top w:val="nil"/>
              <w:left w:val="nil"/>
              <w:bottom w:val="nil"/>
              <w:right w:val="nil"/>
              <w:between w:val="nil"/>
            </w:pBdr>
            <w:tabs>
              <w:tab w:val="right" w:leader="dot" w:pos="9019"/>
            </w:tabs>
            <w:spacing w:after="100"/>
            <w:ind w:left="240"/>
            <w:rPr>
              <w:rFonts w:ascii="Arial" w:eastAsia="Arial" w:hAnsi="Arial" w:cs="Arial"/>
              <w:color w:val="000000"/>
            </w:rPr>
          </w:pPr>
          <w:hyperlink w:anchor="_heading=h.s2lox3p1v0dv">
            <w:r>
              <w:rPr>
                <w:rFonts w:ascii="Arial" w:eastAsia="Arial" w:hAnsi="Arial" w:cs="Arial"/>
                <w:color w:val="000000"/>
              </w:rPr>
              <w:t>6.1 Two strategies students or professionals can use to academic writing skills</w:t>
            </w:r>
            <w:r>
              <w:rPr>
                <w:rFonts w:ascii="Arial" w:eastAsia="Arial" w:hAnsi="Arial" w:cs="Arial"/>
                <w:color w:val="000000"/>
              </w:rPr>
              <w:tab/>
              <w:t>7</w:t>
            </w:r>
          </w:hyperlink>
        </w:p>
        <w:p w14:paraId="34B94BAC" w14:textId="77777777" w:rsidR="00684A83" w:rsidRDefault="00836F93">
          <w:pPr>
            <w:pBdr>
              <w:top w:val="nil"/>
              <w:left w:val="nil"/>
              <w:bottom w:val="nil"/>
              <w:right w:val="nil"/>
              <w:between w:val="nil"/>
            </w:pBdr>
            <w:tabs>
              <w:tab w:val="right" w:leader="dot" w:pos="9019"/>
            </w:tabs>
            <w:spacing w:after="100"/>
            <w:rPr>
              <w:rFonts w:ascii="Arial" w:eastAsia="Arial" w:hAnsi="Arial" w:cs="Arial"/>
              <w:color w:val="000000"/>
            </w:rPr>
          </w:pPr>
          <w:hyperlink w:anchor="_heading=h.gehqkairxrq3">
            <w:r>
              <w:rPr>
                <w:rFonts w:ascii="Arial" w:eastAsia="Arial" w:hAnsi="Arial" w:cs="Arial"/>
                <w:color w:val="000000"/>
              </w:rPr>
              <w:t>7. Conclusion</w:t>
            </w:r>
            <w:r>
              <w:rPr>
                <w:rFonts w:ascii="Arial" w:eastAsia="Arial" w:hAnsi="Arial" w:cs="Arial"/>
                <w:color w:val="000000"/>
              </w:rPr>
              <w:tab/>
              <w:t>8</w:t>
            </w:r>
          </w:hyperlink>
        </w:p>
        <w:p w14:paraId="4398D8E1" w14:textId="77777777" w:rsidR="00684A83" w:rsidRDefault="00836F93">
          <w:pPr>
            <w:pBdr>
              <w:top w:val="nil"/>
              <w:left w:val="nil"/>
              <w:bottom w:val="nil"/>
              <w:right w:val="nil"/>
              <w:between w:val="nil"/>
            </w:pBdr>
            <w:tabs>
              <w:tab w:val="right" w:leader="dot" w:pos="9019"/>
            </w:tabs>
            <w:spacing w:after="100"/>
            <w:rPr>
              <w:rFonts w:ascii="Arial" w:eastAsia="Arial" w:hAnsi="Arial" w:cs="Arial"/>
              <w:color w:val="000000"/>
            </w:rPr>
          </w:pPr>
          <w:hyperlink w:anchor="_heading=h.f8b94mbykgg3">
            <w:r>
              <w:rPr>
                <w:rFonts w:ascii="Arial" w:eastAsia="Arial" w:hAnsi="Arial" w:cs="Arial"/>
                <w:color w:val="000000"/>
              </w:rPr>
              <w:t>References</w:t>
            </w:r>
            <w:r>
              <w:rPr>
                <w:rFonts w:ascii="Arial" w:eastAsia="Arial" w:hAnsi="Arial" w:cs="Arial"/>
                <w:color w:val="000000"/>
              </w:rPr>
              <w:tab/>
              <w:t>9</w:t>
            </w:r>
          </w:hyperlink>
        </w:p>
        <w:p w14:paraId="59C50FF2" w14:textId="77777777" w:rsidR="00684A83" w:rsidRDefault="00836F93">
          <w:pPr>
            <w:rPr>
              <w:rFonts w:ascii="Arial" w:eastAsia="Arial" w:hAnsi="Arial" w:cs="Arial"/>
            </w:rPr>
          </w:pPr>
          <w:r>
            <w:fldChar w:fldCharType="end"/>
          </w:r>
        </w:p>
      </w:sdtContent>
    </w:sdt>
    <w:p w14:paraId="78019971" w14:textId="77777777" w:rsidR="00684A83" w:rsidRDefault="00836F93">
      <w:pPr>
        <w:rPr>
          <w:rFonts w:ascii="Arial" w:eastAsia="Arial" w:hAnsi="Arial" w:cs="Arial"/>
        </w:rPr>
      </w:pPr>
      <w:r>
        <w:br w:type="page"/>
      </w:r>
    </w:p>
    <w:p w14:paraId="70687EC8" w14:textId="77777777" w:rsidR="00684A83" w:rsidRDefault="00836F93">
      <w:pPr>
        <w:pStyle w:val="Heading1"/>
        <w:rPr>
          <w:rFonts w:ascii="Arial" w:eastAsia="Arial" w:hAnsi="Arial" w:cs="Arial"/>
        </w:rPr>
      </w:pPr>
      <w:bookmarkStart w:id="2" w:name="_heading=h.yu3pgsk60dmp" w:colFirst="0" w:colLast="0"/>
      <w:bookmarkEnd w:id="2"/>
      <w:r>
        <w:rPr>
          <w:rFonts w:ascii="Arial" w:eastAsia="Arial" w:hAnsi="Arial" w:cs="Arial"/>
        </w:rPr>
        <w:lastRenderedPageBreak/>
        <w:t xml:space="preserve">1. Introduction </w:t>
      </w:r>
    </w:p>
    <w:p w14:paraId="73D4ACDF" w14:textId="77777777" w:rsidR="00684A83" w:rsidRDefault="00836F93">
      <w:pPr>
        <w:pStyle w:val="Heading2"/>
        <w:rPr>
          <w:rFonts w:ascii="Arial" w:eastAsia="Arial" w:hAnsi="Arial" w:cs="Arial"/>
        </w:rPr>
      </w:pPr>
      <w:bookmarkStart w:id="3" w:name="_heading=h.az6aps160e4m" w:colFirst="0" w:colLast="0"/>
      <w:bookmarkEnd w:id="3"/>
      <w:r>
        <w:rPr>
          <w:rFonts w:ascii="Arial" w:eastAsia="Arial" w:hAnsi="Arial" w:cs="Arial"/>
        </w:rPr>
        <w:t>1.1 Chosen topics</w:t>
      </w:r>
    </w:p>
    <w:p w14:paraId="40F8EEB5" w14:textId="77777777" w:rsidR="00684A83" w:rsidRDefault="00836F93">
      <w:pPr>
        <w:rPr>
          <w:rFonts w:ascii="Arial" w:eastAsia="Arial" w:hAnsi="Arial" w:cs="Arial"/>
        </w:rPr>
      </w:pPr>
      <w:r>
        <w:rPr>
          <w:rFonts w:ascii="Arial" w:eastAsia="Arial" w:hAnsi="Arial" w:cs="Arial"/>
        </w:rPr>
        <w:t xml:space="preserve">Modern academic institutions are creating importance among learners to focus on the development of certain skills which can become life-long assets. In this context, it is important for learners to gain proficiency </w:t>
      </w:r>
      <w:r>
        <w:rPr>
          <w:rFonts w:ascii="Arial" w:eastAsia="Arial" w:hAnsi="Arial" w:cs="Arial"/>
        </w:rPr>
        <w:t>in certain soft skills which can enhance their overall personality and ensure employability in the future. Considering such skills, teamworking and academic writing skills are extremely vital for improving an individual’s communication abilities, both verb</w:t>
      </w:r>
      <w:r>
        <w:rPr>
          <w:rFonts w:ascii="Arial" w:eastAsia="Arial" w:hAnsi="Arial" w:cs="Arial"/>
        </w:rPr>
        <w:t>ally and written format. Teamworking skills are a key asset in the modern workplace because of the continuous need to engage in collaborative operations that can improve business efficiency (Mobolade and Akinade, 2024). Similarly, academic writing skills n</w:t>
      </w:r>
      <w:r>
        <w:rPr>
          <w:rFonts w:ascii="Arial" w:eastAsia="Arial" w:hAnsi="Arial" w:cs="Arial"/>
        </w:rPr>
        <w:t xml:space="preserve">urture the ability to write in formal language that clearly expresses ideas and articulates the context. Both of these skills can improve the professional outcomes for individuals and enhance career growth. </w:t>
      </w:r>
    </w:p>
    <w:p w14:paraId="28EA6DCC" w14:textId="77777777" w:rsidR="00684A83" w:rsidRDefault="00836F93">
      <w:pPr>
        <w:pStyle w:val="Heading2"/>
        <w:rPr>
          <w:rFonts w:ascii="Arial" w:eastAsia="Arial" w:hAnsi="Arial" w:cs="Arial"/>
        </w:rPr>
      </w:pPr>
      <w:bookmarkStart w:id="4" w:name="_heading=h.n6rg8y71lwpa" w:colFirst="0" w:colLast="0"/>
      <w:bookmarkEnd w:id="4"/>
      <w:r>
        <w:rPr>
          <w:rFonts w:ascii="Arial" w:eastAsia="Arial" w:hAnsi="Arial" w:cs="Arial"/>
        </w:rPr>
        <w:t>1.2 Purpose and structure of the report</w:t>
      </w:r>
    </w:p>
    <w:p w14:paraId="4482EEFF" w14:textId="77777777" w:rsidR="00684A83" w:rsidRDefault="00836F93">
      <w:pPr>
        <w:rPr>
          <w:rFonts w:ascii="Arial" w:eastAsia="Arial" w:hAnsi="Arial" w:cs="Arial"/>
        </w:rPr>
      </w:pPr>
      <w:r>
        <w:rPr>
          <w:rFonts w:ascii="Arial" w:eastAsia="Arial" w:hAnsi="Arial" w:cs="Arial"/>
        </w:rPr>
        <w:t xml:space="preserve">In this </w:t>
      </w:r>
      <w:r>
        <w:rPr>
          <w:rFonts w:ascii="Arial" w:eastAsia="Arial" w:hAnsi="Arial" w:cs="Arial"/>
        </w:rPr>
        <w:t>report, the main purpose is to provide a comprehensive analysis of the chosen skills, teamworking and academic writing skills. Firstly, the skills will be defined in the report which will be followed by a comprehensive analysis to identify its importance f</w:t>
      </w:r>
      <w:r>
        <w:rPr>
          <w:rFonts w:ascii="Arial" w:eastAsia="Arial" w:hAnsi="Arial" w:cs="Arial"/>
        </w:rPr>
        <w:t xml:space="preserve">or academic performance and business contexts. Lastly, the report will also contain strategies through which individuals can improve these skills and enhance their employability. </w:t>
      </w:r>
    </w:p>
    <w:p w14:paraId="6E1775D7" w14:textId="77777777" w:rsidR="00684A83" w:rsidRDefault="00836F93">
      <w:pPr>
        <w:pStyle w:val="Heading1"/>
        <w:rPr>
          <w:rFonts w:ascii="Arial" w:eastAsia="Arial" w:hAnsi="Arial" w:cs="Arial"/>
        </w:rPr>
      </w:pPr>
      <w:bookmarkStart w:id="5" w:name="_heading=h.du72mosvy8ls" w:colFirst="0" w:colLast="0"/>
      <w:bookmarkEnd w:id="5"/>
      <w:r>
        <w:rPr>
          <w:rFonts w:ascii="Arial" w:eastAsia="Arial" w:hAnsi="Arial" w:cs="Arial"/>
        </w:rPr>
        <w:t xml:space="preserve">2. Definition of the skills </w:t>
      </w:r>
    </w:p>
    <w:p w14:paraId="1510A4B5" w14:textId="77777777" w:rsidR="00684A83" w:rsidRDefault="00836F93">
      <w:pPr>
        <w:pStyle w:val="Heading2"/>
        <w:rPr>
          <w:rFonts w:ascii="Arial" w:eastAsia="Arial" w:hAnsi="Arial" w:cs="Arial"/>
        </w:rPr>
      </w:pPr>
      <w:bookmarkStart w:id="6" w:name="_heading=h.pvi3iddbf8dh" w:colFirst="0" w:colLast="0"/>
      <w:bookmarkEnd w:id="6"/>
      <w:r>
        <w:rPr>
          <w:rFonts w:ascii="Arial" w:eastAsia="Arial" w:hAnsi="Arial" w:cs="Arial"/>
        </w:rPr>
        <w:t xml:space="preserve">2.1 Defining teamwork and academic writing skills </w:t>
      </w:r>
    </w:p>
    <w:p w14:paraId="3A8B60F0" w14:textId="77777777" w:rsidR="00684A83" w:rsidRDefault="00836F93">
      <w:pPr>
        <w:rPr>
          <w:rFonts w:ascii="Arial" w:eastAsia="Arial" w:hAnsi="Arial" w:cs="Arial"/>
        </w:rPr>
      </w:pPr>
      <w:r>
        <w:rPr>
          <w:rFonts w:ascii="Arial" w:eastAsia="Arial" w:hAnsi="Arial" w:cs="Arial"/>
        </w:rPr>
        <w:t xml:space="preserve">Teamwork skills can be defined as the ability to harness interpersonal and collaborative behaviour which shapes the attitude of individuals positively. As per the views of Mugabekazi </w:t>
      </w:r>
      <w:r>
        <w:rPr>
          <w:rFonts w:ascii="Arial" w:eastAsia="Arial" w:hAnsi="Arial" w:cs="Arial"/>
          <w:i/>
          <w:iCs/>
        </w:rPr>
        <w:t>et al.</w:t>
      </w:r>
      <w:r>
        <w:rPr>
          <w:rFonts w:ascii="Arial" w:eastAsia="Arial" w:hAnsi="Arial" w:cs="Arial"/>
        </w:rPr>
        <w:t xml:space="preserve"> (2025), with th</w:t>
      </w:r>
      <w:r>
        <w:rPr>
          <w:rFonts w:ascii="Arial" w:eastAsia="Arial" w:hAnsi="Arial" w:cs="Arial"/>
        </w:rPr>
        <w:t xml:space="preserve">e help of teamwork skills, learners can openly approach their peers and engage in critical discussion which can clear concepts and boost their learning process. This is a vital attribute which can help individuals to strengthen communication abilities and </w:t>
      </w:r>
      <w:r>
        <w:rPr>
          <w:rFonts w:ascii="Arial" w:eastAsia="Arial" w:hAnsi="Arial" w:cs="Arial"/>
        </w:rPr>
        <w:t xml:space="preserve">enhance active listening skills. Furthermore, </w:t>
      </w:r>
      <w:r>
        <w:rPr>
          <w:rFonts w:ascii="Arial" w:eastAsia="Arial" w:hAnsi="Arial" w:cs="Arial"/>
        </w:rPr>
        <w:lastRenderedPageBreak/>
        <w:t xml:space="preserve">individuals can collaborate easily and are able to resolve internal conflicts and overcome barriers to the shared goal. </w:t>
      </w:r>
    </w:p>
    <w:p w14:paraId="10129EF9" w14:textId="77777777" w:rsidR="00684A83" w:rsidRDefault="00836F93">
      <w:pPr>
        <w:rPr>
          <w:rFonts w:ascii="Arial" w:eastAsia="Arial" w:hAnsi="Arial" w:cs="Arial"/>
        </w:rPr>
      </w:pPr>
      <w:r>
        <w:rPr>
          <w:rFonts w:ascii="Arial" w:eastAsia="Arial" w:hAnsi="Arial" w:cs="Arial"/>
        </w:rPr>
        <w:t xml:space="preserve">Academic writing skills are profound abilities cultivated in a learner to articulate and </w:t>
      </w:r>
      <w:r>
        <w:rPr>
          <w:rFonts w:ascii="Arial" w:eastAsia="Arial" w:hAnsi="Arial" w:cs="Arial"/>
        </w:rPr>
        <w:t>use appropriate vocabulary for communicating ideas and concepts in a formal and respective tone. It can be defined as a process of spreading information in a structured format with strong arguments, logical reasoning and appropriate references. This concis</w:t>
      </w:r>
      <w:r>
        <w:rPr>
          <w:rFonts w:ascii="Arial" w:eastAsia="Arial" w:hAnsi="Arial" w:cs="Arial"/>
        </w:rPr>
        <w:t>e style of writing documents is extremely vital to shape an individual’s ability to think clearly, link ideas and adopt critical writing and discussion approaches (Dhobi, 2024). Using a disciplined format, academic writing skills can allow individuals to u</w:t>
      </w:r>
      <w:r>
        <w:rPr>
          <w:rFonts w:ascii="Arial" w:eastAsia="Arial" w:hAnsi="Arial" w:cs="Arial"/>
        </w:rPr>
        <w:t xml:space="preserve">se language precisely by integrating facts and critical evaluation of the context. </w:t>
      </w:r>
    </w:p>
    <w:p w14:paraId="35696A62" w14:textId="77777777" w:rsidR="00684A83" w:rsidRDefault="00836F93">
      <w:pPr>
        <w:pStyle w:val="Heading2"/>
        <w:rPr>
          <w:rFonts w:ascii="Arial" w:eastAsia="Arial" w:hAnsi="Arial" w:cs="Arial"/>
        </w:rPr>
      </w:pPr>
      <w:bookmarkStart w:id="7" w:name="_heading=h.phcaggp70qft" w:colFirst="0" w:colLast="0"/>
      <w:bookmarkEnd w:id="7"/>
      <w:r>
        <w:rPr>
          <w:rFonts w:ascii="Arial" w:eastAsia="Arial" w:hAnsi="Arial" w:cs="Arial"/>
        </w:rPr>
        <w:t>2.2 Key components relevant to each skill</w:t>
      </w:r>
    </w:p>
    <w:p w14:paraId="282306B9" w14:textId="77777777" w:rsidR="00684A83" w:rsidRDefault="00836F93">
      <w:pPr>
        <w:rPr>
          <w:rFonts w:ascii="Arial" w:eastAsia="Arial" w:hAnsi="Arial" w:cs="Arial"/>
        </w:rPr>
      </w:pPr>
      <w:r>
        <w:rPr>
          <w:rFonts w:ascii="Arial" w:eastAsia="Arial" w:hAnsi="Arial" w:cs="Arial"/>
        </w:rPr>
        <w:t>The main components influencing teamwork skills involve communication, active listening abilities, addressing conflicts, undertaki</w:t>
      </w:r>
      <w:r>
        <w:rPr>
          <w:rFonts w:ascii="Arial" w:eastAsia="Arial" w:hAnsi="Arial" w:cs="Arial"/>
        </w:rPr>
        <w:t xml:space="preserve">ng responsibility, ensuring reliability and showing empathy. Each of these elements play a major part to cultivate effective teamwork proficiency. According to Jeppu </w:t>
      </w:r>
      <w:r>
        <w:rPr>
          <w:rFonts w:ascii="Arial" w:eastAsia="Arial" w:hAnsi="Arial" w:cs="Arial"/>
          <w:i/>
          <w:iCs/>
        </w:rPr>
        <w:t>et al.</w:t>
      </w:r>
      <w:r>
        <w:rPr>
          <w:rFonts w:ascii="Arial" w:eastAsia="Arial" w:hAnsi="Arial" w:cs="Arial"/>
        </w:rPr>
        <w:t xml:space="preserve"> (2023), learners should focus on developing interpersonal skills so that they are a</w:t>
      </w:r>
      <w:r>
        <w:rPr>
          <w:rFonts w:ascii="Arial" w:eastAsia="Arial" w:hAnsi="Arial" w:cs="Arial"/>
        </w:rPr>
        <w:t>ble to establish clear communication with peers, tutors and others. Along with that, while participating in group tasks, difference of opinion can always affect members. The key to improve teamwork skills is to develop strategic ways to overcome conflict a</w:t>
      </w:r>
      <w:r>
        <w:rPr>
          <w:rFonts w:ascii="Arial" w:eastAsia="Arial" w:hAnsi="Arial" w:cs="Arial"/>
        </w:rPr>
        <w:t>nd focus on shared goals (Adham, 2023). To drive prominent teamwork, every member should be responsible and adopt reliable attitudes which can balance the team dynamics and lead to success. Thus, team members can engage effectively by being empathetic towa</w:t>
      </w:r>
      <w:r>
        <w:rPr>
          <w:rFonts w:ascii="Arial" w:eastAsia="Arial" w:hAnsi="Arial" w:cs="Arial"/>
        </w:rPr>
        <w:t xml:space="preserve">rds one another. </w:t>
      </w:r>
    </w:p>
    <w:p w14:paraId="62C5A7DE" w14:textId="77777777" w:rsidR="00684A83" w:rsidRDefault="00836F93">
      <w:pPr>
        <w:rPr>
          <w:rFonts w:ascii="Arial" w:eastAsia="Arial" w:hAnsi="Arial" w:cs="Arial"/>
        </w:rPr>
      </w:pPr>
      <w:r>
        <w:rPr>
          <w:rFonts w:ascii="Arial" w:eastAsia="Arial" w:hAnsi="Arial" w:cs="Arial"/>
        </w:rPr>
        <w:t>Contrastingly, the key components in academic writing skills include the ability to think critically and analyse evidence to provide logical arguments. It is vital for learners to learn the process of conducting research and adding compre</w:t>
      </w:r>
      <w:r>
        <w:rPr>
          <w:rFonts w:ascii="Arial" w:eastAsia="Arial" w:hAnsi="Arial" w:cs="Arial"/>
        </w:rPr>
        <w:t>hensive citations to the written document for enhancing credibility of the work (Abusaada and Elshater, 2024). In academic writing, learners should have the capability to manage appropriate vocabulary and use logical ways to structure their opinions and pr</w:t>
      </w:r>
      <w:r>
        <w:rPr>
          <w:rFonts w:ascii="Arial" w:eastAsia="Arial" w:hAnsi="Arial" w:cs="Arial"/>
        </w:rPr>
        <w:t>esent them formally. These are the main elements relevant to academic writing skills. Moreover, it is important for the students to develop organisational abilities as well which can help the learners to use arguments and counter statements effectively dur</w:t>
      </w:r>
      <w:r>
        <w:rPr>
          <w:rFonts w:ascii="Arial" w:eastAsia="Arial" w:hAnsi="Arial" w:cs="Arial"/>
        </w:rPr>
        <w:t xml:space="preserve">ing critical writing processes. </w:t>
      </w:r>
    </w:p>
    <w:p w14:paraId="53C5E67C" w14:textId="77777777" w:rsidR="00684A83" w:rsidRDefault="00836F93">
      <w:pPr>
        <w:pStyle w:val="Heading1"/>
        <w:rPr>
          <w:rFonts w:ascii="Arial" w:eastAsia="Arial" w:hAnsi="Arial" w:cs="Arial"/>
        </w:rPr>
      </w:pPr>
      <w:bookmarkStart w:id="8" w:name="_heading=h.d99krc6deu0p" w:colFirst="0" w:colLast="0"/>
      <w:bookmarkEnd w:id="8"/>
      <w:r>
        <w:rPr>
          <w:rFonts w:ascii="Arial" w:eastAsia="Arial" w:hAnsi="Arial" w:cs="Arial"/>
        </w:rPr>
        <w:lastRenderedPageBreak/>
        <w:t>3. Importance of the skill 1 (teamwork skills)</w:t>
      </w:r>
    </w:p>
    <w:p w14:paraId="6A280008" w14:textId="77777777" w:rsidR="00684A83" w:rsidRDefault="00836F93">
      <w:pPr>
        <w:pStyle w:val="Heading2"/>
        <w:rPr>
          <w:rFonts w:ascii="Arial" w:eastAsia="Arial" w:hAnsi="Arial" w:cs="Arial"/>
        </w:rPr>
      </w:pPr>
      <w:bookmarkStart w:id="9" w:name="_heading=h.d2x928wpbg6h" w:colFirst="0" w:colLast="0"/>
      <w:bookmarkEnd w:id="9"/>
      <w:r>
        <w:rPr>
          <w:rFonts w:ascii="Arial" w:eastAsia="Arial" w:hAnsi="Arial" w:cs="Arial"/>
        </w:rPr>
        <w:t>3.1 Importance of teamwork skills in academic success</w:t>
      </w:r>
    </w:p>
    <w:p w14:paraId="1B961CB5" w14:textId="77777777" w:rsidR="00684A83" w:rsidRDefault="00836F93">
      <w:pPr>
        <w:rPr>
          <w:rFonts w:ascii="Arial" w:eastAsia="Arial" w:hAnsi="Arial" w:cs="Arial"/>
        </w:rPr>
      </w:pPr>
      <w:r>
        <w:rPr>
          <w:rFonts w:ascii="Arial" w:eastAsia="Arial" w:hAnsi="Arial" w:cs="Arial"/>
        </w:rPr>
        <w:t xml:space="preserve">Academic performance is an extremely important factor that influences a learners opportunities to access good educational </w:t>
      </w:r>
      <w:r>
        <w:rPr>
          <w:rFonts w:ascii="Arial" w:eastAsia="Arial" w:hAnsi="Arial" w:cs="Arial"/>
        </w:rPr>
        <w:t xml:space="preserve">institutions and faculty support. It navigates a student’s growth and creates proper pathways to meet the career aspirations. However, to ensure good academic performance, a student should have certain skillsets which can help him to secure good marks and </w:t>
      </w:r>
      <w:r>
        <w:rPr>
          <w:rFonts w:ascii="Arial" w:eastAsia="Arial" w:hAnsi="Arial" w:cs="Arial"/>
        </w:rPr>
        <w:t>improve overall results. As opined by Huang (2022), teamwork skills can allow students to learn better by collaborating with peers, engage in interactive seminar sessions and improve problem-solving abilities. The strengthened social presence can allow stu</w:t>
      </w:r>
      <w:r>
        <w:rPr>
          <w:rFonts w:ascii="Arial" w:eastAsia="Arial" w:hAnsi="Arial" w:cs="Arial"/>
        </w:rPr>
        <w:t>dents to improve their emotional and cognitive competencies simultaneously which can lead to higher grades. In higher education studies, group tasks are commonly integrated in assignments to drive team-building skills among students and enhance collaborati</w:t>
      </w:r>
      <w:r>
        <w:rPr>
          <w:rFonts w:ascii="Arial" w:eastAsia="Arial" w:hAnsi="Arial" w:cs="Arial"/>
        </w:rPr>
        <w:t xml:space="preserve">ve capabilities. This is vital for shaping students’ approach to cross-cultural settings as many foreign students attend higher education institutions in the UK.  </w:t>
      </w:r>
    </w:p>
    <w:p w14:paraId="68D81183" w14:textId="77777777" w:rsidR="00684A83" w:rsidRDefault="00836F93">
      <w:pPr>
        <w:pStyle w:val="Heading2"/>
        <w:rPr>
          <w:rFonts w:ascii="Arial" w:eastAsia="Arial" w:hAnsi="Arial" w:cs="Arial"/>
        </w:rPr>
      </w:pPr>
      <w:bookmarkStart w:id="10" w:name="_heading=h.t4ung6gfuy6" w:colFirst="0" w:colLast="0"/>
      <w:bookmarkEnd w:id="10"/>
      <w:r>
        <w:rPr>
          <w:rFonts w:ascii="Arial" w:eastAsia="Arial" w:hAnsi="Arial" w:cs="Arial"/>
        </w:rPr>
        <w:t>3.2 Exploring its relevance in professional or business environments</w:t>
      </w:r>
    </w:p>
    <w:p w14:paraId="4424AC8D" w14:textId="77777777" w:rsidR="00684A83" w:rsidRDefault="00836F93">
      <w:pPr>
        <w:rPr>
          <w:rFonts w:ascii="Arial" w:eastAsia="Arial" w:hAnsi="Arial" w:cs="Arial"/>
        </w:rPr>
      </w:pPr>
      <w:r>
        <w:rPr>
          <w:rFonts w:ascii="Arial" w:eastAsia="Arial" w:hAnsi="Arial" w:cs="Arial"/>
        </w:rPr>
        <w:t>The relevance of the sk</w:t>
      </w:r>
      <w:r>
        <w:rPr>
          <w:rFonts w:ascii="Arial" w:eastAsia="Arial" w:hAnsi="Arial" w:cs="Arial"/>
        </w:rPr>
        <w:t>ill in business contexts have been critically evaluated in this section. Through research, Nwabufo and Obodozie (2025) noted that teamwork skills are vital attributes for working professionals in the modern workplace because collaborative work techniques c</w:t>
      </w:r>
      <w:r>
        <w:rPr>
          <w:rFonts w:ascii="Arial" w:eastAsia="Arial" w:hAnsi="Arial" w:cs="Arial"/>
        </w:rPr>
        <w:t xml:space="preserve">an drive high efficiency in operations. Contemporary recruiters stress upon the presence of communication and team-building skills among candidates because it creates positive energy among individuals. Lansing </w:t>
      </w:r>
      <w:r>
        <w:rPr>
          <w:rFonts w:ascii="Arial" w:eastAsia="Arial" w:hAnsi="Arial" w:cs="Arial"/>
          <w:i/>
          <w:iCs/>
        </w:rPr>
        <w:t>et al.</w:t>
      </w:r>
      <w:r>
        <w:rPr>
          <w:rFonts w:ascii="Arial" w:eastAsia="Arial" w:hAnsi="Arial" w:cs="Arial"/>
        </w:rPr>
        <w:t xml:space="preserve"> (2023) argued that people who can work </w:t>
      </w:r>
      <w:r>
        <w:rPr>
          <w:rFonts w:ascii="Arial" w:eastAsia="Arial" w:hAnsi="Arial" w:cs="Arial"/>
        </w:rPr>
        <w:t>in teams have a better attitude towards sharing responsibility, making informed decisions and working towards shared goals. Furthermore, such people can resolve internal conflicts and drive high productivity in the workplace, thus improving performance out</w:t>
      </w:r>
      <w:r>
        <w:rPr>
          <w:rFonts w:ascii="Arial" w:eastAsia="Arial" w:hAnsi="Arial" w:cs="Arial"/>
        </w:rPr>
        <w:t>comes. Furthermore, teamwork abilities can enhance resilience among members and create internal motivation through positive engagement among colleagues in the workplace. Evidently, Aldamen</w:t>
      </w:r>
      <w:r>
        <w:rPr>
          <w:rFonts w:ascii="Arial" w:eastAsia="Arial" w:hAnsi="Arial" w:cs="Arial"/>
          <w:i/>
          <w:iCs/>
        </w:rPr>
        <w:t xml:space="preserve"> et al.</w:t>
      </w:r>
      <w:r>
        <w:rPr>
          <w:rFonts w:ascii="Arial" w:eastAsia="Arial" w:hAnsi="Arial" w:cs="Arial"/>
        </w:rPr>
        <w:t xml:space="preserve"> (2021) stated that contemporary workplace settings value tea</w:t>
      </w:r>
      <w:r>
        <w:rPr>
          <w:rFonts w:ascii="Arial" w:eastAsia="Arial" w:hAnsi="Arial" w:cs="Arial"/>
        </w:rPr>
        <w:t xml:space="preserve">mwork skills, especially due to globalisation which is continuously bringing cross-cultural people together in multinational businesses. This factor further emphasises on the importance of teamwork abilities in business context. </w:t>
      </w:r>
    </w:p>
    <w:p w14:paraId="4DFC6E85" w14:textId="77777777" w:rsidR="00684A83" w:rsidRDefault="00836F93">
      <w:pPr>
        <w:pStyle w:val="Heading1"/>
        <w:rPr>
          <w:rFonts w:ascii="Arial" w:eastAsia="Arial" w:hAnsi="Arial" w:cs="Arial"/>
        </w:rPr>
      </w:pPr>
      <w:bookmarkStart w:id="11" w:name="_heading=h.hd24kafb4ti8" w:colFirst="0" w:colLast="0"/>
      <w:bookmarkEnd w:id="11"/>
      <w:r>
        <w:rPr>
          <w:rFonts w:ascii="Arial" w:eastAsia="Arial" w:hAnsi="Arial" w:cs="Arial"/>
        </w:rPr>
        <w:lastRenderedPageBreak/>
        <w:t>4. Importance of skill 2 (</w:t>
      </w:r>
      <w:r>
        <w:rPr>
          <w:rFonts w:ascii="Arial" w:eastAsia="Arial" w:hAnsi="Arial" w:cs="Arial"/>
        </w:rPr>
        <w:t>academic writing skills)</w:t>
      </w:r>
    </w:p>
    <w:p w14:paraId="6828C13A" w14:textId="77777777" w:rsidR="00684A83" w:rsidRDefault="00836F93">
      <w:pPr>
        <w:pStyle w:val="Heading2"/>
        <w:rPr>
          <w:rFonts w:ascii="Arial" w:eastAsia="Arial" w:hAnsi="Arial" w:cs="Arial"/>
        </w:rPr>
      </w:pPr>
      <w:bookmarkStart w:id="12" w:name="_heading=h.klpydbtzrgei" w:colFirst="0" w:colLast="0"/>
      <w:bookmarkEnd w:id="12"/>
      <w:r>
        <w:rPr>
          <w:rFonts w:ascii="Arial" w:eastAsia="Arial" w:hAnsi="Arial" w:cs="Arial"/>
        </w:rPr>
        <w:t>4.1 Significance of academic writing skills in academic success</w:t>
      </w:r>
    </w:p>
    <w:p w14:paraId="7E89B0E6" w14:textId="77777777" w:rsidR="00684A83" w:rsidRDefault="00836F93">
      <w:pPr>
        <w:rPr>
          <w:rFonts w:ascii="Arial" w:eastAsia="Arial" w:hAnsi="Arial" w:cs="Arial"/>
        </w:rPr>
      </w:pPr>
      <w:r>
        <w:rPr>
          <w:rFonts w:ascii="Arial" w:eastAsia="Arial" w:hAnsi="Arial" w:cs="Arial"/>
        </w:rPr>
        <w:t>Students who can express their views appropriately and demonstrate critical thinking through their write-ups have proficiently developed academic writing skills. It is</w:t>
      </w:r>
      <w:r>
        <w:rPr>
          <w:rFonts w:ascii="Arial" w:eastAsia="Arial" w:hAnsi="Arial" w:cs="Arial"/>
        </w:rPr>
        <w:t xml:space="preserve"> an essential element in scoring good grades and improving academic performance, especially in higher studies. Academic writing competencies can allow learners to use a structured format and write in a disciplined tone which can communicate concepts proper</w:t>
      </w:r>
      <w:r>
        <w:rPr>
          <w:rFonts w:ascii="Arial" w:eastAsia="Arial" w:hAnsi="Arial" w:cs="Arial"/>
        </w:rPr>
        <w:t>ly and help to understand contexts (Zitha and Lambani, 2024). It is viewed that students can enhance their understanding through comprehensive writing abilities, improve vocabulary and strengthen their logical reasoning skills. This is because academic wri</w:t>
      </w:r>
      <w:r>
        <w:rPr>
          <w:rFonts w:ascii="Arial" w:eastAsia="Arial" w:hAnsi="Arial" w:cs="Arial"/>
        </w:rPr>
        <w:t xml:space="preserve">ting requires students to use coherent referencing styles, use scholarly works for providing arguments and validation to their perspectives (Direkci </w:t>
      </w:r>
      <w:r>
        <w:rPr>
          <w:rFonts w:ascii="Arial" w:eastAsia="Arial" w:hAnsi="Arial" w:cs="Arial"/>
          <w:i/>
          <w:iCs/>
        </w:rPr>
        <w:t>et al.</w:t>
      </w:r>
      <w:r>
        <w:rPr>
          <w:rFonts w:ascii="Arial" w:eastAsia="Arial" w:hAnsi="Arial" w:cs="Arial"/>
        </w:rPr>
        <w:t>, 2022). Furthermore, academic writing strengthens student’s ability to write concisely, use informat</w:t>
      </w:r>
      <w:r>
        <w:rPr>
          <w:rFonts w:ascii="Arial" w:eastAsia="Arial" w:hAnsi="Arial" w:cs="Arial"/>
        </w:rPr>
        <w:t xml:space="preserve">ive language, appropriate grammar, spelling and avoid casual tone. These elements are vital for enhancing a student’s assignment outcomes, produce high marks and improve the overall performance. </w:t>
      </w:r>
    </w:p>
    <w:p w14:paraId="035457CD" w14:textId="77777777" w:rsidR="00684A83" w:rsidRDefault="00836F93">
      <w:pPr>
        <w:pStyle w:val="Heading2"/>
        <w:rPr>
          <w:rFonts w:ascii="Arial" w:eastAsia="Arial" w:hAnsi="Arial" w:cs="Arial"/>
        </w:rPr>
      </w:pPr>
      <w:bookmarkStart w:id="13" w:name="_heading=h.nsjk49xiiy35" w:colFirst="0" w:colLast="0"/>
      <w:bookmarkEnd w:id="13"/>
      <w:r>
        <w:rPr>
          <w:rFonts w:ascii="Arial" w:eastAsia="Arial" w:hAnsi="Arial" w:cs="Arial"/>
        </w:rPr>
        <w:t>4.2 Exploring its relevance in professional or business envi</w:t>
      </w:r>
      <w:r>
        <w:rPr>
          <w:rFonts w:ascii="Arial" w:eastAsia="Arial" w:hAnsi="Arial" w:cs="Arial"/>
        </w:rPr>
        <w:t>ronments</w:t>
      </w:r>
    </w:p>
    <w:p w14:paraId="55B90AD8" w14:textId="77777777" w:rsidR="00684A83" w:rsidRDefault="00836F93">
      <w:pPr>
        <w:rPr>
          <w:rFonts w:ascii="Arial" w:eastAsia="Arial" w:hAnsi="Arial" w:cs="Arial"/>
        </w:rPr>
      </w:pPr>
      <w:r>
        <w:rPr>
          <w:rFonts w:ascii="Arial" w:eastAsia="Arial" w:hAnsi="Arial" w:cs="Arial"/>
        </w:rPr>
        <w:t>Considering the relevance of academic writing skills in business context, it is viewed that it helps individuals to gain a foundational idea of how to communicate using formal language. Academic writing builds the habit of writing in a concise man</w:t>
      </w:r>
      <w:r>
        <w:rPr>
          <w:rFonts w:ascii="Arial" w:eastAsia="Arial" w:hAnsi="Arial" w:cs="Arial"/>
        </w:rPr>
        <w:t xml:space="preserve">ner, avoiding casual language and maintaining a respectful tone. These attributes help individuals to apply such characteristics in business documents and keep formal language while communicating with clients, customers and associated partners (Lin </w:t>
      </w:r>
      <w:r>
        <w:rPr>
          <w:rFonts w:ascii="Arial" w:eastAsia="Arial" w:hAnsi="Arial" w:cs="Arial"/>
          <w:i/>
          <w:iCs/>
        </w:rPr>
        <w:t>et al.,</w:t>
      </w:r>
      <w:r>
        <w:rPr>
          <w:rFonts w:ascii="Arial" w:eastAsia="Arial" w:hAnsi="Arial" w:cs="Arial"/>
        </w:rPr>
        <w:t xml:space="preserve"> 2023). Furthermore, in academic writing, diverse skills are sharpened including critical thinking and logical reasoning abilities. Such factors can contribute to enhanced credibility among professional workers. Through strong proficiency in academic writi</w:t>
      </w:r>
      <w:r>
        <w:rPr>
          <w:rFonts w:ascii="Arial" w:eastAsia="Arial" w:hAnsi="Arial" w:cs="Arial"/>
        </w:rPr>
        <w:t xml:space="preserve">ng, individuals can effectively communicate with business partners and solve complex problems in the business environment (Hoque </w:t>
      </w:r>
      <w:r>
        <w:rPr>
          <w:rFonts w:ascii="Arial" w:eastAsia="Arial" w:hAnsi="Arial" w:cs="Arial"/>
          <w:i/>
          <w:iCs/>
        </w:rPr>
        <w:t>et al.,</w:t>
      </w:r>
      <w:r>
        <w:rPr>
          <w:rFonts w:ascii="Arial" w:eastAsia="Arial" w:hAnsi="Arial" w:cs="Arial"/>
        </w:rPr>
        <w:t xml:space="preserve"> 2024). With the help of academic writing skills, professional workers can navigate the challenges and draft compelling </w:t>
      </w:r>
      <w:r>
        <w:rPr>
          <w:rFonts w:ascii="Arial" w:eastAsia="Arial" w:hAnsi="Arial" w:cs="Arial"/>
        </w:rPr>
        <w:t xml:space="preserve">documents to communicate their ideas in the workplace. Hence, the vitality of developing academic writing skills can be addressed in a business and professional context as well. </w:t>
      </w:r>
    </w:p>
    <w:p w14:paraId="36E1E33A" w14:textId="77777777" w:rsidR="00684A83" w:rsidRDefault="00836F93">
      <w:pPr>
        <w:pStyle w:val="Heading1"/>
        <w:rPr>
          <w:rFonts w:ascii="Arial" w:eastAsia="Arial" w:hAnsi="Arial" w:cs="Arial"/>
        </w:rPr>
      </w:pPr>
      <w:bookmarkStart w:id="14" w:name="_heading=h.9128t35fs05r" w:colFirst="0" w:colLast="0"/>
      <w:bookmarkEnd w:id="14"/>
      <w:r>
        <w:rPr>
          <w:rFonts w:ascii="Arial" w:eastAsia="Arial" w:hAnsi="Arial" w:cs="Arial"/>
        </w:rPr>
        <w:lastRenderedPageBreak/>
        <w:t xml:space="preserve">5. Strategies to improve skill 1 </w:t>
      </w:r>
    </w:p>
    <w:p w14:paraId="12D701FD" w14:textId="77777777" w:rsidR="00684A83" w:rsidRDefault="00836F93">
      <w:pPr>
        <w:pStyle w:val="Heading2"/>
        <w:rPr>
          <w:rFonts w:ascii="Arial" w:eastAsia="Arial" w:hAnsi="Arial" w:cs="Arial"/>
        </w:rPr>
      </w:pPr>
      <w:bookmarkStart w:id="15" w:name="_heading=h.nyrjs1nlfzmo" w:colFirst="0" w:colLast="0"/>
      <w:bookmarkEnd w:id="15"/>
      <w:r>
        <w:rPr>
          <w:rFonts w:ascii="Arial" w:eastAsia="Arial" w:hAnsi="Arial" w:cs="Arial"/>
        </w:rPr>
        <w:t>5.1 Two strategies students or professional</w:t>
      </w:r>
      <w:r>
        <w:rPr>
          <w:rFonts w:ascii="Arial" w:eastAsia="Arial" w:hAnsi="Arial" w:cs="Arial"/>
        </w:rPr>
        <w:t xml:space="preserve">s can use to improve teamwork skills </w:t>
      </w:r>
    </w:p>
    <w:p w14:paraId="5D73F930" w14:textId="77777777" w:rsidR="00684A83" w:rsidRDefault="00836F93">
      <w:pPr>
        <w:rPr>
          <w:rFonts w:ascii="Arial" w:eastAsia="Arial" w:hAnsi="Arial" w:cs="Arial"/>
        </w:rPr>
      </w:pPr>
      <w:r>
        <w:rPr>
          <w:rFonts w:ascii="Arial" w:eastAsia="Arial" w:hAnsi="Arial" w:cs="Arial"/>
        </w:rPr>
        <w:t>Teamwork skills can be improved by several strategies among which two practices can essentially improve a person’s approach in group tasks. The first strategy includes the use of open dialogue and feedback which can he</w:t>
      </w:r>
      <w:r>
        <w:rPr>
          <w:rFonts w:ascii="Arial" w:eastAsia="Arial" w:hAnsi="Arial" w:cs="Arial"/>
        </w:rPr>
        <w:t xml:space="preserve">lp individuals to experience a safe environment for sharing their opinion and expressing views (Jongsma </w:t>
      </w:r>
      <w:r>
        <w:rPr>
          <w:rFonts w:ascii="Arial" w:eastAsia="Arial" w:hAnsi="Arial" w:cs="Arial"/>
          <w:i/>
          <w:iCs/>
        </w:rPr>
        <w:t>et al.,</w:t>
      </w:r>
      <w:r>
        <w:rPr>
          <w:rFonts w:ascii="Arial" w:eastAsia="Arial" w:hAnsi="Arial" w:cs="Arial"/>
        </w:rPr>
        <w:t xml:space="preserve"> 2024). This is an effective practice which can help learners to engage in classroom discussions with peers and develop different perspectives. T</w:t>
      </w:r>
      <w:r>
        <w:rPr>
          <w:rFonts w:ascii="Arial" w:eastAsia="Arial" w:hAnsi="Arial" w:cs="Arial"/>
        </w:rPr>
        <w:t>his practice encourages students to openly share their ideas and concerns, allowing their peers to provide constructive feedback. Not only the practice strengthens communication and active listening skills but it also improves engagement among the students</w:t>
      </w:r>
      <w:r>
        <w:rPr>
          <w:rFonts w:ascii="Arial" w:eastAsia="Arial" w:hAnsi="Arial" w:cs="Arial"/>
        </w:rPr>
        <w:t xml:space="preserve">. Through this strategy, students can also understand the element of conflict resolution within teambuilding and group activities, which can enhance the attributes. While offering feedback, students have to be careful about empathising with the individual </w:t>
      </w:r>
      <w:r>
        <w:rPr>
          <w:rFonts w:ascii="Arial" w:eastAsia="Arial" w:hAnsi="Arial" w:cs="Arial"/>
        </w:rPr>
        <w:t xml:space="preserve">and this may lead to internal conflicts. </w:t>
      </w:r>
    </w:p>
    <w:p w14:paraId="452B7BB5" w14:textId="77777777" w:rsidR="00684A83" w:rsidRDefault="00836F93">
      <w:pPr>
        <w:rPr>
          <w:rFonts w:ascii="Arial" w:eastAsia="Arial" w:hAnsi="Arial" w:cs="Arial"/>
        </w:rPr>
      </w:pPr>
      <w:r>
        <w:rPr>
          <w:rFonts w:ascii="Arial" w:eastAsia="Arial" w:hAnsi="Arial" w:cs="Arial"/>
        </w:rPr>
        <w:t>On the other hand, another effective strategy that can help professionals to improve teamwork skills is cross-cultural group activities in the workplace. This is an interactive and socially-engaging activity that c</w:t>
      </w:r>
      <w:r>
        <w:rPr>
          <w:rFonts w:ascii="Arial" w:eastAsia="Arial" w:hAnsi="Arial" w:cs="Arial"/>
        </w:rPr>
        <w:t xml:space="preserve">an be arranged informally within the workplace. It is vital to drive inclusivity in contemporary workplaces as diverse employees from different cultures work in multinational companies (Igboanugo </w:t>
      </w:r>
      <w:r>
        <w:rPr>
          <w:rFonts w:ascii="Arial" w:eastAsia="Arial" w:hAnsi="Arial" w:cs="Arial"/>
          <w:i/>
          <w:iCs/>
        </w:rPr>
        <w:t>et al</w:t>
      </w:r>
      <w:r>
        <w:rPr>
          <w:rFonts w:ascii="Arial" w:eastAsia="Arial" w:hAnsi="Arial" w:cs="Arial"/>
        </w:rPr>
        <w:t>., 2022). Through this activity, groups of three or fou</w:t>
      </w:r>
      <w:r>
        <w:rPr>
          <w:rFonts w:ascii="Arial" w:eastAsia="Arial" w:hAnsi="Arial" w:cs="Arial"/>
        </w:rPr>
        <w:t>r will be working towards a shared goal and engaged in brainstorming activities. This process can improve interpersonal skills, enhance cultural awareness and improve the overall engagement among professionals. In this manner, not only the workers will dev</w:t>
      </w:r>
      <w:r>
        <w:rPr>
          <w:rFonts w:ascii="Arial" w:eastAsia="Arial" w:hAnsi="Arial" w:cs="Arial"/>
        </w:rPr>
        <w:t>elop teamwork skills but will learn to undertake responsibility and develop high resilience. Furthermore, this strategy can be arranged by HR managers to establish high engagement among the workers and enhance their internal communication. Such training pr</w:t>
      </w:r>
      <w:r>
        <w:rPr>
          <w:rFonts w:ascii="Arial" w:eastAsia="Arial" w:hAnsi="Arial" w:cs="Arial"/>
        </w:rPr>
        <w:t xml:space="preserve">ogrammes can improve internal productivity and eliminate conflicts from the system, thus resulting in higher performance. </w:t>
      </w:r>
    </w:p>
    <w:p w14:paraId="30359D5B" w14:textId="77777777" w:rsidR="00684A83" w:rsidRDefault="00836F93">
      <w:pPr>
        <w:pStyle w:val="Heading1"/>
        <w:rPr>
          <w:rFonts w:ascii="Arial" w:eastAsia="Arial" w:hAnsi="Arial" w:cs="Arial"/>
        </w:rPr>
      </w:pPr>
      <w:bookmarkStart w:id="16" w:name="_heading=h.p75tmsg2o55o" w:colFirst="0" w:colLast="0"/>
      <w:bookmarkEnd w:id="16"/>
      <w:r>
        <w:rPr>
          <w:rFonts w:ascii="Arial" w:eastAsia="Arial" w:hAnsi="Arial" w:cs="Arial"/>
        </w:rPr>
        <w:lastRenderedPageBreak/>
        <w:t xml:space="preserve">6. Strategies to improve skill 2 </w:t>
      </w:r>
    </w:p>
    <w:p w14:paraId="13E2744B" w14:textId="77777777" w:rsidR="00684A83" w:rsidRDefault="00836F93">
      <w:pPr>
        <w:pStyle w:val="Heading2"/>
        <w:rPr>
          <w:rFonts w:ascii="Arial" w:eastAsia="Arial" w:hAnsi="Arial" w:cs="Arial"/>
        </w:rPr>
      </w:pPr>
      <w:bookmarkStart w:id="17" w:name="_heading=h.s2lox3p1v0dv" w:colFirst="0" w:colLast="0"/>
      <w:bookmarkEnd w:id="17"/>
      <w:r>
        <w:rPr>
          <w:rFonts w:ascii="Arial" w:eastAsia="Arial" w:hAnsi="Arial" w:cs="Arial"/>
        </w:rPr>
        <w:t xml:space="preserve">6.1 Two strategies students or professionals can use to academic writing skills </w:t>
      </w:r>
    </w:p>
    <w:p w14:paraId="7194189E" w14:textId="77777777" w:rsidR="00684A83" w:rsidRDefault="00836F93">
      <w:pPr>
        <w:rPr>
          <w:rFonts w:ascii="Arial" w:eastAsia="Arial" w:hAnsi="Arial" w:cs="Arial"/>
        </w:rPr>
      </w:pPr>
      <w:r>
        <w:rPr>
          <w:rFonts w:ascii="Arial" w:eastAsia="Arial" w:hAnsi="Arial" w:cs="Arial"/>
        </w:rPr>
        <w:t>Students can use PEEL structure to improve academic writing abilities which is a strong framework offering foundational understanding of structure. PEEL structure mainly stands for point, evidence, explanation and link. It is a very effective method used t</w:t>
      </w:r>
      <w:r>
        <w:rPr>
          <w:rFonts w:ascii="Arial" w:eastAsia="Arial" w:hAnsi="Arial" w:cs="Arial"/>
        </w:rPr>
        <w:t>o teach students to develop comprehensive academic writing skills that enhances well-organised writing style (Newcastle University, n.d.). Based on the PEEL structure, students learn to use how they can introduce a subject and critically approach the discu</w:t>
      </w:r>
      <w:r>
        <w:rPr>
          <w:rFonts w:ascii="Arial" w:eastAsia="Arial" w:hAnsi="Arial" w:cs="Arial"/>
        </w:rPr>
        <w:t>ssion through concise arguments and evidence-based style to provide an explanation. It is important for students to be able to apply PEEL structure while writing assignments so that they add citations prominently and logically reason their statements. Henc</w:t>
      </w:r>
      <w:r>
        <w:rPr>
          <w:rFonts w:ascii="Arial" w:eastAsia="Arial" w:hAnsi="Arial" w:cs="Arial"/>
        </w:rPr>
        <w:t xml:space="preserve">e, this is an appropriate strategy through which learners can strengthen their academic writing skills. </w:t>
      </w:r>
    </w:p>
    <w:p w14:paraId="59814827" w14:textId="77777777" w:rsidR="00684A83" w:rsidRDefault="00836F93">
      <w:pPr>
        <w:rPr>
          <w:rFonts w:ascii="Arial" w:eastAsia="Arial" w:hAnsi="Arial" w:cs="Arial"/>
        </w:rPr>
      </w:pPr>
      <w:r>
        <w:rPr>
          <w:rFonts w:ascii="Arial" w:eastAsia="Arial" w:hAnsi="Arial" w:cs="Arial"/>
        </w:rPr>
        <w:t>For working professionals, to improve their writing skills using business jargon and offering logical perspectives, it is important to develop research</w:t>
      </w:r>
      <w:r>
        <w:rPr>
          <w:rFonts w:ascii="Arial" w:eastAsia="Arial" w:hAnsi="Arial" w:cs="Arial"/>
        </w:rPr>
        <w:t xml:space="preserve"> skills and access feedback from colleagues. This is a comprehensive strategy through which professional workers can enhance their competencies and improve their communication capabilities. According to the views of Burnette</w:t>
      </w:r>
      <w:r>
        <w:rPr>
          <w:rFonts w:ascii="Arial" w:eastAsia="Arial" w:hAnsi="Arial" w:cs="Arial"/>
          <w:i/>
          <w:iCs/>
        </w:rPr>
        <w:t xml:space="preserve"> et al. </w:t>
      </w:r>
      <w:r>
        <w:rPr>
          <w:rFonts w:ascii="Arial" w:eastAsia="Arial" w:hAnsi="Arial" w:cs="Arial"/>
        </w:rPr>
        <w:t xml:space="preserve">(2023), the individuals </w:t>
      </w:r>
      <w:r>
        <w:rPr>
          <w:rFonts w:ascii="Arial" w:eastAsia="Arial" w:hAnsi="Arial" w:cs="Arial"/>
        </w:rPr>
        <w:t>who have a growth mindset should focus on a continuous development approach and critically emphasise on creating positive changes. This would require the workers to enhance their writing abilities so that they can articulate their ideas and concepts clearl</w:t>
      </w:r>
      <w:r>
        <w:rPr>
          <w:rFonts w:ascii="Arial" w:eastAsia="Arial" w:hAnsi="Arial" w:cs="Arial"/>
        </w:rPr>
        <w:t xml:space="preserve">y. For that, they should practice writing by conducting thorough research on the chosen subjects and accessing feedback from their colleagues. Through constructive feedback, the employees can overcome their poor writing skills and enhance their skillsets. </w:t>
      </w:r>
    </w:p>
    <w:p w14:paraId="4FB9E997" w14:textId="77777777" w:rsidR="00684A83" w:rsidRDefault="00836F93">
      <w:pPr>
        <w:pStyle w:val="Heading1"/>
        <w:rPr>
          <w:rFonts w:ascii="Arial" w:eastAsia="Arial" w:hAnsi="Arial" w:cs="Arial"/>
        </w:rPr>
      </w:pPr>
      <w:bookmarkStart w:id="18" w:name="_heading=h.gehqkairxrq3" w:colFirst="0" w:colLast="0"/>
      <w:bookmarkEnd w:id="18"/>
      <w:r>
        <w:rPr>
          <w:rFonts w:ascii="Arial" w:eastAsia="Arial" w:hAnsi="Arial" w:cs="Arial"/>
        </w:rPr>
        <w:t xml:space="preserve">7. Conclusion </w:t>
      </w:r>
    </w:p>
    <w:p w14:paraId="2A433580" w14:textId="77777777" w:rsidR="00684A83" w:rsidRDefault="00836F93">
      <w:pPr>
        <w:rPr>
          <w:rFonts w:ascii="Arial" w:eastAsia="Arial" w:hAnsi="Arial" w:cs="Arial"/>
        </w:rPr>
      </w:pPr>
      <w:r>
        <w:rPr>
          <w:rFonts w:ascii="Arial" w:eastAsia="Arial" w:hAnsi="Arial" w:cs="Arial"/>
        </w:rPr>
        <w:t>Hence, it can be concluded from the above analysis that students have varied responsibilities during academic sessions which go beyond basic learning of modules. It is critical for learners to reshape their learning curve by developing dive</w:t>
      </w:r>
      <w:r>
        <w:rPr>
          <w:rFonts w:ascii="Arial" w:eastAsia="Arial" w:hAnsi="Arial" w:cs="Arial"/>
        </w:rPr>
        <w:t xml:space="preserve">rse skill sets. This is important because in order to secure a job position in modern workplaces, individuals are demanded to display and demonstrate diverse competencies. In this </w:t>
      </w:r>
      <w:r>
        <w:rPr>
          <w:rFonts w:ascii="Arial" w:eastAsia="Arial" w:hAnsi="Arial" w:cs="Arial"/>
        </w:rPr>
        <w:lastRenderedPageBreak/>
        <w:t>context, a set of skills that can add to the long-term sustainable growth an</w:t>
      </w:r>
      <w:r>
        <w:rPr>
          <w:rFonts w:ascii="Arial" w:eastAsia="Arial" w:hAnsi="Arial" w:cs="Arial"/>
        </w:rPr>
        <w:t>d career expansion includes teamwork and academic writing skills. This report has shed light on the role of teamworking skills strengthening communication and active listening skills. Both of the skills are extremely important for students as well as profe</w:t>
      </w:r>
      <w:r>
        <w:rPr>
          <w:rFonts w:ascii="Arial" w:eastAsia="Arial" w:hAnsi="Arial" w:cs="Arial"/>
        </w:rPr>
        <w:t xml:space="preserve">ssionals. Likewise, critical discussion on this topic exposed that professionals having appropriate teamwork skills can effectively contribute to the organisation’s growth by enhancing productivity. </w:t>
      </w:r>
    </w:p>
    <w:p w14:paraId="6F683BB3" w14:textId="77777777" w:rsidR="00684A83" w:rsidRDefault="00836F93">
      <w:pPr>
        <w:rPr>
          <w:rFonts w:ascii="Arial" w:eastAsia="Arial" w:hAnsi="Arial" w:cs="Arial"/>
        </w:rPr>
      </w:pPr>
      <w:r>
        <w:rPr>
          <w:rFonts w:ascii="Arial" w:eastAsia="Arial" w:hAnsi="Arial" w:cs="Arial"/>
        </w:rPr>
        <w:t>It is evident that effective engagement among cross-cult</w:t>
      </w:r>
      <w:r>
        <w:rPr>
          <w:rFonts w:ascii="Arial" w:eastAsia="Arial" w:hAnsi="Arial" w:cs="Arial"/>
        </w:rPr>
        <w:t>ural teams can improve overall efficiency in performance and create a safe and inclusive workplace. Contrastingly, the need to develop academic writing skills has been elaborated in the report. It helps students to clearly state their concepts and innovati</w:t>
      </w:r>
      <w:r>
        <w:rPr>
          <w:rFonts w:ascii="Arial" w:eastAsia="Arial" w:hAnsi="Arial" w:cs="Arial"/>
        </w:rPr>
        <w:t>ve ideas during projects which can obtain fair marks. Apart from that, academic writing abilities build discipline among students, strengthening their capabilities to organise their thoughts and present them in a concise written format. This practice can e</w:t>
      </w:r>
      <w:r>
        <w:rPr>
          <w:rFonts w:ascii="Arial" w:eastAsia="Arial" w:hAnsi="Arial" w:cs="Arial"/>
        </w:rPr>
        <w:t>volve effectively through time and help them to communicate effectively in professional settings. It is vital to understand that use of formal language and concise style of presentation is valued at workplaces, allowing employees to effectively communicate</w:t>
      </w:r>
      <w:r>
        <w:rPr>
          <w:rFonts w:ascii="Arial" w:eastAsia="Arial" w:hAnsi="Arial" w:cs="Arial"/>
        </w:rPr>
        <w:t xml:space="preserve"> with clients or colleagues. Lastly, the report has presented a thorough understanding of how these skills can be developed by professionals as well as students. </w:t>
      </w:r>
    </w:p>
    <w:p w14:paraId="0CC737D1" w14:textId="77777777" w:rsidR="00684A83" w:rsidRDefault="00836F93">
      <w:pPr>
        <w:rPr>
          <w:rFonts w:ascii="Arial" w:eastAsia="Arial" w:hAnsi="Arial" w:cs="Arial"/>
        </w:rPr>
      </w:pPr>
      <w:r>
        <w:br w:type="page"/>
      </w:r>
    </w:p>
    <w:p w14:paraId="51B51515" w14:textId="77777777" w:rsidR="00684A83" w:rsidRDefault="00836F93">
      <w:pPr>
        <w:pStyle w:val="Heading1"/>
        <w:rPr>
          <w:rFonts w:ascii="Arial" w:eastAsia="Arial" w:hAnsi="Arial" w:cs="Arial"/>
        </w:rPr>
      </w:pPr>
      <w:bookmarkStart w:id="19" w:name="_heading=h.f8b94mbykgg3" w:colFirst="0" w:colLast="0"/>
      <w:bookmarkEnd w:id="19"/>
      <w:r>
        <w:rPr>
          <w:rFonts w:ascii="Arial" w:eastAsia="Arial" w:hAnsi="Arial" w:cs="Arial"/>
        </w:rPr>
        <w:lastRenderedPageBreak/>
        <w:t>References</w:t>
      </w:r>
    </w:p>
    <w:p w14:paraId="2AF69D66" w14:textId="77777777" w:rsidR="00684A83" w:rsidRDefault="00836F93">
      <w:pPr>
        <w:rPr>
          <w:rFonts w:ascii="Arial" w:eastAsia="Arial" w:hAnsi="Arial" w:cs="Arial"/>
          <w:color w:val="000000"/>
        </w:rPr>
      </w:pPr>
      <w:r>
        <w:rPr>
          <w:rFonts w:ascii="Arial" w:eastAsia="Arial" w:hAnsi="Arial" w:cs="Arial"/>
          <w:color w:val="000000"/>
        </w:rPr>
        <w:t xml:space="preserve">Abusaada, H. and Elshater, A., (2024) Beyond keywords: Effective strategies for building consistent reference lists in scientific research. </w:t>
      </w:r>
      <w:r>
        <w:rPr>
          <w:rFonts w:ascii="Arial" w:eastAsia="Arial" w:hAnsi="Arial" w:cs="Arial"/>
          <w:i/>
          <w:iCs/>
          <w:color w:val="000000"/>
        </w:rPr>
        <w:t>Publications</w:t>
      </w:r>
      <w:r>
        <w:rPr>
          <w:rFonts w:ascii="Arial" w:eastAsia="Arial" w:hAnsi="Arial" w:cs="Arial"/>
          <w:color w:val="000000"/>
        </w:rPr>
        <w:t>, 12(3), p.25.</w:t>
      </w:r>
    </w:p>
    <w:p w14:paraId="52011291" w14:textId="77777777" w:rsidR="00684A83" w:rsidRDefault="00836F93">
      <w:pPr>
        <w:rPr>
          <w:rFonts w:ascii="Arial" w:eastAsia="Arial" w:hAnsi="Arial" w:cs="Arial"/>
          <w:color w:val="000000"/>
        </w:rPr>
      </w:pPr>
      <w:r>
        <w:rPr>
          <w:rFonts w:ascii="Arial" w:eastAsia="Arial" w:hAnsi="Arial" w:cs="Arial"/>
          <w:color w:val="000000"/>
        </w:rPr>
        <w:t>Adham, T.K.I., (2023) Conflict resolution in team: Analyzing the of conflicts and best sk</w:t>
      </w:r>
      <w:r>
        <w:rPr>
          <w:rFonts w:ascii="Arial" w:eastAsia="Arial" w:hAnsi="Arial" w:cs="Arial"/>
          <w:color w:val="000000"/>
        </w:rPr>
        <w:t xml:space="preserve">ills for resolution. </w:t>
      </w:r>
      <w:r>
        <w:rPr>
          <w:rFonts w:ascii="Arial" w:eastAsia="Arial" w:hAnsi="Arial" w:cs="Arial"/>
          <w:i/>
          <w:iCs/>
          <w:color w:val="000000"/>
        </w:rPr>
        <w:t>Scholars Journal of Engineering and Technology</w:t>
      </w:r>
      <w:r>
        <w:rPr>
          <w:rFonts w:ascii="Arial" w:eastAsia="Arial" w:hAnsi="Arial" w:cs="Arial"/>
          <w:color w:val="000000"/>
        </w:rPr>
        <w:t>, 11(08), pp.152-162.</w:t>
      </w:r>
    </w:p>
    <w:p w14:paraId="0E322D94" w14:textId="77777777" w:rsidR="00684A83" w:rsidRDefault="00836F93">
      <w:pPr>
        <w:rPr>
          <w:rFonts w:ascii="Arial" w:eastAsia="Arial" w:hAnsi="Arial" w:cs="Arial"/>
          <w:color w:val="000000"/>
        </w:rPr>
      </w:pPr>
      <w:r>
        <w:rPr>
          <w:rFonts w:ascii="Arial" w:eastAsia="Arial" w:hAnsi="Arial" w:cs="Arial"/>
          <w:color w:val="000000"/>
        </w:rPr>
        <w:t xml:space="preserve">Aldamen, H., Alkhateeb, H., Kercher, K., Duncan, K. and Hollindale, J., (2021) Core competencies for the global workplace: A cross-cultural and skill-based simulation </w:t>
      </w:r>
      <w:r>
        <w:rPr>
          <w:rFonts w:ascii="Arial" w:eastAsia="Arial" w:hAnsi="Arial" w:cs="Arial"/>
          <w:color w:val="000000"/>
        </w:rPr>
        <w:t xml:space="preserve">project in accounting. </w:t>
      </w:r>
      <w:r>
        <w:rPr>
          <w:rFonts w:ascii="Arial" w:eastAsia="Arial" w:hAnsi="Arial" w:cs="Arial"/>
          <w:i/>
          <w:iCs/>
          <w:color w:val="000000"/>
        </w:rPr>
        <w:t>Accounting Education</w:t>
      </w:r>
      <w:r>
        <w:rPr>
          <w:rFonts w:ascii="Arial" w:eastAsia="Arial" w:hAnsi="Arial" w:cs="Arial"/>
          <w:color w:val="000000"/>
        </w:rPr>
        <w:t>, 30(4), pp.385-412.</w:t>
      </w:r>
    </w:p>
    <w:p w14:paraId="360B45A2" w14:textId="77777777" w:rsidR="00684A83" w:rsidRDefault="00836F93">
      <w:pPr>
        <w:rPr>
          <w:rFonts w:ascii="Arial" w:eastAsia="Arial" w:hAnsi="Arial" w:cs="Arial"/>
          <w:color w:val="000000"/>
        </w:rPr>
      </w:pPr>
      <w:r>
        <w:rPr>
          <w:rFonts w:ascii="Arial" w:eastAsia="Arial" w:hAnsi="Arial" w:cs="Arial"/>
          <w:color w:val="000000"/>
        </w:rPr>
        <w:t>Burnette, J.L., Billingsley, J., Banks, G.C., Knouse, L.E., Hoyt, C.L., Pollack, J.M. and Simon, S., (2023) A systematic review and meta-analysis of growth mindset interventions: For whom, how</w:t>
      </w:r>
      <w:r>
        <w:rPr>
          <w:rFonts w:ascii="Arial" w:eastAsia="Arial" w:hAnsi="Arial" w:cs="Arial"/>
          <w:color w:val="000000"/>
        </w:rPr>
        <w:t xml:space="preserve">, and why might such interventions work?. </w:t>
      </w:r>
      <w:r>
        <w:rPr>
          <w:rFonts w:ascii="Arial" w:eastAsia="Arial" w:hAnsi="Arial" w:cs="Arial"/>
          <w:i/>
          <w:iCs/>
          <w:color w:val="000000"/>
        </w:rPr>
        <w:t>Psychological bulletin</w:t>
      </w:r>
      <w:r>
        <w:rPr>
          <w:rFonts w:ascii="Arial" w:eastAsia="Arial" w:hAnsi="Arial" w:cs="Arial"/>
          <w:color w:val="000000"/>
        </w:rPr>
        <w:t>, 149(3-4), p.174.</w:t>
      </w:r>
    </w:p>
    <w:p w14:paraId="697B1A89" w14:textId="77777777" w:rsidR="00684A83" w:rsidRDefault="00836F93">
      <w:pPr>
        <w:rPr>
          <w:rFonts w:ascii="Arial" w:eastAsia="Arial" w:hAnsi="Arial" w:cs="Arial"/>
          <w:color w:val="000000"/>
        </w:rPr>
      </w:pPr>
      <w:r>
        <w:rPr>
          <w:rFonts w:ascii="Arial" w:eastAsia="Arial" w:hAnsi="Arial" w:cs="Arial"/>
          <w:color w:val="000000"/>
        </w:rPr>
        <w:t>Dhobi, S., (2024) What, How and Why Academic Writing?.</w:t>
      </w:r>
      <w:r>
        <w:rPr>
          <w:rFonts w:ascii="Arial" w:eastAsia="Arial" w:hAnsi="Arial" w:cs="Arial"/>
          <w:i/>
          <w:iCs/>
          <w:color w:val="000000"/>
        </w:rPr>
        <w:t xml:space="preserve"> Historical Journal,</w:t>
      </w:r>
      <w:r>
        <w:rPr>
          <w:rFonts w:ascii="Arial" w:eastAsia="Arial" w:hAnsi="Arial" w:cs="Arial"/>
          <w:color w:val="000000"/>
        </w:rPr>
        <w:t xml:space="preserve"> 15(2), pp.74-82.</w:t>
      </w:r>
    </w:p>
    <w:p w14:paraId="32B5ECEF" w14:textId="77777777" w:rsidR="00684A83" w:rsidRDefault="00836F93">
      <w:pPr>
        <w:rPr>
          <w:rFonts w:ascii="Arial" w:eastAsia="Arial" w:hAnsi="Arial" w:cs="Arial"/>
          <w:color w:val="000000"/>
        </w:rPr>
      </w:pPr>
      <w:r>
        <w:rPr>
          <w:rFonts w:ascii="Arial" w:eastAsia="Arial" w:hAnsi="Arial" w:cs="Arial"/>
          <w:color w:val="000000"/>
        </w:rPr>
        <w:t>Direkci, B., Akbulut, S., Şimşek, B., Gülmez, M. and Nalçacıgil Çopur, E., (2022)</w:t>
      </w:r>
      <w:r>
        <w:rPr>
          <w:rFonts w:ascii="Arial" w:eastAsia="Arial" w:hAnsi="Arial" w:cs="Arial"/>
          <w:color w:val="000000"/>
        </w:rPr>
        <w:t xml:space="preserve"> Analysis of pre-service teachers’ argumentation-based academic writing process. </w:t>
      </w:r>
      <w:r>
        <w:rPr>
          <w:rFonts w:ascii="Arial" w:eastAsia="Arial" w:hAnsi="Arial" w:cs="Arial"/>
          <w:i/>
          <w:iCs/>
          <w:color w:val="000000"/>
        </w:rPr>
        <w:t>Frontiers in Psychology</w:t>
      </w:r>
      <w:r>
        <w:rPr>
          <w:rFonts w:ascii="Arial" w:eastAsia="Arial" w:hAnsi="Arial" w:cs="Arial"/>
          <w:color w:val="000000"/>
        </w:rPr>
        <w:t>, 13, p.1040332.</w:t>
      </w:r>
    </w:p>
    <w:p w14:paraId="084F6DA3" w14:textId="77777777" w:rsidR="00684A83" w:rsidRDefault="00836F93">
      <w:pPr>
        <w:rPr>
          <w:rFonts w:ascii="Arial" w:eastAsia="Arial" w:hAnsi="Arial" w:cs="Arial"/>
          <w:color w:val="000000"/>
        </w:rPr>
      </w:pPr>
      <w:r>
        <w:rPr>
          <w:rFonts w:ascii="Arial" w:eastAsia="Arial" w:hAnsi="Arial" w:cs="Arial"/>
          <w:color w:val="000000"/>
        </w:rPr>
        <w:t>Hoque, M.S., Rajeswari, A., Rajendran, M., Oli, L., Kirado, G. and Reza, M., (2024) A Comprehensive Study of Business Writing Competenc</w:t>
      </w:r>
      <w:r>
        <w:rPr>
          <w:rFonts w:ascii="Arial" w:eastAsia="Arial" w:hAnsi="Arial" w:cs="Arial"/>
          <w:color w:val="000000"/>
        </w:rPr>
        <w:t xml:space="preserve">e Among Business Management Students at Techno Link College, Ethiopia. </w:t>
      </w:r>
      <w:r>
        <w:rPr>
          <w:rFonts w:ascii="Arial" w:eastAsia="Arial" w:hAnsi="Arial" w:cs="Arial"/>
          <w:i/>
          <w:iCs/>
          <w:color w:val="000000"/>
        </w:rPr>
        <w:t>Theory and Practice in Language Studies</w:t>
      </w:r>
      <w:r>
        <w:rPr>
          <w:rFonts w:ascii="Arial" w:eastAsia="Arial" w:hAnsi="Arial" w:cs="Arial"/>
          <w:color w:val="000000"/>
        </w:rPr>
        <w:t>, 14(8), pp.2326-2335.</w:t>
      </w:r>
    </w:p>
    <w:p w14:paraId="6A2DAD66" w14:textId="77777777" w:rsidR="00684A83" w:rsidRDefault="00836F93">
      <w:pPr>
        <w:rPr>
          <w:rFonts w:ascii="Arial" w:eastAsia="Arial" w:hAnsi="Arial" w:cs="Arial"/>
          <w:color w:val="000000"/>
        </w:rPr>
      </w:pPr>
      <w:r>
        <w:rPr>
          <w:rFonts w:ascii="Arial" w:eastAsia="Arial" w:hAnsi="Arial" w:cs="Arial"/>
          <w:color w:val="000000"/>
        </w:rPr>
        <w:t>Huang, Y., (2022) Effectiveness of inquiry‐based science laboratories for improving teamwork and problem‐solving skills and</w:t>
      </w:r>
      <w:r>
        <w:rPr>
          <w:rFonts w:ascii="Arial" w:eastAsia="Arial" w:hAnsi="Arial" w:cs="Arial"/>
          <w:color w:val="000000"/>
        </w:rPr>
        <w:t xml:space="preserve"> attitudes. </w:t>
      </w:r>
      <w:r>
        <w:rPr>
          <w:rFonts w:ascii="Arial" w:eastAsia="Arial" w:hAnsi="Arial" w:cs="Arial"/>
          <w:i/>
          <w:iCs/>
          <w:color w:val="000000"/>
        </w:rPr>
        <w:t xml:space="preserve">Journal of Research in Science Teaching, </w:t>
      </w:r>
      <w:r>
        <w:rPr>
          <w:rFonts w:ascii="Arial" w:eastAsia="Arial" w:hAnsi="Arial" w:cs="Arial"/>
          <w:color w:val="000000"/>
        </w:rPr>
        <w:t>59(3), pp.329-357.</w:t>
      </w:r>
    </w:p>
    <w:p w14:paraId="7562222E" w14:textId="77777777" w:rsidR="00684A83" w:rsidRDefault="00836F93">
      <w:pPr>
        <w:rPr>
          <w:rFonts w:ascii="Arial" w:eastAsia="Arial" w:hAnsi="Arial" w:cs="Arial"/>
          <w:color w:val="000000"/>
        </w:rPr>
      </w:pPr>
      <w:r>
        <w:rPr>
          <w:rFonts w:ascii="Arial" w:eastAsia="Arial" w:hAnsi="Arial" w:cs="Arial"/>
          <w:color w:val="000000"/>
        </w:rPr>
        <w:t xml:space="preserve">Igboanugo, S., Yang, J. and Bigelow, P., (2022) Building a framework for an inclusive workplace culture. </w:t>
      </w:r>
      <w:r>
        <w:rPr>
          <w:rFonts w:ascii="Arial" w:eastAsia="Arial" w:hAnsi="Arial" w:cs="Arial"/>
          <w:i/>
          <w:iCs/>
          <w:color w:val="000000"/>
        </w:rPr>
        <w:t>The International Journal of Information, Diversity, &amp; Inclusion,</w:t>
      </w:r>
      <w:r>
        <w:rPr>
          <w:rFonts w:ascii="Arial" w:eastAsia="Arial" w:hAnsi="Arial" w:cs="Arial"/>
          <w:color w:val="000000"/>
        </w:rPr>
        <w:t xml:space="preserve"> 6(3), pp.52-6</w:t>
      </w:r>
      <w:r>
        <w:rPr>
          <w:rFonts w:ascii="Arial" w:eastAsia="Arial" w:hAnsi="Arial" w:cs="Arial"/>
          <w:color w:val="000000"/>
        </w:rPr>
        <w:t>7.</w:t>
      </w:r>
    </w:p>
    <w:p w14:paraId="50C62FC7" w14:textId="77777777" w:rsidR="00684A83" w:rsidRDefault="00836F93">
      <w:pPr>
        <w:rPr>
          <w:rFonts w:ascii="Arial" w:eastAsia="Arial" w:hAnsi="Arial" w:cs="Arial"/>
          <w:color w:val="000000"/>
        </w:rPr>
      </w:pPr>
      <w:r>
        <w:rPr>
          <w:rFonts w:ascii="Arial" w:eastAsia="Arial" w:hAnsi="Arial" w:cs="Arial"/>
          <w:color w:val="000000"/>
        </w:rPr>
        <w:lastRenderedPageBreak/>
        <w:t xml:space="preserve">Jeppu, A.K., Kumar, K.A. and Sethi, A., (2023) ‘We work together as a group’: implications of jigsaw cooperative learning. </w:t>
      </w:r>
      <w:r>
        <w:rPr>
          <w:rFonts w:ascii="Arial" w:eastAsia="Arial" w:hAnsi="Arial" w:cs="Arial"/>
          <w:i/>
          <w:iCs/>
          <w:color w:val="000000"/>
        </w:rPr>
        <w:t>BMC medical education,</w:t>
      </w:r>
      <w:r>
        <w:rPr>
          <w:rFonts w:ascii="Arial" w:eastAsia="Arial" w:hAnsi="Arial" w:cs="Arial"/>
          <w:color w:val="000000"/>
        </w:rPr>
        <w:t xml:space="preserve"> 23(1), p.734.</w:t>
      </w:r>
    </w:p>
    <w:p w14:paraId="5E23C2E0" w14:textId="77777777" w:rsidR="00684A83" w:rsidRDefault="00836F93">
      <w:pPr>
        <w:rPr>
          <w:rFonts w:ascii="Arial" w:eastAsia="Arial" w:hAnsi="Arial" w:cs="Arial"/>
          <w:color w:val="000000"/>
        </w:rPr>
      </w:pPr>
      <w:r>
        <w:rPr>
          <w:rFonts w:ascii="Arial" w:eastAsia="Arial" w:hAnsi="Arial" w:cs="Arial"/>
          <w:color w:val="000000"/>
        </w:rPr>
        <w:t>Jongsma, M.V., Scholten, D.J., Houtkamp, J., Meeter, M. and van Muijlwijk-Koezen, J.E., (2024</w:t>
      </w:r>
      <w:r>
        <w:rPr>
          <w:rFonts w:ascii="Arial" w:eastAsia="Arial" w:hAnsi="Arial" w:cs="Arial"/>
          <w:color w:val="000000"/>
        </w:rPr>
        <w:t xml:space="preserve">) Enhancing trust, safety and quality: exploring the role of dialogue in peer feedback on professional competencies. </w:t>
      </w:r>
      <w:r>
        <w:rPr>
          <w:rFonts w:ascii="Arial" w:eastAsia="Arial" w:hAnsi="Arial" w:cs="Arial"/>
          <w:i/>
          <w:iCs/>
          <w:color w:val="000000"/>
        </w:rPr>
        <w:t>Cogent Education,</w:t>
      </w:r>
      <w:r>
        <w:rPr>
          <w:rFonts w:ascii="Arial" w:eastAsia="Arial" w:hAnsi="Arial" w:cs="Arial"/>
          <w:color w:val="000000"/>
        </w:rPr>
        <w:t xml:space="preserve"> 11(1), p.2349355.</w:t>
      </w:r>
    </w:p>
    <w:p w14:paraId="1CF8068F" w14:textId="77777777" w:rsidR="00684A83" w:rsidRDefault="00836F93">
      <w:pPr>
        <w:rPr>
          <w:rFonts w:ascii="Arial" w:eastAsia="Arial" w:hAnsi="Arial" w:cs="Arial"/>
          <w:color w:val="000000"/>
        </w:rPr>
      </w:pPr>
      <w:r>
        <w:rPr>
          <w:rFonts w:ascii="Arial" w:eastAsia="Arial" w:hAnsi="Arial" w:cs="Arial"/>
          <w:color w:val="000000"/>
        </w:rPr>
        <w:t>Lansing, A.E., Romero, N.J., Siantz, E., Silva, V., Center, K., Casteel, D. and Gilmer, T., (2023) Buil</w:t>
      </w:r>
      <w:r>
        <w:rPr>
          <w:rFonts w:ascii="Arial" w:eastAsia="Arial" w:hAnsi="Arial" w:cs="Arial"/>
          <w:color w:val="000000"/>
        </w:rPr>
        <w:t xml:space="preserve">ding trust: Leadership reflections on community empowerment and engagement in a large urban initiative. </w:t>
      </w:r>
      <w:r>
        <w:rPr>
          <w:rFonts w:ascii="Arial" w:eastAsia="Arial" w:hAnsi="Arial" w:cs="Arial"/>
          <w:i/>
          <w:iCs/>
          <w:color w:val="000000"/>
        </w:rPr>
        <w:t>BMC Public Health</w:t>
      </w:r>
      <w:r>
        <w:rPr>
          <w:rFonts w:ascii="Arial" w:eastAsia="Arial" w:hAnsi="Arial" w:cs="Arial"/>
          <w:color w:val="000000"/>
        </w:rPr>
        <w:t>, 23(1), p.1252.</w:t>
      </w:r>
    </w:p>
    <w:p w14:paraId="72206719" w14:textId="77777777" w:rsidR="00684A83" w:rsidRDefault="00836F93">
      <w:pPr>
        <w:rPr>
          <w:rFonts w:ascii="Arial" w:eastAsia="Arial" w:hAnsi="Arial" w:cs="Arial"/>
          <w:color w:val="000000"/>
        </w:rPr>
      </w:pPr>
      <w:r>
        <w:rPr>
          <w:rFonts w:ascii="Arial" w:eastAsia="Arial" w:hAnsi="Arial" w:cs="Arial"/>
          <w:color w:val="000000"/>
        </w:rPr>
        <w:t>Lin, X., Afzaal, M. and Aldayel, H.S., (2023) Syntactic complexity in legal translated texts and the use of plain Engl</w:t>
      </w:r>
      <w:r>
        <w:rPr>
          <w:rFonts w:ascii="Arial" w:eastAsia="Arial" w:hAnsi="Arial" w:cs="Arial"/>
          <w:color w:val="000000"/>
        </w:rPr>
        <w:t xml:space="preserve">ish: a corpus-based study. </w:t>
      </w:r>
      <w:r>
        <w:rPr>
          <w:rFonts w:ascii="Arial" w:eastAsia="Arial" w:hAnsi="Arial" w:cs="Arial"/>
          <w:i/>
          <w:iCs/>
          <w:color w:val="000000"/>
        </w:rPr>
        <w:t>Humanities and social sciences communications</w:t>
      </w:r>
      <w:r>
        <w:rPr>
          <w:rFonts w:ascii="Arial" w:eastAsia="Arial" w:hAnsi="Arial" w:cs="Arial"/>
          <w:color w:val="000000"/>
        </w:rPr>
        <w:t>, 10(1), pp.1-9.</w:t>
      </w:r>
    </w:p>
    <w:p w14:paraId="60203167" w14:textId="77777777" w:rsidR="00684A83" w:rsidRDefault="00836F93">
      <w:pPr>
        <w:rPr>
          <w:rFonts w:ascii="Arial" w:eastAsia="Arial" w:hAnsi="Arial" w:cs="Arial"/>
          <w:color w:val="000000"/>
        </w:rPr>
      </w:pPr>
      <w:r>
        <w:rPr>
          <w:rFonts w:ascii="Arial" w:eastAsia="Arial" w:hAnsi="Arial" w:cs="Arial"/>
          <w:color w:val="000000"/>
        </w:rPr>
        <w:t xml:space="preserve">Mobolade, G.O. and Akinade, M.E., (2021) Team building and teamwork in organizations: Implications to managers and employees in work places. </w:t>
      </w:r>
      <w:r>
        <w:rPr>
          <w:rFonts w:ascii="Arial" w:eastAsia="Arial" w:hAnsi="Arial" w:cs="Arial"/>
          <w:i/>
          <w:iCs/>
          <w:color w:val="000000"/>
        </w:rPr>
        <w:t xml:space="preserve">International Journal of </w:t>
      </w:r>
      <w:r>
        <w:rPr>
          <w:rFonts w:ascii="Arial" w:eastAsia="Arial" w:hAnsi="Arial" w:cs="Arial"/>
          <w:i/>
          <w:iCs/>
          <w:color w:val="000000"/>
        </w:rPr>
        <w:t>Management, Social Sciences, Peace and Conflict Studies</w:t>
      </w:r>
      <w:r>
        <w:rPr>
          <w:rFonts w:ascii="Arial" w:eastAsia="Arial" w:hAnsi="Arial" w:cs="Arial"/>
          <w:color w:val="000000"/>
        </w:rPr>
        <w:t>, 11(4), p.1.</w:t>
      </w:r>
    </w:p>
    <w:p w14:paraId="4E14180E" w14:textId="77777777" w:rsidR="00684A83" w:rsidRDefault="00836F93">
      <w:pPr>
        <w:rPr>
          <w:rFonts w:ascii="Arial" w:eastAsia="Arial" w:hAnsi="Arial" w:cs="Arial"/>
          <w:color w:val="000000"/>
        </w:rPr>
      </w:pPr>
      <w:r>
        <w:rPr>
          <w:rFonts w:ascii="Arial" w:eastAsia="Arial" w:hAnsi="Arial" w:cs="Arial"/>
          <w:color w:val="000000"/>
        </w:rPr>
        <w:t>Mugabekazi, J.C., Mukanziza, J., Nizeyimana, P. and Manirahari, P., (2025) Integrating collaborative learning strategies in the curriculum: enhancing critical thinking and communication s</w:t>
      </w:r>
      <w:r>
        <w:rPr>
          <w:rFonts w:ascii="Arial" w:eastAsia="Arial" w:hAnsi="Arial" w:cs="Arial"/>
          <w:color w:val="000000"/>
        </w:rPr>
        <w:t xml:space="preserve">kills in primary education. </w:t>
      </w:r>
      <w:r>
        <w:rPr>
          <w:rFonts w:ascii="Arial" w:eastAsia="Arial" w:hAnsi="Arial" w:cs="Arial"/>
          <w:i/>
          <w:iCs/>
          <w:color w:val="000000"/>
        </w:rPr>
        <w:t>European Journal of Education Studies</w:t>
      </w:r>
      <w:r>
        <w:rPr>
          <w:rFonts w:ascii="Arial" w:eastAsia="Arial" w:hAnsi="Arial" w:cs="Arial"/>
          <w:color w:val="000000"/>
        </w:rPr>
        <w:t>, 12(3).</w:t>
      </w:r>
    </w:p>
    <w:p w14:paraId="73EBB08B" w14:textId="77777777" w:rsidR="00684A83" w:rsidRDefault="00836F93">
      <w:pPr>
        <w:rPr>
          <w:rFonts w:ascii="Arial" w:eastAsia="Arial" w:hAnsi="Arial" w:cs="Arial"/>
          <w:color w:val="000000"/>
        </w:rPr>
      </w:pPr>
      <w:r>
        <w:rPr>
          <w:rFonts w:ascii="Arial" w:eastAsia="Arial" w:hAnsi="Arial" w:cs="Arial"/>
          <w:color w:val="000000"/>
        </w:rPr>
        <w:t xml:space="preserve">Newcastle University (n.d.) </w:t>
      </w:r>
      <w:r>
        <w:rPr>
          <w:rFonts w:ascii="Arial" w:eastAsia="Arial" w:hAnsi="Arial" w:cs="Arial"/>
          <w:i/>
          <w:iCs/>
          <w:color w:val="000000"/>
        </w:rPr>
        <w:t>Paragraphing.</w:t>
      </w:r>
      <w:r>
        <w:rPr>
          <w:rFonts w:ascii="Arial" w:eastAsia="Arial" w:hAnsi="Arial" w:cs="Arial"/>
          <w:color w:val="000000"/>
        </w:rPr>
        <w:t xml:space="preserve"> Available at: </w:t>
      </w:r>
      <w:hyperlink r:id="rId8">
        <w:r>
          <w:rPr>
            <w:rFonts w:ascii="Arial" w:eastAsia="Arial" w:hAnsi="Arial" w:cs="Arial"/>
            <w:color w:val="000000"/>
            <w:u w:val="single"/>
          </w:rPr>
          <w:t>https://www.ncl.ac.uk/acad</w:t>
        </w:r>
        <w:r>
          <w:rPr>
            <w:rFonts w:ascii="Arial" w:eastAsia="Arial" w:hAnsi="Arial" w:cs="Arial"/>
            <w:color w:val="000000"/>
            <w:u w:val="single"/>
          </w:rPr>
          <w:t>emic-skills-kit/writing/academic-writing/paragraphing/</w:t>
        </w:r>
      </w:hyperlink>
      <w:r>
        <w:rPr>
          <w:rFonts w:ascii="Arial" w:eastAsia="Arial" w:hAnsi="Arial" w:cs="Arial"/>
          <w:color w:val="000000"/>
        </w:rPr>
        <w:t xml:space="preserve"> (Accessed 3 December 2025)</w:t>
      </w:r>
    </w:p>
    <w:p w14:paraId="33E0AE12" w14:textId="77777777" w:rsidR="00684A83" w:rsidRDefault="00836F93">
      <w:pPr>
        <w:rPr>
          <w:rFonts w:ascii="Arial" w:eastAsia="Arial" w:hAnsi="Arial" w:cs="Arial"/>
          <w:color w:val="000000"/>
        </w:rPr>
      </w:pPr>
      <w:r>
        <w:rPr>
          <w:rFonts w:ascii="Arial" w:eastAsia="Arial" w:hAnsi="Arial" w:cs="Arial"/>
          <w:color w:val="000000"/>
        </w:rPr>
        <w:t xml:space="preserve">Nwabufo, I. and Obodozie, N., (2025) Promoting collaboration in the modern workplace: A path to productivity and resilience. </w:t>
      </w:r>
      <w:r>
        <w:rPr>
          <w:rFonts w:ascii="Arial" w:eastAsia="Arial" w:hAnsi="Arial" w:cs="Arial"/>
          <w:i/>
          <w:iCs/>
          <w:color w:val="000000"/>
        </w:rPr>
        <w:t>World Journal of Advanced Research and Reviews</w:t>
      </w:r>
      <w:r>
        <w:rPr>
          <w:rFonts w:ascii="Arial" w:eastAsia="Arial" w:hAnsi="Arial" w:cs="Arial"/>
          <w:color w:val="000000"/>
        </w:rPr>
        <w:t>, 2</w:t>
      </w:r>
      <w:r>
        <w:rPr>
          <w:rFonts w:ascii="Arial" w:eastAsia="Arial" w:hAnsi="Arial" w:cs="Arial"/>
          <w:color w:val="000000"/>
        </w:rPr>
        <w:t>5(2), pp.10-30574.</w:t>
      </w:r>
    </w:p>
    <w:p w14:paraId="4D82BFD4" w14:textId="77777777" w:rsidR="00684A83" w:rsidRDefault="00836F93">
      <w:pPr>
        <w:rPr>
          <w:rFonts w:ascii="Arial" w:eastAsia="Arial" w:hAnsi="Arial" w:cs="Arial"/>
          <w:color w:val="000000"/>
        </w:rPr>
      </w:pPr>
      <w:r>
        <w:rPr>
          <w:rFonts w:ascii="Arial" w:eastAsia="Arial" w:hAnsi="Arial" w:cs="Arial"/>
          <w:color w:val="000000"/>
        </w:rPr>
        <w:t>Zitha, I. and Lambani, M.N., (2024) Register competence in academic writing of student teachers specialising in English didactics at the University of Venda.</w:t>
      </w:r>
      <w:r>
        <w:rPr>
          <w:rFonts w:ascii="Arial" w:eastAsia="Arial" w:hAnsi="Arial" w:cs="Arial"/>
          <w:i/>
          <w:iCs/>
          <w:color w:val="000000"/>
        </w:rPr>
        <w:t xml:space="preserve"> Southern African Linguistics and Applied Language Studies,</w:t>
      </w:r>
      <w:r>
        <w:rPr>
          <w:rFonts w:ascii="Arial" w:eastAsia="Arial" w:hAnsi="Arial" w:cs="Arial"/>
          <w:color w:val="000000"/>
        </w:rPr>
        <w:t xml:space="preserve"> 42(sup1), pp.S85-S10</w:t>
      </w:r>
      <w:r>
        <w:rPr>
          <w:rFonts w:ascii="Arial" w:eastAsia="Arial" w:hAnsi="Arial" w:cs="Arial"/>
          <w:color w:val="000000"/>
        </w:rPr>
        <w:t>4.</w:t>
      </w:r>
    </w:p>
    <w:p w14:paraId="2C06194F" w14:textId="77777777" w:rsidR="00684A83" w:rsidRDefault="00684A83">
      <w:pPr>
        <w:rPr>
          <w:rFonts w:ascii="Arial" w:eastAsia="Arial" w:hAnsi="Arial" w:cs="Arial"/>
        </w:rPr>
      </w:pPr>
    </w:p>
    <w:sectPr w:rsidR="00684A83">
      <w:footerReference w:type="default" r:id="rId9"/>
      <w:pgSz w:w="11909" w:h="16834"/>
      <w:pgMar w:top="1440" w:right="1440" w:bottom="1440" w:left="1440" w:header="720" w:footer="720" w:gutter="0"/>
      <w:pgNumType w:start="1"/>
      <w:cols w:space="720"/>
    </w:sectPr>
  </w:body>
</w:document>
</file>

<file path=word/endnotes.xml><?xml version="1.0" encoding="utf-8"?>
<w:endnotes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endnote w:type="separator" w:id="-1">
    <w:p w14:paraId="00D37C35" w14:textId="77777777" w:rsidR="00580516" w:rsidRDefault="00580516">
      <w:pPr>
        <w:spacing w:after="0" w:line="240" w:lineRule="auto"/>
      </w:pPr>
      <w:r>
        <w:separator/>
      </w:r>
    </w:p>
  </w:endnote>
  <w:endnote w:type="continuationSeparator" w:id="0">
    <w:p w14:paraId="4CE3DB43" w14:textId="77777777" w:rsidR="00580516" w:rsidRDefault="00580516">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font w:name="Times New Roman">
    <w:panose1 w:val="02020603050405020304"/>
    <w:charset w:val="EE"/>
    <w:family w:val="roman"/>
    <w:pitch w:val="variable"/>
    <w:sig w:usb0="E0002EFF" w:usb1="C000785B" w:usb2="00000009" w:usb3="00000000" w:csb0="000001FF" w:csb1="00000000"/>
  </w:font>
  <w:font w:name="Calibri">
    <w:panose1 w:val="020F0502020204030204"/>
    <w:charset w:val="EE"/>
    <w:family w:val="swiss"/>
    <w:pitch w:val="variable"/>
    <w:sig w:usb0="E4002EFF" w:usb1="C200247B" w:usb2="00000009" w:usb3="00000000" w:csb0="000001FF" w:csb1="00000000"/>
    <w:embedRegular r:id="rId1" w:fontKey="{54246411-361B-44E1-BFA9-581EC2D6BFD3}"/>
  </w:font>
  <w:font w:name="Arial">
    <w:panose1 w:val="020B0604020202020204"/>
    <w:charset w:val="EE"/>
    <w:family w:val="swiss"/>
    <w:pitch w:val="variable"/>
    <w:sig w:usb0="E0002EFF" w:usb1="C000785B" w:usb2="00000009" w:usb3="00000000" w:csb0="000001FF" w:csb1="00000000"/>
  </w:font>
  <w:font w:name="Cambria">
    <w:panose1 w:val="02040503050406030204"/>
    <w:charset w:val="EE"/>
    <w:family w:val="roman"/>
    <w:pitch w:val="variable"/>
    <w:sig w:usb0="E00006FF" w:usb1="420024FF" w:usb2="02000000" w:usb3="00000000" w:csb0="0000019F" w:csb1="00000000"/>
    <w:embedRegular r:id="rId2" w:fontKey="{97AE1D70-400C-4013-B49E-A6DAF5025F2E}"/>
  </w:font>
</w:fonts>
</file>

<file path=word/footer1.xml><?xml version="1.0" encoding="utf-8"?>
<w:ftr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p w14:paraId="254025E5" w14:textId="3705468C" w:rsidR="00684A83" w:rsidRDefault="00836F93">
    <w:pPr>
      <w:pBdr>
        <w:top w:val="nil"/>
        <w:left w:val="nil"/>
        <w:bottom w:val="nil"/>
        <w:right w:val="nil"/>
        <w:between w:val="nil"/>
      </w:pBdr>
      <w:tabs>
        <w:tab w:val="center" w:pos="4513"/>
        <w:tab w:val="right" w:pos="9026"/>
      </w:tabs>
      <w:spacing w:after="0" w:line="240" w:lineRule="auto"/>
      <w:jc w:val="right"/>
      <w:rPr>
        <w:color w:val="000000"/>
      </w:rPr>
    </w:pPr>
    <w:r>
      <w:rPr>
        <w:color w:val="000000"/>
      </w:rPr>
      <w:fldChar w:fldCharType="begin"/>
    </w:r>
    <w:r>
      <w:rPr>
        <w:color w:val="000000"/>
      </w:rPr>
      <w:instrText>PAGE</w:instrText>
    </w:r>
    <w:r>
      <w:rPr>
        <w:color w:val="000000"/>
      </w:rPr>
      <w:fldChar w:fldCharType="separate"/>
    </w:r>
    <w:r>
      <w:rPr>
        <w:noProof/>
        <w:color w:val="000000"/>
      </w:rPr>
      <w:t>1</w:t>
    </w:r>
    <w:r>
      <w:rPr>
        <w:color w:val="000000"/>
      </w:rPr>
      <w:fldChar w:fldCharType="end"/>
    </w:r>
  </w:p>
  <w:p w14:paraId="28FA8B66" w14:textId="77777777" w:rsidR="00684A83" w:rsidRDefault="00684A83">
    <w:pPr>
      <w:pBdr>
        <w:top w:val="nil"/>
        <w:left w:val="nil"/>
        <w:bottom w:val="nil"/>
        <w:right w:val="nil"/>
        <w:between w:val="nil"/>
      </w:pBdr>
      <w:tabs>
        <w:tab w:val="center" w:pos="4513"/>
        <w:tab w:val="right" w:pos="9026"/>
      </w:tabs>
      <w:spacing w:after="0" w:line="240" w:lineRule="auto"/>
      <w:rPr>
        <w:color w:val="000000"/>
      </w:rPr>
    </w:pPr>
  </w:p>
</w:ftr>
</file>

<file path=word/footnotes.xml><?xml version="1.0" encoding="utf-8"?>
<w:footnotes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footnote w:type="separator" w:id="-1">
    <w:p w14:paraId="3BD13D6D" w14:textId="77777777" w:rsidR="00580516" w:rsidRDefault="00580516">
      <w:pPr>
        <w:spacing w:after="0" w:line="240" w:lineRule="auto"/>
      </w:pPr>
      <w:r>
        <w:separator/>
      </w:r>
    </w:p>
  </w:footnote>
  <w:footnote w:type="continuationSeparator" w:id="0">
    <w:p w14:paraId="3AD33717" w14:textId="77777777" w:rsidR="00580516" w:rsidRDefault="00580516">
      <w:pPr>
        <w:spacing w:after="0" w:line="240" w:lineRule="auto"/>
      </w:pPr>
      <w:r>
        <w:continuationSeparator/>
      </w:r>
    </w:p>
  </w:footnote>
</w:footnote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se="http://schemas.microsoft.com/office/word/2015/wordml/symex" xmlns:sl="http://schemas.openxmlformats.org/schemaLibrary/2006/main" mc:Ignorable="w14 w15 w16se">
  <w:zoom w:percent="100"/>
  <w:removePersonalInformation/>
  <w:removeDateAndTime/>
  <w:embedTrueTypeFonts/>
  <w:defaultTabStop w:val="720"/>
  <w:hyphenationZone w:val="425"/>
  <w:characterSpacingControl w:val="doNotCompress"/>
  <w:hdrShapeDefaults>
    <o:shapedefaults v:ext="edit" spidmax="2050"/>
  </w:hdrShapeDefault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
  <w:rsids>
    <w:rsidRoot w:val="00684A83"/>
    <w:rsid w:val="00025252"/>
    <w:rsid w:val="00580516"/>
    <w:rsid w:val="00660094"/>
    <w:rsid w:val="00684A83"/>
    <w:rsid w:val="00723CB3"/>
    <w:rsid w:val="00836F93"/>
    <w:rsid w:val="00D32608"/>
  </w:rsids>
  <m:mathPr>
    <m:mathFont m:val="Cambria Math"/>
    <m:brkBin m:val="before"/>
    <m:brkBinSub m:val="--"/>
    <m:smallFrac m:val="0"/>
    <m:dispDef/>
    <m:lMargin m:val="0"/>
    <m:rMargin m:val="0"/>
    <m:defJc m:val="centerGroup"/>
    <m:wrapIndent m:val="1440"/>
    <m:intLim m:val="subSup"/>
    <m:naryLim m:val="undOvr"/>
  </m:mathPr>
  <w:themeFontLang w:val="en-IN"/>
  <w:clrSchemeMapping w:bg1="light1" w:t1="dark1" w:bg2="light2" w:t2="dark2" w:accent1="accent1" w:accent2="accent2" w:accent3="accent3" w:accent4="accent4" w:accent5="accent5" w:accent6="accent6" w:hyperlink="hyperlink" w:followedHyperlink="followedHyperlink"/>
  <w:shapeDefaults>
    <o:shapedefaults v:ext="edit" spidmax="2050"/>
    <o:shapelayout v:ext="edit">
      <o:idmap v:ext="edit" data="2"/>
    </o:shapelayout>
  </w:shapeDefaults>
  <w:decimalSymbol w:val=","/>
  <w:listSeparator w:val=";"/>
  <w14:docId w14:val="6F3A2576"/>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docDefaults>
    <w:rPrDefault>
      <w:rPr>
        <w:rFonts w:ascii="Times New Roman" w:eastAsia="Times New Roman" w:hAnsi="Times New Roman" w:cs="Times New Roman"/>
        <w:sz w:val="24"/>
        <w:szCs w:val="24"/>
        <w:lang w:val="en-GB" w:eastAsia="en-IN" w:bidi="ar-SA"/>
      </w:rPr>
    </w:rPrDefault>
    <w:pPrDefault>
      <w:pPr>
        <w:spacing w:after="200" w:line="360" w:lineRule="auto"/>
        <w:jc w:val="both"/>
      </w:pPr>
    </w:pPrDefault>
  </w:docDefaults>
  <w:latentStyles w:defLockedState="0" w:defUIPriority="99" w:defSemiHidden="0" w:defUnhideWhenUsed="0" w:defQFormat="0" w:count="371">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atentStyles>
  <w:style w:type="paragraph" w:default="1" w:styleId="Normal">
    <w:name w:val="Normal"/>
    <w:qFormat/>
  </w:style>
  <w:style w:type="paragraph" w:styleId="Heading1">
    <w:name w:val="heading 1"/>
    <w:basedOn w:val="Normal"/>
    <w:next w:val="Normal"/>
    <w:uiPriority w:val="9"/>
    <w:qFormat/>
    <w:pPr>
      <w:keepNext/>
      <w:keepLines/>
      <w:outlineLvl w:val="0"/>
    </w:pPr>
    <w:rPr>
      <w:b/>
      <w:bCs/>
    </w:rPr>
  </w:style>
  <w:style w:type="paragraph" w:styleId="Heading2">
    <w:name w:val="heading 2"/>
    <w:basedOn w:val="Normal"/>
    <w:next w:val="Normal"/>
    <w:uiPriority w:val="9"/>
    <w:unhideWhenUsed/>
    <w:qFormat/>
    <w:pPr>
      <w:keepNext/>
      <w:keepLines/>
      <w:outlineLvl w:val="1"/>
    </w:pPr>
    <w:rPr>
      <w:b/>
      <w:bCs/>
    </w:rPr>
  </w:style>
  <w:style w:type="paragraph" w:styleId="Heading3">
    <w:name w:val="heading 3"/>
    <w:basedOn w:val="Normal"/>
    <w:next w:val="Normal"/>
    <w:uiPriority w:val="9"/>
    <w:semiHidden/>
    <w:unhideWhenUsed/>
    <w:qFormat/>
    <w:pPr>
      <w:keepNext/>
      <w:keepLines/>
      <w:spacing w:before="320" w:after="80"/>
      <w:outlineLvl w:val="2"/>
    </w:pPr>
    <w:rPr>
      <w:color w:val="434343"/>
      <w:sz w:val="28"/>
      <w:szCs w:val="28"/>
    </w:rPr>
  </w:style>
  <w:style w:type="paragraph" w:styleId="Heading4">
    <w:name w:val="heading 4"/>
    <w:basedOn w:val="Normal"/>
    <w:next w:val="Normal"/>
    <w:uiPriority w:val="9"/>
    <w:semiHidden/>
    <w:unhideWhenUsed/>
    <w:qFormat/>
    <w:pPr>
      <w:keepNext/>
      <w:keepLines/>
      <w:spacing w:before="280" w:after="80"/>
      <w:outlineLvl w:val="3"/>
    </w:pPr>
    <w:rPr>
      <w:color w:val="666666"/>
    </w:rPr>
  </w:style>
  <w:style w:type="paragraph" w:styleId="Heading5">
    <w:name w:val="heading 5"/>
    <w:basedOn w:val="Normal"/>
    <w:next w:val="Normal"/>
    <w:uiPriority w:val="9"/>
    <w:semiHidden/>
    <w:unhideWhenUsed/>
    <w:qFormat/>
    <w:pPr>
      <w:keepNext/>
      <w:keepLines/>
      <w:spacing w:before="240" w:after="80"/>
      <w:outlineLvl w:val="4"/>
    </w:pPr>
    <w:rPr>
      <w:color w:val="666666"/>
      <w:sz w:val="22"/>
      <w:szCs w:val="22"/>
    </w:rPr>
  </w:style>
  <w:style w:type="paragraph" w:styleId="Heading6">
    <w:name w:val="heading 6"/>
    <w:basedOn w:val="Normal"/>
    <w:next w:val="Normal"/>
    <w:uiPriority w:val="9"/>
    <w:semiHidden/>
    <w:unhideWhenUsed/>
    <w:qFormat/>
    <w:pPr>
      <w:keepNext/>
      <w:keepLines/>
      <w:spacing w:before="240" w:after="80"/>
      <w:outlineLvl w:val="5"/>
    </w:pPr>
    <w:rPr>
      <w:i/>
      <w:iCs/>
      <w:color w:val="666666"/>
      <w:sz w:val="22"/>
      <w:szCs w:val="22"/>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table" w:customStyle="1" w:styleId="TableNormal0">
    <w:name w:val="TableNormal"/>
    <w:tblPr>
      <w:tblCellMar>
        <w:top w:w="100" w:type="dxa"/>
        <w:left w:w="100" w:type="dxa"/>
        <w:bottom w:w="100" w:type="dxa"/>
        <w:right w:w="100" w:type="dxa"/>
      </w:tblCellMar>
    </w:tblPr>
  </w:style>
  <w:style w:type="paragraph" w:styleId="Title">
    <w:name w:val="Title"/>
    <w:basedOn w:val="Normal"/>
    <w:next w:val="Normal"/>
    <w:uiPriority w:val="10"/>
    <w:qFormat/>
    <w:pPr>
      <w:keepNext/>
      <w:keepLines/>
      <w:spacing w:after="60"/>
    </w:pPr>
    <w:rPr>
      <w:sz w:val="52"/>
      <w:szCs w:val="52"/>
    </w:rPr>
  </w:style>
  <w:style w:type="table" w:customStyle="1" w:styleId="TableNormal1">
    <w:name w:val="TableNormal"/>
    <w:tblPr>
      <w:tblCellMar>
        <w:top w:w="100" w:type="dxa"/>
        <w:left w:w="100" w:type="dxa"/>
        <w:bottom w:w="100" w:type="dxa"/>
        <w:right w:w="100" w:type="dxa"/>
      </w:tblCellMar>
    </w:tblPr>
  </w:style>
  <w:style w:type="paragraph" w:styleId="TOCHeading">
    <w:name w:val="TOC Heading"/>
    <w:basedOn w:val="Heading1"/>
    <w:next w:val="Normal"/>
    <w:uiPriority w:val="39"/>
    <w:unhideWhenUsed/>
    <w:qFormat/>
    <w:rsid w:val="00F9788F"/>
    <w:pPr>
      <w:spacing w:before="240" w:after="0" w:line="259" w:lineRule="auto"/>
      <w:jc w:val="left"/>
      <w:outlineLvl w:val="9"/>
    </w:pPr>
    <w:rPr>
      <w:rFonts w:asciiTheme="majorHAnsi" w:eastAsiaTheme="majorEastAsia" w:hAnsiTheme="majorHAnsi" w:cstheme="majorBidi"/>
      <w:b w:val="0"/>
      <w:bCs w:val="0"/>
      <w:color w:val="365F91" w:themeColor="accent1" w:themeShade="BF"/>
      <w:sz w:val="32"/>
      <w:szCs w:val="32"/>
      <w:lang w:val="en-US" w:eastAsia="en-US"/>
    </w:rPr>
  </w:style>
  <w:style w:type="paragraph" w:styleId="TOC1">
    <w:name w:val="toc 1"/>
    <w:basedOn w:val="Normal"/>
    <w:next w:val="Normal"/>
    <w:autoRedefine/>
    <w:uiPriority w:val="39"/>
    <w:unhideWhenUsed/>
    <w:rsid w:val="00F9788F"/>
    <w:pPr>
      <w:spacing w:after="100"/>
    </w:pPr>
  </w:style>
  <w:style w:type="paragraph" w:styleId="TOC2">
    <w:name w:val="toc 2"/>
    <w:basedOn w:val="Normal"/>
    <w:next w:val="Normal"/>
    <w:autoRedefine/>
    <w:uiPriority w:val="39"/>
    <w:unhideWhenUsed/>
    <w:rsid w:val="00F9788F"/>
    <w:pPr>
      <w:spacing w:after="100"/>
      <w:ind w:left="240"/>
    </w:pPr>
  </w:style>
  <w:style w:type="character" w:styleId="Hyperlink">
    <w:name w:val="Hyperlink"/>
    <w:basedOn w:val="DefaultParagraphFont"/>
    <w:uiPriority w:val="99"/>
    <w:unhideWhenUsed/>
    <w:rsid w:val="00F9788F"/>
    <w:rPr>
      <w:color w:val="0000FF" w:themeColor="hyperlink"/>
      <w:u w:val="single"/>
    </w:rPr>
  </w:style>
  <w:style w:type="character" w:customStyle="1" w:styleId="UnresolvedMention">
    <w:name w:val="Unresolved Mention"/>
    <w:basedOn w:val="DefaultParagraphFont"/>
    <w:uiPriority w:val="99"/>
    <w:semiHidden/>
    <w:unhideWhenUsed/>
    <w:rsid w:val="00B141A2"/>
    <w:rPr>
      <w:color w:val="605E5C"/>
      <w:shd w:val="clear" w:color="auto" w:fill="E1DFDD"/>
    </w:rPr>
  </w:style>
  <w:style w:type="paragraph" w:styleId="Header">
    <w:name w:val="header"/>
    <w:basedOn w:val="Normal"/>
    <w:link w:val="HeaderChar"/>
    <w:uiPriority w:val="99"/>
    <w:unhideWhenUsed/>
    <w:rsid w:val="00B141A2"/>
    <w:pPr>
      <w:tabs>
        <w:tab w:val="center" w:pos="4513"/>
        <w:tab w:val="right" w:pos="9026"/>
      </w:tabs>
      <w:spacing w:after="0" w:line="240" w:lineRule="auto"/>
    </w:pPr>
  </w:style>
  <w:style w:type="character" w:customStyle="1" w:styleId="HeaderChar">
    <w:name w:val="Header Char"/>
    <w:basedOn w:val="DefaultParagraphFont"/>
    <w:link w:val="Header"/>
    <w:uiPriority w:val="99"/>
    <w:rsid w:val="00B141A2"/>
  </w:style>
  <w:style w:type="paragraph" w:styleId="Footer">
    <w:name w:val="footer"/>
    <w:basedOn w:val="Normal"/>
    <w:link w:val="FooterChar"/>
    <w:uiPriority w:val="99"/>
    <w:unhideWhenUsed/>
    <w:rsid w:val="00B141A2"/>
    <w:pPr>
      <w:tabs>
        <w:tab w:val="center" w:pos="4513"/>
        <w:tab w:val="right" w:pos="9026"/>
      </w:tabs>
      <w:spacing w:after="0" w:line="240" w:lineRule="auto"/>
    </w:pPr>
  </w:style>
  <w:style w:type="character" w:customStyle="1" w:styleId="FooterChar">
    <w:name w:val="Footer Char"/>
    <w:basedOn w:val="DefaultParagraphFont"/>
    <w:link w:val="Footer"/>
    <w:uiPriority w:val="99"/>
    <w:rsid w:val="00B141A2"/>
  </w:style>
  <w:style w:type="paragraph" w:styleId="Subtitle">
    <w:name w:val="Subtitle"/>
    <w:basedOn w:val="Normal"/>
    <w:next w:val="Normal"/>
    <w:uiPriority w:val="11"/>
    <w:qFormat/>
    <w:pPr>
      <w:keepNext/>
      <w:keepLines/>
      <w:spacing w:after="320"/>
    </w:pPr>
    <w:rPr>
      <w:rFonts w:ascii="Arial" w:eastAsia="Arial" w:hAnsi="Arial" w:cs="Arial"/>
      <w:color w:val="666666"/>
      <w:sz w:val="30"/>
      <w:szCs w:val="30"/>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file>

<file path=word/_rels/document.xml.rels><?xml version="1.0" encoding="UTF-8" standalone="yes"?>
<Relationships xmlns="http://schemas.openxmlformats.org/package/2006/relationships"><Relationship Id="rId8" Type="http://schemas.openxmlformats.org/officeDocument/2006/relationships/hyperlink" Target="https://www.ncl.ac.uk/academic-skills-kit/writing/academic-writing/paragraphing/" TargetMode="External"/><Relationship Id="rId3" Type="http://schemas.openxmlformats.org/officeDocument/2006/relationships/settings" Target="settings.xml"/><Relationship Id="rId7" Type="http://schemas.openxmlformats.org/officeDocument/2006/relationships/image" Target="media/image1.png"/><Relationship Id="rId2" Type="http://schemas.openxmlformats.org/officeDocument/2006/relationships/styles" Target="styles.xml"/><Relationship Id="rId1" Type="http://schemas.openxmlformats.org/officeDocument/2006/relationships/customXml" Target="../customXml/item1.xml"/><Relationship Id="rId6" Type="http://schemas.openxmlformats.org/officeDocument/2006/relationships/endnotes" Target="endnotes.xml"/><Relationship Id="rId11" Type="http://schemas.openxmlformats.org/officeDocument/2006/relationships/theme" Target="theme/theme1.xml"/><Relationship Id="rId5" Type="http://schemas.openxmlformats.org/officeDocument/2006/relationships/footnotes" Target="footnotes.xml"/><Relationship Id="rId10" Type="http://schemas.openxmlformats.org/officeDocument/2006/relationships/fontTable" Target="fontTable.xml"/><Relationship Id="rId4" Type="http://schemas.openxmlformats.org/officeDocument/2006/relationships/webSettings" Target="webSettings.xml"/><Relationship Id="rId9" Type="http://schemas.openxmlformats.org/officeDocument/2006/relationships/footer" Target="footer1.xml"/></Relationships>
</file>

<file path=word/_rels/fontTable.xml.rels><?xml version="1.0" encoding="UTF-8" standalone="yes"?>
<Relationships xmlns="http://schemas.openxmlformats.org/package/2006/relationships"><Relationship Id="rId2" Type="http://schemas.openxmlformats.org/officeDocument/2006/relationships/font" Target="fonts/font2.odttf"/><Relationship Id="rId1" Type="http://schemas.openxmlformats.org/officeDocument/2006/relationships/font" Target="fonts/font1.odttf"/></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go:gDocsCustomXmlDataStorage xmlns:go="http://customooxmlschemas.google.com/" xmlns:r="http://schemas.openxmlformats.org/officeDocument/2006/relationships" uri="GoogleDocsCustomDataVersion2">
  <go:docsCustomData xmlns:go="http://customooxmlschemas.google.com/" roundtripDataSignature="AMtx7mgvVnYWANmLTa0QM3fDaSlvo+YQ3w==">CgMxLjAyDWguOWVqaTM3aGdvNXkyDmgueXUzcGdzazYwZG1wMg5oLmF6NmFwczE2MGU0bTIOaC5uNnJnOHk3MWx3cGEyDmguZHU3Mm1vc3Z5OGxzMg5oLnB2aTNpZGRiZjhkaDIOaC5waGNhZ2dwNzBxZnQyDmguZDk5a3JjNmRldTBwMg5oLmQyeDkyOHdwYmc2aDINaC50NHVuZzZnZnV5NjIOaC5oZDI0a2FmYjR0aTgyDmgua2xweWRidHpyZ2VpMg5oLm5zams0OXhpaXkzNTIOaC45MTI4dDM1ZnMwNXIyDmgubnlyanMxbmxmem1vMg5oLnA3NXRtc2cybzU1bzIOaC5zMmxveDNwMXYwZHYyDmguZ2VocWthaXJ4cnEzMg5oLmY4Yjk0bWJ5a2dnMzgAciExX3FMMkl1R09ZQnJKckc5M2tzcnRNbkE3OU9GenRaRmo=</go:docsCustomData>
</go:gDocsCustomXmlDataStorage>
</file>

<file path=customXml/itemProps1.xml><?xml version="1.0" encoding="utf-8"?>
<ds:datastoreItem xmlns:ds="http://schemas.openxmlformats.org/officeDocument/2006/customXml" ds:itemID="{11111111-1234-1234-1234-123412341234}">
  <ds:schemaRefs>
    <ds:schemaRef ds:uri="http://customooxmlschemas.google.com/"/>
    <ds:schemaRef ds:uri="http://schemas.openxmlformats.org/officeDocument/2006/relationships"/>
  </ds:schemaRefs>
</ds:datastoreItem>
</file>

<file path=docProps/app.xml><?xml version="1.0" encoding="utf-8"?>
<Properties xmlns="http://schemas.openxmlformats.org/officeDocument/2006/extended-properties" xmlns:vt="http://schemas.openxmlformats.org/officeDocument/2006/docPropsVTypes">
  <Template>Normal.dotm</Template>
  <TotalTime>0</TotalTime>
  <Pages>11</Pages>
  <Words>3161</Words>
  <Characters>18340</Characters>
  <Application>Microsoft Office Word</Application>
  <DocSecurity>0</DocSecurity>
  <Lines>152</Lines>
  <Paragraphs>42</Paragraphs>
  <ScaleCrop>false</ScaleCrop>
  <Company/>
  <LinksUpToDate>false</LinksUpToDate>
  <CharactersWithSpaces>21459</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cp:lastModifiedBy/>
  <cp:revision>1</cp:revision>
  <dcterms:created xsi:type="dcterms:W3CDTF">2025-12-04T14:37:00Z</dcterms:created>
  <dcterms:modified xsi:type="dcterms:W3CDTF">2025-12-08T14:24:00Z</dcterms:modified>
</cp:coreProperties>
</file>