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0DED5" w14:textId="68C06A57" w:rsidR="00324F43" w:rsidRDefault="007657E7" w:rsidP="007657E7">
      <w:pPr>
        <w:jc w:val="center"/>
        <w:rPr>
          <w:rFonts w:ascii="Calisto MT" w:hAnsi="Calisto MT" w:cs="Arial"/>
          <w:sz w:val="32"/>
          <w:szCs w:val="32"/>
          <w:u w:val="single"/>
        </w:rPr>
      </w:pPr>
      <w:r w:rsidRPr="002457F2">
        <w:rPr>
          <w:rFonts w:ascii="Calisto MT" w:hAnsi="Calisto MT" w:cs="Arial"/>
          <w:sz w:val="32"/>
          <w:szCs w:val="32"/>
          <w:u w:val="single"/>
        </w:rPr>
        <w:t>Object Analysis</w:t>
      </w:r>
      <w:r w:rsidR="002457F2" w:rsidRPr="002457F2">
        <w:rPr>
          <w:rFonts w:ascii="Calisto MT" w:hAnsi="Calisto MT" w:cs="Arial"/>
          <w:sz w:val="32"/>
          <w:szCs w:val="32"/>
          <w:u w:val="single"/>
        </w:rPr>
        <w:t>: Bronze Age Faience Dish</w:t>
      </w:r>
    </w:p>
    <w:p w14:paraId="63B9A112" w14:textId="25BE4967" w:rsidR="002457F2" w:rsidRDefault="002457F2" w:rsidP="002457F2">
      <w:pPr>
        <w:jc w:val="both"/>
        <w:rPr>
          <w:rFonts w:ascii="Calisto MT" w:hAnsi="Calisto MT" w:cs="Arial"/>
          <w:sz w:val="28"/>
          <w:szCs w:val="28"/>
        </w:rPr>
      </w:pPr>
      <w:r>
        <w:rPr>
          <w:rFonts w:ascii="Calisto MT" w:hAnsi="Calisto MT" w:cs="Arial"/>
          <w:noProof/>
          <w:sz w:val="32"/>
          <w:szCs w:val="32"/>
          <w:u w:val="single"/>
        </w:rPr>
        <w:drawing>
          <wp:anchor distT="0" distB="0" distL="114300" distR="114300" simplePos="0" relativeHeight="251658240" behindDoc="1" locked="0" layoutInCell="1" allowOverlap="1" wp14:anchorId="1BD899C2" wp14:editId="0F82B647">
            <wp:simplePos x="0" y="0"/>
            <wp:positionH relativeFrom="page">
              <wp:posOffset>5240887</wp:posOffset>
            </wp:positionH>
            <wp:positionV relativeFrom="paragraph">
              <wp:posOffset>649187</wp:posOffset>
            </wp:positionV>
            <wp:extent cx="1814830" cy="1800860"/>
            <wp:effectExtent l="0" t="0" r="0" b="8890"/>
            <wp:wrapTight wrapText="bothSides">
              <wp:wrapPolygon edited="0">
                <wp:start x="0" y="0"/>
                <wp:lineTo x="0" y="21478"/>
                <wp:lineTo x="21313" y="21478"/>
                <wp:lineTo x="21313" y="0"/>
                <wp:lineTo x="0" y="0"/>
              </wp:wrapPolygon>
            </wp:wrapTight>
            <wp:docPr id="1621892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1283" r="23505"/>
                    <a:stretch/>
                  </pic:blipFill>
                  <pic:spPr bwMode="auto">
                    <a:xfrm>
                      <a:off x="0" y="0"/>
                      <a:ext cx="1814830" cy="1800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Calisto MT" w:hAnsi="Calisto MT" w:cs="Arial"/>
          <w:sz w:val="28"/>
          <w:szCs w:val="28"/>
        </w:rPr>
        <w:t xml:space="preserve">The study and understanding of cultural connectivity through history is aided largely by the insight scholars can glean from </w:t>
      </w:r>
      <w:r w:rsidR="009A4A57">
        <w:rPr>
          <w:rFonts w:ascii="Calisto MT" w:hAnsi="Calisto MT" w:cs="Arial"/>
          <w:sz w:val="28"/>
          <w:szCs w:val="28"/>
        </w:rPr>
        <w:t xml:space="preserve">the materiality left behind. Artefacts such as this dish, small as it may seem in the topic of interregional and even international trade, project a much broader scope of insight than one may initially suspect. So much about just the physicality of an object such as this can speak to societal aspects like lifestyle, economy, craft, land wealth and intercultural relationships. </w:t>
      </w:r>
    </w:p>
    <w:p w14:paraId="5D4CACB9" w14:textId="12F9889F" w:rsidR="00572BC8" w:rsidRDefault="00572BC8" w:rsidP="002457F2">
      <w:pPr>
        <w:jc w:val="both"/>
        <w:rPr>
          <w:rFonts w:ascii="Calisto MT" w:hAnsi="Calisto MT" w:cs="Arial"/>
          <w:sz w:val="28"/>
          <w:szCs w:val="28"/>
        </w:rPr>
      </w:pPr>
      <w:r>
        <w:rPr>
          <w:rFonts w:ascii="Calisto MT" w:hAnsi="Calisto MT" w:cs="Arial"/>
          <w:sz w:val="28"/>
          <w:szCs w:val="28"/>
        </w:rPr>
        <w:t xml:space="preserve">This dish, measuring 4.7cm in height and 23cm in diameter, presents in the style of Egyptian production – either a product of Egypt or a Cypriot make following an </w:t>
      </w:r>
      <w:proofErr w:type="spellStart"/>
      <w:r>
        <w:rPr>
          <w:rFonts w:ascii="Calisto MT" w:hAnsi="Calisto MT" w:cs="Arial"/>
          <w:sz w:val="28"/>
          <w:szCs w:val="28"/>
        </w:rPr>
        <w:t>Egyptianised</w:t>
      </w:r>
      <w:proofErr w:type="spellEnd"/>
      <w:r>
        <w:rPr>
          <w:rFonts w:ascii="Calisto MT" w:hAnsi="Calisto MT" w:cs="Arial"/>
          <w:sz w:val="28"/>
          <w:szCs w:val="28"/>
        </w:rPr>
        <w:t xml:space="preserve"> style, suggestive of trade relations between the two countries and a Cypriot interest in the exotica of North Africa. Constructed of faience, and de</w:t>
      </w:r>
      <w:r w:rsidR="00B76D4F">
        <w:rPr>
          <w:rFonts w:ascii="Calisto MT" w:hAnsi="Calisto MT" w:cs="Arial"/>
          <w:sz w:val="28"/>
          <w:szCs w:val="28"/>
        </w:rPr>
        <w:t>corated with black paint, one can notice the detailed diamond-patterned border which keeps to a near symmetry and repetition, as well as a large, detailed illustration in its middle. In it, one can recognise the maritime imagery of a male figure, with some type of oar in hand, caught in the motion of rowing a papyrus</w:t>
      </w:r>
      <w:r w:rsidR="00B47D36">
        <w:rPr>
          <w:rFonts w:ascii="Calisto MT" w:hAnsi="Calisto MT" w:cs="Arial"/>
          <w:sz w:val="28"/>
          <w:szCs w:val="28"/>
        </w:rPr>
        <w:t xml:space="preserve"> boat. A canopy can be seen to be covering a bovine animal, which does not lend itself well to</w:t>
      </w:r>
      <w:r w:rsidR="00320B0B">
        <w:rPr>
          <w:rFonts w:ascii="Calisto MT" w:hAnsi="Calisto MT" w:cs="Arial"/>
          <w:sz w:val="28"/>
          <w:szCs w:val="28"/>
        </w:rPr>
        <w:t xml:space="preserve"> specific identification </w:t>
      </w:r>
      <w:proofErr w:type="gramStart"/>
      <w:r w:rsidR="00320B0B">
        <w:rPr>
          <w:rFonts w:ascii="Calisto MT" w:hAnsi="Calisto MT" w:cs="Arial"/>
          <w:sz w:val="28"/>
          <w:szCs w:val="28"/>
        </w:rPr>
        <w:t xml:space="preserve">yet </w:t>
      </w:r>
      <w:r w:rsidR="00B47D36">
        <w:rPr>
          <w:rFonts w:ascii="Calisto MT" w:hAnsi="Calisto MT" w:cs="Arial"/>
          <w:sz w:val="28"/>
          <w:szCs w:val="28"/>
        </w:rPr>
        <w:t xml:space="preserve"> </w:t>
      </w:r>
      <w:r w:rsidR="00320B0B">
        <w:rPr>
          <w:rFonts w:ascii="Calisto MT" w:hAnsi="Calisto MT" w:cs="Arial"/>
          <w:sz w:val="28"/>
          <w:szCs w:val="28"/>
        </w:rPr>
        <w:t>may</w:t>
      </w:r>
      <w:proofErr w:type="gramEnd"/>
      <w:r w:rsidR="00320B0B">
        <w:rPr>
          <w:rFonts w:ascii="Calisto MT" w:hAnsi="Calisto MT" w:cs="Arial"/>
          <w:sz w:val="28"/>
          <w:szCs w:val="28"/>
        </w:rPr>
        <w:t xml:space="preserve"> be understood better when </w:t>
      </w:r>
      <w:r w:rsidR="00B47D36">
        <w:rPr>
          <w:rFonts w:ascii="Calisto MT" w:hAnsi="Calisto MT" w:cs="Arial"/>
          <w:sz w:val="28"/>
          <w:szCs w:val="28"/>
        </w:rPr>
        <w:t>contextualised within Mediterranean seafaring and trade.</w:t>
      </w:r>
      <w:r w:rsidR="00E133DF">
        <w:rPr>
          <w:rFonts w:ascii="Calisto MT" w:hAnsi="Calisto MT" w:cs="Arial"/>
          <w:sz w:val="28"/>
          <w:szCs w:val="28"/>
        </w:rPr>
        <w:t xml:space="preserve"> Under the surface of the water, a fish, most probably enlarged for aesthetics, swims by.</w:t>
      </w:r>
      <w:r w:rsidR="00344608">
        <w:rPr>
          <w:rStyle w:val="FootnoteReference"/>
          <w:rFonts w:ascii="Calisto MT" w:hAnsi="Calisto MT" w:cs="Arial"/>
          <w:sz w:val="28"/>
          <w:szCs w:val="28"/>
        </w:rPr>
        <w:footnoteReference w:id="1"/>
      </w:r>
    </w:p>
    <w:p w14:paraId="5B0922D2" w14:textId="09FAF3BD" w:rsidR="004D133C" w:rsidRDefault="004D133C" w:rsidP="002457F2">
      <w:pPr>
        <w:jc w:val="both"/>
        <w:rPr>
          <w:rFonts w:ascii="Calisto MT" w:hAnsi="Calisto MT" w:cs="Arial"/>
          <w:sz w:val="28"/>
          <w:szCs w:val="28"/>
        </w:rPr>
      </w:pPr>
      <w:r w:rsidRPr="004D133C">
        <w:rPr>
          <w:rFonts w:ascii="Calisto MT" w:hAnsi="Calisto MT" w:cs="Arial"/>
          <w:sz w:val="28"/>
          <w:szCs w:val="28"/>
        </w:rPr>
        <w:t xml:space="preserve">The faience dish was discovered in the remains of Cyprus’s ancient </w:t>
      </w:r>
      <w:proofErr w:type="spellStart"/>
      <w:r w:rsidRPr="004D133C">
        <w:rPr>
          <w:rFonts w:ascii="Calisto MT" w:hAnsi="Calisto MT" w:cs="Arial"/>
          <w:sz w:val="28"/>
          <w:szCs w:val="28"/>
        </w:rPr>
        <w:t>Enkomi</w:t>
      </w:r>
      <w:proofErr w:type="spellEnd"/>
      <w:r w:rsidRPr="004D133C">
        <w:rPr>
          <w:rFonts w:ascii="Calisto MT" w:hAnsi="Calisto MT" w:cs="Arial"/>
          <w:sz w:val="28"/>
          <w:szCs w:val="28"/>
        </w:rPr>
        <w:t xml:space="preserve">. Although the Late Bronze Age city was referred to as </w:t>
      </w:r>
      <w:proofErr w:type="spellStart"/>
      <w:r w:rsidRPr="004D133C">
        <w:rPr>
          <w:rFonts w:ascii="Calisto MT" w:hAnsi="Calisto MT" w:cs="Arial"/>
          <w:sz w:val="28"/>
          <w:szCs w:val="28"/>
        </w:rPr>
        <w:t>Alashiya</w:t>
      </w:r>
      <w:proofErr w:type="spellEnd"/>
      <w:r w:rsidRPr="004D133C">
        <w:rPr>
          <w:rFonts w:ascii="Calisto MT" w:hAnsi="Calisto MT" w:cs="Arial"/>
          <w:sz w:val="28"/>
          <w:szCs w:val="28"/>
        </w:rPr>
        <w:t xml:space="preserve"> in Ancient Egyptian text, archaeologists know the city by</w:t>
      </w:r>
      <w:r>
        <w:rPr>
          <w:rFonts w:ascii="Calisto MT" w:hAnsi="Calisto MT" w:cs="Arial"/>
          <w:sz w:val="28"/>
          <w:szCs w:val="28"/>
        </w:rPr>
        <w:t xml:space="preserve"> the name of</w:t>
      </w:r>
      <w:r w:rsidRPr="004D133C">
        <w:rPr>
          <w:rFonts w:ascii="Calisto MT" w:hAnsi="Calisto MT" w:cs="Arial"/>
          <w:sz w:val="28"/>
          <w:szCs w:val="28"/>
        </w:rPr>
        <w:t xml:space="preserve"> its modern neighbour: the village of </w:t>
      </w:r>
      <w:proofErr w:type="spellStart"/>
      <w:r w:rsidRPr="004D133C">
        <w:rPr>
          <w:rFonts w:ascii="Calisto MT" w:hAnsi="Calisto MT" w:cs="Arial"/>
          <w:sz w:val="28"/>
          <w:szCs w:val="28"/>
        </w:rPr>
        <w:t>Enkomi</w:t>
      </w:r>
      <w:proofErr w:type="spellEnd"/>
      <w:r w:rsidRPr="004D133C">
        <w:rPr>
          <w:rFonts w:ascii="Calisto MT" w:hAnsi="Calisto MT" w:cs="Arial"/>
          <w:sz w:val="28"/>
          <w:szCs w:val="28"/>
        </w:rPr>
        <w:t xml:space="preserve">. Excavations, such as the one funded by the British Museum in the 19th century, have revealed significant activity within </w:t>
      </w:r>
      <w:proofErr w:type="spellStart"/>
      <w:r w:rsidRPr="004D133C">
        <w:rPr>
          <w:rFonts w:ascii="Calisto MT" w:hAnsi="Calisto MT" w:cs="Arial"/>
          <w:sz w:val="28"/>
          <w:szCs w:val="28"/>
        </w:rPr>
        <w:t>Alashiya</w:t>
      </w:r>
      <w:proofErr w:type="spellEnd"/>
      <w:r w:rsidRPr="004D133C">
        <w:rPr>
          <w:rFonts w:ascii="Calisto MT" w:hAnsi="Calisto MT" w:cs="Arial"/>
          <w:sz w:val="28"/>
          <w:szCs w:val="28"/>
        </w:rPr>
        <w:t xml:space="preserve"> both indigenous and foreign. From the mid</w:t>
      </w:r>
      <w:r>
        <w:rPr>
          <w:rFonts w:ascii="Calisto MT" w:hAnsi="Calisto MT" w:cs="Arial"/>
          <w:sz w:val="28"/>
          <w:szCs w:val="28"/>
        </w:rPr>
        <w:t>-</w:t>
      </w:r>
      <w:r w:rsidRPr="004D133C">
        <w:rPr>
          <w:rFonts w:ascii="Calisto MT" w:hAnsi="Calisto MT" w:cs="Arial"/>
          <w:sz w:val="28"/>
          <w:szCs w:val="28"/>
        </w:rPr>
        <w:t xml:space="preserve">17th Century BC to around the 1100s, Cyprus’s role in Bronze Age politics and Mediterranean history was significant. Through intelligent navigation of elite foreign relations, the country “managed to enter the diplomatic, economic and political networks that were established by the great powers of the time – such as the Egyptians, Assyrians and Babylonians or the Hittites, the Mycenaeans </w:t>
      </w:r>
      <w:proofErr w:type="gramStart"/>
      <w:r w:rsidRPr="004D133C">
        <w:rPr>
          <w:rFonts w:ascii="Calisto MT" w:hAnsi="Calisto MT" w:cs="Arial"/>
          <w:sz w:val="28"/>
          <w:szCs w:val="28"/>
        </w:rPr>
        <w:t>too ”</w:t>
      </w:r>
      <w:proofErr w:type="gramEnd"/>
      <w:r w:rsidR="00320B0B">
        <w:rPr>
          <w:rStyle w:val="FootnoteReference"/>
          <w:rFonts w:ascii="Calisto MT" w:hAnsi="Calisto MT" w:cs="Arial"/>
          <w:sz w:val="28"/>
          <w:szCs w:val="28"/>
        </w:rPr>
        <w:footnoteReference w:id="2"/>
      </w:r>
      <w:r w:rsidRPr="004D133C">
        <w:rPr>
          <w:rFonts w:ascii="Calisto MT" w:hAnsi="Calisto MT" w:cs="Arial"/>
          <w:sz w:val="28"/>
          <w:szCs w:val="28"/>
        </w:rPr>
        <w:t xml:space="preserve">, according to the professor of classical archaeology at the University of Cyprus, </w:t>
      </w:r>
      <w:proofErr w:type="spellStart"/>
      <w:r w:rsidRPr="004D133C">
        <w:rPr>
          <w:rFonts w:ascii="Calisto MT" w:hAnsi="Calisto MT" w:cs="Arial"/>
          <w:sz w:val="28"/>
          <w:szCs w:val="28"/>
        </w:rPr>
        <w:t>Papasavvas</w:t>
      </w:r>
      <w:proofErr w:type="spellEnd"/>
      <w:r w:rsidRPr="004D133C">
        <w:rPr>
          <w:rFonts w:ascii="Calisto MT" w:hAnsi="Calisto MT" w:cs="Arial"/>
          <w:sz w:val="28"/>
          <w:szCs w:val="28"/>
        </w:rPr>
        <w:t xml:space="preserve">. During this period, Cyprus, and of course </w:t>
      </w:r>
      <w:proofErr w:type="spellStart"/>
      <w:r w:rsidRPr="004D133C">
        <w:rPr>
          <w:rFonts w:ascii="Calisto MT" w:hAnsi="Calisto MT" w:cs="Arial"/>
          <w:sz w:val="28"/>
          <w:szCs w:val="28"/>
        </w:rPr>
        <w:t>Enkomi</w:t>
      </w:r>
      <w:proofErr w:type="spellEnd"/>
      <w:r w:rsidRPr="004D133C">
        <w:rPr>
          <w:rFonts w:ascii="Calisto MT" w:hAnsi="Calisto MT" w:cs="Arial"/>
          <w:sz w:val="28"/>
          <w:szCs w:val="28"/>
        </w:rPr>
        <w:t xml:space="preserve"> saw </w:t>
      </w:r>
      <w:r w:rsidRPr="004D133C">
        <w:rPr>
          <w:rFonts w:ascii="Calisto MT" w:hAnsi="Calisto MT" w:cs="Arial"/>
          <w:sz w:val="28"/>
          <w:szCs w:val="28"/>
        </w:rPr>
        <w:lastRenderedPageBreak/>
        <w:t xml:space="preserve">a flourishing trade and an improved specialised craftsmanship owing to the island’s wealth. </w:t>
      </w:r>
      <w:proofErr w:type="spellStart"/>
      <w:r w:rsidRPr="004D133C">
        <w:rPr>
          <w:rFonts w:ascii="Calisto MT" w:hAnsi="Calisto MT" w:cs="Arial"/>
          <w:sz w:val="28"/>
          <w:szCs w:val="28"/>
        </w:rPr>
        <w:t>Papasavvas</w:t>
      </w:r>
      <w:proofErr w:type="spellEnd"/>
      <w:r w:rsidRPr="004D133C">
        <w:rPr>
          <w:rFonts w:ascii="Calisto MT" w:hAnsi="Calisto MT" w:cs="Arial"/>
          <w:sz w:val="28"/>
          <w:szCs w:val="28"/>
        </w:rPr>
        <w:t xml:space="preserve"> attributes Cyprus’s good fortune with their diplomatic and economic interconnectivity to “the island’s access to the prolific local deposits of copper, the metal that was of much importance for economic transactions in the ancient world</w:t>
      </w:r>
      <w:proofErr w:type="gramStart"/>
      <w:r w:rsidRPr="004D133C">
        <w:rPr>
          <w:rFonts w:ascii="Calisto MT" w:hAnsi="Calisto MT" w:cs="Arial"/>
          <w:sz w:val="28"/>
          <w:szCs w:val="28"/>
        </w:rPr>
        <w:t>”.</w:t>
      </w:r>
      <w:proofErr w:type="gramEnd"/>
    </w:p>
    <w:p w14:paraId="2DE2CC94" w14:textId="57113BE5" w:rsidR="008B76CB" w:rsidRDefault="00E133DF" w:rsidP="002457F2">
      <w:pPr>
        <w:jc w:val="both"/>
        <w:rPr>
          <w:rFonts w:ascii="Calisto MT" w:hAnsi="Calisto MT" w:cs="Arial"/>
          <w:sz w:val="28"/>
          <w:szCs w:val="28"/>
        </w:rPr>
      </w:pPr>
      <w:r>
        <w:rPr>
          <w:rFonts w:ascii="Calisto MT" w:hAnsi="Calisto MT" w:cs="Arial"/>
          <w:sz w:val="28"/>
          <w:szCs w:val="28"/>
        </w:rPr>
        <w:t xml:space="preserve">Faience first found its way to Cyprus in the Late Bronze Age from trade with Egypt, and therefore </w:t>
      </w:r>
      <w:r w:rsidR="00344608">
        <w:rPr>
          <w:rFonts w:ascii="Calisto MT" w:hAnsi="Calisto MT" w:cs="Arial"/>
          <w:sz w:val="28"/>
          <w:szCs w:val="28"/>
        </w:rPr>
        <w:t>followed a style that reflected Egyptian influences, as well as drawing inspiration from the Levant and Aegean regions in other kinds of pottery.</w:t>
      </w:r>
      <w:r w:rsidR="00344608">
        <w:rPr>
          <w:rStyle w:val="FootnoteReference"/>
          <w:rFonts w:ascii="Calisto MT" w:hAnsi="Calisto MT" w:cs="Arial"/>
          <w:sz w:val="28"/>
          <w:szCs w:val="28"/>
        </w:rPr>
        <w:footnoteReference w:id="3"/>
      </w:r>
      <w:r w:rsidR="00976212">
        <w:rPr>
          <w:rFonts w:ascii="Calisto MT" w:hAnsi="Calisto MT" w:cs="Arial"/>
          <w:sz w:val="28"/>
          <w:szCs w:val="28"/>
        </w:rPr>
        <w:t xml:space="preserve"> In Ancient Egypt, faience was held in prestige and </w:t>
      </w:r>
      <w:r w:rsidR="00502D87">
        <w:rPr>
          <w:rFonts w:ascii="Calisto MT" w:hAnsi="Calisto MT" w:cs="Arial"/>
          <w:sz w:val="28"/>
          <w:szCs w:val="28"/>
        </w:rPr>
        <w:t xml:space="preserve">it was, therefore, a mark of significant wealth or influence to own or otherwise gift an object of faience, despite its man-made composition of relatively common materials such as quartz, lime, alkaline salts and mineral dyes. It is of popular speculation that the material may have been developed as a more accessible alternative to its likeness turquoise and other </w:t>
      </w:r>
      <w:r w:rsidR="00B11F6E">
        <w:rPr>
          <w:rFonts w:ascii="Calisto MT" w:hAnsi="Calisto MT" w:cs="Arial"/>
          <w:sz w:val="28"/>
          <w:szCs w:val="28"/>
        </w:rPr>
        <w:t>precious metals of a similar colour</w:t>
      </w:r>
      <w:r w:rsidR="008B76CB">
        <w:rPr>
          <w:rFonts w:ascii="Calisto MT" w:hAnsi="Calisto MT" w:cs="Arial"/>
          <w:sz w:val="28"/>
          <w:szCs w:val="28"/>
        </w:rPr>
        <w:t>, though it still holds similar spiritual and monetary value.</w:t>
      </w:r>
      <w:r w:rsidR="00570911">
        <w:rPr>
          <w:rFonts w:ascii="Calisto MT" w:hAnsi="Calisto MT" w:cs="Arial"/>
          <w:sz w:val="28"/>
          <w:szCs w:val="28"/>
        </w:rPr>
        <w:t xml:space="preserve"> The raw materials necessary for the manufacture of faience can be found </w:t>
      </w:r>
      <w:r w:rsidR="00E9147C">
        <w:rPr>
          <w:rFonts w:ascii="Calisto MT" w:hAnsi="Calisto MT" w:cs="Arial"/>
          <w:sz w:val="28"/>
          <w:szCs w:val="28"/>
        </w:rPr>
        <w:t xml:space="preserve">in Egypt in relative abundance, further suggesting either the plate’s production within Egypt before its export to </w:t>
      </w:r>
      <w:proofErr w:type="spellStart"/>
      <w:r w:rsidR="00E9147C">
        <w:rPr>
          <w:rFonts w:ascii="Calisto MT" w:hAnsi="Calisto MT" w:cs="Arial"/>
          <w:sz w:val="28"/>
          <w:szCs w:val="28"/>
        </w:rPr>
        <w:t>Enkomi</w:t>
      </w:r>
      <w:proofErr w:type="spellEnd"/>
      <w:r w:rsidR="00E9147C">
        <w:rPr>
          <w:rFonts w:ascii="Calisto MT" w:hAnsi="Calisto MT" w:cs="Arial"/>
          <w:sz w:val="28"/>
          <w:szCs w:val="28"/>
        </w:rPr>
        <w:t>, or the export of raw Egyptian material. Whichever it may be, one can almost certainly determine the plate as a product of trade between the two countries.</w:t>
      </w:r>
      <w:r w:rsidR="00796177">
        <w:rPr>
          <w:rFonts w:ascii="Calisto MT" w:hAnsi="Calisto MT" w:cs="Arial"/>
          <w:sz w:val="28"/>
          <w:szCs w:val="28"/>
        </w:rPr>
        <w:t xml:space="preserve"> With a diameter of 23cm, the plate is a considerably larger faience object in relation to the more common, smaller examples archaeology has seen surface, thus marking it as a product of notable mastery. Any large faience artefact would have had to have been hand-modelled</w:t>
      </w:r>
      <w:r w:rsidR="009D7D1D">
        <w:rPr>
          <w:rFonts w:ascii="Calisto MT" w:hAnsi="Calisto MT" w:cs="Arial"/>
          <w:sz w:val="28"/>
          <w:szCs w:val="28"/>
        </w:rPr>
        <w:t xml:space="preserve">, rather than made in a </w:t>
      </w:r>
      <w:proofErr w:type="spellStart"/>
      <w:r w:rsidR="009D7D1D">
        <w:rPr>
          <w:rFonts w:ascii="Calisto MT" w:hAnsi="Calisto MT" w:cs="Arial"/>
          <w:sz w:val="28"/>
          <w:szCs w:val="28"/>
        </w:rPr>
        <w:t>mold</w:t>
      </w:r>
      <w:proofErr w:type="spellEnd"/>
      <w:r w:rsidR="009D7D1D">
        <w:rPr>
          <w:rFonts w:ascii="Calisto MT" w:hAnsi="Calisto MT" w:cs="Arial"/>
          <w:sz w:val="28"/>
          <w:szCs w:val="28"/>
        </w:rPr>
        <w:t>, making the process one of greater strategy and technique indicative of a craftsman well-versed in the medium and reflectively, more expensive</w:t>
      </w:r>
      <w:r w:rsidR="009D7D1D">
        <w:rPr>
          <w:rStyle w:val="FootnoteReference"/>
          <w:rFonts w:ascii="Calisto MT" w:hAnsi="Calisto MT" w:cs="Arial"/>
          <w:sz w:val="28"/>
          <w:szCs w:val="28"/>
        </w:rPr>
        <w:footnoteReference w:id="4"/>
      </w:r>
      <w:r w:rsidR="009D7D1D">
        <w:rPr>
          <w:rFonts w:ascii="Calisto MT" w:hAnsi="Calisto MT" w:cs="Arial"/>
          <w:sz w:val="28"/>
          <w:szCs w:val="28"/>
        </w:rPr>
        <w:t>.</w:t>
      </w:r>
    </w:p>
    <w:p w14:paraId="694A6E84" w14:textId="091DBF8F" w:rsidR="00E133DF" w:rsidRDefault="00B11F6E" w:rsidP="002457F2">
      <w:pPr>
        <w:jc w:val="both"/>
        <w:rPr>
          <w:rFonts w:ascii="Calisto MT" w:hAnsi="Calisto MT" w:cs="Arial"/>
          <w:sz w:val="28"/>
          <w:szCs w:val="28"/>
        </w:rPr>
      </w:pPr>
      <w:r>
        <w:rPr>
          <w:rFonts w:ascii="Calisto MT" w:hAnsi="Calisto MT" w:cs="Arial"/>
          <w:sz w:val="28"/>
          <w:szCs w:val="28"/>
        </w:rPr>
        <w:t>The blue glaze that has captivated so many in both antiquity and modern study is</w:t>
      </w:r>
      <w:proofErr w:type="gramStart"/>
      <w:r>
        <w:rPr>
          <w:rFonts w:ascii="Calisto MT" w:hAnsi="Calisto MT" w:cs="Arial"/>
          <w:sz w:val="28"/>
          <w:szCs w:val="28"/>
        </w:rPr>
        <w:t>, in itself, a</w:t>
      </w:r>
      <w:proofErr w:type="gramEnd"/>
      <w:r>
        <w:rPr>
          <w:rFonts w:ascii="Calisto MT" w:hAnsi="Calisto MT" w:cs="Arial"/>
          <w:sz w:val="28"/>
          <w:szCs w:val="28"/>
        </w:rPr>
        <w:t xml:space="preserve"> conveyor of a deep and spiritual importance. The history of Egyptian pigment development is surprisingly rich, and is still viewed today as the first step toward </w:t>
      </w:r>
      <w:r w:rsidR="007D0E11">
        <w:rPr>
          <w:rFonts w:ascii="Calisto MT" w:hAnsi="Calisto MT" w:cs="Arial"/>
          <w:sz w:val="28"/>
          <w:szCs w:val="28"/>
        </w:rPr>
        <w:t>a long and fruitful future of the human relationship with colour. Ancient Egypt produced the first blue in 2,200BC</w:t>
      </w:r>
      <w:r w:rsidR="009D7D1D">
        <w:rPr>
          <w:rStyle w:val="FootnoteReference"/>
          <w:rFonts w:ascii="Calisto MT" w:hAnsi="Calisto MT" w:cs="Arial"/>
          <w:sz w:val="28"/>
          <w:szCs w:val="28"/>
        </w:rPr>
        <w:footnoteReference w:id="5"/>
      </w:r>
      <w:r w:rsidR="007D0E11">
        <w:rPr>
          <w:rFonts w:ascii="Calisto MT" w:hAnsi="Calisto MT" w:cs="Arial"/>
          <w:sz w:val="28"/>
          <w:szCs w:val="28"/>
        </w:rPr>
        <w:t xml:space="preserve">, which is recognised today still as ‘Egyptian Blue’ and </w:t>
      </w:r>
      <w:proofErr w:type="gramStart"/>
      <w:r w:rsidR="007D0E11">
        <w:rPr>
          <w:rFonts w:ascii="Calisto MT" w:hAnsi="Calisto MT" w:cs="Arial"/>
          <w:sz w:val="28"/>
          <w:szCs w:val="28"/>
        </w:rPr>
        <w:t>is considered to be</w:t>
      </w:r>
      <w:proofErr w:type="gramEnd"/>
      <w:r w:rsidR="007D0E11">
        <w:rPr>
          <w:rFonts w:ascii="Calisto MT" w:hAnsi="Calisto MT" w:cs="Arial"/>
          <w:sz w:val="28"/>
          <w:szCs w:val="28"/>
        </w:rPr>
        <w:t xml:space="preserve"> one of the rarest and most exclusive shades due to both its historic ties and its unavailability to the modern art world</w:t>
      </w:r>
      <w:r w:rsidR="002F13D1">
        <w:rPr>
          <w:rFonts w:ascii="Calisto MT" w:hAnsi="Calisto MT" w:cs="Arial"/>
          <w:sz w:val="28"/>
          <w:szCs w:val="28"/>
        </w:rPr>
        <w:t xml:space="preserve"> after the loss of its production method</w:t>
      </w:r>
      <w:r w:rsidR="002F13D1">
        <w:rPr>
          <w:rStyle w:val="FootnoteReference"/>
          <w:rFonts w:ascii="Calisto MT" w:hAnsi="Calisto MT" w:cs="Arial"/>
          <w:sz w:val="28"/>
          <w:szCs w:val="28"/>
        </w:rPr>
        <w:footnoteReference w:id="6"/>
      </w:r>
      <w:r w:rsidR="007D0E11">
        <w:rPr>
          <w:rFonts w:ascii="Calisto MT" w:hAnsi="Calisto MT" w:cs="Arial"/>
          <w:sz w:val="28"/>
          <w:szCs w:val="28"/>
        </w:rPr>
        <w:t xml:space="preserve">. </w:t>
      </w:r>
      <w:r w:rsidR="002F13D1">
        <w:rPr>
          <w:rFonts w:ascii="Calisto MT" w:hAnsi="Calisto MT" w:cs="Arial"/>
          <w:sz w:val="28"/>
          <w:szCs w:val="28"/>
        </w:rPr>
        <w:lastRenderedPageBreak/>
        <w:t>Though the glaze on the faience dish admittedly may not be this specific brand of blue pigment, visiting the wider history of blue in the Ancient Egyptian world builds a more contextualised understanding to its value in their society and perhaps as a result, the society of the greater Mediterranean like Cyprus.</w:t>
      </w:r>
      <w:r w:rsidR="00630634">
        <w:rPr>
          <w:rFonts w:ascii="Calisto MT" w:hAnsi="Calisto MT" w:cs="Arial"/>
          <w:sz w:val="28"/>
          <w:szCs w:val="28"/>
        </w:rPr>
        <w:t xml:space="preserve"> Additionally, the colour blue </w:t>
      </w:r>
      <w:r w:rsidR="00D458D7">
        <w:rPr>
          <w:rFonts w:ascii="Calisto MT" w:hAnsi="Calisto MT" w:cs="Arial"/>
          <w:sz w:val="28"/>
          <w:szCs w:val="28"/>
        </w:rPr>
        <w:t>held a cultural symbolism for the Egyptians: depending on the context of their presence, blue could represent dedications to gods like Thoth, Amon or could otherwise refer to the river Nile and thus the ocean it branches into. For the Egyptians, the Nile was considered a most powerful divine source of life, as agriculture and hunting depended on the great river. Consequently, the colour was imbued with connotations of life</w:t>
      </w:r>
      <w:r w:rsidR="003279D7">
        <w:rPr>
          <w:rFonts w:ascii="Calisto MT" w:hAnsi="Calisto MT" w:cs="Arial"/>
          <w:sz w:val="28"/>
          <w:szCs w:val="28"/>
        </w:rPr>
        <w:t>, benevolence, and prosperity</w:t>
      </w:r>
      <w:r w:rsidR="00D458D7">
        <w:rPr>
          <w:rFonts w:ascii="Calisto MT" w:hAnsi="Calisto MT" w:cs="Arial"/>
          <w:sz w:val="28"/>
          <w:szCs w:val="28"/>
        </w:rPr>
        <w:t>. In the case of this dish, it could be argued the use of blue faience speaks to a respect</w:t>
      </w:r>
      <w:r w:rsidR="003279D7">
        <w:rPr>
          <w:rFonts w:ascii="Calisto MT" w:hAnsi="Calisto MT" w:cs="Arial"/>
          <w:sz w:val="28"/>
          <w:szCs w:val="28"/>
        </w:rPr>
        <w:t xml:space="preserve"> of some note</w:t>
      </w:r>
      <w:r w:rsidR="00D458D7">
        <w:rPr>
          <w:rFonts w:ascii="Calisto MT" w:hAnsi="Calisto MT" w:cs="Arial"/>
          <w:sz w:val="28"/>
          <w:szCs w:val="28"/>
        </w:rPr>
        <w:t xml:space="preserve"> </w:t>
      </w:r>
      <w:r w:rsidR="003279D7">
        <w:rPr>
          <w:rFonts w:ascii="Calisto MT" w:hAnsi="Calisto MT" w:cs="Arial"/>
          <w:sz w:val="28"/>
          <w:szCs w:val="28"/>
        </w:rPr>
        <w:t xml:space="preserve">toward </w:t>
      </w:r>
      <w:r w:rsidR="00D458D7">
        <w:rPr>
          <w:rFonts w:ascii="Calisto MT" w:hAnsi="Calisto MT" w:cs="Arial"/>
          <w:sz w:val="28"/>
          <w:szCs w:val="28"/>
        </w:rPr>
        <w:t>the recipient</w:t>
      </w:r>
      <w:r w:rsidR="003279D7">
        <w:rPr>
          <w:rFonts w:ascii="Calisto MT" w:hAnsi="Calisto MT" w:cs="Arial"/>
          <w:sz w:val="28"/>
          <w:szCs w:val="28"/>
        </w:rPr>
        <w:t>, as well as a wish of a prosperous relationship – perhaps another suggestion of trade</w:t>
      </w:r>
      <w:r w:rsidR="00FE41C1">
        <w:rPr>
          <w:rStyle w:val="FootnoteReference"/>
          <w:rFonts w:ascii="Calisto MT" w:hAnsi="Calisto MT" w:cs="Arial"/>
          <w:sz w:val="28"/>
          <w:szCs w:val="28"/>
        </w:rPr>
        <w:footnoteReference w:id="7"/>
      </w:r>
      <w:r w:rsidR="003279D7">
        <w:rPr>
          <w:rFonts w:ascii="Calisto MT" w:hAnsi="Calisto MT" w:cs="Arial"/>
          <w:sz w:val="28"/>
          <w:szCs w:val="28"/>
        </w:rPr>
        <w:t xml:space="preserve">. As in connection with the imagery on the dish, </w:t>
      </w:r>
      <w:r w:rsidR="007640D1">
        <w:rPr>
          <w:rFonts w:ascii="Calisto MT" w:hAnsi="Calisto MT" w:cs="Arial"/>
          <w:sz w:val="28"/>
          <w:szCs w:val="28"/>
        </w:rPr>
        <w:t xml:space="preserve">the </w:t>
      </w:r>
      <w:r w:rsidR="00FE41C1">
        <w:rPr>
          <w:rFonts w:ascii="Calisto MT" w:hAnsi="Calisto MT" w:cs="Arial"/>
          <w:sz w:val="28"/>
          <w:szCs w:val="28"/>
        </w:rPr>
        <w:t xml:space="preserve">indications of trade in its colour as well as its location could relate to the dish’s maritime design, telling of a bountiful seafaring community in </w:t>
      </w:r>
      <w:proofErr w:type="spellStart"/>
      <w:r w:rsidR="00FE41C1">
        <w:rPr>
          <w:rFonts w:ascii="Calisto MT" w:hAnsi="Calisto MT" w:cs="Arial"/>
          <w:sz w:val="28"/>
          <w:szCs w:val="28"/>
        </w:rPr>
        <w:t>Enkomi</w:t>
      </w:r>
      <w:proofErr w:type="spellEnd"/>
      <w:r w:rsidR="00FE41C1">
        <w:rPr>
          <w:rFonts w:ascii="Calisto MT" w:hAnsi="Calisto MT" w:cs="Arial"/>
          <w:sz w:val="28"/>
          <w:szCs w:val="28"/>
        </w:rPr>
        <w:t xml:space="preserve"> or Egypt which deals in trade with the other. Analysing </w:t>
      </w:r>
      <w:proofErr w:type="gramStart"/>
      <w:r w:rsidR="00FE41C1">
        <w:rPr>
          <w:rFonts w:ascii="Calisto MT" w:hAnsi="Calisto MT" w:cs="Arial"/>
          <w:sz w:val="28"/>
          <w:szCs w:val="28"/>
        </w:rPr>
        <w:t>all of</w:t>
      </w:r>
      <w:proofErr w:type="gramEnd"/>
      <w:r w:rsidR="00FE41C1">
        <w:rPr>
          <w:rFonts w:ascii="Calisto MT" w:hAnsi="Calisto MT" w:cs="Arial"/>
          <w:sz w:val="28"/>
          <w:szCs w:val="28"/>
        </w:rPr>
        <w:t xml:space="preserve"> the physical components under the lens of cultural connectivity and relations, this theory seems to connect.</w:t>
      </w:r>
    </w:p>
    <w:p w14:paraId="494134D9" w14:textId="0795C231" w:rsidR="00905A2C" w:rsidRDefault="0075066B" w:rsidP="00E418E0">
      <w:pPr>
        <w:jc w:val="both"/>
        <w:rPr>
          <w:rFonts w:ascii="Calisto MT" w:hAnsi="Calisto MT" w:cs="Arial"/>
          <w:sz w:val="28"/>
          <w:szCs w:val="28"/>
        </w:rPr>
      </w:pPr>
      <w:r>
        <w:rPr>
          <w:rFonts w:ascii="Calisto MT" w:hAnsi="Calisto MT" w:cs="Arial"/>
          <w:sz w:val="28"/>
          <w:szCs w:val="28"/>
        </w:rPr>
        <w:t xml:space="preserve">The </w:t>
      </w:r>
      <w:proofErr w:type="spellStart"/>
      <w:r>
        <w:rPr>
          <w:rFonts w:ascii="Calisto MT" w:hAnsi="Calisto MT" w:cs="Arial"/>
          <w:sz w:val="28"/>
          <w:szCs w:val="28"/>
        </w:rPr>
        <w:t>Egyptianised</w:t>
      </w:r>
      <w:proofErr w:type="spellEnd"/>
      <w:r>
        <w:rPr>
          <w:rFonts w:ascii="Calisto MT" w:hAnsi="Calisto MT" w:cs="Arial"/>
          <w:sz w:val="28"/>
          <w:szCs w:val="28"/>
        </w:rPr>
        <w:t xml:space="preserve"> appearance of the dish can be attributed to the shared cultural milieu between Cyprus and Egypt reached after generations of trade and association.</w:t>
      </w:r>
      <w:r w:rsidR="00352167">
        <w:rPr>
          <w:rFonts w:ascii="Calisto MT" w:hAnsi="Calisto MT" w:cs="Arial"/>
          <w:sz w:val="28"/>
          <w:szCs w:val="28"/>
        </w:rPr>
        <w:t xml:space="preserve"> </w:t>
      </w:r>
      <w:r w:rsidR="00CF1D87">
        <w:rPr>
          <w:rFonts w:ascii="Calisto MT" w:hAnsi="Calisto MT" w:cs="Arial"/>
          <w:sz w:val="28"/>
          <w:szCs w:val="28"/>
        </w:rPr>
        <w:t xml:space="preserve">To contextualise this object, one must explore the archaeological theories that attempt to explain the complex multi-cultural look that appears time and time again in Late Bronze Age materiality. Egyptologist William Stevenson Smith was the first to use the term ‘international style’ in the 1960s to categorise </w:t>
      </w:r>
      <w:r w:rsidR="00EF0A51">
        <w:rPr>
          <w:rFonts w:ascii="Calisto MT" w:hAnsi="Calisto MT" w:cs="Arial"/>
          <w:sz w:val="28"/>
          <w:szCs w:val="28"/>
        </w:rPr>
        <w:t>the display of ‘multiple foreign or non-indigenous elements’</w:t>
      </w:r>
      <w:r w:rsidR="00EF0A51">
        <w:rPr>
          <w:rStyle w:val="FootnoteReference"/>
          <w:rFonts w:ascii="Calisto MT" w:hAnsi="Calisto MT" w:cs="Arial"/>
          <w:sz w:val="28"/>
          <w:szCs w:val="28"/>
        </w:rPr>
        <w:footnoteReference w:id="8"/>
      </w:r>
      <w:r w:rsidR="00EF0A51">
        <w:rPr>
          <w:rFonts w:ascii="Calisto MT" w:hAnsi="Calisto MT" w:cs="Arial"/>
          <w:sz w:val="28"/>
          <w:szCs w:val="28"/>
        </w:rPr>
        <w:t xml:space="preserve"> and attributed its emergence to the </w:t>
      </w:r>
      <w:r w:rsidR="00BF5505">
        <w:rPr>
          <w:rFonts w:ascii="Calisto MT" w:hAnsi="Calisto MT" w:cs="Arial"/>
          <w:sz w:val="28"/>
          <w:szCs w:val="28"/>
        </w:rPr>
        <w:t xml:space="preserve">regular </w:t>
      </w:r>
      <w:r w:rsidR="00EF0A51">
        <w:rPr>
          <w:rFonts w:ascii="Calisto MT" w:hAnsi="Calisto MT" w:cs="Arial"/>
          <w:sz w:val="28"/>
          <w:szCs w:val="28"/>
        </w:rPr>
        <w:t>gift exchange</w:t>
      </w:r>
      <w:r w:rsidR="00BF5505">
        <w:rPr>
          <w:rFonts w:ascii="Calisto MT" w:hAnsi="Calisto MT" w:cs="Arial"/>
          <w:sz w:val="28"/>
          <w:szCs w:val="28"/>
        </w:rPr>
        <w:t xml:space="preserve"> between elites and rulers of separate states.</w:t>
      </w:r>
      <w:r w:rsidR="00EF0A51">
        <w:rPr>
          <w:rFonts w:ascii="Calisto MT" w:hAnsi="Calisto MT" w:cs="Arial"/>
          <w:sz w:val="28"/>
          <w:szCs w:val="28"/>
        </w:rPr>
        <w:t xml:space="preserve"> </w:t>
      </w:r>
      <w:r w:rsidR="0004361F">
        <w:rPr>
          <w:rFonts w:ascii="Calisto MT" w:hAnsi="Calisto MT" w:cs="Arial"/>
          <w:sz w:val="28"/>
          <w:szCs w:val="28"/>
        </w:rPr>
        <w:t>Shared imagery is one thing archaeologists have come across in spades in their unearthing and examining of ancient objects – particularly those in the Late Bronze Age Mediterranean region where geographical proximity has made intercultural relationships largely accessible. Due to the phenomena of shared imagery, archaeology faces a struggle when identifying country of origin</w:t>
      </w:r>
      <w:r w:rsidR="00E31070">
        <w:rPr>
          <w:rFonts w:ascii="Calisto MT" w:hAnsi="Calisto MT" w:cs="Arial"/>
          <w:sz w:val="28"/>
          <w:szCs w:val="28"/>
        </w:rPr>
        <w:t xml:space="preserve"> with any certainty</w:t>
      </w:r>
      <w:r w:rsidR="0004361F">
        <w:rPr>
          <w:rFonts w:ascii="Calisto MT" w:hAnsi="Calisto MT" w:cs="Arial"/>
          <w:sz w:val="28"/>
          <w:szCs w:val="28"/>
        </w:rPr>
        <w:t>; many objects appear to follow design or manufacture of one country, while being found in another</w:t>
      </w:r>
      <w:r w:rsidR="002F751A">
        <w:rPr>
          <w:rFonts w:ascii="Calisto MT" w:hAnsi="Calisto MT" w:cs="Arial"/>
          <w:sz w:val="28"/>
          <w:szCs w:val="28"/>
        </w:rPr>
        <w:t xml:space="preserve">, which is the case for this specific object. </w:t>
      </w:r>
      <w:r w:rsidR="00645CAC">
        <w:rPr>
          <w:rFonts w:ascii="Calisto MT" w:hAnsi="Calisto MT" w:cs="Arial"/>
          <w:sz w:val="28"/>
          <w:szCs w:val="28"/>
        </w:rPr>
        <w:t xml:space="preserve">The fact of a shared and blended cultural materiality though, implies </w:t>
      </w:r>
      <w:r w:rsidR="00645CAC">
        <w:rPr>
          <w:rFonts w:ascii="Calisto MT" w:hAnsi="Calisto MT" w:cs="Arial"/>
          <w:sz w:val="28"/>
          <w:szCs w:val="28"/>
        </w:rPr>
        <w:lastRenderedPageBreak/>
        <w:t>the existence of a pre-existing style of which used to be specific to one cultural region.</w:t>
      </w:r>
      <w:r w:rsidR="00352167">
        <w:rPr>
          <w:rFonts w:ascii="Calisto MT" w:hAnsi="Calisto MT" w:cs="Arial"/>
          <w:sz w:val="28"/>
          <w:szCs w:val="28"/>
        </w:rPr>
        <w:t xml:space="preserve"> </w:t>
      </w:r>
      <w:r w:rsidR="00645CAC">
        <w:rPr>
          <w:rFonts w:ascii="Calisto MT" w:hAnsi="Calisto MT" w:cs="Arial"/>
          <w:sz w:val="28"/>
          <w:szCs w:val="28"/>
        </w:rPr>
        <w:t xml:space="preserve"> </w:t>
      </w:r>
      <w:r w:rsidR="00766E78">
        <w:rPr>
          <w:rFonts w:ascii="Calisto MT" w:hAnsi="Calisto MT" w:cs="Arial"/>
          <w:sz w:val="28"/>
          <w:szCs w:val="28"/>
        </w:rPr>
        <w:t xml:space="preserve">Where international style is apparent in materiality, it can usually be assumed </w:t>
      </w:r>
      <w:r w:rsidR="00E11BDF">
        <w:rPr>
          <w:rFonts w:ascii="Calisto MT" w:hAnsi="Calisto MT" w:cs="Arial"/>
          <w:sz w:val="28"/>
          <w:szCs w:val="28"/>
        </w:rPr>
        <w:t xml:space="preserve">that the object is of a high value as well as a fine craftmanship; </w:t>
      </w:r>
      <w:r w:rsidR="00481352">
        <w:rPr>
          <w:rFonts w:ascii="Calisto MT" w:hAnsi="Calisto MT" w:cs="Arial"/>
          <w:sz w:val="28"/>
          <w:szCs w:val="28"/>
        </w:rPr>
        <w:t>though naturally</w:t>
      </w:r>
      <w:r w:rsidR="00E11BDF">
        <w:rPr>
          <w:rFonts w:ascii="Calisto MT" w:hAnsi="Calisto MT" w:cs="Arial"/>
          <w:sz w:val="28"/>
          <w:szCs w:val="28"/>
        </w:rPr>
        <w:t xml:space="preserve">, assumptions within academia are discouraged, </w:t>
      </w:r>
      <w:r w:rsidR="00481352">
        <w:rPr>
          <w:rFonts w:ascii="Calisto MT" w:hAnsi="Calisto MT" w:cs="Arial"/>
          <w:sz w:val="28"/>
          <w:szCs w:val="28"/>
        </w:rPr>
        <w:t>t</w:t>
      </w:r>
      <w:r w:rsidR="00E11BDF">
        <w:rPr>
          <w:rFonts w:ascii="Calisto MT" w:hAnsi="Calisto MT" w:cs="Arial"/>
          <w:sz w:val="28"/>
          <w:szCs w:val="28"/>
        </w:rPr>
        <w:t>his is simply to refer to the copious objects f</w:t>
      </w:r>
      <w:r w:rsidR="00352167">
        <w:rPr>
          <w:rFonts w:ascii="Calisto MT" w:hAnsi="Calisto MT" w:cs="Arial"/>
          <w:sz w:val="28"/>
          <w:szCs w:val="28"/>
        </w:rPr>
        <w:t>ound under the umbrella of international style that boast such characteristics.</w:t>
      </w:r>
      <w:r w:rsidR="00481352">
        <w:rPr>
          <w:rFonts w:ascii="Calisto MT" w:hAnsi="Calisto MT" w:cs="Arial"/>
          <w:sz w:val="28"/>
          <w:szCs w:val="28"/>
        </w:rPr>
        <w:t xml:space="preserve"> These objects tend to have been made from expensive material like ivory, gold, or faience and feature decoration telling of a</w:t>
      </w:r>
      <w:r w:rsidR="002971C8">
        <w:rPr>
          <w:rFonts w:ascii="Calisto MT" w:hAnsi="Calisto MT" w:cs="Arial"/>
          <w:sz w:val="28"/>
          <w:szCs w:val="28"/>
        </w:rPr>
        <w:t xml:space="preserve">n almost complete hybridism between cultures, which can be revealed through the impressive and educated blend of motifs, </w:t>
      </w:r>
      <w:proofErr w:type="gramStart"/>
      <w:r w:rsidR="002971C8">
        <w:rPr>
          <w:rFonts w:ascii="Calisto MT" w:hAnsi="Calisto MT" w:cs="Arial"/>
          <w:sz w:val="28"/>
          <w:szCs w:val="28"/>
        </w:rPr>
        <w:t>shapes</w:t>
      </w:r>
      <w:proofErr w:type="gramEnd"/>
      <w:r w:rsidR="002971C8">
        <w:rPr>
          <w:rFonts w:ascii="Calisto MT" w:hAnsi="Calisto MT" w:cs="Arial"/>
          <w:sz w:val="28"/>
          <w:szCs w:val="28"/>
        </w:rPr>
        <w:t xml:space="preserve"> and general influences – the way in which individual features flatter each other in subsequently, an overall creation of something entirely new.</w:t>
      </w:r>
      <w:r w:rsidR="009A2D52">
        <w:rPr>
          <w:rFonts w:ascii="Calisto MT" w:hAnsi="Calisto MT" w:cs="Arial"/>
          <w:sz w:val="28"/>
          <w:szCs w:val="28"/>
        </w:rPr>
        <w:t xml:space="preserve"> Such objects are usually easily portable, which again, is suggestive of interconnectivity in that their manufacture has considered ease of export in their trade. </w:t>
      </w:r>
      <w:r w:rsidR="002350A3">
        <w:rPr>
          <w:rFonts w:ascii="Calisto MT" w:hAnsi="Calisto MT" w:cs="Arial"/>
          <w:sz w:val="28"/>
          <w:szCs w:val="28"/>
        </w:rPr>
        <w:t xml:space="preserve"> </w:t>
      </w:r>
      <w:r w:rsidR="00BF5505">
        <w:rPr>
          <w:rFonts w:ascii="Calisto MT" w:hAnsi="Calisto MT" w:cs="Arial"/>
          <w:sz w:val="28"/>
          <w:szCs w:val="28"/>
        </w:rPr>
        <w:t xml:space="preserve">In Smith’s exploration of international style, he refers to specific features of materiality as either indigenous, </w:t>
      </w:r>
      <w:r w:rsidR="00E05EE9">
        <w:rPr>
          <w:rFonts w:ascii="Calisto MT" w:hAnsi="Calisto MT" w:cs="Arial"/>
          <w:sz w:val="28"/>
          <w:szCs w:val="28"/>
        </w:rPr>
        <w:t>foreign,</w:t>
      </w:r>
      <w:r w:rsidR="00BF5505">
        <w:rPr>
          <w:rFonts w:ascii="Calisto MT" w:hAnsi="Calisto MT" w:cs="Arial"/>
          <w:sz w:val="28"/>
          <w:szCs w:val="28"/>
        </w:rPr>
        <w:t xml:space="preserve"> or international. Simply explained, indigenous features are those that are found within a singular geographical area, foreign features are </w:t>
      </w:r>
      <w:r w:rsidR="00E05EE9">
        <w:rPr>
          <w:rFonts w:ascii="Calisto MT" w:hAnsi="Calisto MT" w:cs="Arial"/>
          <w:sz w:val="28"/>
          <w:szCs w:val="28"/>
        </w:rPr>
        <w:t xml:space="preserve">indigenous to one area yet are sometimes found further afield and of course, international features can be found in an array of locations of no one singular culture and hybridised to a point of geographical anonymity. Within Fig.1, the use of faience in the dish seems to be a foreign characteristic, as the material has its roots in Ancient Egypt </w:t>
      </w:r>
      <w:r w:rsidR="000C5EB3">
        <w:rPr>
          <w:rFonts w:ascii="Calisto MT" w:hAnsi="Calisto MT" w:cs="Arial"/>
          <w:sz w:val="28"/>
          <w:szCs w:val="28"/>
        </w:rPr>
        <w:t xml:space="preserve">and is commonly associated with the country, however, has been found in neighbouring places </w:t>
      </w:r>
      <w:proofErr w:type="gramStart"/>
      <w:r w:rsidR="000C5EB3">
        <w:rPr>
          <w:rFonts w:ascii="Calisto MT" w:hAnsi="Calisto MT" w:cs="Arial"/>
          <w:sz w:val="28"/>
          <w:szCs w:val="28"/>
        </w:rPr>
        <w:t>as a</w:t>
      </w:r>
      <w:r w:rsidR="00E418E0">
        <w:rPr>
          <w:rFonts w:ascii="Calisto MT" w:hAnsi="Calisto MT" w:cs="Arial"/>
          <w:sz w:val="28"/>
          <w:szCs w:val="28"/>
        </w:rPr>
        <w:t xml:space="preserve"> result of</w:t>
      </w:r>
      <w:proofErr w:type="gramEnd"/>
      <w:r w:rsidR="00E418E0">
        <w:rPr>
          <w:rFonts w:ascii="Calisto MT" w:hAnsi="Calisto MT" w:cs="Arial"/>
          <w:sz w:val="28"/>
          <w:szCs w:val="28"/>
        </w:rPr>
        <w:t xml:space="preserve"> the growing connectivity the Late Bronze Age experienced.</w:t>
      </w:r>
    </w:p>
    <w:p w14:paraId="2CDB0186" w14:textId="122669C4" w:rsidR="00E418E0" w:rsidRDefault="00E418E0" w:rsidP="00E418E0">
      <w:pPr>
        <w:jc w:val="both"/>
        <w:rPr>
          <w:rFonts w:ascii="Calisto MT" w:hAnsi="Calisto MT" w:cs="Arial"/>
          <w:sz w:val="28"/>
          <w:szCs w:val="28"/>
        </w:rPr>
      </w:pPr>
      <w:r>
        <w:rPr>
          <w:rFonts w:ascii="Calisto MT" w:hAnsi="Calisto MT" w:cs="Arial"/>
          <w:sz w:val="28"/>
          <w:szCs w:val="28"/>
        </w:rPr>
        <w:t>Furthermore, the new prominence of ‘international style’ promoted a greater appreciation for symbolism, both in pride of the indigenous as well as an enchantment with the exotic. Not only did these objects cement elite relationships between regions, steadying powers in promising alliances, they allowed for the collective perspective to experience new and previously alien cultures</w:t>
      </w:r>
      <w:r w:rsidR="0064042B">
        <w:rPr>
          <w:rFonts w:ascii="Calisto MT" w:hAnsi="Calisto MT" w:cs="Arial"/>
          <w:sz w:val="28"/>
          <w:szCs w:val="28"/>
        </w:rPr>
        <w:t>.</w:t>
      </w:r>
      <w:r w:rsidR="005F79C9">
        <w:rPr>
          <w:rFonts w:ascii="Calisto MT" w:hAnsi="Calisto MT" w:cs="Arial"/>
          <w:sz w:val="28"/>
          <w:szCs w:val="28"/>
        </w:rPr>
        <w:t xml:space="preserve"> When </w:t>
      </w:r>
      <w:proofErr w:type="gramStart"/>
      <w:r w:rsidR="005F79C9">
        <w:rPr>
          <w:rFonts w:ascii="Calisto MT" w:hAnsi="Calisto MT" w:cs="Arial"/>
          <w:sz w:val="28"/>
          <w:szCs w:val="28"/>
        </w:rPr>
        <w:t>elites maintained</w:t>
      </w:r>
      <w:proofErr w:type="gramEnd"/>
      <w:r w:rsidR="005F79C9">
        <w:rPr>
          <w:rFonts w:ascii="Calisto MT" w:hAnsi="Calisto MT" w:cs="Arial"/>
          <w:sz w:val="28"/>
          <w:szCs w:val="28"/>
        </w:rPr>
        <w:t xml:space="preserve"> ties with foreign regions through gift exchange for example, it provided communities with the glimpse into another world; a concept that undoubtedly would’ve stirred fascination toward the outside world.</w:t>
      </w:r>
    </w:p>
    <w:p w14:paraId="4FF0C06C" w14:textId="068A3536" w:rsidR="00D17B83" w:rsidRDefault="00D17B83" w:rsidP="002457F2">
      <w:pPr>
        <w:jc w:val="both"/>
        <w:rPr>
          <w:rFonts w:ascii="Calisto MT" w:hAnsi="Calisto MT" w:cs="Arial"/>
          <w:sz w:val="28"/>
          <w:szCs w:val="28"/>
        </w:rPr>
      </w:pPr>
      <w:r>
        <w:rPr>
          <w:rFonts w:ascii="Calisto MT" w:hAnsi="Calisto MT" w:cs="Arial"/>
          <w:sz w:val="28"/>
          <w:szCs w:val="28"/>
        </w:rPr>
        <w:t xml:space="preserve">Featured in the imagery of the dish, one may notice the bovine animal that is seemingly being transported across water. Naturally, various commodities were traded in the Late Bronze Age, of which </w:t>
      </w:r>
      <w:r w:rsidR="00313039">
        <w:rPr>
          <w:rFonts w:ascii="Calisto MT" w:hAnsi="Calisto MT" w:cs="Arial"/>
          <w:sz w:val="28"/>
          <w:szCs w:val="28"/>
        </w:rPr>
        <w:t>archaeology</w:t>
      </w:r>
      <w:r>
        <w:rPr>
          <w:rFonts w:ascii="Calisto MT" w:hAnsi="Calisto MT" w:cs="Arial"/>
          <w:sz w:val="28"/>
          <w:szCs w:val="28"/>
        </w:rPr>
        <w:t xml:space="preserve"> has extensive record of, however the migration of animals for trade pales in evidentiary comparison; traditional methods are not appropriate when searching for traces of these cattle passages.</w:t>
      </w:r>
      <w:r w:rsidR="00313039">
        <w:rPr>
          <w:rFonts w:ascii="Calisto MT" w:hAnsi="Calisto MT" w:cs="Arial"/>
          <w:sz w:val="28"/>
          <w:szCs w:val="28"/>
        </w:rPr>
        <w:t xml:space="preserve"> A scientific study conducted in 2017 explored </w:t>
      </w:r>
      <w:r w:rsidR="00313039">
        <w:rPr>
          <w:rFonts w:ascii="Calisto MT" w:hAnsi="Calisto MT" w:cs="Arial"/>
          <w:sz w:val="28"/>
          <w:szCs w:val="28"/>
        </w:rPr>
        <w:lastRenderedPageBreak/>
        <w:t>the mobility of pigs and cattle using inferences from ancient DNA to track the translocation and foreign introduction of these animals.</w:t>
      </w:r>
      <w:r w:rsidR="00452526">
        <w:rPr>
          <w:rFonts w:ascii="Calisto MT" w:hAnsi="Calisto MT" w:cs="Arial"/>
          <w:sz w:val="28"/>
          <w:szCs w:val="28"/>
        </w:rPr>
        <w:t xml:space="preserve"> Their hypothesis suggested Egypt’s attempts to expand dry farming in periods of severe droughts; cattle translocation was traced across the Mediterranean with evidence pointing to trade with the Middle East also</w:t>
      </w:r>
      <w:r w:rsidR="001E55F6">
        <w:rPr>
          <w:rStyle w:val="FootnoteReference"/>
          <w:rFonts w:ascii="Calisto MT" w:hAnsi="Calisto MT" w:cs="Arial"/>
          <w:sz w:val="28"/>
          <w:szCs w:val="28"/>
        </w:rPr>
        <w:footnoteReference w:id="9"/>
      </w:r>
      <w:r w:rsidR="00452526">
        <w:rPr>
          <w:rFonts w:ascii="Calisto MT" w:hAnsi="Calisto MT" w:cs="Arial"/>
          <w:sz w:val="28"/>
          <w:szCs w:val="28"/>
        </w:rPr>
        <w:t xml:space="preserve">. The concept of cattle translocation across-seas does ring with similarity when compared to the subject of the dish’s imagery. One could theorise therefore, that what we see in the drawing is a representation of cattle transportation for trade, again marking this artefact as a strong example of Mediterranean commercial interconnectivity, if not specifically between </w:t>
      </w:r>
      <w:proofErr w:type="spellStart"/>
      <w:r w:rsidR="00452526">
        <w:rPr>
          <w:rFonts w:ascii="Calisto MT" w:hAnsi="Calisto MT" w:cs="Arial"/>
          <w:sz w:val="28"/>
          <w:szCs w:val="28"/>
        </w:rPr>
        <w:t>Enkomi</w:t>
      </w:r>
      <w:proofErr w:type="spellEnd"/>
      <w:r w:rsidR="00452526">
        <w:rPr>
          <w:rFonts w:ascii="Calisto MT" w:hAnsi="Calisto MT" w:cs="Arial"/>
          <w:sz w:val="28"/>
          <w:szCs w:val="28"/>
        </w:rPr>
        <w:t xml:space="preserve"> and Egypt themselves.</w:t>
      </w:r>
    </w:p>
    <w:p w14:paraId="3E7B32B3" w14:textId="091EE280" w:rsidR="001C2987" w:rsidRDefault="004D133C" w:rsidP="002457F2">
      <w:pPr>
        <w:jc w:val="both"/>
        <w:rPr>
          <w:rFonts w:ascii="Calisto MT" w:hAnsi="Calisto MT" w:cs="Arial"/>
          <w:sz w:val="28"/>
          <w:szCs w:val="28"/>
        </w:rPr>
      </w:pPr>
      <w:r>
        <w:rPr>
          <w:rFonts w:ascii="Calisto MT" w:hAnsi="Calisto MT" w:cs="Arial"/>
          <w:sz w:val="28"/>
          <w:szCs w:val="28"/>
        </w:rPr>
        <w:t>In all, the dish represents a remarkable physical reminder of connection in the ancient world and the forms that that can take.</w:t>
      </w:r>
      <w:r w:rsidR="00B502F8">
        <w:rPr>
          <w:rFonts w:ascii="Calisto MT" w:hAnsi="Calisto MT" w:cs="Arial"/>
          <w:sz w:val="28"/>
          <w:szCs w:val="28"/>
        </w:rPr>
        <w:t xml:space="preserve"> Foreign</w:t>
      </w:r>
      <w:r>
        <w:rPr>
          <w:rFonts w:ascii="Calisto MT" w:hAnsi="Calisto MT" w:cs="Arial"/>
          <w:sz w:val="28"/>
          <w:szCs w:val="28"/>
        </w:rPr>
        <w:t xml:space="preserve"> </w:t>
      </w:r>
      <w:r w:rsidR="00B502F8">
        <w:rPr>
          <w:rFonts w:ascii="Calisto MT" w:hAnsi="Calisto MT" w:cs="Arial"/>
          <w:sz w:val="28"/>
          <w:szCs w:val="28"/>
        </w:rPr>
        <w:t>c</w:t>
      </w:r>
      <w:r>
        <w:rPr>
          <w:rFonts w:ascii="Calisto MT" w:hAnsi="Calisto MT" w:cs="Arial"/>
          <w:sz w:val="28"/>
          <w:szCs w:val="28"/>
        </w:rPr>
        <w:t xml:space="preserve">ulture has, and will always be, a source of great fascination </w:t>
      </w:r>
      <w:r w:rsidR="00B502F8">
        <w:rPr>
          <w:rFonts w:ascii="Calisto MT" w:hAnsi="Calisto MT" w:cs="Arial"/>
          <w:sz w:val="28"/>
          <w:szCs w:val="28"/>
        </w:rPr>
        <w:t xml:space="preserve">to those on the outside, as one can note from Enkomi’s collection of </w:t>
      </w:r>
      <w:proofErr w:type="spellStart"/>
      <w:r w:rsidR="00B502F8">
        <w:rPr>
          <w:rFonts w:ascii="Calisto MT" w:hAnsi="Calisto MT" w:cs="Arial"/>
          <w:sz w:val="28"/>
          <w:szCs w:val="28"/>
        </w:rPr>
        <w:t>Egyptianised</w:t>
      </w:r>
      <w:proofErr w:type="spellEnd"/>
      <w:r w:rsidR="00B502F8">
        <w:rPr>
          <w:rFonts w:ascii="Calisto MT" w:hAnsi="Calisto MT" w:cs="Arial"/>
          <w:sz w:val="28"/>
          <w:szCs w:val="28"/>
        </w:rPr>
        <w:t xml:space="preserve"> material culture. The political machinations that brought countries into each other’s’ paths began perhaps as shaky alliances and sparse correspondence, and yet </w:t>
      </w:r>
      <w:r w:rsidR="00B5751E">
        <w:rPr>
          <w:rFonts w:ascii="Calisto MT" w:hAnsi="Calisto MT" w:cs="Arial"/>
          <w:sz w:val="28"/>
          <w:szCs w:val="28"/>
        </w:rPr>
        <w:t>would precede</w:t>
      </w:r>
      <w:r w:rsidR="00B502F8">
        <w:rPr>
          <w:rFonts w:ascii="Calisto MT" w:hAnsi="Calisto MT" w:cs="Arial"/>
          <w:sz w:val="28"/>
          <w:szCs w:val="28"/>
        </w:rPr>
        <w:t xml:space="preserve"> a network </w:t>
      </w:r>
      <w:r w:rsidR="00B5751E">
        <w:rPr>
          <w:rFonts w:ascii="Calisto MT" w:hAnsi="Calisto MT" w:cs="Arial"/>
          <w:sz w:val="28"/>
          <w:szCs w:val="28"/>
        </w:rPr>
        <w:t>webbing across the globe and thousands of years: the first step toward the globalisation the modern world knows today. It is with such material culture as this dish, that we discover not only the origins of global connection, but its running, and the new worlds that grew because of it.</w:t>
      </w:r>
    </w:p>
    <w:p w14:paraId="5C773CA2" w14:textId="77777777" w:rsidR="001C2987" w:rsidRPr="001C2987" w:rsidRDefault="001C2987" w:rsidP="001C2987">
      <w:pPr>
        <w:rPr>
          <w:rFonts w:ascii="Calisto MT" w:hAnsi="Calisto MT" w:cs="Arial"/>
          <w:sz w:val="32"/>
          <w:szCs w:val="32"/>
          <w:u w:val="single"/>
        </w:rPr>
      </w:pPr>
    </w:p>
    <w:p w14:paraId="156D2537" w14:textId="77777777" w:rsidR="006660E6" w:rsidRDefault="006660E6" w:rsidP="007657E7">
      <w:pPr>
        <w:jc w:val="center"/>
        <w:rPr>
          <w:rFonts w:ascii="Calisto MT" w:hAnsi="Calisto MT" w:cs="Arial"/>
          <w:sz w:val="32"/>
          <w:szCs w:val="32"/>
          <w:u w:val="single"/>
        </w:rPr>
      </w:pPr>
    </w:p>
    <w:p w14:paraId="53B6438C" w14:textId="77777777" w:rsidR="00546F0C" w:rsidRPr="002457F2" w:rsidRDefault="00546F0C" w:rsidP="00D23A50">
      <w:pPr>
        <w:rPr>
          <w:rFonts w:ascii="Calisto MT" w:hAnsi="Calisto MT" w:cs="Arial"/>
          <w:sz w:val="32"/>
          <w:szCs w:val="32"/>
          <w:u w:val="single"/>
        </w:rPr>
      </w:pPr>
    </w:p>
    <w:p w14:paraId="49DDA024" w14:textId="3B0C66ED" w:rsidR="000D2367" w:rsidRDefault="000D2367" w:rsidP="00982904">
      <w:pPr>
        <w:jc w:val="both"/>
        <w:rPr>
          <w:rFonts w:ascii="Arial" w:hAnsi="Arial" w:cs="Arial"/>
          <w:sz w:val="28"/>
          <w:szCs w:val="28"/>
        </w:rPr>
      </w:pPr>
    </w:p>
    <w:p w14:paraId="5A931766" w14:textId="08A4F309" w:rsidR="0054314D" w:rsidRDefault="0054314D" w:rsidP="00982904">
      <w:pPr>
        <w:jc w:val="both"/>
        <w:rPr>
          <w:rFonts w:ascii="Arial" w:hAnsi="Arial" w:cs="Arial"/>
          <w:sz w:val="28"/>
          <w:szCs w:val="28"/>
        </w:rPr>
      </w:pPr>
    </w:p>
    <w:p w14:paraId="73CFD26A" w14:textId="77777777" w:rsidR="00956D7F" w:rsidRDefault="00956D7F" w:rsidP="00982904">
      <w:pPr>
        <w:jc w:val="both"/>
        <w:rPr>
          <w:rFonts w:ascii="Arial" w:hAnsi="Arial" w:cs="Arial"/>
          <w:sz w:val="28"/>
          <w:szCs w:val="28"/>
        </w:rPr>
      </w:pPr>
    </w:p>
    <w:p w14:paraId="21BD6D59" w14:textId="77777777" w:rsidR="00BF5505" w:rsidRDefault="00BF5505" w:rsidP="00982904">
      <w:pPr>
        <w:jc w:val="both"/>
        <w:rPr>
          <w:rFonts w:ascii="Arial" w:hAnsi="Arial" w:cs="Arial"/>
          <w:sz w:val="28"/>
          <w:szCs w:val="28"/>
        </w:rPr>
      </w:pPr>
    </w:p>
    <w:p w14:paraId="0342D90D" w14:textId="77777777" w:rsidR="00546F0C" w:rsidRDefault="00546F0C" w:rsidP="00956D7F">
      <w:pPr>
        <w:rPr>
          <w:rFonts w:ascii="Calisto MT" w:hAnsi="Calisto MT" w:cs="Arial"/>
          <w:b/>
          <w:bCs/>
          <w:i/>
          <w:iCs/>
          <w:sz w:val="36"/>
          <w:szCs w:val="36"/>
        </w:rPr>
      </w:pPr>
    </w:p>
    <w:p w14:paraId="2D19053E" w14:textId="77777777" w:rsidR="005F79C9" w:rsidRDefault="005F79C9" w:rsidP="00956D7F">
      <w:pPr>
        <w:rPr>
          <w:rFonts w:ascii="Calisto MT" w:hAnsi="Calisto MT" w:cs="Arial"/>
          <w:b/>
          <w:bCs/>
          <w:i/>
          <w:iCs/>
          <w:sz w:val="36"/>
          <w:szCs w:val="36"/>
        </w:rPr>
      </w:pPr>
    </w:p>
    <w:p w14:paraId="15055EA6" w14:textId="77777777" w:rsidR="005F79C9" w:rsidRDefault="005F79C9" w:rsidP="00956D7F">
      <w:pPr>
        <w:rPr>
          <w:rFonts w:ascii="Calisto MT" w:hAnsi="Calisto MT" w:cs="Arial"/>
          <w:b/>
          <w:bCs/>
          <w:i/>
          <w:iCs/>
          <w:sz w:val="36"/>
          <w:szCs w:val="36"/>
        </w:rPr>
      </w:pPr>
    </w:p>
    <w:p w14:paraId="338D62E0" w14:textId="26ED1EC6" w:rsidR="00344608" w:rsidRDefault="00E05EE9" w:rsidP="00344608">
      <w:pPr>
        <w:jc w:val="center"/>
        <w:rPr>
          <w:rFonts w:ascii="Calisto MT" w:hAnsi="Calisto MT" w:cs="Arial"/>
          <w:b/>
          <w:bCs/>
          <w:i/>
          <w:iCs/>
          <w:sz w:val="32"/>
          <w:szCs w:val="32"/>
        </w:rPr>
      </w:pPr>
      <w:r>
        <w:rPr>
          <w:rFonts w:ascii="Calisto MT" w:hAnsi="Calisto MT" w:cs="Arial"/>
          <w:noProof/>
          <w:sz w:val="24"/>
          <w:szCs w:val="24"/>
        </w:rPr>
        <w:lastRenderedPageBreak/>
        <w:drawing>
          <wp:anchor distT="0" distB="0" distL="114300" distR="114300" simplePos="0" relativeHeight="251659264" behindDoc="1" locked="0" layoutInCell="1" allowOverlap="1" wp14:anchorId="550166BF" wp14:editId="06F0B6CA">
            <wp:simplePos x="0" y="0"/>
            <wp:positionH relativeFrom="margin">
              <wp:align>left</wp:align>
            </wp:positionH>
            <wp:positionV relativeFrom="paragraph">
              <wp:posOffset>145762</wp:posOffset>
            </wp:positionV>
            <wp:extent cx="1111885" cy="1104900"/>
            <wp:effectExtent l="19050" t="19050" r="12065" b="19050"/>
            <wp:wrapTight wrapText="bothSides">
              <wp:wrapPolygon edited="0">
                <wp:start x="-370" y="-372"/>
                <wp:lineTo x="-370" y="21600"/>
                <wp:lineTo x="21464" y="21600"/>
                <wp:lineTo x="21464" y="-372"/>
                <wp:lineTo x="-370" y="-372"/>
              </wp:wrapPolygon>
            </wp:wrapTight>
            <wp:docPr id="57644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11885" cy="11049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344608" w:rsidRPr="00344608">
        <w:rPr>
          <w:rFonts w:ascii="Calisto MT" w:hAnsi="Calisto MT" w:cs="Arial"/>
          <w:b/>
          <w:bCs/>
          <w:i/>
          <w:iCs/>
          <w:sz w:val="36"/>
          <w:szCs w:val="36"/>
        </w:rPr>
        <w:t>Bibliography</w:t>
      </w:r>
    </w:p>
    <w:p w14:paraId="28C3FF45" w14:textId="6AC1C69B" w:rsidR="00344608" w:rsidRDefault="00344608" w:rsidP="00344608">
      <w:pPr>
        <w:jc w:val="center"/>
        <w:rPr>
          <w:rFonts w:ascii="Calisto MT" w:hAnsi="Calisto MT" w:cs="Arial"/>
          <w:b/>
          <w:bCs/>
          <w:i/>
          <w:iCs/>
          <w:sz w:val="32"/>
          <w:szCs w:val="32"/>
        </w:rPr>
      </w:pPr>
    </w:p>
    <w:p w14:paraId="132700CC" w14:textId="7FA96307" w:rsidR="00E05EE9" w:rsidRDefault="00E05EE9" w:rsidP="00344608">
      <w:pPr>
        <w:jc w:val="center"/>
        <w:rPr>
          <w:rFonts w:ascii="Calisto MT" w:hAnsi="Calisto MT" w:cs="Arial"/>
          <w:sz w:val="24"/>
          <w:szCs w:val="24"/>
        </w:rPr>
      </w:pPr>
      <w:r>
        <w:rPr>
          <w:rFonts w:ascii="Calisto MT" w:hAnsi="Calisto MT" w:cs="Arial"/>
          <w:sz w:val="24"/>
          <w:szCs w:val="24"/>
        </w:rPr>
        <w:t xml:space="preserve">Figure 1: Dish; Plate, The British Museum, Asset Number 36490001, COMPASS: Faience dish decorated with a scene of the </w:t>
      </w:r>
      <w:proofErr w:type="gramStart"/>
      <w:r>
        <w:rPr>
          <w:rFonts w:ascii="Calisto MT" w:hAnsi="Calisto MT" w:cs="Arial"/>
          <w:sz w:val="24"/>
          <w:szCs w:val="24"/>
        </w:rPr>
        <w:t>River</w:t>
      </w:r>
      <w:proofErr w:type="gramEnd"/>
      <w:r>
        <w:rPr>
          <w:rFonts w:ascii="Calisto MT" w:hAnsi="Calisto MT" w:cs="Arial"/>
          <w:sz w:val="24"/>
          <w:szCs w:val="24"/>
        </w:rPr>
        <w:t xml:space="preserve"> Nile</w:t>
      </w:r>
    </w:p>
    <w:p w14:paraId="3A428278" w14:textId="77777777" w:rsidR="00E05EE9" w:rsidRDefault="00E05EE9" w:rsidP="00344608">
      <w:pPr>
        <w:jc w:val="center"/>
        <w:rPr>
          <w:rFonts w:ascii="Calisto MT" w:hAnsi="Calisto MT" w:cs="Arial"/>
          <w:sz w:val="24"/>
          <w:szCs w:val="24"/>
        </w:rPr>
      </w:pPr>
    </w:p>
    <w:p w14:paraId="59B43F05" w14:textId="5A564283" w:rsidR="00344608" w:rsidRDefault="00344608" w:rsidP="00344608">
      <w:pPr>
        <w:jc w:val="center"/>
        <w:rPr>
          <w:rFonts w:ascii="Calisto MT" w:hAnsi="Calisto MT" w:cs="Arial"/>
          <w:sz w:val="24"/>
          <w:szCs w:val="24"/>
        </w:rPr>
      </w:pPr>
      <w:r w:rsidRPr="00344608">
        <w:rPr>
          <w:rFonts w:ascii="Calisto MT" w:hAnsi="Calisto MT" w:cs="Arial"/>
          <w:sz w:val="24"/>
          <w:szCs w:val="24"/>
        </w:rPr>
        <w:t xml:space="preserve">  ‘Dish; Plate | British Museum</w:t>
      </w:r>
      <w:proofErr w:type="gramStart"/>
      <w:r w:rsidRPr="00344608">
        <w:rPr>
          <w:rFonts w:ascii="Calisto MT" w:hAnsi="Calisto MT" w:cs="Arial"/>
          <w:sz w:val="24"/>
          <w:szCs w:val="24"/>
        </w:rPr>
        <w:t>’.</w:t>
      </w:r>
      <w:proofErr w:type="gramEnd"/>
      <w:r w:rsidRPr="00344608">
        <w:rPr>
          <w:rFonts w:ascii="Calisto MT" w:hAnsi="Calisto MT" w:cs="Arial"/>
          <w:sz w:val="24"/>
          <w:szCs w:val="24"/>
        </w:rPr>
        <w:t xml:space="preserve"> Museum No.1897,0401.1042 The British Museum </w:t>
      </w:r>
      <w:hyperlink r:id="rId9" w:history="1">
        <w:r w:rsidRPr="00344608">
          <w:rPr>
            <w:rStyle w:val="Hyperlink"/>
            <w:rFonts w:ascii="Calisto MT" w:hAnsi="Calisto MT" w:cs="Arial"/>
            <w:sz w:val="24"/>
            <w:szCs w:val="24"/>
          </w:rPr>
          <w:t>https://www.britishmuseum.org/collection/object/G_1897-0401-1042</w:t>
        </w:r>
      </w:hyperlink>
    </w:p>
    <w:p w14:paraId="055CF892" w14:textId="6A1F1B7A" w:rsidR="001551CA" w:rsidRDefault="001551CA" w:rsidP="00344608">
      <w:pPr>
        <w:jc w:val="center"/>
        <w:rPr>
          <w:rFonts w:ascii="Calisto MT" w:hAnsi="Calisto MT" w:cs="Arial"/>
          <w:sz w:val="24"/>
          <w:szCs w:val="24"/>
        </w:rPr>
      </w:pPr>
      <w:r w:rsidRPr="001551CA">
        <w:rPr>
          <w:rFonts w:ascii="Calisto MT" w:hAnsi="Calisto MT" w:cs="Arial"/>
          <w:sz w:val="24"/>
          <w:szCs w:val="24"/>
        </w:rPr>
        <w:t xml:space="preserve">  ‘Faience Flask | Cypriot | Late Bronze Age</w:t>
      </w:r>
      <w:proofErr w:type="gramStart"/>
      <w:r w:rsidRPr="001551CA">
        <w:rPr>
          <w:rFonts w:ascii="Calisto MT" w:hAnsi="Calisto MT" w:cs="Arial"/>
          <w:sz w:val="24"/>
          <w:szCs w:val="24"/>
        </w:rPr>
        <w:t>’.</w:t>
      </w:r>
      <w:proofErr w:type="gramEnd"/>
      <w:r w:rsidRPr="001551CA">
        <w:rPr>
          <w:rFonts w:ascii="Calisto MT" w:hAnsi="Calisto MT" w:cs="Arial"/>
          <w:sz w:val="24"/>
          <w:szCs w:val="24"/>
        </w:rPr>
        <w:t xml:space="preserve"> Accession No.74.51.5073. The Metropolitan Museum of Art</w:t>
      </w:r>
      <w:r>
        <w:rPr>
          <w:rFonts w:ascii="Calisto MT" w:hAnsi="Calisto MT" w:cs="Arial"/>
          <w:sz w:val="24"/>
          <w:szCs w:val="24"/>
        </w:rPr>
        <w:t xml:space="preserve"> </w:t>
      </w:r>
      <w:hyperlink r:id="rId10" w:anchor=":~:text=Faience%20was%20first%20imported%20to%20Cyprus%20from%20Egypt,of%20the%20original%20painted%20decoration%20has%20worn%20off" w:history="1">
        <w:r w:rsidRPr="007244EF">
          <w:rPr>
            <w:rStyle w:val="Hyperlink"/>
            <w:rFonts w:ascii="Calisto MT" w:hAnsi="Calisto MT" w:cs="Arial"/>
            <w:sz w:val="24"/>
            <w:szCs w:val="24"/>
          </w:rPr>
          <w:t>https://www.metmuseum.org/art/collection/search/243954#:~:text=Faience%20was%20first%20imported%20to%20Cyprus%20from%20Egypt,of%20the%20original%20painted%20decoration%20has%20worn%20off</w:t>
        </w:r>
      </w:hyperlink>
      <w:r w:rsidRPr="001551CA">
        <w:rPr>
          <w:rFonts w:ascii="Calisto MT" w:hAnsi="Calisto MT" w:cs="Arial"/>
          <w:sz w:val="24"/>
          <w:szCs w:val="24"/>
        </w:rPr>
        <w:t>.</w:t>
      </w:r>
    </w:p>
    <w:p w14:paraId="23545A54" w14:textId="356F8D45" w:rsidR="009D7D1D" w:rsidRDefault="009D7D1D" w:rsidP="00546F0C">
      <w:pPr>
        <w:jc w:val="center"/>
        <w:rPr>
          <w:rFonts w:ascii="Calisto MT" w:hAnsi="Calisto MT" w:cs="Arial"/>
          <w:sz w:val="24"/>
          <w:szCs w:val="24"/>
        </w:rPr>
      </w:pPr>
      <w:r w:rsidRPr="009D7D1D">
        <w:rPr>
          <w:rFonts w:ascii="Calisto MT" w:hAnsi="Calisto MT" w:cs="Arial"/>
          <w:sz w:val="24"/>
          <w:szCs w:val="24"/>
        </w:rPr>
        <w:t xml:space="preserve">Riccardelli, Carolyn. 2020. ‘Egyptian Faience: Technology and Production’, Metmuseum.org </w:t>
      </w:r>
      <w:hyperlink r:id="rId11" w:history="1">
        <w:r w:rsidR="00546F0C" w:rsidRPr="007244EF">
          <w:rPr>
            <w:rStyle w:val="Hyperlink"/>
            <w:rFonts w:ascii="Calisto MT" w:hAnsi="Calisto MT" w:cs="Arial"/>
            <w:sz w:val="24"/>
            <w:szCs w:val="24"/>
          </w:rPr>
          <w:t>https://www.metmuseum.org/toah/hd/egfc/hd_egfc.htm</w:t>
        </w:r>
      </w:hyperlink>
    </w:p>
    <w:p w14:paraId="2E7FAC98" w14:textId="5C659EB9" w:rsidR="009D7D1D" w:rsidRDefault="009D7D1D" w:rsidP="00344608">
      <w:pPr>
        <w:jc w:val="center"/>
        <w:rPr>
          <w:rFonts w:ascii="Calisto MT" w:hAnsi="Calisto MT" w:cs="Arial"/>
          <w:sz w:val="24"/>
          <w:szCs w:val="24"/>
        </w:rPr>
      </w:pPr>
      <w:r w:rsidRPr="009D7D1D">
        <w:rPr>
          <w:rFonts w:ascii="Calisto MT" w:hAnsi="Calisto MT" w:cs="Arial"/>
          <w:sz w:val="24"/>
          <w:szCs w:val="24"/>
        </w:rPr>
        <w:t xml:space="preserve">Taggart, Emma. 2018. ‘The History of </w:t>
      </w:r>
      <w:proofErr w:type="gramStart"/>
      <w:r w:rsidRPr="009D7D1D">
        <w:rPr>
          <w:rFonts w:ascii="Calisto MT" w:hAnsi="Calisto MT" w:cs="Arial"/>
          <w:sz w:val="24"/>
          <w:szCs w:val="24"/>
        </w:rPr>
        <w:t xml:space="preserve">the </w:t>
      </w:r>
      <w:proofErr w:type="spellStart"/>
      <w:r w:rsidRPr="009D7D1D">
        <w:rPr>
          <w:rFonts w:ascii="Calisto MT" w:hAnsi="Calisto MT" w:cs="Arial"/>
          <w:sz w:val="24"/>
          <w:szCs w:val="24"/>
        </w:rPr>
        <w:t>Color</w:t>
      </w:r>
      <w:proofErr w:type="spellEnd"/>
      <w:r w:rsidRPr="009D7D1D">
        <w:rPr>
          <w:rFonts w:ascii="Calisto MT" w:hAnsi="Calisto MT" w:cs="Arial"/>
          <w:sz w:val="24"/>
          <w:szCs w:val="24"/>
        </w:rPr>
        <w:t xml:space="preserve"> Blue</w:t>
      </w:r>
      <w:proofErr w:type="gramEnd"/>
      <w:r w:rsidRPr="009D7D1D">
        <w:rPr>
          <w:rFonts w:ascii="Calisto MT" w:hAnsi="Calisto MT" w:cs="Arial"/>
          <w:sz w:val="24"/>
          <w:szCs w:val="24"/>
        </w:rPr>
        <w:t xml:space="preserve">: From Ancient Egypt to the Latest Scientific Discoveries’, My Modern Met </w:t>
      </w:r>
      <w:hyperlink r:id="rId12" w:history="1">
        <w:r w:rsidR="00546F0C" w:rsidRPr="007244EF">
          <w:rPr>
            <w:rStyle w:val="Hyperlink"/>
            <w:rFonts w:ascii="Calisto MT" w:hAnsi="Calisto MT" w:cs="Arial"/>
            <w:sz w:val="24"/>
            <w:szCs w:val="24"/>
          </w:rPr>
          <w:t>https://mymodernmet.com/shades-of-blue-color-history/</w:t>
        </w:r>
      </w:hyperlink>
    </w:p>
    <w:p w14:paraId="68C7A6FF" w14:textId="51A96849" w:rsidR="002F13D1" w:rsidRDefault="002F13D1" w:rsidP="00344608">
      <w:pPr>
        <w:jc w:val="center"/>
        <w:rPr>
          <w:rFonts w:ascii="Calisto MT" w:hAnsi="Calisto MT" w:cs="Arial"/>
          <w:sz w:val="24"/>
          <w:szCs w:val="24"/>
        </w:rPr>
      </w:pPr>
      <w:r w:rsidRPr="002F13D1">
        <w:rPr>
          <w:rFonts w:ascii="Calisto MT" w:hAnsi="Calisto MT" w:cs="Arial"/>
          <w:sz w:val="24"/>
          <w:szCs w:val="24"/>
        </w:rPr>
        <w:t xml:space="preserve">Brack, Paul. 2009. ‘Egyptian Blue: More than Just a Colour’, Chemistry World </w:t>
      </w:r>
      <w:hyperlink r:id="rId13" w:history="1">
        <w:r w:rsidRPr="007244EF">
          <w:rPr>
            <w:rStyle w:val="Hyperlink"/>
            <w:rFonts w:ascii="Calisto MT" w:hAnsi="Calisto MT" w:cs="Arial"/>
            <w:sz w:val="24"/>
            <w:szCs w:val="24"/>
          </w:rPr>
          <w:t>https://www.chemistryworld.com/features/egyptian-blue-more-than-just-a-colour/9001.article</w:t>
        </w:r>
      </w:hyperlink>
    </w:p>
    <w:p w14:paraId="39984E01" w14:textId="63FF48D9" w:rsidR="00FE41C1" w:rsidRDefault="00FE41C1" w:rsidP="00FE41C1">
      <w:pPr>
        <w:jc w:val="center"/>
        <w:rPr>
          <w:rStyle w:val="Hyperlink"/>
          <w:rFonts w:ascii="Calisto MT" w:hAnsi="Calisto MT" w:cs="Arial"/>
          <w:sz w:val="24"/>
          <w:szCs w:val="24"/>
        </w:rPr>
      </w:pPr>
      <w:r w:rsidRPr="00FE41C1">
        <w:rPr>
          <w:rFonts w:ascii="Calisto MT" w:hAnsi="Calisto MT" w:cs="Arial"/>
          <w:sz w:val="24"/>
          <w:szCs w:val="24"/>
        </w:rPr>
        <w:t xml:space="preserve">McAwley, Johnny. 2020. ‘What Does Blue Represent in Ancient Egypt? | Slightly Blue’,  </w:t>
      </w:r>
      <w:hyperlink r:id="rId14" w:history="1">
        <w:r w:rsidRPr="007244EF">
          <w:rPr>
            <w:rStyle w:val="Hyperlink"/>
            <w:rFonts w:ascii="Calisto MT" w:hAnsi="Calisto MT" w:cs="Arial"/>
            <w:sz w:val="24"/>
            <w:szCs w:val="24"/>
          </w:rPr>
          <w:t>https://slightlyblue.com/symbolism/ancient-egypt/?utm_content=cmp-true</w:t>
        </w:r>
      </w:hyperlink>
    </w:p>
    <w:p w14:paraId="52FFFE5E" w14:textId="41CE4BC1" w:rsidR="00EF0A51" w:rsidRDefault="00EF0A51" w:rsidP="00EF0A51">
      <w:pPr>
        <w:jc w:val="center"/>
        <w:rPr>
          <w:rFonts w:ascii="Calisto MT" w:hAnsi="Calisto MT" w:cs="Arial"/>
          <w:sz w:val="24"/>
          <w:szCs w:val="24"/>
        </w:rPr>
      </w:pPr>
      <w:r w:rsidRPr="00EF0A51">
        <w:rPr>
          <w:rFonts w:ascii="Calisto MT" w:hAnsi="Calisto MT" w:cs="Arial"/>
          <w:sz w:val="24"/>
          <w:szCs w:val="24"/>
        </w:rPr>
        <w:t xml:space="preserve">Feldman, Marian H. “Luxurious Forms: Redefining a Mediterranean ‘International Style,’ 1400-1200 B.C.E.” The Art Bulletin, vol. 84, no. 1, 2002, pp. 6–29. JSTOR, https://doi.org/10.2307/3177251. </w:t>
      </w:r>
    </w:p>
    <w:p w14:paraId="628BE4A5" w14:textId="6FBB2FFA" w:rsidR="00AB74BA" w:rsidRDefault="00AB74BA" w:rsidP="00FE41C1">
      <w:pPr>
        <w:jc w:val="center"/>
        <w:rPr>
          <w:rFonts w:ascii="Calisto MT" w:hAnsi="Calisto MT" w:cs="Arial"/>
          <w:sz w:val="24"/>
          <w:szCs w:val="24"/>
        </w:rPr>
      </w:pPr>
      <w:r w:rsidRPr="00AB74BA">
        <w:rPr>
          <w:rFonts w:ascii="Calisto MT" w:hAnsi="Calisto MT" w:cs="Arial"/>
          <w:sz w:val="24"/>
          <w:szCs w:val="24"/>
        </w:rPr>
        <w:t>Steel, Louise. 2023. ‘</w:t>
      </w:r>
      <w:proofErr w:type="spellStart"/>
      <w:r w:rsidRPr="00AB74BA">
        <w:rPr>
          <w:rFonts w:ascii="Calisto MT" w:hAnsi="Calisto MT" w:cs="Arial"/>
          <w:sz w:val="24"/>
          <w:szCs w:val="24"/>
        </w:rPr>
        <w:t>Enkomi</w:t>
      </w:r>
      <w:proofErr w:type="spellEnd"/>
      <w:r w:rsidRPr="00AB74BA">
        <w:rPr>
          <w:rFonts w:ascii="Calisto MT" w:hAnsi="Calisto MT" w:cs="Arial"/>
          <w:sz w:val="24"/>
          <w:szCs w:val="24"/>
        </w:rPr>
        <w:t xml:space="preserve"> and Egypt: Exploring the Third Space in Cyprus’, Archaeologies, 19.1 (Springer </w:t>
      </w:r>
      <w:proofErr w:type="spellStart"/>
      <w:r w:rsidRPr="00AB74BA">
        <w:rPr>
          <w:rFonts w:ascii="Calisto MT" w:hAnsi="Calisto MT" w:cs="Arial"/>
          <w:sz w:val="24"/>
          <w:szCs w:val="24"/>
        </w:rPr>
        <w:t>Science+Business</w:t>
      </w:r>
      <w:proofErr w:type="spellEnd"/>
      <w:r w:rsidRPr="00AB74BA">
        <w:rPr>
          <w:rFonts w:ascii="Calisto MT" w:hAnsi="Calisto MT" w:cs="Arial"/>
          <w:sz w:val="24"/>
          <w:szCs w:val="24"/>
        </w:rPr>
        <w:t xml:space="preserve"> Media): 129–68 </w:t>
      </w:r>
      <w:hyperlink r:id="rId15" w:history="1">
        <w:r w:rsidRPr="007244EF">
          <w:rPr>
            <w:rStyle w:val="Hyperlink"/>
            <w:rFonts w:ascii="Calisto MT" w:hAnsi="Calisto MT" w:cs="Arial"/>
            <w:sz w:val="24"/>
            <w:szCs w:val="24"/>
          </w:rPr>
          <w:t>https://doi.org/10.1007/s11759-023-09476-3</w:t>
        </w:r>
      </w:hyperlink>
    </w:p>
    <w:p w14:paraId="76434FD9" w14:textId="23607592" w:rsidR="001E55F6" w:rsidRDefault="001E55F6" w:rsidP="00FE41C1">
      <w:pPr>
        <w:jc w:val="center"/>
        <w:rPr>
          <w:rStyle w:val="Hyperlink"/>
          <w:rFonts w:ascii="Calisto MT" w:hAnsi="Calisto MT" w:cs="Arial"/>
          <w:sz w:val="24"/>
          <w:szCs w:val="24"/>
        </w:rPr>
      </w:pPr>
      <w:r w:rsidRPr="001E55F6">
        <w:rPr>
          <w:rFonts w:ascii="Calisto MT" w:hAnsi="Calisto MT" w:cs="Arial"/>
          <w:sz w:val="24"/>
          <w:szCs w:val="24"/>
        </w:rPr>
        <w:t xml:space="preserve">Meiri, Meirav, Philipp W. </w:t>
      </w:r>
      <w:proofErr w:type="spellStart"/>
      <w:r w:rsidRPr="001E55F6">
        <w:rPr>
          <w:rFonts w:ascii="Calisto MT" w:hAnsi="Calisto MT" w:cs="Arial"/>
          <w:sz w:val="24"/>
          <w:szCs w:val="24"/>
        </w:rPr>
        <w:t>Stockhammer</w:t>
      </w:r>
      <w:proofErr w:type="spellEnd"/>
      <w:r w:rsidRPr="001E55F6">
        <w:rPr>
          <w:rFonts w:ascii="Calisto MT" w:hAnsi="Calisto MT" w:cs="Arial"/>
          <w:sz w:val="24"/>
          <w:szCs w:val="24"/>
        </w:rPr>
        <w:t xml:space="preserve">, Nimrod Marom, Guy Bar-Oz, Lidar Sapir-Hen, and others. 2017. ‘Eastern Mediterranean Mobility in the Bronze and Early Iron Ages: Inferences from Ancient DNA of Pigs and Cattle’, Scientific Reports, 7.1: 1–10 </w:t>
      </w:r>
      <w:hyperlink r:id="rId16" w:history="1">
        <w:r w:rsidRPr="007244EF">
          <w:rPr>
            <w:rStyle w:val="Hyperlink"/>
            <w:rFonts w:ascii="Calisto MT" w:hAnsi="Calisto MT" w:cs="Arial"/>
            <w:sz w:val="24"/>
            <w:szCs w:val="24"/>
          </w:rPr>
          <w:t>https://doi.org/10.1038/s41598-017-00701-y</w:t>
        </w:r>
      </w:hyperlink>
    </w:p>
    <w:p w14:paraId="3FDAEEAB" w14:textId="7BF2F487" w:rsidR="00B5751E" w:rsidRDefault="00B5751E" w:rsidP="00B5751E">
      <w:pPr>
        <w:jc w:val="center"/>
        <w:rPr>
          <w:rStyle w:val="Hyperlink"/>
          <w:rFonts w:ascii="Calisto MT" w:hAnsi="Calisto MT" w:cs="Arial"/>
          <w:sz w:val="24"/>
          <w:szCs w:val="24"/>
        </w:rPr>
      </w:pPr>
      <w:proofErr w:type="spellStart"/>
      <w:r w:rsidRPr="00B5751E">
        <w:rPr>
          <w:rStyle w:val="Hyperlink"/>
          <w:rFonts w:ascii="Calisto MT" w:hAnsi="Calisto MT" w:cs="Arial"/>
          <w:color w:val="auto"/>
          <w:sz w:val="24"/>
          <w:szCs w:val="24"/>
          <w:u w:val="none"/>
        </w:rPr>
        <w:t>Theodoulou</w:t>
      </w:r>
      <w:proofErr w:type="spellEnd"/>
      <w:r w:rsidRPr="00B5751E">
        <w:rPr>
          <w:rStyle w:val="Hyperlink"/>
          <w:rFonts w:ascii="Calisto MT" w:hAnsi="Calisto MT" w:cs="Arial"/>
          <w:color w:val="auto"/>
          <w:sz w:val="24"/>
          <w:szCs w:val="24"/>
          <w:u w:val="none"/>
        </w:rPr>
        <w:t xml:space="preserve">, Nick. 2023. ‘The Vicious Tale of Excavating Ancient </w:t>
      </w:r>
      <w:proofErr w:type="spellStart"/>
      <w:r w:rsidRPr="00B5751E">
        <w:rPr>
          <w:rStyle w:val="Hyperlink"/>
          <w:rFonts w:ascii="Calisto MT" w:hAnsi="Calisto MT" w:cs="Arial"/>
          <w:color w:val="auto"/>
          <w:sz w:val="24"/>
          <w:szCs w:val="24"/>
          <w:u w:val="none"/>
        </w:rPr>
        <w:t>Enkomi</w:t>
      </w:r>
      <w:proofErr w:type="spellEnd"/>
      <w:r w:rsidRPr="00B5751E">
        <w:rPr>
          <w:rStyle w:val="Hyperlink"/>
          <w:rFonts w:ascii="Calisto MT" w:hAnsi="Calisto MT" w:cs="Arial"/>
          <w:color w:val="auto"/>
          <w:sz w:val="24"/>
          <w:szCs w:val="24"/>
          <w:u w:val="none"/>
        </w:rPr>
        <w:t xml:space="preserve"> | Cyprus Mail’, Https://Cyprus-Mail.com/ </w:t>
      </w:r>
      <w:hyperlink r:id="rId17" w:history="1">
        <w:r w:rsidRPr="00AC4ED7">
          <w:rPr>
            <w:rStyle w:val="Hyperlink"/>
            <w:rFonts w:ascii="Calisto MT" w:hAnsi="Calisto MT" w:cs="Arial"/>
            <w:sz w:val="24"/>
            <w:szCs w:val="24"/>
          </w:rPr>
          <w:t>https://cyprus-mail.com/2023/07/09/the-vicious-tale-of-excavating-ancient-enkomi/</w:t>
        </w:r>
      </w:hyperlink>
    </w:p>
    <w:p w14:paraId="3D6EE6E3" w14:textId="081BC056" w:rsidR="00A9054C" w:rsidRPr="00A9054C" w:rsidRDefault="00A9054C" w:rsidP="00B5751E">
      <w:pPr>
        <w:jc w:val="center"/>
        <w:rPr>
          <w:rStyle w:val="Hyperlink"/>
          <w:rFonts w:ascii="Calisto MT" w:hAnsi="Calisto MT" w:cs="Arial"/>
          <w:color w:val="000000" w:themeColor="text1"/>
          <w:sz w:val="24"/>
          <w:szCs w:val="24"/>
          <w:u w:val="none"/>
        </w:rPr>
      </w:pPr>
      <w:r w:rsidRPr="00A9054C">
        <w:rPr>
          <w:rStyle w:val="Hyperlink"/>
          <w:rFonts w:ascii="Calisto MT" w:hAnsi="Calisto MT" w:cs="Arial"/>
          <w:color w:val="000000" w:themeColor="text1"/>
          <w:sz w:val="24"/>
          <w:szCs w:val="24"/>
          <w:u w:val="none"/>
        </w:rPr>
        <w:t xml:space="preserve">Lecture </w:t>
      </w:r>
      <w:proofErr w:type="spellStart"/>
      <w:r w:rsidRPr="00A9054C">
        <w:rPr>
          <w:rStyle w:val="Hyperlink"/>
          <w:rFonts w:ascii="Calisto MT" w:hAnsi="Calisto MT" w:cs="Arial"/>
          <w:color w:val="000000" w:themeColor="text1"/>
          <w:sz w:val="24"/>
          <w:szCs w:val="24"/>
          <w:u w:val="none"/>
        </w:rPr>
        <w:t>Powerpoints</w:t>
      </w:r>
      <w:proofErr w:type="spellEnd"/>
    </w:p>
    <w:p w14:paraId="189E355D" w14:textId="77777777" w:rsidR="00B5751E" w:rsidRPr="00B5751E" w:rsidRDefault="00B5751E" w:rsidP="00B5751E">
      <w:pPr>
        <w:jc w:val="center"/>
        <w:rPr>
          <w:rStyle w:val="Hyperlink"/>
          <w:rFonts w:ascii="Calisto MT" w:hAnsi="Calisto MT" w:cs="Arial"/>
          <w:color w:val="auto"/>
          <w:sz w:val="24"/>
          <w:szCs w:val="24"/>
          <w:u w:val="none"/>
        </w:rPr>
      </w:pPr>
    </w:p>
    <w:p w14:paraId="1DABB1B7" w14:textId="77777777" w:rsidR="00B5751E" w:rsidRDefault="00B5751E" w:rsidP="00FE41C1">
      <w:pPr>
        <w:jc w:val="center"/>
        <w:rPr>
          <w:rStyle w:val="Hyperlink"/>
          <w:rFonts w:ascii="Calisto MT" w:hAnsi="Calisto MT" w:cs="Arial"/>
          <w:sz w:val="24"/>
          <w:szCs w:val="24"/>
        </w:rPr>
      </w:pPr>
    </w:p>
    <w:p w14:paraId="468E28C0" w14:textId="77777777" w:rsidR="00B5751E" w:rsidRDefault="00B5751E" w:rsidP="00FE41C1">
      <w:pPr>
        <w:jc w:val="center"/>
        <w:rPr>
          <w:rFonts w:ascii="Calisto MT" w:hAnsi="Calisto MT" w:cs="Arial"/>
          <w:sz w:val="24"/>
          <w:szCs w:val="24"/>
        </w:rPr>
      </w:pPr>
    </w:p>
    <w:p w14:paraId="7BF81D56" w14:textId="77777777" w:rsidR="001E55F6" w:rsidRDefault="001E55F6" w:rsidP="00FE41C1">
      <w:pPr>
        <w:jc w:val="center"/>
        <w:rPr>
          <w:rFonts w:ascii="Calisto MT" w:hAnsi="Calisto MT" w:cs="Arial"/>
          <w:sz w:val="24"/>
          <w:szCs w:val="24"/>
        </w:rPr>
      </w:pPr>
    </w:p>
    <w:p w14:paraId="141172FD" w14:textId="77777777" w:rsidR="00AB74BA" w:rsidRDefault="00AB74BA" w:rsidP="00FE41C1">
      <w:pPr>
        <w:jc w:val="center"/>
        <w:rPr>
          <w:rFonts w:ascii="Calisto MT" w:hAnsi="Calisto MT" w:cs="Arial"/>
          <w:sz w:val="24"/>
          <w:szCs w:val="24"/>
        </w:rPr>
      </w:pPr>
    </w:p>
    <w:p w14:paraId="2D2C8A9E" w14:textId="77777777" w:rsidR="00FE41C1" w:rsidRDefault="00FE41C1" w:rsidP="00FE41C1">
      <w:pPr>
        <w:jc w:val="center"/>
        <w:rPr>
          <w:rFonts w:ascii="Calisto MT" w:hAnsi="Calisto MT" w:cs="Arial"/>
          <w:sz w:val="24"/>
          <w:szCs w:val="24"/>
        </w:rPr>
      </w:pPr>
    </w:p>
    <w:p w14:paraId="0E933EC5" w14:textId="77777777" w:rsidR="00FE41C1" w:rsidRDefault="00FE41C1" w:rsidP="00344608">
      <w:pPr>
        <w:jc w:val="center"/>
        <w:rPr>
          <w:rFonts w:ascii="Calisto MT" w:hAnsi="Calisto MT" w:cs="Arial"/>
          <w:sz w:val="24"/>
          <w:szCs w:val="24"/>
        </w:rPr>
      </w:pPr>
    </w:p>
    <w:p w14:paraId="66444E9F" w14:textId="77777777" w:rsidR="002F13D1" w:rsidRDefault="002F13D1" w:rsidP="00344608">
      <w:pPr>
        <w:jc w:val="center"/>
        <w:rPr>
          <w:rFonts w:ascii="Calisto MT" w:hAnsi="Calisto MT" w:cs="Arial"/>
          <w:sz w:val="24"/>
          <w:szCs w:val="24"/>
        </w:rPr>
      </w:pPr>
    </w:p>
    <w:p w14:paraId="77E36F9F" w14:textId="77777777" w:rsidR="001551CA" w:rsidRDefault="001551CA" w:rsidP="00344608">
      <w:pPr>
        <w:jc w:val="center"/>
        <w:rPr>
          <w:rFonts w:ascii="Calisto MT" w:hAnsi="Calisto MT" w:cs="Arial"/>
          <w:sz w:val="24"/>
          <w:szCs w:val="24"/>
        </w:rPr>
      </w:pPr>
    </w:p>
    <w:p w14:paraId="076C3D71" w14:textId="77777777" w:rsidR="00344608" w:rsidRPr="00344608" w:rsidRDefault="00344608" w:rsidP="00344608">
      <w:pPr>
        <w:jc w:val="center"/>
        <w:rPr>
          <w:rFonts w:ascii="Calisto MT" w:hAnsi="Calisto MT" w:cs="Arial"/>
          <w:sz w:val="24"/>
          <w:szCs w:val="24"/>
        </w:rPr>
      </w:pPr>
    </w:p>
    <w:sectPr w:rsidR="00344608" w:rsidRPr="003446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37195" w14:textId="77777777" w:rsidR="00F20070" w:rsidRDefault="00F20070" w:rsidP="00344608">
      <w:pPr>
        <w:spacing w:after="0" w:line="240" w:lineRule="auto"/>
      </w:pPr>
      <w:r>
        <w:separator/>
      </w:r>
    </w:p>
  </w:endnote>
  <w:endnote w:type="continuationSeparator" w:id="0">
    <w:p w14:paraId="3C92018F" w14:textId="77777777" w:rsidR="00F20070" w:rsidRDefault="00F20070" w:rsidP="00344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sto MT">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0A8C9" w14:textId="77777777" w:rsidR="00F20070" w:rsidRDefault="00F20070" w:rsidP="00344608">
      <w:pPr>
        <w:spacing w:after="0" w:line="240" w:lineRule="auto"/>
      </w:pPr>
      <w:r>
        <w:separator/>
      </w:r>
    </w:p>
  </w:footnote>
  <w:footnote w:type="continuationSeparator" w:id="0">
    <w:p w14:paraId="007C99E5" w14:textId="77777777" w:rsidR="00F20070" w:rsidRDefault="00F20070" w:rsidP="00344608">
      <w:pPr>
        <w:spacing w:after="0" w:line="240" w:lineRule="auto"/>
      </w:pPr>
      <w:r>
        <w:continuationSeparator/>
      </w:r>
    </w:p>
  </w:footnote>
  <w:footnote w:id="1">
    <w:p w14:paraId="35F2831D" w14:textId="6266752A" w:rsidR="00344608" w:rsidRPr="00344608" w:rsidRDefault="00344608">
      <w:pPr>
        <w:pStyle w:val="FootnoteText"/>
        <w:rPr>
          <w:rFonts w:ascii="Calisto MT" w:hAnsi="Calisto MT"/>
        </w:rPr>
      </w:pPr>
      <w:r w:rsidRPr="00344608">
        <w:rPr>
          <w:rStyle w:val="FootnoteReference"/>
          <w:rFonts w:ascii="Calisto MT" w:hAnsi="Calisto MT"/>
        </w:rPr>
        <w:footnoteRef/>
      </w:r>
      <w:r w:rsidRPr="00344608">
        <w:rPr>
          <w:rFonts w:ascii="Calisto MT" w:hAnsi="Calisto MT"/>
        </w:rPr>
        <w:t xml:space="preserve"> ‘Dish; Plate | British Museum</w:t>
      </w:r>
      <w:proofErr w:type="gramStart"/>
      <w:r w:rsidRPr="00344608">
        <w:rPr>
          <w:rFonts w:ascii="Calisto MT" w:hAnsi="Calisto MT"/>
        </w:rPr>
        <w:t>’.</w:t>
      </w:r>
      <w:proofErr w:type="gramEnd"/>
      <w:r>
        <w:rPr>
          <w:rFonts w:ascii="Calisto MT" w:hAnsi="Calisto MT"/>
        </w:rPr>
        <w:t xml:space="preserve"> Museum No.1897,0401.1042</w:t>
      </w:r>
      <w:r w:rsidRPr="00344608">
        <w:rPr>
          <w:rFonts w:ascii="Calisto MT" w:hAnsi="Calisto MT"/>
        </w:rPr>
        <w:t xml:space="preserve"> The British Museum </w:t>
      </w:r>
    </w:p>
  </w:footnote>
  <w:footnote w:id="2">
    <w:p w14:paraId="7B654112" w14:textId="670C0225" w:rsidR="00320B0B" w:rsidRPr="00320B0B" w:rsidRDefault="00320B0B">
      <w:pPr>
        <w:pStyle w:val="FootnoteText"/>
        <w:rPr>
          <w:rFonts w:ascii="Calisto MT" w:hAnsi="Calisto MT"/>
        </w:rPr>
      </w:pPr>
      <w:r w:rsidRPr="00320B0B">
        <w:rPr>
          <w:rStyle w:val="FootnoteReference"/>
          <w:rFonts w:ascii="Calisto MT" w:hAnsi="Calisto MT"/>
        </w:rPr>
        <w:footnoteRef/>
      </w:r>
      <w:r w:rsidRPr="00320B0B">
        <w:rPr>
          <w:rFonts w:ascii="Calisto MT" w:hAnsi="Calisto MT"/>
        </w:rPr>
        <w:t xml:space="preserve"> </w:t>
      </w:r>
      <w:proofErr w:type="spellStart"/>
      <w:r w:rsidRPr="00320B0B">
        <w:rPr>
          <w:rFonts w:ascii="Calisto MT" w:hAnsi="Calisto MT"/>
        </w:rPr>
        <w:t>Theodoulou</w:t>
      </w:r>
      <w:proofErr w:type="spellEnd"/>
      <w:r w:rsidRPr="00320B0B">
        <w:rPr>
          <w:rFonts w:ascii="Calisto MT" w:hAnsi="Calisto MT"/>
        </w:rPr>
        <w:t xml:space="preserve">, Nick. 2023. ‘The Vicious Tale of Excavating Ancient </w:t>
      </w:r>
      <w:proofErr w:type="spellStart"/>
      <w:r w:rsidRPr="00320B0B">
        <w:rPr>
          <w:rFonts w:ascii="Calisto MT" w:hAnsi="Calisto MT"/>
        </w:rPr>
        <w:t>Enkomi</w:t>
      </w:r>
      <w:proofErr w:type="spellEnd"/>
      <w:r w:rsidRPr="00320B0B">
        <w:rPr>
          <w:rFonts w:ascii="Calisto MT" w:hAnsi="Calisto MT"/>
        </w:rPr>
        <w:t xml:space="preserve"> | Cyprus Mail</w:t>
      </w:r>
    </w:p>
  </w:footnote>
  <w:footnote w:id="3">
    <w:p w14:paraId="1AD34D45" w14:textId="6F1DC195" w:rsidR="00344608" w:rsidRPr="001551CA" w:rsidRDefault="00344608">
      <w:pPr>
        <w:pStyle w:val="FootnoteText"/>
        <w:rPr>
          <w:rFonts w:ascii="Calisto MT" w:hAnsi="Calisto MT"/>
        </w:rPr>
      </w:pPr>
      <w:r w:rsidRPr="001551CA">
        <w:rPr>
          <w:rStyle w:val="FootnoteReference"/>
          <w:rFonts w:ascii="Calisto MT" w:hAnsi="Calisto MT"/>
        </w:rPr>
        <w:footnoteRef/>
      </w:r>
      <w:r w:rsidRPr="001551CA">
        <w:rPr>
          <w:rFonts w:ascii="Calisto MT" w:hAnsi="Calisto MT"/>
        </w:rPr>
        <w:t xml:space="preserve"> </w:t>
      </w:r>
      <w:r w:rsidR="001551CA" w:rsidRPr="001551CA">
        <w:rPr>
          <w:rFonts w:ascii="Calisto MT" w:hAnsi="Calisto MT"/>
        </w:rPr>
        <w:t>‘Faience Flask | Cypriot | Late Bronze Age</w:t>
      </w:r>
      <w:proofErr w:type="gramStart"/>
      <w:r w:rsidR="001551CA" w:rsidRPr="001551CA">
        <w:rPr>
          <w:rFonts w:ascii="Calisto MT" w:hAnsi="Calisto MT"/>
        </w:rPr>
        <w:t>’.</w:t>
      </w:r>
      <w:proofErr w:type="gramEnd"/>
      <w:r w:rsidR="001551CA" w:rsidRPr="001551CA">
        <w:rPr>
          <w:rFonts w:ascii="Calisto MT" w:hAnsi="Calisto MT"/>
        </w:rPr>
        <w:t xml:space="preserve"> Accession No.74.51.5073. The Metropolitan Museum of Art </w:t>
      </w:r>
    </w:p>
  </w:footnote>
  <w:footnote w:id="4">
    <w:p w14:paraId="4B339E3A" w14:textId="157A6964" w:rsidR="009D7D1D" w:rsidRPr="00546F0C" w:rsidRDefault="009D7D1D">
      <w:pPr>
        <w:pStyle w:val="FootnoteText"/>
        <w:rPr>
          <w:rFonts w:ascii="Calisto MT" w:hAnsi="Calisto MT"/>
        </w:rPr>
      </w:pPr>
      <w:r w:rsidRPr="00546F0C">
        <w:rPr>
          <w:rStyle w:val="FootnoteReference"/>
          <w:rFonts w:ascii="Calisto MT" w:hAnsi="Calisto MT"/>
        </w:rPr>
        <w:footnoteRef/>
      </w:r>
      <w:r w:rsidRPr="00546F0C">
        <w:rPr>
          <w:rFonts w:ascii="Calisto MT" w:hAnsi="Calisto MT"/>
        </w:rPr>
        <w:t xml:space="preserve"> Riccardelli, Carolyn. 2020. ‘Egyptian Faience: Technology and Production’, The Met Museum</w:t>
      </w:r>
    </w:p>
  </w:footnote>
  <w:footnote w:id="5">
    <w:p w14:paraId="30002A9C" w14:textId="3E177F59" w:rsidR="009D7D1D" w:rsidRPr="00546F0C" w:rsidRDefault="009D7D1D">
      <w:pPr>
        <w:pStyle w:val="FootnoteText"/>
        <w:rPr>
          <w:rFonts w:ascii="Calisto MT" w:hAnsi="Calisto MT"/>
        </w:rPr>
      </w:pPr>
      <w:r w:rsidRPr="00546F0C">
        <w:rPr>
          <w:rStyle w:val="FootnoteReference"/>
          <w:rFonts w:ascii="Calisto MT" w:hAnsi="Calisto MT"/>
        </w:rPr>
        <w:footnoteRef/>
      </w:r>
      <w:r w:rsidRPr="00546F0C">
        <w:rPr>
          <w:rFonts w:ascii="Calisto MT" w:hAnsi="Calisto MT"/>
        </w:rPr>
        <w:t xml:space="preserve"> Taggart, Emma. 2018. ‘The History of </w:t>
      </w:r>
      <w:proofErr w:type="gramStart"/>
      <w:r w:rsidRPr="00546F0C">
        <w:rPr>
          <w:rFonts w:ascii="Calisto MT" w:hAnsi="Calisto MT"/>
        </w:rPr>
        <w:t xml:space="preserve">the </w:t>
      </w:r>
      <w:proofErr w:type="spellStart"/>
      <w:r w:rsidRPr="00546F0C">
        <w:rPr>
          <w:rFonts w:ascii="Calisto MT" w:hAnsi="Calisto MT"/>
        </w:rPr>
        <w:t>Color</w:t>
      </w:r>
      <w:proofErr w:type="spellEnd"/>
      <w:r w:rsidRPr="00546F0C">
        <w:rPr>
          <w:rFonts w:ascii="Calisto MT" w:hAnsi="Calisto MT"/>
        </w:rPr>
        <w:t xml:space="preserve"> Blue</w:t>
      </w:r>
      <w:proofErr w:type="gramEnd"/>
      <w:r w:rsidRPr="00546F0C">
        <w:rPr>
          <w:rFonts w:ascii="Calisto MT" w:hAnsi="Calisto MT"/>
        </w:rPr>
        <w:t xml:space="preserve">: From Ancient Egypt to the Latest Scientific Discoveries’, My Modern Met </w:t>
      </w:r>
    </w:p>
  </w:footnote>
  <w:footnote w:id="6">
    <w:p w14:paraId="34AD6E8F" w14:textId="7C773ACA" w:rsidR="002F13D1" w:rsidRDefault="002F13D1">
      <w:pPr>
        <w:pStyle w:val="FootnoteText"/>
      </w:pPr>
      <w:r w:rsidRPr="00546F0C">
        <w:rPr>
          <w:rStyle w:val="FootnoteReference"/>
          <w:rFonts w:ascii="Calisto MT" w:hAnsi="Calisto MT"/>
        </w:rPr>
        <w:footnoteRef/>
      </w:r>
      <w:r w:rsidRPr="00546F0C">
        <w:rPr>
          <w:rFonts w:ascii="Calisto MT" w:hAnsi="Calisto MT"/>
        </w:rPr>
        <w:t xml:space="preserve"> Brack, Paul. 2009. ‘Egyptian Blue: More than Just a Colour’, Chemistry World </w:t>
      </w:r>
    </w:p>
  </w:footnote>
  <w:footnote w:id="7">
    <w:p w14:paraId="7906F299" w14:textId="7C824146" w:rsidR="00FE41C1" w:rsidRDefault="00FE41C1">
      <w:pPr>
        <w:pStyle w:val="FootnoteText"/>
      </w:pPr>
      <w:r>
        <w:rPr>
          <w:rStyle w:val="FootnoteReference"/>
        </w:rPr>
        <w:footnoteRef/>
      </w:r>
      <w:r>
        <w:t xml:space="preserve"> </w:t>
      </w:r>
      <w:r w:rsidRPr="00FE41C1">
        <w:rPr>
          <w:rFonts w:ascii="Calisto MT" w:hAnsi="Calisto MT"/>
        </w:rPr>
        <w:t>McAwley, Johnny. 2020. ‘What Does Blue Represent in Ancient Egypt? | Slightly Blue</w:t>
      </w:r>
    </w:p>
  </w:footnote>
  <w:footnote w:id="8">
    <w:p w14:paraId="2080B290" w14:textId="6AA8BD7F" w:rsidR="00EF0A51" w:rsidRPr="00EF0A51" w:rsidRDefault="00EF0A51">
      <w:pPr>
        <w:pStyle w:val="FootnoteText"/>
        <w:rPr>
          <w:rFonts w:ascii="Calisto MT" w:hAnsi="Calisto MT"/>
        </w:rPr>
      </w:pPr>
      <w:r w:rsidRPr="00EF0A51">
        <w:rPr>
          <w:rStyle w:val="FootnoteReference"/>
          <w:rFonts w:ascii="Calisto MT" w:hAnsi="Calisto MT"/>
        </w:rPr>
        <w:footnoteRef/>
      </w:r>
      <w:r w:rsidRPr="00EF0A51">
        <w:rPr>
          <w:rFonts w:ascii="Calisto MT" w:hAnsi="Calisto MT"/>
        </w:rPr>
        <w:t xml:space="preserve"> Feldman, Marian H. “Luxurious Forms: Redefining a Mediterranean ‘International Style,’ 1400-1200 B.C.E.” The Art Bulletin, vol. 84, no. 1, 2002, pp. 6–29. </w:t>
      </w:r>
    </w:p>
  </w:footnote>
  <w:footnote w:id="9">
    <w:p w14:paraId="7F280845" w14:textId="03EB6CA8" w:rsidR="001E55F6" w:rsidRPr="001E55F6" w:rsidRDefault="001E55F6">
      <w:pPr>
        <w:pStyle w:val="FootnoteText"/>
        <w:rPr>
          <w:rFonts w:ascii="Calisto MT" w:hAnsi="Calisto MT"/>
        </w:rPr>
      </w:pPr>
      <w:r w:rsidRPr="001E55F6">
        <w:rPr>
          <w:rStyle w:val="FootnoteReference"/>
          <w:rFonts w:ascii="Calisto MT" w:hAnsi="Calisto MT"/>
        </w:rPr>
        <w:footnoteRef/>
      </w:r>
      <w:r w:rsidRPr="001E55F6">
        <w:rPr>
          <w:rFonts w:ascii="Calisto MT" w:hAnsi="Calisto MT"/>
        </w:rPr>
        <w:t xml:space="preserve"> Meiri, Meirav, Philipp W. </w:t>
      </w:r>
      <w:proofErr w:type="spellStart"/>
      <w:r w:rsidRPr="001E55F6">
        <w:rPr>
          <w:rFonts w:ascii="Calisto MT" w:hAnsi="Calisto MT"/>
        </w:rPr>
        <w:t>Stockhammer</w:t>
      </w:r>
      <w:proofErr w:type="spellEnd"/>
      <w:r w:rsidRPr="001E55F6">
        <w:rPr>
          <w:rFonts w:ascii="Calisto MT" w:hAnsi="Calisto MT"/>
        </w:rPr>
        <w:t xml:space="preserve">, Nimrod Marom, Guy Bar-Oz, Lidar Sapir-Hen, and others. 2017. ‘Eastern Mediterranean Mobility in the Bronze and Early Iron Ages: Inferences from Ancient DNA of Pigs and Cattle’, Scientific Reports, 7.1: 1–10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7E7"/>
    <w:rsid w:val="0004361F"/>
    <w:rsid w:val="00085785"/>
    <w:rsid w:val="000C5EB3"/>
    <w:rsid w:val="000D2367"/>
    <w:rsid w:val="001551CA"/>
    <w:rsid w:val="001C2987"/>
    <w:rsid w:val="001E55F6"/>
    <w:rsid w:val="002350A3"/>
    <w:rsid w:val="002457F2"/>
    <w:rsid w:val="00284645"/>
    <w:rsid w:val="002971C8"/>
    <w:rsid w:val="002F13D1"/>
    <w:rsid w:val="002F751A"/>
    <w:rsid w:val="00313039"/>
    <w:rsid w:val="00320B0B"/>
    <w:rsid w:val="00324F43"/>
    <w:rsid w:val="003279D7"/>
    <w:rsid w:val="00344608"/>
    <w:rsid w:val="00352167"/>
    <w:rsid w:val="00452526"/>
    <w:rsid w:val="00481352"/>
    <w:rsid w:val="004D133C"/>
    <w:rsid w:val="004D4906"/>
    <w:rsid w:val="004E0037"/>
    <w:rsid w:val="00502D87"/>
    <w:rsid w:val="00506AF8"/>
    <w:rsid w:val="0054314D"/>
    <w:rsid w:val="00546F0C"/>
    <w:rsid w:val="00570911"/>
    <w:rsid w:val="00572BC8"/>
    <w:rsid w:val="005B5874"/>
    <w:rsid w:val="005F79C9"/>
    <w:rsid w:val="00630634"/>
    <w:rsid w:val="0064042B"/>
    <w:rsid w:val="00645CAC"/>
    <w:rsid w:val="006660E6"/>
    <w:rsid w:val="00715006"/>
    <w:rsid w:val="00732F4A"/>
    <w:rsid w:val="0075066B"/>
    <w:rsid w:val="007640D1"/>
    <w:rsid w:val="007657E7"/>
    <w:rsid w:val="00766E78"/>
    <w:rsid w:val="00796177"/>
    <w:rsid w:val="007D0E11"/>
    <w:rsid w:val="00805529"/>
    <w:rsid w:val="008B76CB"/>
    <w:rsid w:val="00905A2C"/>
    <w:rsid w:val="00956D7F"/>
    <w:rsid w:val="00976212"/>
    <w:rsid w:val="00982904"/>
    <w:rsid w:val="009A2D52"/>
    <w:rsid w:val="009A4A57"/>
    <w:rsid w:val="009D7D1D"/>
    <w:rsid w:val="00A9054C"/>
    <w:rsid w:val="00AB74BA"/>
    <w:rsid w:val="00B11F6E"/>
    <w:rsid w:val="00B47D36"/>
    <w:rsid w:val="00B502F8"/>
    <w:rsid w:val="00B5751E"/>
    <w:rsid w:val="00B76D4F"/>
    <w:rsid w:val="00BB123E"/>
    <w:rsid w:val="00BE0AE8"/>
    <w:rsid w:val="00BF5505"/>
    <w:rsid w:val="00C47EC1"/>
    <w:rsid w:val="00CF1D87"/>
    <w:rsid w:val="00D17B83"/>
    <w:rsid w:val="00D23A50"/>
    <w:rsid w:val="00D458D7"/>
    <w:rsid w:val="00D74A6E"/>
    <w:rsid w:val="00D9201A"/>
    <w:rsid w:val="00DB790B"/>
    <w:rsid w:val="00E05EE9"/>
    <w:rsid w:val="00E11BDF"/>
    <w:rsid w:val="00E133DF"/>
    <w:rsid w:val="00E31070"/>
    <w:rsid w:val="00E418E0"/>
    <w:rsid w:val="00E9147C"/>
    <w:rsid w:val="00EC0DC8"/>
    <w:rsid w:val="00EF0A51"/>
    <w:rsid w:val="00F20070"/>
    <w:rsid w:val="00F415D3"/>
    <w:rsid w:val="00FB4A4A"/>
    <w:rsid w:val="00FE4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1E878"/>
  <w15:chartTrackingRefBased/>
  <w15:docId w15:val="{20479E8E-7FD2-47D8-BBF6-C0C1077B6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0037"/>
    <w:rPr>
      <w:color w:val="0563C1" w:themeColor="hyperlink"/>
      <w:u w:val="single"/>
    </w:rPr>
  </w:style>
  <w:style w:type="character" w:styleId="UnresolvedMention">
    <w:name w:val="Unresolved Mention"/>
    <w:basedOn w:val="DefaultParagraphFont"/>
    <w:uiPriority w:val="99"/>
    <w:semiHidden/>
    <w:unhideWhenUsed/>
    <w:rsid w:val="004E0037"/>
    <w:rPr>
      <w:color w:val="605E5C"/>
      <w:shd w:val="clear" w:color="auto" w:fill="E1DFDD"/>
    </w:rPr>
  </w:style>
  <w:style w:type="paragraph" w:styleId="FootnoteText">
    <w:name w:val="footnote text"/>
    <w:basedOn w:val="Normal"/>
    <w:link w:val="FootnoteTextChar"/>
    <w:uiPriority w:val="99"/>
    <w:semiHidden/>
    <w:unhideWhenUsed/>
    <w:rsid w:val="003446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4608"/>
    <w:rPr>
      <w:sz w:val="20"/>
      <w:szCs w:val="20"/>
    </w:rPr>
  </w:style>
  <w:style w:type="character" w:styleId="FootnoteReference">
    <w:name w:val="footnote reference"/>
    <w:basedOn w:val="DefaultParagraphFont"/>
    <w:uiPriority w:val="99"/>
    <w:semiHidden/>
    <w:unhideWhenUsed/>
    <w:rsid w:val="00344608"/>
    <w:rPr>
      <w:vertAlign w:val="superscript"/>
    </w:rPr>
  </w:style>
  <w:style w:type="character" w:styleId="CommentReference">
    <w:name w:val="annotation reference"/>
    <w:basedOn w:val="DefaultParagraphFont"/>
    <w:uiPriority w:val="99"/>
    <w:semiHidden/>
    <w:unhideWhenUsed/>
    <w:rsid w:val="00352167"/>
    <w:rPr>
      <w:sz w:val="16"/>
      <w:szCs w:val="16"/>
    </w:rPr>
  </w:style>
  <w:style w:type="paragraph" w:styleId="CommentText">
    <w:name w:val="annotation text"/>
    <w:basedOn w:val="Normal"/>
    <w:link w:val="CommentTextChar"/>
    <w:uiPriority w:val="99"/>
    <w:semiHidden/>
    <w:unhideWhenUsed/>
    <w:rsid w:val="00352167"/>
    <w:pPr>
      <w:spacing w:line="240" w:lineRule="auto"/>
    </w:pPr>
    <w:rPr>
      <w:sz w:val="20"/>
      <w:szCs w:val="20"/>
    </w:rPr>
  </w:style>
  <w:style w:type="character" w:customStyle="1" w:styleId="CommentTextChar">
    <w:name w:val="Comment Text Char"/>
    <w:basedOn w:val="DefaultParagraphFont"/>
    <w:link w:val="CommentText"/>
    <w:uiPriority w:val="99"/>
    <w:semiHidden/>
    <w:rsid w:val="00352167"/>
    <w:rPr>
      <w:sz w:val="20"/>
      <w:szCs w:val="20"/>
    </w:rPr>
  </w:style>
  <w:style w:type="paragraph" w:styleId="CommentSubject">
    <w:name w:val="annotation subject"/>
    <w:basedOn w:val="CommentText"/>
    <w:next w:val="CommentText"/>
    <w:link w:val="CommentSubjectChar"/>
    <w:uiPriority w:val="99"/>
    <w:semiHidden/>
    <w:unhideWhenUsed/>
    <w:rsid w:val="00352167"/>
    <w:rPr>
      <w:b/>
      <w:bCs/>
    </w:rPr>
  </w:style>
  <w:style w:type="character" w:customStyle="1" w:styleId="CommentSubjectChar">
    <w:name w:val="Comment Subject Char"/>
    <w:basedOn w:val="CommentTextChar"/>
    <w:link w:val="CommentSubject"/>
    <w:uiPriority w:val="99"/>
    <w:semiHidden/>
    <w:rsid w:val="00352167"/>
    <w:rPr>
      <w:b/>
      <w:bCs/>
      <w:sz w:val="20"/>
      <w:szCs w:val="20"/>
    </w:rPr>
  </w:style>
  <w:style w:type="character" w:styleId="FollowedHyperlink">
    <w:name w:val="FollowedHyperlink"/>
    <w:basedOn w:val="DefaultParagraphFont"/>
    <w:uiPriority w:val="99"/>
    <w:semiHidden/>
    <w:unhideWhenUsed/>
    <w:rsid w:val="00EC0D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emistryworld.com/features/egyptian-blue-more-than-just-a-colour/9001.artic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ymodernmet.com/shades-of-blue-color-history/" TargetMode="External"/><Relationship Id="rId17" Type="http://schemas.openxmlformats.org/officeDocument/2006/relationships/hyperlink" Target="https://cyprus-mail.com/2023/07/09/the-vicious-tale-of-excavating-ancient-enkomi/" TargetMode="External"/><Relationship Id="rId2" Type="http://schemas.openxmlformats.org/officeDocument/2006/relationships/styles" Target="styles.xml"/><Relationship Id="rId16" Type="http://schemas.openxmlformats.org/officeDocument/2006/relationships/hyperlink" Target="https://doi.org/10.1038/s41598-017-00701-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tmuseum.org/toah/hd/egfc/hd_egfc.htm" TargetMode="External"/><Relationship Id="rId5" Type="http://schemas.openxmlformats.org/officeDocument/2006/relationships/footnotes" Target="footnotes.xml"/><Relationship Id="rId15" Type="http://schemas.openxmlformats.org/officeDocument/2006/relationships/hyperlink" Target="https://doi.org/10.1007/s11759-023-09476-3" TargetMode="External"/><Relationship Id="rId10" Type="http://schemas.openxmlformats.org/officeDocument/2006/relationships/hyperlink" Target="https://www.metmuseum.org/art/collection/search/24395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ishmuseum.org/collection/object/G_1897-0401-1042" TargetMode="External"/><Relationship Id="rId14" Type="http://schemas.openxmlformats.org/officeDocument/2006/relationships/hyperlink" Target="https://slightlyblue.com/symbolism/ancient-egypt/?utm_content=cm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A07DB-5EF9-4AEA-8698-84191F606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10224</TotalTime>
  <Pages>7</Pages>
  <Words>2221</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quieros</dc:creator>
  <cp:keywords/>
  <dc:description/>
  <cp:lastModifiedBy>francesca quieros</cp:lastModifiedBy>
  <cp:revision>34</cp:revision>
  <dcterms:created xsi:type="dcterms:W3CDTF">2023-10-25T13:25:00Z</dcterms:created>
  <dcterms:modified xsi:type="dcterms:W3CDTF">2023-11-10T13:59:00Z</dcterms:modified>
</cp:coreProperties>
</file>