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C3FAAD" w14:textId="77777777" w:rsidR="00281BCD" w:rsidRDefault="00281BCD"/>
    <w:p w14:paraId="4B93C3CA" w14:textId="77777777" w:rsidR="00281BCD" w:rsidRDefault="00281BCD"/>
    <w:p w14:paraId="4C37D029" w14:textId="77777777" w:rsidR="00281BCD" w:rsidRDefault="00281BCD"/>
    <w:p w14:paraId="020B329B" w14:textId="77777777" w:rsidR="00281BCD" w:rsidRDefault="00281BCD"/>
    <w:p w14:paraId="7AACB996" w14:textId="77777777" w:rsidR="00281BCD" w:rsidRDefault="00281BCD"/>
    <w:p w14:paraId="15C0E15B" w14:textId="77777777" w:rsidR="00281BCD" w:rsidRDefault="00281BCD"/>
    <w:p w14:paraId="39B03627" w14:textId="4C8BC7C4" w:rsidR="00281BCD" w:rsidRPr="00281BCD" w:rsidRDefault="00281BCD" w:rsidP="00281BCD">
      <w:pPr>
        <w:jc w:val="center"/>
        <w:rPr>
          <w:b/>
          <w:bCs/>
          <w:sz w:val="36"/>
          <w:szCs w:val="36"/>
        </w:rPr>
      </w:pPr>
      <w:r w:rsidRPr="00281BCD">
        <w:rPr>
          <w:b/>
          <w:bCs/>
          <w:sz w:val="36"/>
          <w:szCs w:val="36"/>
        </w:rPr>
        <w:t xml:space="preserve">Employability and </w:t>
      </w:r>
      <w:r>
        <w:rPr>
          <w:b/>
          <w:bCs/>
          <w:sz w:val="36"/>
          <w:szCs w:val="36"/>
        </w:rPr>
        <w:t xml:space="preserve">Career </w:t>
      </w:r>
      <w:r w:rsidRPr="00281BCD">
        <w:rPr>
          <w:b/>
          <w:bCs/>
          <w:sz w:val="36"/>
          <w:szCs w:val="36"/>
        </w:rPr>
        <w:t>Development</w:t>
      </w:r>
    </w:p>
    <w:p w14:paraId="63B01794" w14:textId="77777777" w:rsidR="00281BCD" w:rsidRDefault="00281BCD"/>
    <w:p w14:paraId="1CAE1D3F" w14:textId="6DDC9EC4" w:rsidR="00281BCD" w:rsidRPr="00281BCD" w:rsidRDefault="00281BCD" w:rsidP="00281BCD">
      <w:pPr>
        <w:jc w:val="center"/>
        <w:rPr>
          <w:b/>
          <w:bCs/>
          <w:sz w:val="28"/>
          <w:szCs w:val="28"/>
        </w:rPr>
      </w:pPr>
      <w:r w:rsidRPr="00281BCD">
        <w:rPr>
          <w:b/>
          <w:bCs/>
          <w:sz w:val="28"/>
          <w:szCs w:val="28"/>
        </w:rPr>
        <w:t>Assessment 2</w:t>
      </w:r>
    </w:p>
    <w:p w14:paraId="6F7BD05E" w14:textId="77777777" w:rsidR="00281BCD" w:rsidRDefault="00281BCD"/>
    <w:p w14:paraId="17BCB64F" w14:textId="7CB0B689" w:rsidR="00281BCD" w:rsidRDefault="00BB5D51" w:rsidP="00BB5D51">
      <w:pPr>
        <w:jc w:val="center"/>
      </w:pPr>
      <w:r>
        <w:rPr>
          <w:noProof/>
        </w:rPr>
        <w:drawing>
          <wp:inline distT="0" distB="0" distL="0" distR="0" wp14:anchorId="6F5FADBD" wp14:editId="2E75EA78">
            <wp:extent cx="3810000" cy="1162050"/>
            <wp:effectExtent l="0" t="0" r="0" b="0"/>
            <wp:docPr id="11269384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810000" cy="1162050"/>
                    </a:xfrm>
                    <a:prstGeom prst="rect">
                      <a:avLst/>
                    </a:prstGeom>
                    <a:noFill/>
                  </pic:spPr>
                </pic:pic>
              </a:graphicData>
            </a:graphic>
          </wp:inline>
        </w:drawing>
      </w:r>
    </w:p>
    <w:p w14:paraId="5AC86C91" w14:textId="77777777" w:rsidR="00281BCD" w:rsidRDefault="00281BCD"/>
    <w:p w14:paraId="6B25F09B" w14:textId="77777777" w:rsidR="00281BCD" w:rsidRDefault="00281BCD"/>
    <w:p w14:paraId="09A8834F" w14:textId="77777777" w:rsidR="00281BCD" w:rsidRDefault="00281BCD"/>
    <w:p w14:paraId="512F3C26" w14:textId="77777777" w:rsidR="00281BCD" w:rsidRDefault="00281BCD"/>
    <w:p w14:paraId="161961C2" w14:textId="77777777" w:rsidR="00281BCD" w:rsidRDefault="00281BCD"/>
    <w:p w14:paraId="244B239D" w14:textId="77777777" w:rsidR="00281BCD" w:rsidRDefault="00281BCD"/>
    <w:p w14:paraId="6F6FC117" w14:textId="77777777" w:rsidR="00281BCD" w:rsidRDefault="00281BCD"/>
    <w:p w14:paraId="60D8ABF8" w14:textId="77777777" w:rsidR="00281BCD" w:rsidRDefault="00281BCD"/>
    <w:p w14:paraId="018675D5" w14:textId="24BED452" w:rsidR="00281BCD" w:rsidRDefault="00281BCD">
      <w:r>
        <w:t>Student: Jason Holmes</w:t>
      </w:r>
    </w:p>
    <w:p w14:paraId="03CFAF2B" w14:textId="7550362E" w:rsidR="00281BCD" w:rsidRDefault="00281BCD">
      <w:r>
        <w:t>ID:</w:t>
      </w:r>
    </w:p>
    <w:p w14:paraId="00CFB724" w14:textId="3B70CF36" w:rsidR="00281BCD" w:rsidRDefault="00281BCD">
      <w:r>
        <w:t>Module:</w:t>
      </w:r>
    </w:p>
    <w:p w14:paraId="7297D1AA" w14:textId="09DCFC5A" w:rsidR="00281BCD" w:rsidRDefault="00281BCD">
      <w:r>
        <w:t>Lecturer:</w:t>
      </w:r>
    </w:p>
    <w:p w14:paraId="5B0C2EC4" w14:textId="77777777" w:rsidR="00281BCD" w:rsidRDefault="00281BCD"/>
    <w:p w14:paraId="0C8D81AF" w14:textId="5AD8CE44" w:rsidR="00281BCD" w:rsidRDefault="00BB5D51">
      <w:r>
        <w:rPr>
          <w:noProof/>
        </w:rPr>
        <w:drawing>
          <wp:inline distT="0" distB="0" distL="0" distR="0" wp14:anchorId="4A6DF90B" wp14:editId="5A17400A">
            <wp:extent cx="5731510" cy="8562340"/>
            <wp:effectExtent l="0" t="0" r="2540" b="0"/>
            <wp:docPr id="1400724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724733" name="Picture 1400724733"/>
                    <pic:cNvPicPr/>
                  </pic:nvPicPr>
                  <pic:blipFill>
                    <a:blip r:embed="rId5">
                      <a:extLst>
                        <a:ext uri="{28A0092B-C50C-407E-A947-70E740481C1C}">
                          <a14:useLocalDpi xmlns:a14="http://schemas.microsoft.com/office/drawing/2010/main" val="0"/>
                        </a:ext>
                      </a:extLst>
                    </a:blip>
                    <a:stretch>
                      <a:fillRect/>
                    </a:stretch>
                  </pic:blipFill>
                  <pic:spPr>
                    <a:xfrm>
                      <a:off x="0" y="0"/>
                      <a:ext cx="5731510" cy="8562340"/>
                    </a:xfrm>
                    <a:prstGeom prst="rect">
                      <a:avLst/>
                    </a:prstGeom>
                  </pic:spPr>
                </pic:pic>
              </a:graphicData>
            </a:graphic>
          </wp:inline>
        </w:drawing>
      </w:r>
    </w:p>
    <w:p w14:paraId="10BF878F" w14:textId="753FE531" w:rsidR="00BB5D51" w:rsidRDefault="00BB5D51">
      <w:r>
        <w:rPr>
          <w:noProof/>
        </w:rPr>
        <w:drawing>
          <wp:inline distT="0" distB="0" distL="0" distR="0" wp14:anchorId="5964988A" wp14:editId="539C96F5">
            <wp:extent cx="5731510" cy="6643370"/>
            <wp:effectExtent l="0" t="0" r="2540" b="5080"/>
            <wp:docPr id="7583407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340787" name="Picture 758340787"/>
                    <pic:cNvPicPr/>
                  </pic:nvPicPr>
                  <pic:blipFill>
                    <a:blip r:embed="rId6">
                      <a:extLst>
                        <a:ext uri="{28A0092B-C50C-407E-A947-70E740481C1C}">
                          <a14:useLocalDpi xmlns:a14="http://schemas.microsoft.com/office/drawing/2010/main" val="0"/>
                        </a:ext>
                      </a:extLst>
                    </a:blip>
                    <a:stretch>
                      <a:fillRect/>
                    </a:stretch>
                  </pic:blipFill>
                  <pic:spPr>
                    <a:xfrm>
                      <a:off x="0" y="0"/>
                      <a:ext cx="5731510" cy="6643370"/>
                    </a:xfrm>
                    <a:prstGeom prst="rect">
                      <a:avLst/>
                    </a:prstGeom>
                  </pic:spPr>
                </pic:pic>
              </a:graphicData>
            </a:graphic>
          </wp:inline>
        </w:drawing>
      </w:r>
    </w:p>
    <w:p w14:paraId="50F48AFC" w14:textId="77777777" w:rsidR="00BB5D51" w:rsidRDefault="00BB5D51"/>
    <w:p w14:paraId="0FD5D8EE" w14:textId="77777777" w:rsidR="00BB5D51" w:rsidRDefault="00BB5D51"/>
    <w:p w14:paraId="248CC038" w14:textId="77777777" w:rsidR="00BB5D51" w:rsidRDefault="00BB5D51"/>
    <w:p w14:paraId="71CCCA93" w14:textId="77777777" w:rsidR="00BB5D51" w:rsidRDefault="00BB5D51"/>
    <w:p w14:paraId="6B416C23" w14:textId="77777777" w:rsidR="00BB5D51" w:rsidRDefault="00BB5D51"/>
    <w:p w14:paraId="3D9FB539" w14:textId="77777777" w:rsidR="00BB5D51" w:rsidRDefault="00BB5D51"/>
    <w:p w14:paraId="1081DEEB" w14:textId="56B300D5" w:rsidR="00281BCD" w:rsidRDefault="00281BCD">
      <w:r w:rsidRPr="00BB5D51">
        <w:rPr>
          <w:b/>
          <w:bCs/>
        </w:rPr>
        <w:t>Task 1 – Compare Job Adverts</w:t>
      </w:r>
      <w:r w:rsidRPr="00281BCD">
        <w:br/>
        <w:t>The two jobs I have selected are a site manager and the head of a maintenance company. Both these jobs require knowledge and experience in the construction industry, as they involve overseeing building work, managing teams, and ensuring projects are completed to a high standard. In both roles, an understanding of health and safety regulations, building processes, and compliance is essential, as construction remains a highly regulated industry.</w:t>
      </w:r>
    </w:p>
    <w:p w14:paraId="142B441B" w14:textId="264E9732" w:rsidR="00281BCD" w:rsidRDefault="00281BCD">
      <w:r w:rsidRPr="00281BCD">
        <w:br/>
        <w:t>Also, with both these jobs you would need good organisation skills. If a site manager isn’t organised, it holds up the whole project, causing delays and increased costs. A maintenance manager needs the same skills because they have to organise manpower, materials, and work schedules efficiently. Research suggests that effective organisational skills are directly linked to project success in construction environments (Kerzner, 2017).</w:t>
      </w:r>
    </w:p>
    <w:p w14:paraId="7214EDC6" w14:textId="77777777" w:rsidR="00281BCD" w:rsidRDefault="00281BCD">
      <w:r w:rsidRPr="00281BCD">
        <w:br/>
        <w:t>Time management is another important skill. On site, you need to be aware of what can be completed within the timeframes, and with maintenance companies you have to instruct your staff to carry out repairs within realistic times. Poor time management can lead to missed deadlines, financial penalties, and reduced client satisfaction (Lock, 2020).</w:t>
      </w:r>
    </w:p>
    <w:p w14:paraId="22FDEF17" w14:textId="77777777" w:rsidR="00281BCD" w:rsidRDefault="00281BCD">
      <w:r w:rsidRPr="00281BCD">
        <w:br/>
        <w:t xml:space="preserve">I would say the most common skill needed in both these jobs is leadership. There will be many occasions where decisions will have to be made, and the person will have to stand by those decisions whether they are right or wrong. The most important thing is that they are made with the right intentions. Leadership is widely recognised as a key factor in team performance and productivity, particularly in high-pressure environments like construction (Northouse, 2021). </w:t>
      </w:r>
    </w:p>
    <w:p w14:paraId="17094B78" w14:textId="77777777" w:rsidR="00281BCD" w:rsidRDefault="00281BCD">
      <w:r w:rsidRPr="00281BCD">
        <w:t>A strong leader not only directs work but also motivates staff, resolves conflicts, and ensures accountability across the team.</w:t>
      </w:r>
      <w:r w:rsidRPr="00281BCD">
        <w:br/>
        <w:t>Overall, both roles require a combination of technical knowledge, organisation, time management, and leadership, with leadership being the most critical skill for ensuring successful project delivery.</w:t>
      </w:r>
    </w:p>
    <w:p w14:paraId="699808B1" w14:textId="77777777" w:rsidR="00281BCD" w:rsidRDefault="00281BCD">
      <w:r w:rsidRPr="00281BCD">
        <w:br/>
        <w:t xml:space="preserve">Task 2 – Self-Assessment </w:t>
      </w:r>
      <w:r w:rsidRPr="00281BCD">
        <w:br/>
        <w:t>When reflecting on my own experience, skills, and personality, I’ve used a SWOT analysis to identify all my traits. This is a recognised method for evaluating personal strengths and weaknesses, as well as external opportunities and threats (Gürel and Tat, 2017).</w:t>
      </w:r>
      <w:r w:rsidRPr="00281BCD">
        <w:br/>
        <w:t>Strengths</w:t>
      </w:r>
      <w:r w:rsidRPr="00281BCD">
        <w:br/>
        <w:t>I am very punctual. I don’t like being late for anyone, and I think it is important in employment to be where you are supposed to be at the time you are supposed to be there. This reliability is valued by employers, as it demonstrates professionalism and respect for others’ time (CIPD, 2022).</w:t>
      </w:r>
    </w:p>
    <w:p w14:paraId="74C2DB3D" w14:textId="77777777" w:rsidR="00281BCD" w:rsidRDefault="00281BCD">
      <w:r w:rsidRPr="00281BCD">
        <w:br/>
        <w:t>I’m conscientious. I like to think I give value to any company I work for. I always look deeper into the business and try to give a good account of myself and the people I’m in charge of. This shows a strong work ethic and commitment, which are key employability traits.</w:t>
      </w:r>
    </w:p>
    <w:p w14:paraId="7508E541" w14:textId="77777777" w:rsidR="00281BCD" w:rsidRDefault="00281BCD">
      <w:r w:rsidRPr="00281BCD">
        <w:br/>
        <w:t>I’m a good organiser and have a realistic expectation of what can be done within timeframes. I have a good amount of knowledge and experience in many industries that I have worked in, which can be valuable to many companies. Transferable skills like organisation and adaptability are highly regarded across industries (CBI, 2021).</w:t>
      </w:r>
    </w:p>
    <w:p w14:paraId="28AC4E39" w14:textId="7541B6A6" w:rsidR="00281BCD" w:rsidRDefault="00281BCD">
      <w:r w:rsidRPr="00281BCD">
        <w:br/>
        <w:t>I have good leadership skills as I have been my own boss for most of my life and understand the importance of being in charge. This experience has helped me develop decision-making skills and the ability to manage people effectively.</w:t>
      </w:r>
    </w:p>
    <w:p w14:paraId="201CB59C" w14:textId="77777777" w:rsidR="00281BCD" w:rsidRDefault="00281BCD">
      <w:r w:rsidRPr="00281BCD">
        <w:br/>
        <w:t>Weaknesses</w:t>
      </w:r>
      <w:r w:rsidRPr="00281BCD">
        <w:br/>
        <w:t>I would say one of my main weaknesses is computer skills. I do very little on computers and spend most of my time trying to avoid using them. In today’s workplace, digital skills are increasingly important, especially in construction where software is used for planning, communication, and reporting (Buhalis and Leung, 2018).</w:t>
      </w:r>
    </w:p>
    <w:p w14:paraId="4778CBA5" w14:textId="77777777" w:rsidR="00281BCD" w:rsidRDefault="00281BCD">
      <w:r w:rsidRPr="00281BCD">
        <w:br/>
        <w:t>I have quite a stubborn side to me, and if I think something should be done a certain way, it’s very hard for someone to convince me I’m wrong. It’s paid off on some occasions, but there have been times where I’ve needed to listen. This could impact teamwork and collaboration if not managed properly.</w:t>
      </w:r>
    </w:p>
    <w:p w14:paraId="4E703C46" w14:textId="77777777" w:rsidR="00281BCD" w:rsidRDefault="00281BCD">
      <w:r w:rsidRPr="00281BCD">
        <w:br/>
        <w:t>My paperwork and records are not great. I always seem to think I can remember everything that needs recording, but I’m not very organised within myself. This could lead to issues with compliance and accountability.</w:t>
      </w:r>
    </w:p>
    <w:p w14:paraId="1FF26D9C" w14:textId="77777777" w:rsidR="00281BCD" w:rsidRDefault="00281BCD">
      <w:r w:rsidRPr="00281BCD">
        <w:br/>
        <w:t>My note-taking in meetings is quite poor. I find it hard to listen and take notes at the same time. My spelling is also very bad. I’m dyslexic and struggle to spell some of the most simple words. However, with modern tools such as spellcheck and voice-to-text software, this can be improved (British Dyslexia Association, 2023).</w:t>
      </w:r>
    </w:p>
    <w:p w14:paraId="37747FC4" w14:textId="018CD9CF" w:rsidR="00281BCD" w:rsidRDefault="00281BCD">
      <w:r w:rsidRPr="00281BCD">
        <w:br/>
        <w:t>Opportunities</w:t>
      </w:r>
      <w:r w:rsidRPr="00281BCD">
        <w:br/>
        <w:t>There are many opportunities and options for me because of the experiences and skills I’ve learned throughout my time as both an employer and an employee. I look at a job or position in a company and find the skills I have that make me fit into that role. The construction and maintenance sectors continue to grow, providing opportunities for experienced workers to progress into leadership roles.</w:t>
      </w:r>
    </w:p>
    <w:p w14:paraId="0BE4DA5C" w14:textId="77777777" w:rsidR="00281BCD" w:rsidRDefault="00281BCD">
      <w:r w:rsidRPr="00281BCD">
        <w:br/>
        <w:t>Threats</w:t>
      </w:r>
      <w:r w:rsidRPr="00281BCD">
        <w:br/>
        <w:t>The main thing that threatens my position in a business or company is the fact that I don’t embrace new technology available to make me more efficient. As industries become more digital, those who do not adapt may fall behind. Continuous learning is therefore essential to remain competitive in the job market (World Economic Forum, 2023).</w:t>
      </w:r>
    </w:p>
    <w:p w14:paraId="7F241073" w14:textId="77777777" w:rsidR="00281BCD" w:rsidRDefault="00281BCD">
      <w:r w:rsidRPr="00281BCD">
        <w:br/>
        <w:t>Evidence of Readiness</w:t>
      </w:r>
      <w:r w:rsidRPr="00281BCD">
        <w:br/>
        <w:t>I believe I am ready for employability and personal advancement because of my strong work ethic, leadership experience, and practical knowledge gained over many years. Being self-employed has required me to manage finances, staff, and operations, which demonstrates responsibility and independence. Feedback from colleagues and clients has also shown that I am reliable and capable of delivering results.</w:t>
      </w:r>
    </w:p>
    <w:p w14:paraId="5355C1D8" w14:textId="77777777" w:rsidR="00281BCD" w:rsidRPr="00BB5D51" w:rsidRDefault="00281BCD">
      <w:pPr>
        <w:rPr>
          <w:b/>
          <w:bCs/>
        </w:rPr>
      </w:pPr>
      <w:r w:rsidRPr="00281BCD">
        <w:br/>
      </w:r>
      <w:r w:rsidRPr="00BB5D51">
        <w:rPr>
          <w:b/>
          <w:bCs/>
        </w:rPr>
        <w:t>Task 3 – Employment Goals &amp; Development Plan</w:t>
      </w:r>
    </w:p>
    <w:p w14:paraId="71C0BA2A" w14:textId="77777777" w:rsidR="00281BCD" w:rsidRDefault="00281BCD">
      <w:r w:rsidRPr="00281BCD">
        <w:br/>
        <w:t>Employment Goals</w:t>
      </w:r>
      <w:r w:rsidRPr="00281BCD">
        <w:br/>
        <w:t>My aim is to find a job that pays well in the short term and has potential to move up the ranks in the long term. This is important to me because I want both financial stability and career progression. In the longer term, I would still like to start up a new business, keep it small to begin with, and allow it to grow slowly and steadily so that I can adapt with the growth of the business.</w:t>
      </w:r>
    </w:p>
    <w:p w14:paraId="2CA1F84E" w14:textId="77777777" w:rsidR="00281BCD" w:rsidRDefault="00281BCD">
      <w:r w:rsidRPr="00281BCD">
        <w:br/>
        <w:t>These goals align with my experience and strengths in leadership and organisation, and they give me something to work towards. Setting clear career goals has been shown to improve motivation and job satisfaction (Locke and Latham, 2019).</w:t>
      </w:r>
    </w:p>
    <w:p w14:paraId="3BCF2BC6" w14:textId="77777777" w:rsidR="00281BCD" w:rsidRDefault="00281BCD">
      <w:r w:rsidRPr="00281BCD">
        <w:br/>
        <w:t>Personal Development Plan</w:t>
      </w:r>
      <w:r w:rsidRPr="00281BCD">
        <w:br/>
        <w:t>To address my weaknesses, I need to take specific actions. Firstly, I will improve my computer skills by completing basic IT training courses within the next 6–12 months. This will help me become more efficient and confident in using digital tools.</w:t>
      </w:r>
      <w:r w:rsidRPr="00281BCD">
        <w:br/>
        <w:t>Secondly, I will work on my organisation and record-keeping by using diaries, apps, or management software to track tasks and responsibilities. This will reduce the risk of forgetting important information.</w:t>
      </w:r>
    </w:p>
    <w:p w14:paraId="46E7C98F" w14:textId="77777777" w:rsidR="00281BCD" w:rsidRDefault="00281BCD">
      <w:r w:rsidRPr="00281BCD">
        <w:br/>
        <w:t>Thirdly, I will improve my listening and note-taking skills by practising during meetings and possibly using voice recording tools where appropriate.</w:t>
      </w:r>
      <w:r w:rsidRPr="00281BCD">
        <w:br/>
        <w:t>Finally, I will make a conscious effort to be more open to other people’s opinions, which will improve my teamwork and leadership style.</w:t>
      </w:r>
    </w:p>
    <w:p w14:paraId="3964A57A" w14:textId="15CF25BF" w:rsidR="00281BCD" w:rsidRDefault="00281BCD">
      <w:r w:rsidRPr="00281BCD">
        <w:br/>
        <w:t>I will measure my progress by reviewing my performance regularly, seeking feedback from colleagues or managers, and tracking improvements in my daily work. This structured approach will help me become more effective and better prepared for future opportunities.</w:t>
      </w:r>
    </w:p>
    <w:p w14:paraId="355DA551" w14:textId="77777777" w:rsidR="001B35EA" w:rsidRDefault="001B35EA"/>
    <w:p w14:paraId="4BD4469A" w14:textId="1C4A860C" w:rsidR="001B35EA" w:rsidRPr="00BB5D51" w:rsidRDefault="001B35EA">
      <w:pPr>
        <w:rPr>
          <w:b/>
          <w:bCs/>
        </w:rPr>
      </w:pPr>
      <w:r w:rsidRPr="00BB5D51">
        <w:rPr>
          <w:b/>
          <w:bCs/>
        </w:rPr>
        <w:t>References</w:t>
      </w:r>
    </w:p>
    <w:p w14:paraId="1E1F2C9C" w14:textId="6BC3D0A2" w:rsidR="001B35EA" w:rsidRPr="001B35EA" w:rsidRDefault="001B35EA" w:rsidP="001B35EA">
      <w:r w:rsidRPr="001B35EA">
        <w:t xml:space="preserve">CBI (2021) </w:t>
      </w:r>
      <w:r w:rsidRPr="001B35EA">
        <w:rPr>
          <w:i/>
          <w:iCs/>
        </w:rPr>
        <w:t>Employability skills report.</w:t>
      </w:r>
      <w:r w:rsidRPr="001B35EA">
        <w:t xml:space="preserve"> London: Confederation of British Industry. Available at: </w:t>
      </w:r>
      <w:hyperlink r:id="rId7" w:tgtFrame="_blank" w:history="1">
        <w:r w:rsidRPr="001B35EA">
          <w:rPr>
            <w:rStyle w:val="Hyperlink"/>
          </w:rPr>
          <w:t>https://www.cbi.org.uk/news-and-insights/insights/future-of-work-insights/</w:t>
        </w:r>
      </w:hyperlink>
      <w:r w:rsidRPr="001B35EA">
        <w:rPr>
          <w:rFonts w:ascii="Segoe UI Symbol" w:hAnsi="Segoe UI Symbol" w:cs="Segoe UI Symbol"/>
        </w:rPr>
        <w:t>⁠</w:t>
      </w:r>
      <w:r w:rsidRPr="001B35EA">
        <w:t xml:space="preserve"> (Accessed: 2</w:t>
      </w:r>
      <w:r>
        <w:t>0</w:t>
      </w:r>
      <w:r w:rsidRPr="001B35EA">
        <w:t xml:space="preserve"> April 2026).</w:t>
      </w:r>
    </w:p>
    <w:p w14:paraId="524BDA42" w14:textId="37098166" w:rsidR="001B35EA" w:rsidRPr="001B35EA" w:rsidRDefault="001B35EA" w:rsidP="001B35EA">
      <w:r w:rsidRPr="001B35EA">
        <w:t xml:space="preserve">CIPD (2023) </w:t>
      </w:r>
      <w:r w:rsidRPr="001B35EA">
        <w:rPr>
          <w:i/>
          <w:iCs/>
        </w:rPr>
        <w:t>People Profession Survey Report</w:t>
      </w:r>
      <w:r w:rsidRPr="001B35EA">
        <w:t>. London: Chartered Institute of Personnel and Development. Available at: </w:t>
      </w:r>
      <w:hyperlink r:id="rId8" w:tgtFrame="_blank" w:history="1">
        <w:r w:rsidRPr="001B35EA">
          <w:rPr>
            <w:rStyle w:val="Hyperlink"/>
          </w:rPr>
          <w:t>https://www.cipd.org/uk/knowledge/reports/hr-professionalism-report/</w:t>
        </w:r>
      </w:hyperlink>
      <w:r w:rsidRPr="001B35EA">
        <w:rPr>
          <w:rFonts w:ascii="Segoe UI Symbol" w:hAnsi="Segoe UI Symbol" w:cs="Segoe UI Symbol"/>
        </w:rPr>
        <w:t>⁠</w:t>
      </w:r>
      <w:r w:rsidRPr="001B35EA">
        <w:rPr>
          <w:rFonts w:ascii="Aptos" w:hAnsi="Aptos" w:cs="Aptos"/>
        </w:rPr>
        <w:t>�</w:t>
      </w:r>
      <w:r w:rsidRPr="001B35EA">
        <w:t xml:space="preserve"> (Accessed: 2</w:t>
      </w:r>
      <w:r>
        <w:t>2</w:t>
      </w:r>
      <w:r w:rsidRPr="001B35EA">
        <w:t xml:space="preserve"> April 2026). </w:t>
      </w:r>
    </w:p>
    <w:p w14:paraId="4300F164" w14:textId="0193861C" w:rsidR="001B35EA" w:rsidRPr="001B35EA" w:rsidRDefault="001B35EA" w:rsidP="001B35EA">
      <w:r w:rsidRPr="001B35EA">
        <w:t>Gürel, E. and Tat, M. (2017) ‘</w:t>
      </w:r>
      <w:r w:rsidRPr="001B35EA">
        <w:rPr>
          <w:i/>
          <w:iCs/>
        </w:rPr>
        <w:t>SWOT analysis: A theoretical review’,</w:t>
      </w:r>
      <w:r w:rsidRPr="001B35EA">
        <w:t xml:space="preserve"> Journal of International Social Research, 10(51), pp. 994–1006. Available at: </w:t>
      </w:r>
      <w:hyperlink r:id="rId9" w:tgtFrame="_blank" w:history="1">
        <w:r w:rsidRPr="001B35EA">
          <w:rPr>
            <w:rStyle w:val="Hyperlink"/>
          </w:rPr>
          <w:t>https://www.researchgate.net</w:t>
        </w:r>
      </w:hyperlink>
      <w:r w:rsidRPr="001B35EA">
        <w:rPr>
          <w:rFonts w:ascii="Segoe UI Symbol" w:hAnsi="Segoe UI Symbol" w:cs="Segoe UI Symbol"/>
        </w:rPr>
        <w:t>⁠</w:t>
      </w:r>
      <w:r w:rsidRPr="001B35EA">
        <w:t xml:space="preserve"> (Accessed: 2</w:t>
      </w:r>
      <w:r>
        <w:t>1</w:t>
      </w:r>
      <w:r w:rsidRPr="001B35EA">
        <w:t xml:space="preserve"> April 2026)</w:t>
      </w:r>
    </w:p>
    <w:p w14:paraId="163953E2" w14:textId="62F59463" w:rsidR="001B35EA" w:rsidRPr="001B35EA" w:rsidRDefault="001B35EA" w:rsidP="001B35EA">
      <w:r w:rsidRPr="001B35EA">
        <w:t xml:space="preserve">Health and Safety Executive (2023) </w:t>
      </w:r>
      <w:r w:rsidRPr="001B35EA">
        <w:rPr>
          <w:i/>
          <w:iCs/>
        </w:rPr>
        <w:t xml:space="preserve">Construction (Design and Management) Regulations guidance. </w:t>
      </w:r>
      <w:r w:rsidRPr="001B35EA">
        <w:t>London: HSE. Available at: </w:t>
      </w:r>
      <w:hyperlink r:id="rId10" w:tgtFrame="_blank" w:history="1">
        <w:r w:rsidRPr="001B35EA">
          <w:rPr>
            <w:rStyle w:val="Hyperlink"/>
          </w:rPr>
          <w:t>https://www.hse.gov.uk/construction/</w:t>
        </w:r>
      </w:hyperlink>
      <w:r w:rsidRPr="001B35EA">
        <w:rPr>
          <w:rFonts w:ascii="Segoe UI Symbol" w:hAnsi="Segoe UI Symbol" w:cs="Segoe UI Symbol"/>
        </w:rPr>
        <w:t>⁠</w:t>
      </w:r>
      <w:r>
        <w:rPr>
          <w:rFonts w:ascii="Aptos" w:hAnsi="Aptos" w:cs="Aptos"/>
        </w:rPr>
        <w:t xml:space="preserve"> </w:t>
      </w:r>
      <w:r w:rsidRPr="001B35EA">
        <w:t>(Accessed: 2</w:t>
      </w:r>
      <w:r>
        <w:t xml:space="preserve">2 </w:t>
      </w:r>
      <w:r w:rsidRPr="001B35EA">
        <w:t>April 2026)</w:t>
      </w:r>
    </w:p>
    <w:p w14:paraId="3053D4AD" w14:textId="77777777" w:rsidR="001B35EA" w:rsidRPr="001B35EA" w:rsidRDefault="001B35EA" w:rsidP="001B35EA">
      <w:r w:rsidRPr="001B35EA">
        <w:t xml:space="preserve">Kerzner, H. (2017) </w:t>
      </w:r>
      <w:r w:rsidRPr="001B35EA">
        <w:rPr>
          <w:i/>
          <w:iCs/>
        </w:rPr>
        <w:t xml:space="preserve">Project Management: A Systems Approach to Planning, Scheduling, and Controlling. </w:t>
      </w:r>
      <w:r w:rsidRPr="001B35EA">
        <w:t>12th edn. Hoboken, NJ: Wiley.</w:t>
      </w:r>
    </w:p>
    <w:p w14:paraId="1B12C6F1" w14:textId="77777777" w:rsidR="001B35EA" w:rsidRPr="001B35EA" w:rsidRDefault="001B35EA" w:rsidP="001B35EA">
      <w:r w:rsidRPr="001B35EA">
        <w:t xml:space="preserve">Lock, D. (2020) </w:t>
      </w:r>
      <w:r w:rsidRPr="001B35EA">
        <w:rPr>
          <w:i/>
          <w:iCs/>
        </w:rPr>
        <w:t>Project Management.</w:t>
      </w:r>
      <w:r w:rsidRPr="001B35EA">
        <w:t xml:space="preserve"> 11th edn. London: Routledge.</w:t>
      </w:r>
    </w:p>
    <w:p w14:paraId="3A66DA14" w14:textId="77777777" w:rsidR="001B35EA" w:rsidRPr="001B35EA" w:rsidRDefault="001B35EA" w:rsidP="001B35EA">
      <w:r w:rsidRPr="001B35EA">
        <w:t xml:space="preserve">Locke, E.A. and Latham, G.P. (2019) </w:t>
      </w:r>
      <w:r w:rsidRPr="001B35EA">
        <w:rPr>
          <w:i/>
          <w:iCs/>
        </w:rPr>
        <w:t>New Developments in Goal Setting and Task Performance</w:t>
      </w:r>
      <w:r w:rsidRPr="001B35EA">
        <w:t>. New York: Routledge.</w:t>
      </w:r>
    </w:p>
    <w:p w14:paraId="16C8F288" w14:textId="08C50CFE" w:rsidR="001B35EA" w:rsidRPr="001B35EA" w:rsidRDefault="001B35EA" w:rsidP="001B35EA">
      <w:r w:rsidRPr="001B35EA">
        <w:t>Northouse, P.G. (2021) Leadership: Theory and Practice. 9th edn. Thousand Oaks, CA: Sage Publications</w:t>
      </w:r>
    </w:p>
    <w:p w14:paraId="2CCE87F0" w14:textId="199A331A" w:rsidR="001B35EA" w:rsidRPr="001B35EA" w:rsidRDefault="001B35EA" w:rsidP="001B35EA">
      <w:r w:rsidRPr="001B35EA">
        <w:t xml:space="preserve">Office for National Statistics (2025) </w:t>
      </w:r>
      <w:r w:rsidRPr="001B35EA">
        <w:rPr>
          <w:i/>
          <w:iCs/>
        </w:rPr>
        <w:t>Labour market overview, UK</w:t>
      </w:r>
      <w:r w:rsidRPr="001B35EA">
        <w:t>. Available at: </w:t>
      </w:r>
      <w:hyperlink r:id="rId11" w:tgtFrame="_blank" w:history="1">
        <w:r w:rsidRPr="001B35EA">
          <w:rPr>
            <w:rStyle w:val="Hyperlink"/>
          </w:rPr>
          <w:t>https://www.ons.gov.uk/employmentandlabourmarket</w:t>
        </w:r>
      </w:hyperlink>
      <w:r w:rsidRPr="001B35EA">
        <w:rPr>
          <w:rFonts w:ascii="Segoe UI Symbol" w:hAnsi="Segoe UI Symbol" w:cs="Segoe UI Symbol"/>
        </w:rPr>
        <w:t>⁠</w:t>
      </w:r>
      <w:r>
        <w:rPr>
          <w:rFonts w:ascii="Aptos" w:hAnsi="Aptos" w:cs="Aptos"/>
        </w:rPr>
        <w:t xml:space="preserve"> </w:t>
      </w:r>
      <w:r w:rsidRPr="001B35EA">
        <w:t>(Accessed: 2</w:t>
      </w:r>
      <w:r>
        <w:t>2</w:t>
      </w:r>
      <w:r w:rsidRPr="001B35EA">
        <w:t xml:space="preserve"> April 2026)</w:t>
      </w:r>
    </w:p>
    <w:p w14:paraId="0A41C8A0" w14:textId="106297C7" w:rsidR="001B35EA" w:rsidRPr="001B35EA" w:rsidRDefault="001B35EA" w:rsidP="001B35EA">
      <w:r w:rsidRPr="001B35EA">
        <w:t xml:space="preserve">World Economic Forum (2023) </w:t>
      </w:r>
      <w:r w:rsidRPr="001B35EA">
        <w:rPr>
          <w:i/>
          <w:iCs/>
        </w:rPr>
        <w:t>Future of Jobs Report 2023.</w:t>
      </w:r>
      <w:r w:rsidRPr="001B35EA">
        <w:t xml:space="preserve"> Geneva: World Economic Forum. Available</w:t>
      </w:r>
      <w:r>
        <w:t xml:space="preserve"> </w:t>
      </w:r>
      <w:r w:rsidRPr="001B35EA">
        <w:t>at: </w:t>
      </w:r>
      <w:hyperlink r:id="rId12" w:tgtFrame="_blank" w:history="1">
        <w:r w:rsidRPr="001B35EA">
          <w:rPr>
            <w:rStyle w:val="Hyperlink"/>
          </w:rPr>
          <w:t>https://obn.org.uk/content/uploads/2024/06/WEF_Future_of_Jobs_2023.pdf</w:t>
        </w:r>
      </w:hyperlink>
      <w:r w:rsidRPr="001B35EA">
        <w:rPr>
          <w:rFonts w:ascii="Segoe UI Symbol" w:hAnsi="Segoe UI Symbol" w:cs="Segoe UI Symbol"/>
        </w:rPr>
        <w:t>⁠</w:t>
      </w:r>
      <w:r>
        <w:rPr>
          <w:rFonts w:ascii="Aptos" w:hAnsi="Aptos" w:cs="Aptos"/>
        </w:rPr>
        <w:t xml:space="preserve"> </w:t>
      </w:r>
      <w:r w:rsidRPr="001B35EA">
        <w:t>(Accessed: 2</w:t>
      </w:r>
      <w:r>
        <w:t>0</w:t>
      </w:r>
      <w:r w:rsidRPr="001B35EA">
        <w:t xml:space="preserve"> April 2026)</w:t>
      </w:r>
    </w:p>
    <w:p w14:paraId="4CB0916C" w14:textId="77777777" w:rsidR="001B35EA" w:rsidRDefault="001B35EA"/>
    <w:sectPr w:rsidR="001B35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64C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BCD"/>
    <w:rsid w:val="001B35EA"/>
    <w:rsid w:val="00281BCD"/>
    <w:rsid w:val="00762623"/>
    <w:rsid w:val="009F4B47"/>
    <w:rsid w:val="00A91D42"/>
    <w:rsid w:val="00BB5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EB1F7"/>
  <w15:chartTrackingRefBased/>
  <w15:docId w15:val="{5AA70748-C003-445D-BD31-7B71C38B0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1B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1B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1B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1B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1B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1B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1B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1B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1B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B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1B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1B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1B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1B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1B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1B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1B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1BCD"/>
    <w:rPr>
      <w:rFonts w:eastAsiaTheme="majorEastAsia" w:cstheme="majorBidi"/>
      <w:color w:val="272727" w:themeColor="text1" w:themeTint="D8"/>
    </w:rPr>
  </w:style>
  <w:style w:type="paragraph" w:styleId="Title">
    <w:name w:val="Title"/>
    <w:basedOn w:val="Normal"/>
    <w:next w:val="Normal"/>
    <w:link w:val="TitleChar"/>
    <w:uiPriority w:val="10"/>
    <w:qFormat/>
    <w:rsid w:val="00281B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1B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1B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1B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1BCD"/>
    <w:pPr>
      <w:spacing w:before="160"/>
      <w:jc w:val="center"/>
    </w:pPr>
    <w:rPr>
      <w:i/>
      <w:iCs/>
      <w:color w:val="404040" w:themeColor="text1" w:themeTint="BF"/>
    </w:rPr>
  </w:style>
  <w:style w:type="character" w:customStyle="1" w:styleId="QuoteChar">
    <w:name w:val="Quote Char"/>
    <w:basedOn w:val="DefaultParagraphFont"/>
    <w:link w:val="Quote"/>
    <w:uiPriority w:val="29"/>
    <w:rsid w:val="00281BCD"/>
    <w:rPr>
      <w:i/>
      <w:iCs/>
      <w:color w:val="404040" w:themeColor="text1" w:themeTint="BF"/>
    </w:rPr>
  </w:style>
  <w:style w:type="paragraph" w:styleId="ListParagraph">
    <w:name w:val="List Paragraph"/>
    <w:basedOn w:val="Normal"/>
    <w:uiPriority w:val="34"/>
    <w:qFormat/>
    <w:rsid w:val="00281BCD"/>
    <w:pPr>
      <w:ind w:left="720"/>
      <w:contextualSpacing/>
    </w:pPr>
  </w:style>
  <w:style w:type="character" w:styleId="IntenseEmphasis">
    <w:name w:val="Intense Emphasis"/>
    <w:basedOn w:val="DefaultParagraphFont"/>
    <w:uiPriority w:val="21"/>
    <w:qFormat/>
    <w:rsid w:val="00281BCD"/>
    <w:rPr>
      <w:i/>
      <w:iCs/>
      <w:color w:val="0F4761" w:themeColor="accent1" w:themeShade="BF"/>
    </w:rPr>
  </w:style>
  <w:style w:type="paragraph" w:styleId="IntenseQuote">
    <w:name w:val="Intense Quote"/>
    <w:basedOn w:val="Normal"/>
    <w:next w:val="Normal"/>
    <w:link w:val="IntenseQuoteChar"/>
    <w:uiPriority w:val="30"/>
    <w:qFormat/>
    <w:rsid w:val="00281B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1BCD"/>
    <w:rPr>
      <w:i/>
      <w:iCs/>
      <w:color w:val="0F4761" w:themeColor="accent1" w:themeShade="BF"/>
    </w:rPr>
  </w:style>
  <w:style w:type="character" w:styleId="IntenseReference">
    <w:name w:val="Intense Reference"/>
    <w:basedOn w:val="DefaultParagraphFont"/>
    <w:uiPriority w:val="32"/>
    <w:qFormat/>
    <w:rsid w:val="00281BCD"/>
    <w:rPr>
      <w:b/>
      <w:bCs/>
      <w:smallCaps/>
      <w:color w:val="0F4761" w:themeColor="accent1" w:themeShade="BF"/>
      <w:spacing w:val="5"/>
    </w:rPr>
  </w:style>
  <w:style w:type="character" w:styleId="Hyperlink">
    <w:name w:val="Hyperlink"/>
    <w:basedOn w:val="DefaultParagraphFont"/>
    <w:uiPriority w:val="99"/>
    <w:unhideWhenUsed/>
    <w:rsid w:val="001B35EA"/>
    <w:rPr>
      <w:color w:val="467886" w:themeColor="hyperlink"/>
      <w:u w:val="single"/>
    </w:rPr>
  </w:style>
  <w:style w:type="character" w:styleId="UnresolvedMention">
    <w:name w:val="Unresolved Mention"/>
    <w:basedOn w:val="DefaultParagraphFont"/>
    <w:uiPriority w:val="99"/>
    <w:semiHidden/>
    <w:unhideWhenUsed/>
    <w:rsid w:val="001B35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ef-mail.com/mail/client/goJr64t2SuE/dereferrer/?redirectUrl=https%3A%2F%2Fwww.cipd.org%2Fuk%2Fknowledge%2Freports%2Fhr-professionalism-report%2F" TargetMode="External"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deref-mail.com/mail/client/cMuvV4RRCTs/dereferrer/?redirectUrl=https%3A%2F%2Fwww.cbi.org.uk%2Fnews-and-insights%2Finsights%2Ffuture-of-work-insights%2F" TargetMode="External" /><Relationship Id="rId12" Type="http://schemas.openxmlformats.org/officeDocument/2006/relationships/hyperlink" Target="https://deref-mail.com/mail/client/52OrS7mKA08/dereferrer/?redirectUrl=https%3A%2F%2Fobn.org.uk%2Fcontent%2Fuploads%2F2024%2F06%2FWEF_Future_of_Jobs_2023.pdf"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3.jpg" /><Relationship Id="rId11" Type="http://schemas.openxmlformats.org/officeDocument/2006/relationships/hyperlink" Target="https://deref-mail.com/mail/client/AKIwqrTsXUw/dereferrer/?redirectUrl=https%3A%2F%2Fwww.ons.gov.uk%2Femploymentandlabourmarket" TargetMode="External" /><Relationship Id="rId5" Type="http://schemas.openxmlformats.org/officeDocument/2006/relationships/image" Target="media/image2.jpg" /><Relationship Id="rId10" Type="http://schemas.openxmlformats.org/officeDocument/2006/relationships/hyperlink" Target="https://deref-mail.com/mail/client/qYXjp3foAgQ/dereferrer/?redirectUrl=https%3A%2F%2Fwww.hse.gov.uk%2Fconstruction%2F" TargetMode="External" /><Relationship Id="rId4" Type="http://schemas.openxmlformats.org/officeDocument/2006/relationships/image" Target="media/image1.png" /><Relationship Id="rId9" Type="http://schemas.openxmlformats.org/officeDocument/2006/relationships/hyperlink" Target="https://deref-mail.com/mail/client/GNzJSys-B-s/dereferrer/?redirectUrl=https%3A%2F%2Fwww.researchgate.net"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1536</Words>
  <Characters>8757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Elkin</dc:creator>
  <cp:keywords/>
  <dc:description/>
  <cp:lastModifiedBy>Jason Holmes</cp:lastModifiedBy>
  <cp:revision>2</cp:revision>
  <dcterms:created xsi:type="dcterms:W3CDTF">2026-04-25T08:40:00Z</dcterms:created>
  <dcterms:modified xsi:type="dcterms:W3CDTF">2026-04-25T08:40:00Z</dcterms:modified>
</cp:coreProperties>
</file>