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7D10F" w14:textId="77777777" w:rsidR="00AB6429" w:rsidRPr="004C4ECF" w:rsidRDefault="00AB6429" w:rsidP="004C4ECF">
      <w:pPr>
        <w:pStyle w:val="Default"/>
        <w:spacing w:line="360" w:lineRule="auto"/>
        <w:rPr>
          <w:rFonts w:ascii="Tahoma" w:hAnsi="Tahoma" w:cs="Tahoma"/>
          <w:sz w:val="22"/>
          <w:szCs w:val="22"/>
        </w:rPr>
      </w:pPr>
      <w:r w:rsidRPr="004C4ECF">
        <w:rPr>
          <w:rFonts w:ascii="Tahoma" w:hAnsi="Tahoma" w:cs="Tahoma"/>
          <w:b/>
          <w:bCs/>
          <w:sz w:val="22"/>
          <w:szCs w:val="22"/>
        </w:rPr>
        <w:t xml:space="preserve">Essay one: </w:t>
      </w:r>
    </w:p>
    <w:p w14:paraId="304C0816" w14:textId="77777777" w:rsidR="00AB6429" w:rsidRPr="004C4ECF" w:rsidRDefault="00AB6429" w:rsidP="004C4ECF">
      <w:pPr>
        <w:pStyle w:val="Default"/>
        <w:spacing w:line="360" w:lineRule="auto"/>
        <w:rPr>
          <w:rFonts w:ascii="Tahoma" w:hAnsi="Tahoma" w:cs="Tahoma"/>
          <w:sz w:val="22"/>
          <w:szCs w:val="22"/>
        </w:rPr>
      </w:pPr>
      <w:r w:rsidRPr="004C4ECF">
        <w:rPr>
          <w:rFonts w:ascii="Tahoma" w:hAnsi="Tahoma" w:cs="Tahoma"/>
          <w:sz w:val="22"/>
          <w:szCs w:val="22"/>
        </w:rPr>
        <w:t xml:space="preserve">“Inclusion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 </w:t>
      </w:r>
    </w:p>
    <w:p w14:paraId="4DF6FA82" w14:textId="6FDF1373" w:rsidR="00F55749" w:rsidRDefault="00AB6429" w:rsidP="004C4ECF">
      <w:pPr>
        <w:spacing w:line="360" w:lineRule="auto"/>
        <w:rPr>
          <w:rFonts w:ascii="Tahoma" w:hAnsi="Tahoma" w:cs="Tahoma"/>
        </w:rPr>
      </w:pPr>
      <w:r w:rsidRPr="004C4ECF">
        <w:rPr>
          <w:rFonts w:ascii="Tahoma" w:hAnsi="Tahoma" w:cs="Tahoma"/>
          <w:b/>
          <w:bCs/>
        </w:rPr>
        <w:t xml:space="preserve">Word limit: </w:t>
      </w:r>
      <w:r w:rsidRPr="004C4ECF">
        <w:rPr>
          <w:rFonts w:ascii="Tahoma" w:hAnsi="Tahoma" w:cs="Tahoma"/>
        </w:rPr>
        <w:t>1000 words.</w:t>
      </w:r>
    </w:p>
    <w:p w14:paraId="362245A0" w14:textId="77777777" w:rsidR="004C4ECF" w:rsidRDefault="004C4ECF" w:rsidP="004C4ECF">
      <w:pPr>
        <w:spacing w:line="360" w:lineRule="auto"/>
        <w:rPr>
          <w:rFonts w:ascii="Tahoma" w:hAnsi="Tahoma" w:cs="Tahoma"/>
        </w:rPr>
      </w:pPr>
    </w:p>
    <w:p w14:paraId="407102DF" w14:textId="68F8FD20" w:rsidR="00A72B7E" w:rsidRDefault="00A72B7E" w:rsidP="004C4ECF">
      <w:pPr>
        <w:spacing w:line="360" w:lineRule="auto"/>
        <w:rPr>
          <w:rFonts w:ascii="Tahoma" w:hAnsi="Tahoma" w:cs="Tahoma"/>
        </w:rPr>
      </w:pPr>
      <w:r>
        <w:rPr>
          <w:rFonts w:ascii="Tahoma" w:hAnsi="Tahoma" w:cs="Tahoma"/>
        </w:rPr>
        <w:t xml:space="preserve">To address this essay question author will define the aspect of organisational culture with highlights to police </w:t>
      </w:r>
      <w:r w:rsidR="009F42F4">
        <w:rPr>
          <w:rFonts w:ascii="Tahoma" w:hAnsi="Tahoma" w:cs="Tahoma"/>
        </w:rPr>
        <w:t>culture</w:t>
      </w:r>
      <w:r>
        <w:rPr>
          <w:rFonts w:ascii="Tahoma" w:hAnsi="Tahoma" w:cs="Tahoma"/>
        </w:rPr>
        <w:t xml:space="preserve">. </w:t>
      </w:r>
      <w:r w:rsidR="009F42F4">
        <w:rPr>
          <w:rFonts w:ascii="Tahoma" w:hAnsi="Tahoma" w:cs="Tahoma"/>
        </w:rPr>
        <w:t>This essay will examine the character of police culture on creating diverse and inclusive workforce able to provide quality of service to diverse society</w:t>
      </w:r>
      <w:r w:rsidR="004A4040">
        <w:rPr>
          <w:rFonts w:ascii="Tahoma" w:hAnsi="Tahoma" w:cs="Tahoma"/>
        </w:rPr>
        <w:t>.</w:t>
      </w:r>
    </w:p>
    <w:p w14:paraId="4A940BE9" w14:textId="11ECDE8C" w:rsidR="006F6434" w:rsidRPr="006F6434" w:rsidRDefault="006F6434" w:rsidP="004C4ECF">
      <w:pPr>
        <w:spacing w:line="360" w:lineRule="auto"/>
        <w:rPr>
          <w:rFonts w:ascii="Tahoma" w:hAnsi="Tahoma" w:cs="Tahoma"/>
          <w:b/>
          <w:bCs/>
        </w:rPr>
      </w:pPr>
      <w:r w:rsidRPr="006F6434">
        <w:rPr>
          <w:rFonts w:ascii="Tahoma" w:hAnsi="Tahoma" w:cs="Tahoma"/>
          <w:b/>
          <w:bCs/>
        </w:rPr>
        <w:t>Police culture.</w:t>
      </w:r>
    </w:p>
    <w:p w14:paraId="361D3D8E" w14:textId="77777777" w:rsidR="00270D59" w:rsidRDefault="00A16BF8" w:rsidP="00A16BF8">
      <w:pPr>
        <w:spacing w:line="360" w:lineRule="auto"/>
        <w:rPr>
          <w:rFonts w:ascii="Tahoma" w:hAnsi="Tahoma" w:cs="Tahoma"/>
        </w:rPr>
      </w:pPr>
      <w:r w:rsidRPr="00A16BF8">
        <w:rPr>
          <w:rFonts w:ascii="Tahoma" w:hAnsi="Tahoma" w:cs="Tahoma"/>
        </w:rPr>
        <w:t xml:space="preserve">Organisational culture, according to a </w:t>
      </w:r>
      <w:r w:rsidR="00A72B7E" w:rsidRPr="00A16BF8">
        <w:rPr>
          <w:rFonts w:ascii="Tahoma" w:hAnsi="Tahoma" w:cs="Tahoma"/>
        </w:rPr>
        <w:t>wide</w:t>
      </w:r>
      <w:r w:rsidRPr="00A16BF8">
        <w:rPr>
          <w:rFonts w:ascii="Tahoma" w:hAnsi="Tahoma" w:cs="Tahoma"/>
        </w:rPr>
        <w:t xml:space="preserve"> definition developed by Atkinson (1990), reflects the underlying assumptions about how the organisation functions, what is and is not acceptable, and about a spectrum of actions that could be supported or discouraged.</w:t>
      </w:r>
      <w:r w:rsidR="004A4040">
        <w:rPr>
          <w:rFonts w:ascii="Tahoma" w:hAnsi="Tahoma" w:cs="Tahoma"/>
        </w:rPr>
        <w:t xml:space="preserve"> </w:t>
      </w:r>
      <w:r w:rsidR="004A4040" w:rsidRPr="00A16BF8">
        <w:rPr>
          <w:rFonts w:ascii="Tahoma" w:hAnsi="Tahoma" w:cs="Tahoma"/>
        </w:rPr>
        <w:t>Mullins (2016) defined organisational culture as "how things are done around here" (p. 537).</w:t>
      </w:r>
    </w:p>
    <w:p w14:paraId="68B3B5A5" w14:textId="543E9EFF" w:rsidR="00A16BF8" w:rsidRPr="00A72B7E" w:rsidRDefault="00270D59" w:rsidP="00A16BF8">
      <w:pPr>
        <w:spacing w:line="360" w:lineRule="auto"/>
        <w:rPr>
          <w:rFonts w:ascii="Tahoma" w:hAnsi="Tahoma" w:cs="Tahoma"/>
        </w:rPr>
      </w:pPr>
      <w:r>
        <w:rPr>
          <w:rFonts w:ascii="Tahoma" w:hAnsi="Tahoma" w:cs="Tahoma"/>
        </w:rPr>
        <w:t xml:space="preserve">The view on the police profession being seen as predominantly white- masculine profession has change since the police forces decided to create diverse workforce and started recruit females (in UK 1915). More recently police forces </w:t>
      </w:r>
      <w:r w:rsidR="00FE6861">
        <w:rPr>
          <w:rFonts w:ascii="Tahoma" w:hAnsi="Tahoma" w:cs="Tahoma"/>
        </w:rPr>
        <w:t>conduct</w:t>
      </w:r>
      <w:r>
        <w:rPr>
          <w:rFonts w:ascii="Tahoma" w:hAnsi="Tahoma" w:cs="Tahoma"/>
        </w:rPr>
        <w:t xml:space="preserve"> targeted recruitment by encouraging and supporting candidates from BAME backgrounds in aim to reflect the communit</w:t>
      </w:r>
      <w:r w:rsidR="00FE6861">
        <w:rPr>
          <w:rFonts w:ascii="Tahoma" w:hAnsi="Tahoma" w:cs="Tahoma"/>
        </w:rPr>
        <w:t>ies</w:t>
      </w:r>
      <w:r>
        <w:rPr>
          <w:rFonts w:ascii="Tahoma" w:hAnsi="Tahoma" w:cs="Tahoma"/>
        </w:rPr>
        <w:t xml:space="preserve"> they serve. </w:t>
      </w:r>
      <w:r w:rsidR="00A16BF8" w:rsidRPr="00A16BF8">
        <w:rPr>
          <w:rFonts w:ascii="Tahoma" w:hAnsi="Tahoma" w:cs="Tahoma"/>
        </w:rPr>
        <w:t xml:space="preserve"> As a unique institution with a rich history, the police have created distinct cultures that encompass a range of customs, informal attitudes, and stereotypes shared </w:t>
      </w:r>
      <w:r w:rsidR="004E3238">
        <w:rPr>
          <w:rFonts w:ascii="Tahoma" w:hAnsi="Tahoma" w:cs="Tahoma"/>
        </w:rPr>
        <w:t>among police constables</w:t>
      </w:r>
      <w:r w:rsidR="00A16BF8" w:rsidRPr="00A16BF8">
        <w:rPr>
          <w:rFonts w:ascii="Tahoma" w:hAnsi="Tahoma" w:cs="Tahoma"/>
        </w:rPr>
        <w:t xml:space="preserve">. These police cultural bond practises </w:t>
      </w:r>
      <w:r w:rsidR="00A72B7E" w:rsidRPr="00A16BF8">
        <w:rPr>
          <w:rFonts w:ascii="Tahoma" w:hAnsi="Tahoma" w:cs="Tahoma"/>
        </w:rPr>
        <w:t>influence</w:t>
      </w:r>
      <w:r w:rsidR="00A16BF8" w:rsidRPr="00A16BF8">
        <w:rPr>
          <w:rFonts w:ascii="Tahoma" w:hAnsi="Tahoma" w:cs="Tahoma"/>
        </w:rPr>
        <w:t xml:space="preserve"> the use of discretion and are related to loyalty and solidarity (eds. Newburn and Neyroud 2008), which may also </w:t>
      </w:r>
      <w:r w:rsidR="00A72B7E" w:rsidRPr="00A16BF8">
        <w:rPr>
          <w:rFonts w:ascii="Tahoma" w:hAnsi="Tahoma" w:cs="Tahoma"/>
        </w:rPr>
        <w:t>influence</w:t>
      </w:r>
      <w:r w:rsidR="00A16BF8" w:rsidRPr="00A16BF8">
        <w:rPr>
          <w:rFonts w:ascii="Tahoma" w:hAnsi="Tahoma" w:cs="Tahoma"/>
        </w:rPr>
        <w:t xml:space="preserve"> tolerance for corruption or opposition to reform</w:t>
      </w:r>
      <w:r w:rsidR="00A16BF8" w:rsidRPr="00A72B7E">
        <w:rPr>
          <w:rFonts w:ascii="Tahoma" w:hAnsi="Tahoma" w:cs="Tahoma"/>
        </w:rPr>
        <w:t>.</w:t>
      </w:r>
      <w:r w:rsidR="004E3238" w:rsidRPr="00A72B7E">
        <w:rPr>
          <w:rFonts w:ascii="Tahoma" w:hAnsi="Tahoma" w:cs="Tahoma"/>
        </w:rPr>
        <w:t xml:space="preserve"> </w:t>
      </w:r>
      <w:r w:rsidR="00FE6861">
        <w:rPr>
          <w:rFonts w:ascii="Tahoma" w:hAnsi="Tahoma" w:cs="Tahoma"/>
        </w:rPr>
        <w:t xml:space="preserve"> Research conducted by Cordner (2017) suggest “</w:t>
      </w:r>
      <w:r w:rsidR="00FE6861" w:rsidRPr="00FE6861">
        <w:rPr>
          <w:rFonts w:ascii="Tahoma" w:hAnsi="Tahoma" w:cs="Tahoma"/>
          <w:color w:val="000000" w:themeColor="text1"/>
        </w:rPr>
        <w:t>t</w:t>
      </w:r>
      <w:r w:rsidR="00FE6861" w:rsidRPr="00FE6861">
        <w:rPr>
          <w:rFonts w:ascii="Tahoma" w:hAnsi="Tahoma" w:cs="Tahoma"/>
          <w:color w:val="000000" w:themeColor="text1"/>
          <w:shd w:val="clear" w:color="auto" w:fill="FFFFFF"/>
        </w:rPr>
        <w:t>hat police culture is to a significant extent an organizational phenomenon, not simply an occupational one</w:t>
      </w:r>
      <w:r w:rsidR="00FE6861">
        <w:rPr>
          <w:rFonts w:ascii="Roboto" w:hAnsi="Roboto"/>
          <w:color w:val="555555"/>
          <w:shd w:val="clear" w:color="auto" w:fill="FFFFFF"/>
        </w:rPr>
        <w:t>”</w:t>
      </w:r>
      <w:r w:rsidR="00FE6861">
        <w:rPr>
          <w:rFonts w:ascii="Roboto" w:hAnsi="Roboto"/>
          <w:shd w:val="clear" w:color="auto" w:fill="FFFFFF"/>
        </w:rPr>
        <w:t xml:space="preserve">, </w:t>
      </w:r>
      <w:r w:rsidR="00FE6861" w:rsidRPr="00FE6861">
        <w:rPr>
          <w:rFonts w:ascii="Tahoma" w:hAnsi="Tahoma" w:cs="Tahoma"/>
          <w:shd w:val="clear" w:color="auto" w:fill="FFFFFF"/>
        </w:rPr>
        <w:t>and vary across individuals and policing departments.</w:t>
      </w:r>
      <w:r w:rsidR="00FE6861" w:rsidRPr="00FE6861">
        <w:rPr>
          <w:rFonts w:ascii="Roboto" w:hAnsi="Roboto"/>
          <w:shd w:val="clear" w:color="auto" w:fill="FFFFFF"/>
        </w:rPr>
        <w:t xml:space="preserve"> </w:t>
      </w:r>
      <w:r w:rsidR="004E3238" w:rsidRPr="00A72B7E">
        <w:rPr>
          <w:rFonts w:ascii="Tahoma" w:hAnsi="Tahoma" w:cs="Tahoma"/>
        </w:rPr>
        <w:t>An examination of the culture of an organisation may frequently identify the root causes of symptoms that manifest as important individuals inside the business acting in certain ways. A</w:t>
      </w:r>
      <w:r w:rsidR="00A72B7E">
        <w:rPr>
          <w:rFonts w:ascii="Tahoma" w:hAnsi="Tahoma" w:cs="Tahoma"/>
        </w:rPr>
        <w:t>n organisation</w:t>
      </w:r>
      <w:r w:rsidR="004E3238" w:rsidRPr="00A72B7E">
        <w:rPr>
          <w:rFonts w:ascii="Tahoma" w:hAnsi="Tahoma" w:cs="Tahoma"/>
        </w:rPr>
        <w:t xml:space="preserve"> with a "</w:t>
      </w:r>
      <w:r w:rsidR="00A72B7E" w:rsidRPr="00A72B7E">
        <w:rPr>
          <w:rFonts w:ascii="Tahoma" w:hAnsi="Tahoma" w:cs="Tahoma"/>
        </w:rPr>
        <w:t>tough guy</w:t>
      </w:r>
      <w:r w:rsidR="004E3238" w:rsidRPr="00A72B7E">
        <w:rPr>
          <w:rFonts w:ascii="Tahoma" w:hAnsi="Tahoma" w:cs="Tahoma"/>
        </w:rPr>
        <w:t xml:space="preserve">" culture is one where risk is </w:t>
      </w:r>
      <w:r w:rsidR="00464448" w:rsidRPr="00A72B7E">
        <w:rPr>
          <w:rFonts w:ascii="Tahoma" w:hAnsi="Tahoma" w:cs="Tahoma"/>
        </w:rPr>
        <w:t>taken,</w:t>
      </w:r>
      <w:r w:rsidR="004E3238" w:rsidRPr="00A72B7E">
        <w:rPr>
          <w:rFonts w:ascii="Tahoma" w:hAnsi="Tahoma" w:cs="Tahoma"/>
        </w:rPr>
        <w:t xml:space="preserve"> and criticism is given promptly. Although frequent disagreements and persistent pressure are typical for this kind of culture, burnout is a common outcome. As Reiner</w:t>
      </w:r>
      <w:r w:rsidR="004A4040">
        <w:rPr>
          <w:rFonts w:ascii="Tahoma" w:hAnsi="Tahoma" w:cs="Tahoma"/>
        </w:rPr>
        <w:t xml:space="preserve"> and Miller (2012)</w:t>
      </w:r>
      <w:r w:rsidR="004E3238" w:rsidRPr="00A72B7E">
        <w:rPr>
          <w:rFonts w:ascii="Tahoma" w:hAnsi="Tahoma" w:cs="Tahoma"/>
        </w:rPr>
        <w:t xml:space="preserve"> pointed out, cop culture may be seen as having a detrimental effect on PCs because of the </w:t>
      </w:r>
      <w:r w:rsidR="004E3238" w:rsidRPr="00A72B7E">
        <w:rPr>
          <w:rFonts w:ascii="Tahoma" w:hAnsi="Tahoma" w:cs="Tahoma"/>
        </w:rPr>
        <w:lastRenderedPageBreak/>
        <w:t xml:space="preserve">cynical views of suspicion and the </w:t>
      </w:r>
      <w:r w:rsidR="00A72B7E" w:rsidRPr="00A72B7E">
        <w:rPr>
          <w:rFonts w:ascii="Tahoma" w:hAnsi="Tahoma" w:cs="Tahoma"/>
        </w:rPr>
        <w:t>isolation</w:t>
      </w:r>
      <w:r w:rsidR="004E3238" w:rsidRPr="00A72B7E">
        <w:rPr>
          <w:rFonts w:ascii="Tahoma" w:hAnsi="Tahoma" w:cs="Tahoma"/>
        </w:rPr>
        <w:t xml:space="preserve"> from people outside the police; however, there is a moral imperative to work for greater good and solidarity, which strikes a balance.</w:t>
      </w:r>
    </w:p>
    <w:p w14:paraId="302A7ABF" w14:textId="77777777" w:rsidR="00A16BF8" w:rsidRDefault="00A16BF8" w:rsidP="004C4ECF">
      <w:pPr>
        <w:spacing w:line="360" w:lineRule="auto"/>
        <w:rPr>
          <w:rFonts w:ascii="Tahoma" w:hAnsi="Tahoma" w:cs="Tahoma"/>
        </w:rPr>
      </w:pPr>
    </w:p>
    <w:p w14:paraId="65197EDD" w14:textId="4F50125F" w:rsidR="004C4ECF" w:rsidRPr="006F6434" w:rsidRDefault="006F6434" w:rsidP="004C4ECF">
      <w:pPr>
        <w:spacing w:line="360" w:lineRule="auto"/>
        <w:rPr>
          <w:rFonts w:ascii="Tahoma" w:hAnsi="Tahoma" w:cs="Tahoma"/>
          <w:b/>
          <w:bCs/>
        </w:rPr>
      </w:pPr>
      <w:r w:rsidRPr="006F6434">
        <w:rPr>
          <w:rFonts w:ascii="Tahoma" w:hAnsi="Tahoma" w:cs="Tahoma"/>
          <w:b/>
          <w:bCs/>
        </w:rPr>
        <w:t>I</w:t>
      </w:r>
      <w:r w:rsidR="004C4ECF" w:rsidRPr="006F6434">
        <w:rPr>
          <w:rFonts w:ascii="Tahoma" w:hAnsi="Tahoma" w:cs="Tahoma"/>
          <w:b/>
          <w:bCs/>
        </w:rPr>
        <w:t>nclusion and diversity in police.</w:t>
      </w:r>
    </w:p>
    <w:p w14:paraId="34CFB15D" w14:textId="1EDC434F" w:rsidR="00B67FA8" w:rsidRDefault="00B67FA8" w:rsidP="00B67FA8">
      <w:pPr>
        <w:spacing w:line="360" w:lineRule="auto"/>
        <w:rPr>
          <w:rFonts w:ascii="Tahoma" w:hAnsi="Tahoma" w:cs="Tahoma"/>
        </w:rPr>
      </w:pPr>
      <w:r>
        <w:rPr>
          <w:rFonts w:ascii="Tahoma" w:hAnsi="Tahoma" w:cs="Tahoma"/>
        </w:rPr>
        <w:t>The University of Edinburgh define d</w:t>
      </w:r>
      <w:r w:rsidRPr="00B67FA8">
        <w:rPr>
          <w:rFonts w:ascii="Tahoma" w:hAnsi="Tahoma" w:cs="Tahoma"/>
        </w:rPr>
        <w:t xml:space="preserve">iversity </w:t>
      </w:r>
      <w:r>
        <w:rPr>
          <w:rFonts w:ascii="Tahoma" w:hAnsi="Tahoma" w:cs="Tahoma"/>
        </w:rPr>
        <w:t>a</w:t>
      </w:r>
      <w:r w:rsidRPr="00B67FA8">
        <w:rPr>
          <w:rFonts w:ascii="Tahoma" w:hAnsi="Tahoma" w:cs="Tahoma"/>
        </w:rPr>
        <w:t xml:space="preserve">s </w:t>
      </w:r>
      <w:r>
        <w:rPr>
          <w:rFonts w:ascii="Tahoma" w:hAnsi="Tahoma" w:cs="Tahoma"/>
        </w:rPr>
        <w:t>“</w:t>
      </w:r>
      <w:r w:rsidRPr="00B67FA8">
        <w:rPr>
          <w:rFonts w:ascii="Tahoma" w:hAnsi="Tahoma" w:cs="Tahoma"/>
        </w:rPr>
        <w:t>recognising, respecting and celebrating each other's differences. A diverse environment is one with a wide range of backgrounds and mindsets, which allows for an empowered culture of creativity and innovation.</w:t>
      </w:r>
      <w:r>
        <w:rPr>
          <w:rFonts w:ascii="Tahoma" w:hAnsi="Tahoma" w:cs="Tahoma"/>
        </w:rPr>
        <w:t>” (2021)</w:t>
      </w:r>
    </w:p>
    <w:p w14:paraId="1ED3F9EE" w14:textId="52DC046F" w:rsidR="00B67FA8" w:rsidRPr="00B67FA8" w:rsidRDefault="00F95B65" w:rsidP="00B67FA8">
      <w:pPr>
        <w:spacing w:line="360" w:lineRule="auto"/>
        <w:rPr>
          <w:rFonts w:ascii="Tahoma" w:hAnsi="Tahoma" w:cs="Tahoma"/>
        </w:rPr>
      </w:pPr>
      <w:r>
        <w:rPr>
          <w:rFonts w:ascii="Tahoma" w:hAnsi="Tahoma" w:cs="Tahoma"/>
        </w:rPr>
        <w:t>Regarding</w:t>
      </w:r>
      <w:r w:rsidR="00B67FA8">
        <w:rPr>
          <w:rFonts w:ascii="Tahoma" w:hAnsi="Tahoma" w:cs="Tahoma"/>
        </w:rPr>
        <w:t xml:space="preserve"> inclusion</w:t>
      </w:r>
      <w:r w:rsidR="006F6434">
        <w:rPr>
          <w:rFonts w:ascii="Tahoma" w:hAnsi="Tahoma" w:cs="Tahoma"/>
        </w:rPr>
        <w:t>, the University</w:t>
      </w:r>
      <w:r w:rsidR="00B67FA8">
        <w:rPr>
          <w:rFonts w:ascii="Tahoma" w:hAnsi="Tahoma" w:cs="Tahoma"/>
        </w:rPr>
        <w:t xml:space="preserve"> defined </w:t>
      </w:r>
      <w:r w:rsidR="006F6434">
        <w:rPr>
          <w:rFonts w:ascii="Tahoma" w:hAnsi="Tahoma" w:cs="Tahoma"/>
        </w:rPr>
        <w:t xml:space="preserve">inclusion </w:t>
      </w:r>
      <w:r w:rsidR="00B67FA8">
        <w:rPr>
          <w:rFonts w:ascii="Tahoma" w:hAnsi="Tahoma" w:cs="Tahoma"/>
        </w:rPr>
        <w:t>as</w:t>
      </w:r>
      <w:r w:rsidR="006F6434">
        <w:rPr>
          <w:rFonts w:ascii="Tahoma" w:hAnsi="Tahoma" w:cs="Tahoma"/>
        </w:rPr>
        <w:t xml:space="preserve"> a type of</w:t>
      </w:r>
      <w:r w:rsidR="00B67FA8">
        <w:rPr>
          <w:rFonts w:ascii="Tahoma" w:hAnsi="Tahoma" w:cs="Tahoma"/>
        </w:rPr>
        <w:t xml:space="preserve"> environment created with awareness of unconscious biases and willingness to</w:t>
      </w:r>
      <w:r w:rsidR="006F6434">
        <w:rPr>
          <w:rFonts w:ascii="Tahoma" w:hAnsi="Tahoma" w:cs="Tahoma"/>
        </w:rPr>
        <w:t xml:space="preserve"> control them. Inclusive environment values every person and makes them feel welcomed.</w:t>
      </w:r>
    </w:p>
    <w:p w14:paraId="7328359E" w14:textId="59F01D79" w:rsidR="005D7072" w:rsidRDefault="005D7072" w:rsidP="004C4ECF">
      <w:pPr>
        <w:spacing w:line="360" w:lineRule="auto"/>
        <w:rPr>
          <w:rFonts w:ascii="Tahoma" w:hAnsi="Tahoma" w:cs="Tahoma"/>
          <w:shd w:val="clear" w:color="auto" w:fill="FFFFFF"/>
        </w:rPr>
      </w:pPr>
      <w:r>
        <w:rPr>
          <w:rFonts w:ascii="Tahoma" w:hAnsi="Tahoma" w:cs="Tahoma"/>
        </w:rPr>
        <w:t xml:space="preserve">Police forces across UK and other western countries recruit officers from different backgrounds, variety of characteristics, and with life experience that would assist in better understanding and providing improved service for communities they serve. However, the diversity of police officers being transgender, females, foreign nationals, older </w:t>
      </w:r>
      <w:r w:rsidRPr="005D7072">
        <w:rPr>
          <w:rFonts w:ascii="Tahoma" w:hAnsi="Tahoma" w:cs="Tahoma"/>
        </w:rPr>
        <w:t>or followers of a less popular religion</w:t>
      </w:r>
      <w:r>
        <w:rPr>
          <w:rFonts w:ascii="Tahoma" w:hAnsi="Tahoma" w:cs="Tahoma"/>
        </w:rPr>
        <w:t xml:space="preserve"> are not necessary welcomed by other officers already </w:t>
      </w:r>
      <w:r w:rsidR="00CA305C" w:rsidRPr="00CA305C">
        <w:rPr>
          <w:rFonts w:ascii="Tahoma" w:hAnsi="Tahoma" w:cs="Tahoma"/>
        </w:rPr>
        <w:t>saturated with the ma</w:t>
      </w:r>
      <w:r w:rsidR="00CA305C">
        <w:rPr>
          <w:rFonts w:ascii="Tahoma" w:hAnsi="Tahoma" w:cs="Tahoma"/>
        </w:rPr>
        <w:t>sculine</w:t>
      </w:r>
      <w:r w:rsidR="00CA305C" w:rsidRPr="00CA305C">
        <w:rPr>
          <w:rFonts w:ascii="Tahoma" w:hAnsi="Tahoma" w:cs="Tahoma"/>
        </w:rPr>
        <w:t xml:space="preserve"> aspect of police culture</w:t>
      </w:r>
      <w:r w:rsidR="00CA305C">
        <w:rPr>
          <w:rFonts w:ascii="Tahoma" w:hAnsi="Tahoma" w:cs="Tahoma"/>
        </w:rPr>
        <w:t>. The diversity in</w:t>
      </w:r>
      <w:r w:rsidR="003573A4">
        <w:rPr>
          <w:rFonts w:ascii="Tahoma" w:hAnsi="Tahoma" w:cs="Tahoma"/>
        </w:rPr>
        <w:t xml:space="preserve"> the prism of</w:t>
      </w:r>
      <w:r w:rsidR="00CA305C">
        <w:rPr>
          <w:rFonts w:ascii="Tahoma" w:hAnsi="Tahoma" w:cs="Tahoma"/>
        </w:rPr>
        <w:t xml:space="preserve"> police culture is seen as having deteriorating impact on the profession. Numerous research</w:t>
      </w:r>
      <w:r w:rsidR="00F0306A">
        <w:rPr>
          <w:rFonts w:ascii="Tahoma" w:hAnsi="Tahoma" w:cs="Tahoma"/>
        </w:rPr>
        <w:t>ers</w:t>
      </w:r>
      <w:r w:rsidR="00CA305C">
        <w:rPr>
          <w:rFonts w:ascii="Tahoma" w:hAnsi="Tahoma" w:cs="Tahoma"/>
        </w:rPr>
        <w:t xml:space="preserve"> </w:t>
      </w:r>
      <w:r w:rsidR="00F0306A">
        <w:rPr>
          <w:rFonts w:ascii="Tahoma" w:hAnsi="Tahoma" w:cs="Tahoma"/>
        </w:rPr>
        <w:t>indicate</w:t>
      </w:r>
      <w:r w:rsidR="00CA305C">
        <w:rPr>
          <w:rFonts w:ascii="Tahoma" w:hAnsi="Tahoma" w:cs="Tahoma"/>
        </w:rPr>
        <w:t xml:space="preserve"> </w:t>
      </w:r>
      <w:r w:rsidR="008D3830">
        <w:rPr>
          <w:rFonts w:ascii="Tahoma" w:hAnsi="Tahoma" w:cs="Tahoma"/>
        </w:rPr>
        <w:t xml:space="preserve">(Bradford 2013, </w:t>
      </w:r>
      <w:r w:rsidR="008D3830" w:rsidRPr="00CA305C">
        <w:rPr>
          <w:rFonts w:ascii="Tahoma" w:hAnsi="Tahoma" w:cs="Tahoma"/>
          <w:shd w:val="clear" w:color="auto" w:fill="FFFFFF"/>
        </w:rPr>
        <w:t>Miles-Johnson</w:t>
      </w:r>
      <w:r w:rsidR="008D3830">
        <w:rPr>
          <w:rFonts w:ascii="Tahoma" w:hAnsi="Tahoma" w:cs="Tahoma"/>
          <w:shd w:val="clear" w:color="auto" w:fill="FFFFFF"/>
        </w:rPr>
        <w:t xml:space="preserve"> 2020, 2021) that </w:t>
      </w:r>
      <w:r w:rsidR="00F0306A">
        <w:rPr>
          <w:rFonts w:ascii="Tahoma" w:hAnsi="Tahoma" w:cs="Tahoma"/>
          <w:shd w:val="clear" w:color="auto" w:fill="FFFFFF"/>
        </w:rPr>
        <w:t>publicly shared inclusion under the label ‘police’ i</w:t>
      </w:r>
      <w:r w:rsidR="003573A4">
        <w:rPr>
          <w:rFonts w:ascii="Tahoma" w:hAnsi="Tahoma" w:cs="Tahoma"/>
          <w:shd w:val="clear" w:color="auto" w:fill="FFFFFF"/>
        </w:rPr>
        <w:t xml:space="preserve">s </w:t>
      </w:r>
      <w:r w:rsidR="00F0306A">
        <w:rPr>
          <w:rFonts w:ascii="Tahoma" w:hAnsi="Tahoma" w:cs="Tahoma"/>
          <w:shd w:val="clear" w:color="auto" w:fill="FFFFFF"/>
        </w:rPr>
        <w:t>only shared in front of citizens and the same group would be inertially segmented</w:t>
      </w:r>
      <w:r w:rsidR="00D958CC">
        <w:rPr>
          <w:rFonts w:ascii="Tahoma" w:hAnsi="Tahoma" w:cs="Tahoma"/>
          <w:shd w:val="clear" w:color="auto" w:fill="FFFFFF"/>
        </w:rPr>
        <w:t xml:space="preserve"> </w:t>
      </w:r>
      <w:r w:rsidR="00D958CC" w:rsidRPr="00D958CC">
        <w:rPr>
          <w:rFonts w:ascii="Tahoma" w:hAnsi="Tahoma" w:cs="Tahoma"/>
          <w:shd w:val="clear" w:color="auto" w:fill="FFFFFF"/>
        </w:rPr>
        <w:t>bringing together smaller groups of officers of similar rank, origin, gender</w:t>
      </w:r>
      <w:r w:rsidR="003573A4">
        <w:rPr>
          <w:rFonts w:ascii="Tahoma" w:hAnsi="Tahoma" w:cs="Tahoma"/>
          <w:shd w:val="clear" w:color="auto" w:fill="FFFFFF"/>
        </w:rPr>
        <w:t xml:space="preserve"> or another common characteristic.</w:t>
      </w:r>
      <w:r w:rsidR="00D958CC" w:rsidRPr="00D958CC">
        <w:rPr>
          <w:rFonts w:ascii="Tahoma" w:hAnsi="Tahoma" w:cs="Tahoma"/>
          <w:shd w:val="clear" w:color="auto" w:fill="FFFFFF"/>
        </w:rPr>
        <w:t xml:space="preserve"> Officers who "differentiate citizens by identity......... also differentiate colleagues by identity and reject differences considered diverse"</w:t>
      </w:r>
      <w:r w:rsidR="00D958CC" w:rsidRPr="00D958CC">
        <w:t xml:space="preserve"> </w:t>
      </w:r>
      <w:r w:rsidR="00D958CC" w:rsidRPr="00D958CC">
        <w:rPr>
          <w:rFonts w:ascii="Tahoma" w:hAnsi="Tahoma" w:cs="Tahoma"/>
          <w:shd w:val="clear" w:color="auto" w:fill="FFFFFF"/>
        </w:rPr>
        <w:t>(Miles-Johnson and Fay</w:t>
      </w:r>
      <w:r w:rsidR="00D958CC">
        <w:rPr>
          <w:rFonts w:ascii="Tahoma" w:hAnsi="Tahoma" w:cs="Tahoma"/>
          <w:shd w:val="clear" w:color="auto" w:fill="FFFFFF"/>
        </w:rPr>
        <w:t>, 2022</w:t>
      </w:r>
      <w:r w:rsidR="00D958CC" w:rsidRPr="00D958CC">
        <w:rPr>
          <w:rFonts w:ascii="Tahoma" w:hAnsi="Tahoma" w:cs="Tahoma"/>
          <w:shd w:val="clear" w:color="auto" w:fill="FFFFFF"/>
        </w:rPr>
        <w:t>)</w:t>
      </w:r>
      <w:r w:rsidR="00D958CC">
        <w:rPr>
          <w:rFonts w:ascii="Tahoma" w:hAnsi="Tahoma" w:cs="Tahoma"/>
          <w:shd w:val="clear" w:color="auto" w:fill="FFFFFF"/>
        </w:rPr>
        <w:t>.</w:t>
      </w:r>
    </w:p>
    <w:p w14:paraId="4070D5D1" w14:textId="77777777" w:rsidR="00F95B65" w:rsidRPr="00F95B65" w:rsidRDefault="00F95B65" w:rsidP="00F95B65">
      <w:pPr>
        <w:spacing w:line="360" w:lineRule="auto"/>
        <w:rPr>
          <w:rFonts w:ascii="Tahoma" w:hAnsi="Tahoma" w:cs="Tahoma"/>
          <w:shd w:val="clear" w:color="auto" w:fill="FFFFFF"/>
        </w:rPr>
      </w:pPr>
      <w:r w:rsidRPr="00F95B65">
        <w:rPr>
          <w:rFonts w:ascii="Tahoma" w:hAnsi="Tahoma" w:cs="Tahoma"/>
          <w:shd w:val="clear" w:color="auto" w:fill="FFFFFF"/>
        </w:rPr>
        <w:t>The fear of being excluded by fellow constables initiates damage to officer’s ethos and motivation. The partnership in police response to citizen’s request is crucial.</w:t>
      </w:r>
    </w:p>
    <w:p w14:paraId="43C78965" w14:textId="77777777" w:rsidR="00F95B65" w:rsidRPr="00F95B65" w:rsidRDefault="00F95B65" w:rsidP="00F95B65">
      <w:pPr>
        <w:spacing w:line="360" w:lineRule="auto"/>
        <w:rPr>
          <w:rFonts w:ascii="Tahoma" w:hAnsi="Tahoma" w:cs="Tahoma"/>
          <w:shd w:val="clear" w:color="auto" w:fill="FFFFFF"/>
        </w:rPr>
      </w:pPr>
      <w:r w:rsidRPr="00F95B65">
        <w:rPr>
          <w:rFonts w:ascii="Tahoma" w:hAnsi="Tahoma" w:cs="Tahoma"/>
          <w:shd w:val="clear" w:color="auto" w:fill="FFFFFF"/>
        </w:rPr>
        <w:t xml:space="preserve"> Accelerating an inclusive culture within police requires sensitive and considerable planning and involvement on of servants and employees on every level of the organisational structure. Even though the goal isn’t impossible to be achieved “first senior officers and police management must take initiatives that will reduce officer bias, discrimination, and prejudice towards diverse officers and lessen negative perceptions regarding diversity and workplace competency” (Miles-Johnson and Fay, 2022).</w:t>
      </w:r>
    </w:p>
    <w:p w14:paraId="686D3400" w14:textId="77777777" w:rsidR="00F95B65" w:rsidRDefault="00F95B65" w:rsidP="00F95B65">
      <w:pPr>
        <w:spacing w:line="360" w:lineRule="auto"/>
        <w:rPr>
          <w:rFonts w:ascii="Tahoma" w:hAnsi="Tahoma" w:cs="Tahoma"/>
          <w:shd w:val="clear" w:color="auto" w:fill="FFFFFF"/>
        </w:rPr>
      </w:pPr>
    </w:p>
    <w:p w14:paraId="1E52EE14" w14:textId="104A83AE" w:rsidR="003573A4" w:rsidRDefault="003573A4" w:rsidP="00F95B65">
      <w:pPr>
        <w:spacing w:line="360" w:lineRule="auto"/>
        <w:rPr>
          <w:rFonts w:ascii="Tahoma" w:hAnsi="Tahoma" w:cs="Tahoma"/>
          <w:shd w:val="clear" w:color="auto" w:fill="FFFFFF"/>
        </w:rPr>
      </w:pPr>
      <w:r>
        <w:rPr>
          <w:rFonts w:ascii="Tahoma" w:hAnsi="Tahoma" w:cs="Tahoma"/>
          <w:shd w:val="clear" w:color="auto" w:fill="FFFFFF"/>
        </w:rPr>
        <w:lastRenderedPageBreak/>
        <w:t>The statistics of police officers in England and Wales from March 2022 shows that there were 136,274 officers with known ethnicity and amongst these 91,9% where white. That indicate only 8.1% of all BAME officers which constitute around 11 000 officers</w:t>
      </w:r>
      <w:r w:rsidR="00B67FA8">
        <w:rPr>
          <w:rFonts w:ascii="Tahoma" w:hAnsi="Tahoma" w:cs="Tahoma"/>
          <w:shd w:val="clear" w:color="auto" w:fill="FFFFFF"/>
        </w:rPr>
        <w:t xml:space="preserve"> </w:t>
      </w:r>
      <w:r w:rsidR="00B67FA8" w:rsidRPr="00B67FA8">
        <w:rPr>
          <w:rFonts w:ascii="Tahoma" w:hAnsi="Tahoma" w:cs="Tahoma"/>
          <w:shd w:val="clear" w:color="auto" w:fill="FFFFFF"/>
        </w:rPr>
        <w:t>(Home Office)</w:t>
      </w:r>
      <w:r w:rsidR="00B67FA8">
        <w:rPr>
          <w:rFonts w:ascii="Tahoma" w:hAnsi="Tahoma" w:cs="Tahoma"/>
          <w:shd w:val="clear" w:color="auto" w:fill="FFFFFF"/>
        </w:rPr>
        <w:t>.</w:t>
      </w:r>
      <w:r>
        <w:rPr>
          <w:rFonts w:ascii="Tahoma" w:hAnsi="Tahoma" w:cs="Tahoma"/>
          <w:shd w:val="clear" w:color="auto" w:fill="FFFFFF"/>
        </w:rPr>
        <w:t xml:space="preserve"> </w:t>
      </w:r>
      <w:r w:rsidR="00B67FA8">
        <w:rPr>
          <w:rFonts w:ascii="Tahoma" w:hAnsi="Tahoma" w:cs="Tahoma"/>
          <w:shd w:val="clear" w:color="auto" w:fill="FFFFFF"/>
        </w:rPr>
        <w:t>Considering</w:t>
      </w:r>
      <w:r>
        <w:rPr>
          <w:rFonts w:ascii="Tahoma" w:hAnsi="Tahoma" w:cs="Tahoma"/>
          <w:shd w:val="clear" w:color="auto" w:fill="FFFFFF"/>
        </w:rPr>
        <w:t xml:space="preserve"> the recent recruitment campaign initiated by the government, the number would </w:t>
      </w:r>
      <w:r w:rsidR="00B67FA8">
        <w:rPr>
          <w:rFonts w:ascii="Tahoma" w:hAnsi="Tahoma" w:cs="Tahoma"/>
          <w:shd w:val="clear" w:color="auto" w:fill="FFFFFF"/>
        </w:rPr>
        <w:t>cover slightly more than half of required officers. It is important to mention that the campaign was not targeted and included recruits from all backgrounds.</w:t>
      </w:r>
    </w:p>
    <w:p w14:paraId="302E024E" w14:textId="77777777" w:rsidR="00F95B65" w:rsidRDefault="00F95B65" w:rsidP="00F95B65">
      <w:pPr>
        <w:spacing w:line="360" w:lineRule="auto"/>
        <w:rPr>
          <w:rFonts w:ascii="Tahoma" w:hAnsi="Tahoma" w:cs="Tahoma"/>
        </w:rPr>
      </w:pPr>
    </w:p>
    <w:p w14:paraId="5B1ECD2A" w14:textId="58EEB2B2" w:rsidR="006F6434" w:rsidRPr="004C4ECF" w:rsidRDefault="009F450B" w:rsidP="00F95B65">
      <w:pPr>
        <w:spacing w:line="360" w:lineRule="auto"/>
        <w:rPr>
          <w:rFonts w:ascii="Tahoma" w:hAnsi="Tahoma" w:cs="Tahoma"/>
        </w:rPr>
      </w:pPr>
      <w:r>
        <w:rPr>
          <w:rFonts w:ascii="Tahoma" w:hAnsi="Tahoma" w:cs="Tahoma"/>
        </w:rPr>
        <w:t xml:space="preserve">As already concluded by </w:t>
      </w:r>
      <w:r w:rsidRPr="009F450B">
        <w:rPr>
          <w:rFonts w:ascii="Tahoma" w:hAnsi="Tahoma" w:cs="Tahoma"/>
        </w:rPr>
        <w:t>Cockcroft</w:t>
      </w:r>
      <w:r>
        <w:rPr>
          <w:rFonts w:ascii="Tahoma" w:hAnsi="Tahoma" w:cs="Tahoma"/>
        </w:rPr>
        <w:t xml:space="preserve"> (2020) n</w:t>
      </w:r>
      <w:r w:rsidRPr="009F450B">
        <w:rPr>
          <w:rFonts w:ascii="Tahoma" w:hAnsi="Tahoma" w:cs="Tahoma"/>
        </w:rPr>
        <w:t xml:space="preserve">umerous studies indicate that changes are necessary, </w:t>
      </w:r>
      <w:r>
        <w:rPr>
          <w:rFonts w:ascii="Tahoma" w:hAnsi="Tahoma" w:cs="Tahoma"/>
        </w:rPr>
        <w:t>however, the</w:t>
      </w:r>
      <w:r w:rsidRPr="009F450B">
        <w:rPr>
          <w:rFonts w:ascii="Tahoma" w:hAnsi="Tahoma" w:cs="Tahoma"/>
        </w:rPr>
        <w:t xml:space="preserve"> structural changes have failed. Cultural changes have been suggested – which may also fail. The reflection process, once initiated, carries the risk that organizational cohesion will fall apart.</w:t>
      </w:r>
    </w:p>
    <w:p w14:paraId="7FBDDBA3" w14:textId="672D2ED0" w:rsidR="00E91EBC" w:rsidRPr="004C4ECF" w:rsidRDefault="00B47E6B" w:rsidP="00F95B65">
      <w:pPr>
        <w:spacing w:line="360" w:lineRule="auto"/>
        <w:rPr>
          <w:rFonts w:ascii="Tahoma" w:hAnsi="Tahoma" w:cs="Tahoma"/>
        </w:rPr>
      </w:pPr>
      <w:r>
        <w:rPr>
          <w:rFonts w:ascii="Tahoma" w:hAnsi="Tahoma" w:cs="Tahoma"/>
        </w:rPr>
        <w:t xml:space="preserve">Police is a public service. The society is UK is diverse. </w:t>
      </w:r>
      <w:r w:rsidRPr="00B47E6B">
        <w:rPr>
          <w:rFonts w:ascii="Tahoma" w:hAnsi="Tahoma" w:cs="Tahoma"/>
        </w:rPr>
        <w:t>Inclusive and diverse workf</w:t>
      </w:r>
      <w:r>
        <w:rPr>
          <w:rFonts w:ascii="Tahoma" w:hAnsi="Tahoma" w:cs="Tahoma"/>
        </w:rPr>
        <w:t>orce is</w:t>
      </w:r>
      <w:r w:rsidR="008D3830">
        <w:rPr>
          <w:rFonts w:ascii="Tahoma" w:hAnsi="Tahoma" w:cs="Tahoma"/>
        </w:rPr>
        <w:t xml:space="preserve"> </w:t>
      </w:r>
      <w:r>
        <w:rPr>
          <w:rFonts w:ascii="Tahoma" w:hAnsi="Tahoma" w:cs="Tahoma"/>
        </w:rPr>
        <w:t xml:space="preserve">necessary to serve diverse society in UK. British Police established </w:t>
      </w:r>
      <w:r w:rsidR="00751988">
        <w:rPr>
          <w:rFonts w:ascii="Tahoma" w:hAnsi="Tahoma" w:cs="Tahoma"/>
        </w:rPr>
        <w:t xml:space="preserve">and upholding </w:t>
      </w:r>
      <w:r>
        <w:rPr>
          <w:rFonts w:ascii="Tahoma" w:hAnsi="Tahoma" w:cs="Tahoma"/>
        </w:rPr>
        <w:t xml:space="preserve">Peel’s </w:t>
      </w:r>
      <w:r w:rsidR="00F95B65">
        <w:rPr>
          <w:rFonts w:ascii="Tahoma" w:hAnsi="Tahoma" w:cs="Tahoma"/>
        </w:rPr>
        <w:t>p</w:t>
      </w:r>
      <w:r>
        <w:rPr>
          <w:rFonts w:ascii="Tahoma" w:hAnsi="Tahoma" w:cs="Tahoma"/>
        </w:rPr>
        <w:t xml:space="preserve">rinciples </w:t>
      </w:r>
      <w:r w:rsidR="00751988">
        <w:rPr>
          <w:rFonts w:ascii="Tahoma" w:hAnsi="Tahoma" w:cs="Tahoma"/>
        </w:rPr>
        <w:t>is</w:t>
      </w:r>
      <w:r>
        <w:rPr>
          <w:rFonts w:ascii="Tahoma" w:hAnsi="Tahoma" w:cs="Tahoma"/>
        </w:rPr>
        <w:t xml:space="preserve"> </w:t>
      </w:r>
      <w:r w:rsidR="00751988">
        <w:rPr>
          <w:rFonts w:ascii="Tahoma" w:hAnsi="Tahoma" w:cs="Tahoma"/>
        </w:rPr>
        <w:t>aiming to reflect the communities they serve</w:t>
      </w:r>
      <w:r w:rsidR="00A72B7E">
        <w:rPr>
          <w:rFonts w:ascii="Tahoma" w:hAnsi="Tahoma" w:cs="Tahoma"/>
        </w:rPr>
        <w:t>.</w:t>
      </w:r>
      <w:r w:rsidR="00751988">
        <w:rPr>
          <w:rFonts w:ascii="Tahoma" w:hAnsi="Tahoma" w:cs="Tahoma"/>
        </w:rPr>
        <w:t xml:space="preserve"> </w:t>
      </w:r>
      <w:r>
        <w:rPr>
          <w:rFonts w:ascii="Tahoma" w:hAnsi="Tahoma" w:cs="Tahoma"/>
        </w:rPr>
        <w:t xml:space="preserve"> </w:t>
      </w:r>
    </w:p>
    <w:p w14:paraId="24817CAB" w14:textId="7014C302" w:rsidR="009B1B01" w:rsidRPr="006F6434" w:rsidRDefault="004C4ECF" w:rsidP="006F6434">
      <w:pPr>
        <w:spacing w:line="360" w:lineRule="auto"/>
        <w:rPr>
          <w:rFonts w:ascii="Tahoma" w:hAnsi="Tahoma" w:cs="Tahoma"/>
        </w:rPr>
      </w:pPr>
      <w:r w:rsidRPr="006F6434">
        <w:rPr>
          <w:rFonts w:ascii="Tahoma" w:hAnsi="Tahoma" w:cs="Tahoma"/>
        </w:rPr>
        <w:t>Considering</w:t>
      </w:r>
      <w:r w:rsidR="009B1B01" w:rsidRPr="006F6434">
        <w:rPr>
          <w:rFonts w:ascii="Tahoma" w:hAnsi="Tahoma" w:cs="Tahoma"/>
        </w:rPr>
        <w:t xml:space="preserve"> the words of Chief Constable of South Wales Police Jeremy Vaughn who </w:t>
      </w:r>
      <w:r w:rsidR="003B408F" w:rsidRPr="006F6434">
        <w:rPr>
          <w:rFonts w:ascii="Tahoma" w:hAnsi="Tahoma" w:cs="Tahoma"/>
        </w:rPr>
        <w:t>acknowledged that South Wales Police force is institutionally racist organisation, we as a force have quite challenging goal to address</w:t>
      </w:r>
      <w:r w:rsidR="001C1E66" w:rsidRPr="006F6434">
        <w:rPr>
          <w:rFonts w:ascii="Tahoma" w:hAnsi="Tahoma" w:cs="Tahoma"/>
        </w:rPr>
        <w:t xml:space="preserve"> </w:t>
      </w:r>
      <w:r w:rsidRPr="006F6434">
        <w:rPr>
          <w:rFonts w:ascii="Tahoma" w:hAnsi="Tahoma" w:cs="Tahoma"/>
        </w:rPr>
        <w:t>(</w:t>
      </w:r>
      <w:r w:rsidR="001C1E66" w:rsidRPr="006F6434">
        <w:rPr>
          <w:rFonts w:ascii="Tahoma" w:hAnsi="Tahoma" w:cs="Tahoma"/>
        </w:rPr>
        <w:t>2023</w:t>
      </w:r>
      <w:r w:rsidRPr="006F6434">
        <w:rPr>
          <w:rFonts w:ascii="Tahoma" w:hAnsi="Tahoma" w:cs="Tahoma"/>
        </w:rPr>
        <w:t>)</w:t>
      </w:r>
      <w:r w:rsidR="001C1E66" w:rsidRPr="006F6434">
        <w:rPr>
          <w:rFonts w:ascii="Tahoma" w:hAnsi="Tahoma" w:cs="Tahoma"/>
        </w:rPr>
        <w:t>.</w:t>
      </w:r>
      <w:r w:rsidR="003B408F" w:rsidRPr="006F6434">
        <w:rPr>
          <w:rFonts w:ascii="Tahoma" w:hAnsi="Tahoma" w:cs="Tahoma"/>
        </w:rPr>
        <w:t xml:space="preserve"> </w:t>
      </w:r>
    </w:p>
    <w:p w14:paraId="1E2653B2" w14:textId="147110DF" w:rsidR="001C1E66" w:rsidRPr="006F6434" w:rsidRDefault="001C1E66" w:rsidP="006F6434">
      <w:pPr>
        <w:spacing w:line="360" w:lineRule="auto"/>
        <w:rPr>
          <w:rFonts w:ascii="Tahoma" w:hAnsi="Tahoma" w:cs="Tahoma"/>
        </w:rPr>
      </w:pPr>
      <w:r w:rsidRPr="006F6434">
        <w:rPr>
          <w:rFonts w:ascii="Tahoma" w:hAnsi="Tahoma" w:cs="Tahoma"/>
        </w:rPr>
        <w:t xml:space="preserve">For years that past since </w:t>
      </w:r>
      <w:r w:rsidR="006F6434">
        <w:rPr>
          <w:rFonts w:ascii="Tahoma" w:hAnsi="Tahoma" w:cs="Tahoma"/>
        </w:rPr>
        <w:t>McPherson’s</w:t>
      </w:r>
      <w:r w:rsidRPr="006F6434">
        <w:rPr>
          <w:rFonts w:ascii="Tahoma" w:hAnsi="Tahoma" w:cs="Tahoma"/>
        </w:rPr>
        <w:t xml:space="preserve"> report (1999) and changes that police forces constantly implement in their policies and professional guidance, the conclusion is drawn that time is crucial in this aspect.</w:t>
      </w:r>
    </w:p>
    <w:p w14:paraId="389CDE47" w14:textId="3752478A" w:rsidR="001C1E66" w:rsidRPr="006F6434" w:rsidRDefault="001C1E66" w:rsidP="006F6434">
      <w:pPr>
        <w:spacing w:line="360" w:lineRule="auto"/>
        <w:rPr>
          <w:rFonts w:ascii="Tahoma" w:hAnsi="Tahoma" w:cs="Tahoma"/>
        </w:rPr>
      </w:pPr>
      <w:r w:rsidRPr="006F6434">
        <w:rPr>
          <w:rFonts w:ascii="Tahoma" w:hAnsi="Tahoma" w:cs="Tahoma"/>
        </w:rPr>
        <w:t xml:space="preserve">Recruitment of officers from variety of backgrounds will not provide sufficient impact on the police culture if the numbers will be on the current level. Police forces understand the necessity to reflect the community they serve however police leaders do not understand that fraction of diverse workforce </w:t>
      </w:r>
      <w:r w:rsidR="00A72B7E" w:rsidRPr="006F6434">
        <w:rPr>
          <w:rFonts w:ascii="Tahoma" w:hAnsi="Tahoma" w:cs="Tahoma"/>
        </w:rPr>
        <w:t>will not achieve significant results in changing the police culture.</w:t>
      </w:r>
      <w:r w:rsidR="008C6210" w:rsidRPr="006F6434">
        <w:rPr>
          <w:rFonts w:ascii="Tahoma" w:hAnsi="Tahoma" w:cs="Tahoma"/>
        </w:rPr>
        <w:t xml:space="preserve"> Fact that </w:t>
      </w:r>
      <w:r w:rsidR="008C6210" w:rsidRPr="006F6434">
        <w:rPr>
          <w:rFonts w:ascii="Tahoma" w:hAnsi="Tahoma" w:cs="Tahoma"/>
          <w:shd w:val="clear" w:color="auto" w:fill="FFFFFF"/>
        </w:rPr>
        <w:t>"organizational culture eats policy for lunch” (2016) indicates that police culture to be diversionary inclusive shall be populated and followed by higher rank officers acting as role models.</w:t>
      </w:r>
    </w:p>
    <w:p w14:paraId="56849D77" w14:textId="7C59DAA8" w:rsidR="001C1E66" w:rsidRDefault="001C1E66" w:rsidP="004C4ECF">
      <w:pPr>
        <w:pStyle w:val="ListParagraph"/>
        <w:spacing w:line="360" w:lineRule="auto"/>
        <w:ind w:left="1080"/>
        <w:rPr>
          <w:rFonts w:ascii="Tahoma" w:hAnsi="Tahoma" w:cs="Tahoma"/>
        </w:rPr>
      </w:pPr>
    </w:p>
    <w:p w14:paraId="595D4389" w14:textId="77777777" w:rsidR="00CA305C" w:rsidRDefault="00CA305C" w:rsidP="004C4ECF">
      <w:pPr>
        <w:pStyle w:val="ListParagraph"/>
        <w:spacing w:line="360" w:lineRule="auto"/>
        <w:ind w:left="1080"/>
        <w:rPr>
          <w:rFonts w:ascii="Tahoma" w:hAnsi="Tahoma" w:cs="Tahoma"/>
        </w:rPr>
      </w:pPr>
    </w:p>
    <w:p w14:paraId="6EE78CFC" w14:textId="77777777" w:rsidR="00CA305C" w:rsidRDefault="00CA305C" w:rsidP="004C4ECF">
      <w:pPr>
        <w:pStyle w:val="ListParagraph"/>
        <w:spacing w:line="360" w:lineRule="auto"/>
        <w:ind w:left="1080"/>
        <w:rPr>
          <w:rFonts w:ascii="Tahoma" w:hAnsi="Tahoma" w:cs="Tahoma"/>
        </w:rPr>
      </w:pPr>
    </w:p>
    <w:p w14:paraId="7D6DD4AC" w14:textId="62002886" w:rsidR="00CA305C" w:rsidRPr="006F6434" w:rsidRDefault="00CA305C" w:rsidP="006F6434">
      <w:pPr>
        <w:spacing w:line="360" w:lineRule="auto"/>
        <w:rPr>
          <w:rFonts w:ascii="Tahoma" w:hAnsi="Tahoma" w:cs="Tahoma"/>
          <w:b/>
          <w:bCs/>
        </w:rPr>
      </w:pPr>
      <w:r w:rsidRPr="006F6434">
        <w:rPr>
          <w:rFonts w:ascii="Tahoma" w:hAnsi="Tahoma" w:cs="Tahoma"/>
          <w:b/>
          <w:bCs/>
        </w:rPr>
        <w:t>Word count:</w:t>
      </w:r>
      <w:r w:rsidR="00F95B65">
        <w:rPr>
          <w:rFonts w:ascii="Tahoma" w:hAnsi="Tahoma" w:cs="Tahoma"/>
          <w:b/>
          <w:bCs/>
        </w:rPr>
        <w:t xml:space="preserve"> 987</w:t>
      </w:r>
    </w:p>
    <w:p w14:paraId="657618B9" w14:textId="14C69A9A" w:rsidR="00CA305C" w:rsidRDefault="00CA305C" w:rsidP="006F6434">
      <w:pPr>
        <w:spacing w:line="360" w:lineRule="auto"/>
        <w:rPr>
          <w:rFonts w:ascii="Tahoma" w:hAnsi="Tahoma" w:cs="Tahoma"/>
          <w:b/>
          <w:bCs/>
        </w:rPr>
      </w:pPr>
      <w:r w:rsidRPr="006F6434">
        <w:rPr>
          <w:rFonts w:ascii="Tahoma" w:hAnsi="Tahoma" w:cs="Tahoma"/>
          <w:b/>
          <w:bCs/>
        </w:rPr>
        <w:lastRenderedPageBreak/>
        <w:t>References:</w:t>
      </w:r>
    </w:p>
    <w:p w14:paraId="3AC2914C" w14:textId="2A9648E1" w:rsidR="00E90237" w:rsidRDefault="00E90237" w:rsidP="00E90237">
      <w:pPr>
        <w:pStyle w:val="NormalWeb"/>
        <w:spacing w:before="0" w:beforeAutospacing="0" w:after="0" w:afterAutospacing="0" w:line="480" w:lineRule="auto"/>
        <w:jc w:val="center"/>
      </w:pPr>
    </w:p>
    <w:p w14:paraId="554CE4FA" w14:textId="77777777" w:rsidR="00E90237" w:rsidRDefault="00E90237" w:rsidP="00E90237">
      <w:pPr>
        <w:pStyle w:val="NormalWeb"/>
        <w:spacing w:before="0" w:beforeAutospacing="0" w:after="0" w:afterAutospacing="0" w:line="480" w:lineRule="auto"/>
        <w:ind w:left="720" w:hanging="720"/>
      </w:pPr>
      <w:r>
        <w:t xml:space="preserve">Baker, Scott R., et al. “Measuring Economic Policy Uncertainty.” </w:t>
      </w:r>
      <w:r>
        <w:rPr>
          <w:i/>
          <w:iCs/>
        </w:rPr>
        <w:t>The Quarterly Journal of Economics</w:t>
      </w:r>
      <w:r>
        <w:t>, vol. 131, no. 4, 11 July 2016, pp. 1593–1636.</w:t>
      </w:r>
    </w:p>
    <w:p w14:paraId="01F938E5" w14:textId="77777777" w:rsidR="00E90237" w:rsidRDefault="00E90237" w:rsidP="00E90237">
      <w:pPr>
        <w:pStyle w:val="NormalWeb"/>
        <w:spacing w:before="0" w:beforeAutospacing="0" w:after="0" w:afterAutospacing="0" w:line="480" w:lineRule="auto"/>
        <w:ind w:left="720" w:hanging="720"/>
      </w:pPr>
      <w:r>
        <w:t xml:space="preserve">Bradford, Ben. “Policing and Social Identity: Procedural Justice, Inclusion and Cooperation between Police and Public.” </w:t>
      </w:r>
      <w:r>
        <w:rPr>
          <w:i/>
          <w:iCs/>
        </w:rPr>
        <w:t>Policing and Society</w:t>
      </w:r>
      <w:r>
        <w:t>, vol. 24, no. 1, 27 Sept. 2014, pp. 22–43, https://doi.org/10.1080/10439463.2012.724068.</w:t>
      </w:r>
    </w:p>
    <w:p w14:paraId="51085626" w14:textId="77777777" w:rsidR="00E90237" w:rsidRDefault="00E90237" w:rsidP="00E90237">
      <w:pPr>
        <w:pStyle w:val="NormalWeb"/>
        <w:spacing w:before="0" w:beforeAutospacing="0" w:after="0" w:afterAutospacing="0" w:line="480" w:lineRule="auto"/>
        <w:ind w:left="720" w:hanging="720"/>
      </w:pPr>
      <w:r>
        <w:t xml:space="preserve">Cockcroft, Tom. </w:t>
      </w:r>
      <w:r>
        <w:rPr>
          <w:i/>
          <w:iCs/>
        </w:rPr>
        <w:t>Police Occupational Culture: Research and Practice</w:t>
      </w:r>
      <w:r>
        <w:t>. 4 Mar. 2020, www-vlebooks-com.ezproxy.uwtsd.ac.uk/Product/Index/1846184?page=0&amp;startBookmarkId=-1. Accessed 15 Nov. 2023.</w:t>
      </w:r>
    </w:p>
    <w:p w14:paraId="47DDC90C" w14:textId="77777777" w:rsidR="00E90237" w:rsidRDefault="00E90237" w:rsidP="00E90237">
      <w:pPr>
        <w:pStyle w:val="NormalWeb"/>
        <w:spacing w:before="0" w:beforeAutospacing="0" w:after="0" w:afterAutospacing="0" w:line="480" w:lineRule="auto"/>
        <w:ind w:left="720" w:hanging="720"/>
      </w:pPr>
      <w:r>
        <w:t xml:space="preserve">Cordner, Gary. “Police Culture: Individual and Organizational Differences in Police Officer Perspectives.” </w:t>
      </w:r>
      <w:r>
        <w:rPr>
          <w:i/>
          <w:iCs/>
        </w:rPr>
        <w:t>Policing: An International Journal of Police Strategies &amp; Management</w:t>
      </w:r>
      <w:r>
        <w:t>, vol. 40, no. 1, 20 Mar. 2017, pp. 11–25, https://doi.org/10.1108/pijpsm-07-2016-0116.</w:t>
      </w:r>
    </w:p>
    <w:p w14:paraId="2276A8A7" w14:textId="77777777" w:rsidR="00E90237" w:rsidRDefault="00E90237" w:rsidP="00E90237">
      <w:pPr>
        <w:pStyle w:val="NormalWeb"/>
        <w:spacing w:before="0" w:beforeAutospacing="0" w:after="0" w:afterAutospacing="0" w:line="480" w:lineRule="auto"/>
        <w:ind w:left="720" w:hanging="720"/>
      </w:pPr>
      <w:r>
        <w:t xml:space="preserve">Home Office. “Police Workforce.” </w:t>
      </w:r>
      <w:r>
        <w:rPr>
          <w:i/>
          <w:iCs/>
        </w:rPr>
        <w:t>Service.gov.uk</w:t>
      </w:r>
      <w:r>
        <w:t>, 29 Jan. 2021, www.ethnicity-facts-figures.service.gov.uk/workforce-and-business/workforce-diversity/police-workforce/latest. Accessed 16 Nov. 2023.</w:t>
      </w:r>
    </w:p>
    <w:p w14:paraId="3D30D999" w14:textId="77777777" w:rsidR="00E90237" w:rsidRDefault="00E90237" w:rsidP="00E90237">
      <w:pPr>
        <w:pStyle w:val="NormalWeb"/>
        <w:spacing w:before="0" w:beforeAutospacing="0" w:after="0" w:afterAutospacing="0" w:line="480" w:lineRule="auto"/>
        <w:ind w:left="720" w:hanging="720"/>
      </w:pPr>
      <w:r>
        <w:t xml:space="preserve">Jacques, Paul. “Police Professional | “Institutional Racism Applies to South Wales Police”, Says Chief Constable.” </w:t>
      </w:r>
      <w:r>
        <w:rPr>
          <w:i/>
          <w:iCs/>
        </w:rPr>
        <w:t xml:space="preserve">Police </w:t>
      </w:r>
      <w:proofErr w:type="gramStart"/>
      <w:r>
        <w:rPr>
          <w:i/>
          <w:iCs/>
        </w:rPr>
        <w:t xml:space="preserve">Professional </w:t>
      </w:r>
      <w:r>
        <w:t>,</w:t>
      </w:r>
      <w:proofErr w:type="gramEnd"/>
      <w:r>
        <w:t xml:space="preserve"> 11 Oct. 2023, www.policeprofessional.com/news/institutional-racism-applies-to-south-wales-police-says-chief-constable/. Accessed 15 Nov. 2023.</w:t>
      </w:r>
    </w:p>
    <w:p w14:paraId="16188EA3" w14:textId="77777777" w:rsidR="00E90237" w:rsidRDefault="00E90237" w:rsidP="00E90237">
      <w:pPr>
        <w:pStyle w:val="NormalWeb"/>
        <w:spacing w:before="0" w:beforeAutospacing="0" w:after="0" w:afterAutospacing="0" w:line="480" w:lineRule="auto"/>
        <w:ind w:left="720" w:hanging="720"/>
      </w:pPr>
      <w:r>
        <w:t xml:space="preserve">Miles-Johnson, Toby. “Comparative Perceptions: How Female Officers in Two Australian Police Organizations View Policing of Diverse People.” </w:t>
      </w:r>
      <w:r>
        <w:rPr>
          <w:i/>
          <w:iCs/>
        </w:rPr>
        <w:t xml:space="preserve">Police Practice and </w:t>
      </w:r>
      <w:r>
        <w:rPr>
          <w:i/>
          <w:iCs/>
        </w:rPr>
        <w:lastRenderedPageBreak/>
        <w:t>Research</w:t>
      </w:r>
      <w:r>
        <w:t>, vol. 12, 16 Dec. 2020, pp. 1–20, https://doi.org/10.1080/15614263.2020.1861450. Accessed 23 Dec. 2020.</w:t>
      </w:r>
    </w:p>
    <w:p w14:paraId="4724C4B4" w14:textId="77777777" w:rsidR="00E90237" w:rsidRDefault="00E90237" w:rsidP="00E90237">
      <w:pPr>
        <w:pStyle w:val="NormalWeb"/>
        <w:spacing w:before="0" w:beforeAutospacing="0" w:after="0" w:afterAutospacing="0" w:line="480" w:lineRule="auto"/>
        <w:ind w:left="720" w:hanging="720"/>
      </w:pPr>
      <w:r>
        <w:t xml:space="preserve">Miles-Johnson, Toby, and Suzanna Fay. ““Being Diverse and Being Included, Don’t Go Together in Policing”—Diversity, Inclusion, and Australian Constables.” </w:t>
      </w:r>
      <w:r>
        <w:rPr>
          <w:i/>
          <w:iCs/>
        </w:rPr>
        <w:t>Societies</w:t>
      </w:r>
      <w:r>
        <w:t>, vol. 12, no. 4, 30 June 2022, p. 100, https://doi.org/10.3390/soc12040100. Accessed 16 Nov. 2023.</w:t>
      </w:r>
    </w:p>
    <w:p w14:paraId="689AFDC9" w14:textId="77777777" w:rsidR="00E90237" w:rsidRDefault="00E90237" w:rsidP="00E90237">
      <w:pPr>
        <w:pStyle w:val="NormalWeb"/>
        <w:spacing w:before="0" w:beforeAutospacing="0" w:after="0" w:afterAutospacing="0" w:line="480" w:lineRule="auto"/>
        <w:ind w:left="720" w:hanging="720"/>
      </w:pPr>
      <w:r>
        <w:t xml:space="preserve">Miles-Johnson, Toby, and Death Jodi. “Compensating for Sexual Identity: How LGB and Heterosexual Australian Police Officers Perceive Policing of LGBTIQ+ People.” </w:t>
      </w:r>
      <w:r>
        <w:rPr>
          <w:i/>
          <w:iCs/>
        </w:rPr>
        <w:t>Journal of Contemporary Criminal Justice</w:t>
      </w:r>
      <w:r>
        <w:t>, 14 Dec. 2019, p. 104398621989443, https://doi.org/10.1177/1043986219894431. Accessed 16 Nov. 2023.</w:t>
      </w:r>
    </w:p>
    <w:p w14:paraId="1D070467" w14:textId="7459C616" w:rsidR="00E90237" w:rsidRDefault="00E90237" w:rsidP="00E90237">
      <w:pPr>
        <w:pStyle w:val="NormalWeb"/>
        <w:spacing w:before="0" w:beforeAutospacing="0" w:after="0" w:afterAutospacing="0" w:line="480" w:lineRule="auto"/>
        <w:ind w:left="720" w:hanging="720"/>
      </w:pPr>
      <w:r>
        <w:t xml:space="preserve">Miller, Hilary, and Charlotte Rayner. “The Form and Function of “Bullying” Behaviours in a Strong Occupational Culture.” </w:t>
      </w:r>
      <w:r>
        <w:rPr>
          <w:i/>
          <w:iCs/>
        </w:rPr>
        <w:t>Group &amp; Organization Management</w:t>
      </w:r>
      <w:r>
        <w:t>, vol. 37, no. 3, June 2012, pp. 347–375, https://doi.org/10.1177/1059601112449476.</w:t>
      </w:r>
    </w:p>
    <w:p w14:paraId="3140AAFA" w14:textId="77777777" w:rsidR="00E90237" w:rsidRDefault="00E90237" w:rsidP="00E90237">
      <w:pPr>
        <w:pStyle w:val="NormalWeb"/>
        <w:spacing w:before="0" w:beforeAutospacing="0" w:after="0" w:afterAutospacing="0" w:line="480" w:lineRule="auto"/>
        <w:ind w:left="720" w:hanging="720"/>
      </w:pPr>
      <w:r>
        <w:t xml:space="preserve">Mullins, Laurie J, and Gill Christy. </w:t>
      </w:r>
      <w:r>
        <w:rPr>
          <w:i/>
          <w:iCs/>
        </w:rPr>
        <w:t>Management and Organisational Behaviour</w:t>
      </w:r>
      <w:r>
        <w:t>. 11th ed., Upper Saddle River, Pearson, 2016.</w:t>
      </w:r>
    </w:p>
    <w:p w14:paraId="18EBFE35" w14:textId="77777777" w:rsidR="00E90237" w:rsidRDefault="00E90237" w:rsidP="00E90237">
      <w:pPr>
        <w:pStyle w:val="NormalWeb"/>
        <w:spacing w:before="0" w:beforeAutospacing="0" w:after="0" w:afterAutospacing="0" w:line="480" w:lineRule="auto"/>
        <w:ind w:left="720" w:hanging="720"/>
      </w:pPr>
      <w:r>
        <w:t xml:space="preserve">The University of Edinburgh. “What Does Equality, Diversity, and Inclusion Mean?” </w:t>
      </w:r>
      <w:r>
        <w:rPr>
          <w:i/>
          <w:iCs/>
        </w:rPr>
        <w:t>School of Physics and Astronomy</w:t>
      </w:r>
      <w:r>
        <w:t>, The University of Edinburgh, 18 Mar. 2021, www.ph.ed.ac.uk/equality-diversity-and-inclusion/about-edi/what-does-equality-diversity-and-inclusion-mean.</w:t>
      </w:r>
    </w:p>
    <w:p w14:paraId="3083F260" w14:textId="44546829" w:rsidR="00E90237" w:rsidRDefault="00E90237" w:rsidP="00E90237">
      <w:pPr>
        <w:pStyle w:val="NormalWeb"/>
        <w:spacing w:before="0" w:beforeAutospacing="0" w:after="0" w:afterAutospacing="0" w:line="480" w:lineRule="auto"/>
        <w:ind w:left="720" w:hanging="720"/>
      </w:pPr>
      <w:proofErr w:type="spellStart"/>
      <w:r>
        <w:t>Zempi</w:t>
      </w:r>
      <w:proofErr w:type="spellEnd"/>
      <w:r>
        <w:t xml:space="preserve">, Irene. ““Looking Back, I Wouldn’t Join up Again”: The Lived Experiences of Police Officers as Victims of Bias and Prejudice Perpetrated by Fellow Staff within an English Police Force.” </w:t>
      </w:r>
      <w:r>
        <w:rPr>
          <w:i/>
          <w:iCs/>
        </w:rPr>
        <w:t>Police Practice and Research</w:t>
      </w:r>
      <w:r>
        <w:t xml:space="preserve">, vol. 21, no. 1, 25 Sept. 2018, pp. 1–16, </w:t>
      </w:r>
      <w:hyperlink r:id="rId7" w:history="1">
        <w:r w:rsidR="00042F39" w:rsidRPr="00957446">
          <w:rPr>
            <w:rStyle w:val="Hyperlink"/>
          </w:rPr>
          <w:t>https://doi.org/10.1080/15614263.2018.1525381</w:t>
        </w:r>
      </w:hyperlink>
      <w:r>
        <w:t>.</w:t>
      </w:r>
    </w:p>
    <w:p w14:paraId="47F60121" w14:textId="77777777" w:rsidR="00042F39" w:rsidRDefault="00042F39" w:rsidP="00E90237">
      <w:pPr>
        <w:pStyle w:val="NormalWeb"/>
        <w:spacing w:before="0" w:beforeAutospacing="0" w:after="0" w:afterAutospacing="0" w:line="480" w:lineRule="auto"/>
        <w:ind w:left="720" w:hanging="720"/>
      </w:pPr>
    </w:p>
    <w:p w14:paraId="0AB59284" w14:textId="77777777" w:rsidR="00042F39" w:rsidRDefault="00042F39" w:rsidP="00E90237">
      <w:pPr>
        <w:pStyle w:val="NormalWeb"/>
        <w:spacing w:before="0" w:beforeAutospacing="0" w:after="0" w:afterAutospacing="0" w:line="480" w:lineRule="auto"/>
        <w:ind w:left="720" w:hanging="720"/>
      </w:pPr>
    </w:p>
    <w:p w14:paraId="41AD130F" w14:textId="77777777" w:rsidR="00042F39" w:rsidRPr="00E24FC3" w:rsidRDefault="00042F39" w:rsidP="00042F39">
      <w:pPr>
        <w:pStyle w:val="Default"/>
        <w:rPr>
          <w:rFonts w:ascii="Tahoma" w:hAnsi="Tahoma" w:cs="Tahoma"/>
          <w:sz w:val="22"/>
          <w:szCs w:val="22"/>
        </w:rPr>
      </w:pPr>
      <w:r w:rsidRPr="00E24FC3">
        <w:rPr>
          <w:rFonts w:ascii="Tahoma" w:hAnsi="Tahoma" w:cs="Tahoma"/>
          <w:b/>
          <w:bCs/>
          <w:sz w:val="22"/>
          <w:szCs w:val="22"/>
        </w:rPr>
        <w:lastRenderedPageBreak/>
        <w:t xml:space="preserve">Essay two: </w:t>
      </w:r>
    </w:p>
    <w:p w14:paraId="27C10576" w14:textId="77777777" w:rsidR="00042F39" w:rsidRPr="00E24FC3" w:rsidRDefault="00042F39" w:rsidP="00042F39">
      <w:pPr>
        <w:pStyle w:val="Default"/>
        <w:spacing w:line="360" w:lineRule="auto"/>
        <w:rPr>
          <w:rFonts w:ascii="Tahoma" w:hAnsi="Tahoma" w:cs="Tahoma"/>
          <w:sz w:val="22"/>
          <w:szCs w:val="22"/>
        </w:rPr>
      </w:pPr>
    </w:p>
    <w:p w14:paraId="32FB3FA2" w14:textId="77777777" w:rsidR="00042F39" w:rsidRDefault="00042F39" w:rsidP="00042F39">
      <w:pPr>
        <w:pStyle w:val="Default"/>
        <w:spacing w:line="360" w:lineRule="auto"/>
        <w:rPr>
          <w:rFonts w:ascii="Tahoma" w:hAnsi="Tahoma" w:cs="Tahoma"/>
          <w:sz w:val="22"/>
          <w:szCs w:val="22"/>
        </w:rPr>
      </w:pPr>
      <w:r w:rsidRPr="00E24FC3">
        <w:rPr>
          <w:rFonts w:ascii="Tahoma" w:hAnsi="Tahoma" w:cs="Tahoma"/>
          <w:b/>
          <w:bCs/>
          <w:sz w:val="22"/>
          <w:szCs w:val="22"/>
        </w:rPr>
        <w:t xml:space="preserve">Response policing </w:t>
      </w:r>
      <w:r w:rsidRPr="00E24FC3">
        <w:rPr>
          <w:rFonts w:ascii="Tahoma" w:hAnsi="Tahoma" w:cs="Tahoma"/>
          <w:sz w:val="22"/>
          <w:szCs w:val="22"/>
        </w:rPr>
        <w:t xml:space="preserve">– critically evaluate the role of response officers in dealing with critical/major incidents. </w:t>
      </w:r>
    </w:p>
    <w:p w14:paraId="6BC4F36E" w14:textId="77777777" w:rsidR="00042F39" w:rsidRPr="00E24FC3" w:rsidRDefault="00042F39" w:rsidP="00042F39">
      <w:pPr>
        <w:pStyle w:val="Default"/>
        <w:spacing w:line="360" w:lineRule="auto"/>
        <w:rPr>
          <w:rFonts w:ascii="Tahoma" w:hAnsi="Tahoma" w:cs="Tahoma"/>
          <w:sz w:val="22"/>
          <w:szCs w:val="22"/>
        </w:rPr>
      </w:pPr>
    </w:p>
    <w:p w14:paraId="7DBBAB08" w14:textId="77777777" w:rsidR="00042F39" w:rsidRPr="00E24FC3" w:rsidRDefault="00042F39" w:rsidP="00042F39">
      <w:pPr>
        <w:pStyle w:val="Default"/>
        <w:spacing w:line="360" w:lineRule="auto"/>
        <w:rPr>
          <w:rFonts w:ascii="Tahoma" w:hAnsi="Tahoma" w:cs="Tahoma"/>
          <w:sz w:val="22"/>
          <w:szCs w:val="22"/>
        </w:rPr>
      </w:pPr>
      <w:r w:rsidRPr="00E24FC3">
        <w:rPr>
          <w:rFonts w:ascii="Tahoma" w:hAnsi="Tahoma" w:cs="Tahoma"/>
          <w:b/>
          <w:bCs/>
          <w:sz w:val="22"/>
          <w:szCs w:val="22"/>
        </w:rPr>
        <w:t xml:space="preserve">Word limit: </w:t>
      </w:r>
      <w:r w:rsidRPr="00E24FC3">
        <w:rPr>
          <w:rFonts w:ascii="Tahoma" w:hAnsi="Tahoma" w:cs="Tahoma"/>
          <w:sz w:val="22"/>
          <w:szCs w:val="22"/>
        </w:rPr>
        <w:t>1000 words</w:t>
      </w:r>
    </w:p>
    <w:p w14:paraId="239D5DA6" w14:textId="77777777" w:rsidR="00042F39" w:rsidRDefault="00042F39" w:rsidP="00042F39">
      <w:pPr>
        <w:spacing w:line="360" w:lineRule="auto"/>
      </w:pPr>
    </w:p>
    <w:p w14:paraId="671E7A00" w14:textId="77777777" w:rsidR="00042F39" w:rsidRDefault="00042F39" w:rsidP="00042F39">
      <w:pPr>
        <w:spacing w:line="360" w:lineRule="auto"/>
        <w:rPr>
          <w:rFonts w:ascii="Tahoma" w:hAnsi="Tahoma" w:cs="Tahoma"/>
        </w:rPr>
      </w:pPr>
      <w:r>
        <w:rPr>
          <w:rFonts w:ascii="Tahoma" w:hAnsi="Tahoma" w:cs="Tahoma"/>
        </w:rPr>
        <w:t xml:space="preserve">The front-line officers responding to the requests of citizens face variety of incidents. The involvement of every officer has impact on persons directly involved in the incident but also on their </w:t>
      </w:r>
      <w:proofErr w:type="gramStart"/>
      <w:r>
        <w:rPr>
          <w:rFonts w:ascii="Tahoma" w:hAnsi="Tahoma" w:cs="Tahoma"/>
        </w:rPr>
        <w:t>families</w:t>
      </w:r>
      <w:proofErr w:type="gramEnd"/>
      <w:r>
        <w:rPr>
          <w:rFonts w:ascii="Tahoma" w:hAnsi="Tahoma" w:cs="Tahoma"/>
        </w:rPr>
        <w:t xml:space="preserve"> friends, and neighbours. To critically evaluate the role of front-line officers in response to major or critical incident author of this essay will define both types of incidents, outline the role of first responders and assess involvement of the response officers.</w:t>
      </w:r>
    </w:p>
    <w:p w14:paraId="173B43E5" w14:textId="77777777" w:rsidR="00042F39" w:rsidRDefault="00042F39" w:rsidP="00042F39">
      <w:pPr>
        <w:spacing w:line="360" w:lineRule="auto"/>
        <w:rPr>
          <w:rFonts w:ascii="Tahoma" w:hAnsi="Tahoma" w:cs="Tahoma"/>
        </w:rPr>
      </w:pPr>
      <w:r>
        <w:rPr>
          <w:rFonts w:ascii="Tahoma" w:hAnsi="Tahoma" w:cs="Tahoma"/>
        </w:rPr>
        <w:t xml:space="preserve">The </w:t>
      </w:r>
      <w:r w:rsidRPr="003B6268">
        <w:rPr>
          <w:rFonts w:ascii="Tahoma" w:hAnsi="Tahoma" w:cs="Tahoma"/>
        </w:rPr>
        <w:t xml:space="preserve">College of Policing (2018) </w:t>
      </w:r>
      <w:r>
        <w:rPr>
          <w:rFonts w:ascii="Tahoma" w:hAnsi="Tahoma" w:cs="Tahoma"/>
        </w:rPr>
        <w:t>define major incident as situation were one or more of the emergency services are involved, and the major incidents plans are necessary to be implemented. Usually, dealing with major incidents require involvement of large numbers of units engaged in planning, coordination and service delivery. Within police the command is associated accordingly with gold, silver and bronze inspectors who coordinate and supervise actions of front-line officers. Respectfully to the character of the incident most suitable emergency service would take the lead.</w:t>
      </w:r>
    </w:p>
    <w:p w14:paraId="57A85F43" w14:textId="77777777" w:rsidR="00042F39" w:rsidRDefault="00042F39" w:rsidP="00042F39">
      <w:pPr>
        <w:spacing w:line="360" w:lineRule="auto"/>
        <w:rPr>
          <w:rFonts w:ascii="Arial" w:hAnsi="Arial" w:cs="Arial"/>
          <w:i/>
          <w:iCs/>
          <w:color w:val="000000"/>
          <w:spacing w:val="3"/>
          <w:sz w:val="27"/>
          <w:szCs w:val="27"/>
        </w:rPr>
      </w:pPr>
      <w:r>
        <w:rPr>
          <w:rFonts w:ascii="Tahoma" w:hAnsi="Tahoma" w:cs="Tahoma"/>
        </w:rPr>
        <w:t xml:space="preserve">Critical incident is described by the College of Policing (2021) as </w:t>
      </w:r>
      <w:r w:rsidRPr="00EB7A8C">
        <w:rPr>
          <w:rFonts w:ascii="Tahoma" w:hAnsi="Tahoma" w:cs="Tahoma"/>
        </w:rPr>
        <w:t>“</w:t>
      </w:r>
      <w:r w:rsidRPr="00EB7A8C">
        <w:rPr>
          <w:rFonts w:ascii="Tahoma" w:hAnsi="Tahoma" w:cs="Tahoma"/>
          <w:i/>
          <w:iCs/>
          <w:color w:val="000000"/>
          <w:spacing w:val="3"/>
        </w:rPr>
        <w:t>any incident where the effectiveness of the police response is likely to have a significant impact on the confidence of the victim, their family and/or the community”</w:t>
      </w:r>
      <w:r w:rsidRPr="00EB7A8C">
        <w:rPr>
          <w:rFonts w:ascii="Arial" w:hAnsi="Arial" w:cs="Arial"/>
          <w:i/>
          <w:iCs/>
          <w:color w:val="000000"/>
          <w:spacing w:val="3"/>
          <w:sz w:val="27"/>
          <w:szCs w:val="27"/>
        </w:rPr>
        <w:t>.</w:t>
      </w:r>
    </w:p>
    <w:p w14:paraId="715B7A95" w14:textId="77777777" w:rsidR="00042F39" w:rsidRDefault="00042F39" w:rsidP="00042F39">
      <w:pPr>
        <w:spacing w:line="360" w:lineRule="auto"/>
        <w:rPr>
          <w:rFonts w:ascii="Tahoma" w:hAnsi="Tahoma" w:cs="Tahoma"/>
        </w:rPr>
      </w:pPr>
      <w:r w:rsidRPr="003B01B1">
        <w:rPr>
          <w:rFonts w:ascii="Tahoma" w:hAnsi="Tahoma" w:cs="Tahoma"/>
        </w:rPr>
        <w:t xml:space="preserve">Every incident </w:t>
      </w:r>
      <w:r>
        <w:rPr>
          <w:rFonts w:ascii="Tahoma" w:hAnsi="Tahoma" w:cs="Tahoma"/>
        </w:rPr>
        <w:t>has potential to</w:t>
      </w:r>
      <w:r w:rsidRPr="003B01B1">
        <w:rPr>
          <w:rFonts w:ascii="Tahoma" w:hAnsi="Tahoma" w:cs="Tahoma"/>
        </w:rPr>
        <w:t xml:space="preserve"> become critical, </w:t>
      </w:r>
      <w:r>
        <w:rPr>
          <w:rFonts w:ascii="Tahoma" w:hAnsi="Tahoma" w:cs="Tahoma"/>
        </w:rPr>
        <w:t>therefore</w:t>
      </w:r>
      <w:r w:rsidRPr="003B01B1">
        <w:rPr>
          <w:rFonts w:ascii="Tahoma" w:hAnsi="Tahoma" w:cs="Tahoma"/>
        </w:rPr>
        <w:t xml:space="preserve"> the role of </w:t>
      </w:r>
      <w:r>
        <w:rPr>
          <w:rFonts w:ascii="Tahoma" w:hAnsi="Tahoma" w:cs="Tahoma"/>
        </w:rPr>
        <w:t xml:space="preserve">response </w:t>
      </w:r>
      <w:r w:rsidRPr="003B01B1">
        <w:rPr>
          <w:rFonts w:ascii="Tahoma" w:hAnsi="Tahoma" w:cs="Tahoma"/>
        </w:rPr>
        <w:t xml:space="preserve">officers who </w:t>
      </w:r>
      <w:r>
        <w:rPr>
          <w:rFonts w:ascii="Tahoma" w:hAnsi="Tahoma" w:cs="Tahoma"/>
        </w:rPr>
        <w:t xml:space="preserve">arrive at the incident location first and assess the significance of the situation </w:t>
      </w:r>
      <w:r w:rsidRPr="003B01B1">
        <w:rPr>
          <w:rFonts w:ascii="Tahoma" w:hAnsi="Tahoma" w:cs="Tahoma"/>
        </w:rPr>
        <w:t xml:space="preserve">is crucial. </w:t>
      </w:r>
      <w:r>
        <w:rPr>
          <w:rFonts w:ascii="Tahoma" w:hAnsi="Tahoma" w:cs="Tahoma"/>
        </w:rPr>
        <w:t>At the time of the report operator</w:t>
      </w:r>
      <w:r w:rsidRPr="003B01B1">
        <w:rPr>
          <w:rFonts w:ascii="Tahoma" w:hAnsi="Tahoma" w:cs="Tahoma"/>
        </w:rPr>
        <w:t xml:space="preserve"> </w:t>
      </w:r>
      <w:r>
        <w:rPr>
          <w:rFonts w:ascii="Tahoma" w:hAnsi="Tahoma" w:cs="Tahoma"/>
        </w:rPr>
        <w:t xml:space="preserve">has only brief description of the event. </w:t>
      </w:r>
      <w:r w:rsidRPr="003B01B1">
        <w:rPr>
          <w:rFonts w:ascii="Tahoma" w:hAnsi="Tahoma" w:cs="Tahoma"/>
        </w:rPr>
        <w:t>The importan</w:t>
      </w:r>
      <w:r>
        <w:rPr>
          <w:rFonts w:ascii="Tahoma" w:hAnsi="Tahoma" w:cs="Tahoma"/>
        </w:rPr>
        <w:t>ce of the</w:t>
      </w:r>
      <w:r w:rsidRPr="003B01B1">
        <w:rPr>
          <w:rFonts w:ascii="Tahoma" w:hAnsi="Tahoma" w:cs="Tahoma"/>
        </w:rPr>
        <w:t xml:space="preserve"> role of the response officer</w:t>
      </w:r>
      <w:r>
        <w:rPr>
          <w:rFonts w:ascii="Tahoma" w:hAnsi="Tahoma" w:cs="Tahoma"/>
        </w:rPr>
        <w:t>s</w:t>
      </w:r>
      <w:r w:rsidRPr="003B01B1">
        <w:rPr>
          <w:rFonts w:ascii="Tahoma" w:hAnsi="Tahoma" w:cs="Tahoma"/>
        </w:rPr>
        <w:t xml:space="preserve"> is to</w:t>
      </w:r>
      <w:r>
        <w:rPr>
          <w:rFonts w:ascii="Tahoma" w:hAnsi="Tahoma" w:cs="Tahoma"/>
        </w:rPr>
        <w:t xml:space="preserve"> assess the severity of the incident and necessity to declare a major incident. The major incident needs to be recognised and dealt with accordingly. The three phases management plan would be implemented during the critical incidents, according to following order: phase of preparation to critical incident, management stage and third one being restoring public confidence (College of Policing, 2021).</w:t>
      </w:r>
    </w:p>
    <w:p w14:paraId="5D7A9FE3" w14:textId="77777777" w:rsidR="00042F39" w:rsidRPr="00FC3D66" w:rsidRDefault="00042F39" w:rsidP="00042F39">
      <w:pPr>
        <w:spacing w:line="360" w:lineRule="auto"/>
        <w:rPr>
          <w:rFonts w:ascii="Tahoma" w:hAnsi="Tahoma" w:cs="Tahoma"/>
        </w:rPr>
      </w:pPr>
      <w:r>
        <w:rPr>
          <w:rFonts w:ascii="Tahoma" w:hAnsi="Tahoma" w:cs="Tahoma"/>
        </w:rPr>
        <w:lastRenderedPageBreak/>
        <w:t xml:space="preserve">The tragical death of </w:t>
      </w:r>
      <w:r w:rsidRPr="00FC3D66">
        <w:rPr>
          <w:rFonts w:ascii="Tahoma" w:hAnsi="Tahoma" w:cs="Tahoma"/>
          <w:shd w:val="clear" w:color="auto" w:fill="FFFFFF"/>
        </w:rPr>
        <w:t>George Floyd who died on 25th May 20</w:t>
      </w:r>
      <w:r>
        <w:rPr>
          <w:rFonts w:ascii="Tahoma" w:hAnsi="Tahoma" w:cs="Tahoma"/>
          <w:shd w:val="clear" w:color="auto" w:fill="FFFFFF"/>
        </w:rPr>
        <w:t xml:space="preserve">20, after being killed by police officer initiated global wave of protests under common “Black Lives Matter” motto </w:t>
      </w:r>
      <w:r w:rsidRPr="00FC3D66">
        <w:rPr>
          <w:rFonts w:ascii="Tahoma" w:hAnsi="Tahoma" w:cs="Tahoma"/>
        </w:rPr>
        <w:t>(Joseph–Salisbury et al.</w:t>
      </w:r>
      <w:r>
        <w:rPr>
          <w:rFonts w:ascii="Tahoma" w:hAnsi="Tahoma" w:cs="Tahoma"/>
        </w:rPr>
        <w:t xml:space="preserve"> 2020</w:t>
      </w:r>
      <w:r w:rsidRPr="00FC3D66">
        <w:rPr>
          <w:rFonts w:ascii="Tahoma" w:hAnsi="Tahoma" w:cs="Tahoma"/>
        </w:rPr>
        <w:t>)</w:t>
      </w:r>
      <w:r>
        <w:rPr>
          <w:rFonts w:ascii="Tahoma" w:hAnsi="Tahoma" w:cs="Tahoma"/>
        </w:rPr>
        <w:t xml:space="preserve">. Where no one would dare to argue over significance of the situation, death of George Floyd was one of many deaths after police contact. According to DeAngelis (2021), in 2019 in US 1098 people lost their life after police intervention. These indicates the significant role of first line responders and incidents becoming critical in nature.  After Floyd’s death the third phase of critical incident management plan for the police in US will be extended. </w:t>
      </w:r>
    </w:p>
    <w:p w14:paraId="4454A7BF" w14:textId="77777777" w:rsidR="00042F39" w:rsidRDefault="00042F39" w:rsidP="00042F39">
      <w:pPr>
        <w:pStyle w:val="NormalWeb"/>
        <w:shd w:val="clear" w:color="auto" w:fill="FFFFFF"/>
        <w:spacing w:before="0" w:beforeAutospacing="0" w:after="0" w:afterAutospacing="0" w:line="360" w:lineRule="auto"/>
        <w:rPr>
          <w:rFonts w:ascii="Tahoma" w:hAnsi="Tahoma" w:cs="Tahoma"/>
          <w:sz w:val="22"/>
          <w:szCs w:val="22"/>
        </w:rPr>
      </w:pPr>
      <w:r w:rsidRPr="008863B1">
        <w:rPr>
          <w:rFonts w:ascii="Tahoma" w:hAnsi="Tahoma" w:cs="Tahoma"/>
          <w:sz w:val="22"/>
          <w:szCs w:val="22"/>
        </w:rPr>
        <w:t>The complexity and variety of each major incident makes it challenging to respond however the appropriate education for major incidents remains only little part of police t</w:t>
      </w:r>
      <w:r>
        <w:rPr>
          <w:rFonts w:ascii="Tahoma" w:hAnsi="Tahoma" w:cs="Tahoma"/>
          <w:sz w:val="22"/>
          <w:szCs w:val="22"/>
        </w:rPr>
        <w:t>rain</w:t>
      </w:r>
      <w:r w:rsidRPr="008863B1">
        <w:rPr>
          <w:rFonts w:ascii="Tahoma" w:hAnsi="Tahoma" w:cs="Tahoma"/>
          <w:sz w:val="22"/>
          <w:szCs w:val="22"/>
        </w:rPr>
        <w:t xml:space="preserve">ing. The role of police responders during major incidents includes management of the crisis. The officer facing the incident is required using NDM to assess the situation and transfer all information over the air to control room. It is essential to establish access routes, character of the incident, number of casualties and request other required emergency services to attend. The communication on the scene plays pivotal role to ensure effective collaboration with other services and integrated response. </w:t>
      </w:r>
    </w:p>
    <w:p w14:paraId="7EB433E2" w14:textId="77777777" w:rsidR="00042F39" w:rsidRPr="00E15A0A" w:rsidRDefault="00042F39" w:rsidP="00042F39">
      <w:pPr>
        <w:pStyle w:val="NormalWeb"/>
        <w:shd w:val="clear" w:color="auto" w:fill="FFFFFF"/>
        <w:spacing w:before="0" w:beforeAutospacing="0" w:after="0" w:afterAutospacing="0" w:line="360" w:lineRule="auto"/>
        <w:rPr>
          <w:rFonts w:ascii="Tahoma" w:eastAsiaTheme="minorHAnsi" w:hAnsi="Tahoma" w:cs="Tahoma"/>
          <w:kern w:val="2"/>
          <w:sz w:val="22"/>
          <w:szCs w:val="22"/>
          <w:lang w:eastAsia="en-US"/>
          <w14:ligatures w14:val="standardContextual"/>
        </w:rPr>
      </w:pPr>
      <w:r>
        <w:rPr>
          <w:rFonts w:ascii="Tahoma" w:hAnsi="Tahoma" w:cs="Tahoma"/>
          <w:sz w:val="22"/>
          <w:szCs w:val="22"/>
        </w:rPr>
        <w:t xml:space="preserve">Study of Lennquist et al (2014) reveals that the most common cause of failure in response to the major incident is effective communication between responding units from variety of emergency services and that the effective response has potential to be interactively trained with utilisation of the simulation models. Similarly, research of Huhta </w:t>
      </w:r>
      <w:r w:rsidRPr="00E15A0A">
        <w:rPr>
          <w:rFonts w:ascii="Tahoma" w:hAnsi="Tahoma" w:cs="Tahoma"/>
          <w:sz w:val="22"/>
          <w:szCs w:val="22"/>
        </w:rPr>
        <w:t>et al (2021)</w:t>
      </w:r>
      <w:r>
        <w:rPr>
          <w:rFonts w:ascii="Tahoma" w:eastAsiaTheme="minorHAnsi" w:hAnsi="Tahoma" w:cs="Tahoma"/>
          <w:kern w:val="2"/>
          <w:sz w:val="22"/>
          <w:szCs w:val="22"/>
          <w:lang w:eastAsia="en-US"/>
          <w14:ligatures w14:val="standardContextual"/>
        </w:rPr>
        <w:t xml:space="preserve"> indicates that improved training based on understanding role of the emotions on decision making in stressful situations, could impact positively on response officers’ performance and situational awareness (Stanton et al. 2017). </w:t>
      </w:r>
    </w:p>
    <w:p w14:paraId="62375BB6" w14:textId="77777777" w:rsidR="00042F39" w:rsidRDefault="00042F39" w:rsidP="00042F39">
      <w:pPr>
        <w:spacing w:line="360" w:lineRule="auto"/>
        <w:rPr>
          <w:rFonts w:ascii="Tahoma" w:hAnsi="Tahoma" w:cs="Tahoma"/>
        </w:rPr>
      </w:pPr>
      <w:r>
        <w:rPr>
          <w:rFonts w:ascii="Tahoma" w:hAnsi="Tahoma" w:cs="Tahoma"/>
        </w:rPr>
        <w:t xml:space="preserve">In case of major incidents with numerous casualties, life of the victims is priority, police role would be reduced, however important and essential. Decision making time is crucial in the response to a major incident. The decision made by officers and other emergency services while on the scene of the incident are crucial and as stated by </w:t>
      </w:r>
      <w:proofErr w:type="spellStart"/>
      <w:r>
        <w:rPr>
          <w:rFonts w:ascii="Tahoma" w:hAnsi="Tahoma" w:cs="Tahoma"/>
        </w:rPr>
        <w:t>Tzenios</w:t>
      </w:r>
      <w:proofErr w:type="spellEnd"/>
      <w:r>
        <w:rPr>
          <w:rFonts w:ascii="Tahoma" w:hAnsi="Tahoma" w:cs="Tahoma"/>
        </w:rPr>
        <w:t xml:space="preserve"> (2022) could determine how many humans’ life may possibly be lost. T</w:t>
      </w:r>
      <w:r w:rsidRPr="00A078F6">
        <w:rPr>
          <w:rFonts w:ascii="Tahoma" w:hAnsi="Tahoma" w:cs="Tahoma"/>
        </w:rPr>
        <w:t>he role</w:t>
      </w:r>
      <w:r>
        <w:rPr>
          <w:rFonts w:ascii="Tahoma" w:hAnsi="Tahoma" w:cs="Tahoma"/>
        </w:rPr>
        <w:t xml:space="preserve"> of response officers</w:t>
      </w:r>
      <w:r w:rsidRPr="00A078F6">
        <w:rPr>
          <w:rFonts w:ascii="Tahoma" w:hAnsi="Tahoma" w:cs="Tahoma"/>
        </w:rPr>
        <w:t xml:space="preserve"> would include securing a large area with an external cordon. The inner cordon will be located close to the centre of the incident. Officers would make sure that only required personnel with suitable protective equipment would have access to the victim.</w:t>
      </w:r>
    </w:p>
    <w:p w14:paraId="00C643A4" w14:textId="77777777" w:rsidR="00042F39" w:rsidRPr="008863B1" w:rsidRDefault="00042F39" w:rsidP="00042F39">
      <w:pPr>
        <w:pStyle w:val="NormalWeb"/>
        <w:shd w:val="clear" w:color="auto" w:fill="FFFFFF"/>
        <w:spacing w:before="0" w:beforeAutospacing="0" w:after="0" w:afterAutospacing="0" w:line="360" w:lineRule="auto"/>
        <w:rPr>
          <w:rFonts w:ascii="Tahoma" w:hAnsi="Tahoma" w:cs="Tahoma"/>
          <w:sz w:val="22"/>
          <w:szCs w:val="22"/>
        </w:rPr>
      </w:pPr>
    </w:p>
    <w:p w14:paraId="511D9AFB" w14:textId="77777777" w:rsidR="00042F39" w:rsidRDefault="00042F39" w:rsidP="00042F39">
      <w:pPr>
        <w:spacing w:line="360" w:lineRule="auto"/>
        <w:rPr>
          <w:rFonts w:ascii="Tahoma" w:hAnsi="Tahoma" w:cs="Tahoma"/>
        </w:rPr>
      </w:pPr>
      <w:r>
        <w:rPr>
          <w:rFonts w:ascii="Tahoma" w:hAnsi="Tahoma" w:cs="Tahoma"/>
        </w:rPr>
        <w:t xml:space="preserve">Maintaining public safety is another role of response officers attending major incident. This task is integral part of the everyday policing however during the major incident its </w:t>
      </w:r>
      <w:r>
        <w:rPr>
          <w:rFonts w:ascii="Tahoma" w:hAnsi="Tahoma" w:cs="Tahoma"/>
        </w:rPr>
        <w:lastRenderedPageBreak/>
        <w:t xml:space="preserve">significance increase, and officers’ role is to prevent further injuries and casualties. Officers are responsible for rescuing survivors, evacuation public from the endangered areas. Police presence at the scene and directing movement of people act as reassurance and aids in restoration of a security perception during the challenging times. Another part of responding to critical incident is intelligence gathering. Out of all emergency services responding to a major incident, only police would need to </w:t>
      </w:r>
      <w:r w:rsidRPr="003B01B1">
        <w:rPr>
          <w:rFonts w:ascii="Tahoma" w:hAnsi="Tahoma" w:cs="Tahoma"/>
        </w:rPr>
        <w:t xml:space="preserve">make </w:t>
      </w:r>
      <w:r>
        <w:rPr>
          <w:rFonts w:ascii="Tahoma" w:hAnsi="Tahoma" w:cs="Tahoma"/>
        </w:rPr>
        <w:t>e</w:t>
      </w:r>
      <w:r w:rsidRPr="003B01B1">
        <w:rPr>
          <w:rFonts w:ascii="Tahoma" w:hAnsi="Tahoma" w:cs="Tahoma"/>
        </w:rPr>
        <w:t>nquiries over existing underlying issues that led to the situation where police response has been deem</w:t>
      </w:r>
      <w:r>
        <w:rPr>
          <w:rFonts w:ascii="Tahoma" w:hAnsi="Tahoma" w:cs="Tahoma"/>
        </w:rPr>
        <w:t>ed</w:t>
      </w:r>
      <w:r w:rsidRPr="003B01B1">
        <w:rPr>
          <w:rFonts w:ascii="Tahoma" w:hAnsi="Tahoma" w:cs="Tahoma"/>
        </w:rPr>
        <w:t xml:space="preserve"> necessary.</w:t>
      </w:r>
      <w:r>
        <w:rPr>
          <w:rFonts w:ascii="Tahoma" w:hAnsi="Tahoma" w:cs="Tahoma"/>
        </w:rPr>
        <w:t xml:space="preserve"> It is the role of response officer to investigate whether the major or critical incident has been caused by crime and whether the incident location is also a crime scene </w:t>
      </w:r>
      <w:r w:rsidRPr="00371FCD">
        <w:rPr>
          <w:rFonts w:ascii="Tahoma" w:hAnsi="Tahoma" w:cs="Tahoma"/>
        </w:rPr>
        <w:t>(Wood et al.</w:t>
      </w:r>
      <w:r>
        <w:rPr>
          <w:rFonts w:ascii="Tahoma" w:hAnsi="Tahoma" w:cs="Tahoma"/>
        </w:rPr>
        <w:t xml:space="preserve"> 2022). This aspect of police role in dealing with the critical incident aids to investigate the causes of existing situations. It is highly important in case of a terroristic attack where gathering intelligence may significantly increase discovery of responsible individuals or organizations. Intelligence gathering and analysis allows better decision making to mitigate the impact of incident or prevent further potential harm. The role of the response officers involves also maintaining order and promoting community resilience by active engagement with communities and individuals. It is police role to provide information, address concerns and offer support required in times of crisis. </w:t>
      </w:r>
    </w:p>
    <w:p w14:paraId="77CF760F" w14:textId="77777777" w:rsidR="00042F39" w:rsidRDefault="00042F39" w:rsidP="00042F39">
      <w:pPr>
        <w:spacing w:line="360" w:lineRule="auto"/>
        <w:rPr>
          <w:rFonts w:ascii="Tahoma" w:hAnsi="Tahoma" w:cs="Tahoma"/>
        </w:rPr>
      </w:pPr>
      <w:r>
        <w:rPr>
          <w:rFonts w:ascii="Tahoma" w:hAnsi="Tahoma" w:cs="Tahoma"/>
        </w:rPr>
        <w:t xml:space="preserve">The first-line officer’s role in responding to major/crisis incident is complex and requires multiple skills. To adequately assess the situation, communicate effectively, make formal and significant decisions, maintain the public safety, coordinate movements and actions of other emergency services, to gather intelligence and being empathetic for all involved in the incident individuals requires a high level of situational awareness and knowledge. As concluded by Lennquist et al. (2014), Stanton et al. (2017), and Hutha et al. (2021) tailored simulative training implemented amongst emergency services, including police, would diminish the most common reason for failure in response to major incidents. Previously mention studies imply the significance of trained emotional awareness affecting time and quality of decisions making, those having direct impact on numbers of save or lost life during the major incident. </w:t>
      </w:r>
    </w:p>
    <w:p w14:paraId="6CF111CF" w14:textId="77777777" w:rsidR="00042F39" w:rsidRPr="00AE0D0F" w:rsidRDefault="00042F39" w:rsidP="00042F39">
      <w:pPr>
        <w:rPr>
          <w:rFonts w:ascii="Tahoma" w:hAnsi="Tahoma" w:cs="Tahoma"/>
          <w:b/>
          <w:bCs/>
        </w:rPr>
      </w:pPr>
      <w:r w:rsidRPr="00AE0D0F">
        <w:rPr>
          <w:rFonts w:ascii="Tahoma" w:hAnsi="Tahoma" w:cs="Tahoma"/>
          <w:b/>
          <w:bCs/>
        </w:rPr>
        <w:t>Word count: 1103</w:t>
      </w:r>
    </w:p>
    <w:p w14:paraId="774535D8" w14:textId="77777777" w:rsidR="00042F39" w:rsidRDefault="00042F39" w:rsidP="00042F39">
      <w:pPr>
        <w:rPr>
          <w:rFonts w:ascii="Tahoma" w:hAnsi="Tahoma" w:cs="Tahoma"/>
        </w:rPr>
      </w:pPr>
    </w:p>
    <w:p w14:paraId="79FDCF41" w14:textId="77777777" w:rsidR="00042F39" w:rsidRDefault="00042F39" w:rsidP="00042F39">
      <w:pPr>
        <w:rPr>
          <w:rFonts w:ascii="Tahoma" w:hAnsi="Tahoma" w:cs="Tahoma"/>
          <w:b/>
          <w:bCs/>
        </w:rPr>
      </w:pPr>
    </w:p>
    <w:p w14:paraId="6DA892E5" w14:textId="77777777" w:rsidR="00042F39" w:rsidRDefault="00042F39" w:rsidP="00042F39">
      <w:pPr>
        <w:rPr>
          <w:rFonts w:ascii="Tahoma" w:hAnsi="Tahoma" w:cs="Tahoma"/>
          <w:b/>
          <w:bCs/>
        </w:rPr>
      </w:pPr>
    </w:p>
    <w:p w14:paraId="79BC82C9" w14:textId="77777777" w:rsidR="00042F39" w:rsidRDefault="00042F39" w:rsidP="00042F39">
      <w:pPr>
        <w:rPr>
          <w:rFonts w:ascii="Tahoma" w:hAnsi="Tahoma" w:cs="Tahoma"/>
          <w:b/>
          <w:bCs/>
        </w:rPr>
      </w:pPr>
    </w:p>
    <w:p w14:paraId="352FA537" w14:textId="7718492F" w:rsidR="00042F39" w:rsidRDefault="00042F39" w:rsidP="00042F39">
      <w:pPr>
        <w:rPr>
          <w:rFonts w:ascii="Tahoma" w:hAnsi="Tahoma" w:cs="Tahoma"/>
          <w:b/>
          <w:bCs/>
        </w:rPr>
      </w:pPr>
      <w:r w:rsidRPr="00AE0D0F">
        <w:rPr>
          <w:rFonts w:ascii="Tahoma" w:hAnsi="Tahoma" w:cs="Tahoma"/>
          <w:b/>
          <w:bCs/>
        </w:rPr>
        <w:lastRenderedPageBreak/>
        <w:t>References:</w:t>
      </w:r>
    </w:p>
    <w:p w14:paraId="1ECC62B4" w14:textId="77777777" w:rsidR="00042F39" w:rsidRPr="007032A0" w:rsidRDefault="00042F39" w:rsidP="00042F39">
      <w:pPr>
        <w:pStyle w:val="NormalWeb"/>
        <w:spacing w:before="0" w:beforeAutospacing="0" w:after="240" w:afterAutospacing="0" w:line="360" w:lineRule="auto"/>
        <w:rPr>
          <w:rFonts w:ascii="Tahoma" w:hAnsi="Tahoma" w:cs="Tahoma"/>
          <w:sz w:val="22"/>
          <w:szCs w:val="22"/>
        </w:rPr>
      </w:pPr>
      <w:r w:rsidRPr="007032A0">
        <w:rPr>
          <w:rFonts w:ascii="Tahoma" w:hAnsi="Tahoma" w:cs="Tahoma"/>
          <w:sz w:val="22"/>
          <w:szCs w:val="22"/>
        </w:rPr>
        <w:t xml:space="preserve">Brown, O., Power, N. and Conchie, S.M. (2021). Communication and coordination across event phases: A multi‐team system emergency response. </w:t>
      </w:r>
      <w:r w:rsidRPr="007032A0">
        <w:rPr>
          <w:rFonts w:ascii="Tahoma" w:hAnsi="Tahoma" w:cs="Tahoma"/>
          <w:i/>
          <w:iCs/>
          <w:sz w:val="22"/>
          <w:szCs w:val="22"/>
        </w:rPr>
        <w:t>Journal of Occupational and Organizational Psychology</w:t>
      </w:r>
      <w:r w:rsidRPr="007032A0">
        <w:rPr>
          <w:rFonts w:ascii="Tahoma" w:hAnsi="Tahoma" w:cs="Tahoma"/>
          <w:sz w:val="22"/>
          <w:szCs w:val="22"/>
        </w:rPr>
        <w:t xml:space="preserve">, [online] 94(3), pp.591–615. </w:t>
      </w:r>
      <w:proofErr w:type="spellStart"/>
      <w:proofErr w:type="gramStart"/>
      <w:r w:rsidRPr="007032A0">
        <w:rPr>
          <w:rFonts w:ascii="Tahoma" w:hAnsi="Tahoma" w:cs="Tahoma"/>
          <w:sz w:val="22"/>
          <w:szCs w:val="22"/>
        </w:rPr>
        <w:t>doi:https</w:t>
      </w:r>
      <w:proofErr w:type="spellEnd"/>
      <w:r w:rsidRPr="007032A0">
        <w:rPr>
          <w:rFonts w:ascii="Tahoma" w:hAnsi="Tahoma" w:cs="Tahoma"/>
          <w:sz w:val="22"/>
          <w:szCs w:val="22"/>
        </w:rPr>
        <w:t>://doi.org/10.1111/joop.12349</w:t>
      </w:r>
      <w:proofErr w:type="gramEnd"/>
      <w:r w:rsidRPr="007032A0">
        <w:rPr>
          <w:rFonts w:ascii="Tahoma" w:hAnsi="Tahoma" w:cs="Tahoma"/>
          <w:sz w:val="22"/>
          <w:szCs w:val="22"/>
        </w:rPr>
        <w:t>.</w:t>
      </w:r>
    </w:p>
    <w:p w14:paraId="21F352DB" w14:textId="77777777" w:rsidR="00042F39" w:rsidRDefault="00042F39" w:rsidP="00042F39">
      <w:pPr>
        <w:rPr>
          <w:rFonts w:ascii="Tahoma" w:hAnsi="Tahoma" w:cs="Tahoma"/>
          <w:b/>
          <w:bCs/>
        </w:rPr>
      </w:pPr>
    </w:p>
    <w:p w14:paraId="0EBE6FA2"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t xml:space="preserve">College of Policing (2018). </w:t>
      </w:r>
      <w:r w:rsidRPr="0066605D">
        <w:rPr>
          <w:rFonts w:ascii="Tahoma" w:eastAsia="Times New Roman" w:hAnsi="Tahoma" w:cs="Tahoma"/>
          <w:i/>
          <w:iCs/>
          <w:kern w:val="0"/>
          <w:lang w:eastAsia="en-GB"/>
          <w14:ligatures w14:val="none"/>
        </w:rPr>
        <w:t>Definitions</w:t>
      </w:r>
      <w:r w:rsidRPr="0066605D">
        <w:rPr>
          <w:rFonts w:ascii="Tahoma" w:eastAsia="Times New Roman" w:hAnsi="Tahoma" w:cs="Tahoma"/>
          <w:kern w:val="0"/>
          <w:lang w:eastAsia="en-GB"/>
          <w14:ligatures w14:val="none"/>
        </w:rPr>
        <w:t>. [online] College of Policing. Available at: https://www.college.police.uk/app/civil-emergencies/disaster-victim-identification/definitions#major-incident [Accessed 20 Nov. 2023].</w:t>
      </w:r>
    </w:p>
    <w:p w14:paraId="3ACD45AF"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t xml:space="preserve">College of Policing (2021). </w:t>
      </w:r>
      <w:r w:rsidRPr="0066605D">
        <w:rPr>
          <w:rFonts w:ascii="Tahoma" w:eastAsia="Times New Roman" w:hAnsi="Tahoma" w:cs="Tahoma"/>
          <w:i/>
          <w:iCs/>
          <w:kern w:val="0"/>
          <w:lang w:eastAsia="en-GB"/>
          <w14:ligatures w14:val="none"/>
        </w:rPr>
        <w:t>Introduction and Types of Critical Incidents</w:t>
      </w:r>
      <w:r w:rsidRPr="0066605D">
        <w:rPr>
          <w:rFonts w:ascii="Tahoma" w:eastAsia="Times New Roman" w:hAnsi="Tahoma" w:cs="Tahoma"/>
          <w:kern w:val="0"/>
          <w:lang w:eastAsia="en-GB"/>
          <w14:ligatures w14:val="none"/>
        </w:rPr>
        <w:t>. [online] College of Policing. Available at: https://www.college.police.uk/app/critical-incident-management/introduction-and-types-critical-incidents [Accessed 20 Nov. 2023].</w:t>
      </w:r>
    </w:p>
    <w:p w14:paraId="6FF72E60"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t xml:space="preserve">DeAngelis, R.T. (2021). Systemic Racism in Police Killings: New Evidence </w:t>
      </w:r>
      <w:proofErr w:type="gramStart"/>
      <w:r w:rsidRPr="0066605D">
        <w:rPr>
          <w:rFonts w:ascii="Tahoma" w:eastAsia="Times New Roman" w:hAnsi="Tahoma" w:cs="Tahoma"/>
          <w:kern w:val="0"/>
          <w:lang w:eastAsia="en-GB"/>
          <w14:ligatures w14:val="none"/>
        </w:rPr>
        <w:t>From</w:t>
      </w:r>
      <w:proofErr w:type="gramEnd"/>
      <w:r w:rsidRPr="0066605D">
        <w:rPr>
          <w:rFonts w:ascii="Tahoma" w:eastAsia="Times New Roman" w:hAnsi="Tahoma" w:cs="Tahoma"/>
          <w:kern w:val="0"/>
          <w:lang w:eastAsia="en-GB"/>
          <w14:ligatures w14:val="none"/>
        </w:rPr>
        <w:t xml:space="preserve"> the Mapping Police Violence Database, 2013–2021. </w:t>
      </w:r>
      <w:r w:rsidRPr="0066605D">
        <w:rPr>
          <w:rFonts w:ascii="Tahoma" w:eastAsia="Times New Roman" w:hAnsi="Tahoma" w:cs="Tahoma"/>
          <w:i/>
          <w:iCs/>
          <w:kern w:val="0"/>
          <w:lang w:eastAsia="en-GB"/>
          <w14:ligatures w14:val="none"/>
        </w:rPr>
        <w:t>Race and Justice</w:t>
      </w:r>
      <w:r w:rsidRPr="0066605D">
        <w:rPr>
          <w:rFonts w:ascii="Tahoma" w:eastAsia="Times New Roman" w:hAnsi="Tahoma" w:cs="Tahoma"/>
          <w:kern w:val="0"/>
          <w:lang w:eastAsia="en-GB"/>
          <w14:ligatures w14:val="none"/>
        </w:rPr>
        <w:t xml:space="preserve">, [online] 0(0), p.215336872110479. </w:t>
      </w:r>
      <w:proofErr w:type="spellStart"/>
      <w:proofErr w:type="gramStart"/>
      <w:r w:rsidRPr="0066605D">
        <w:rPr>
          <w:rFonts w:ascii="Tahoma" w:eastAsia="Times New Roman" w:hAnsi="Tahoma" w:cs="Tahoma"/>
          <w:kern w:val="0"/>
          <w:lang w:eastAsia="en-GB"/>
          <w14:ligatures w14:val="none"/>
        </w:rPr>
        <w:t>doi:https</w:t>
      </w:r>
      <w:proofErr w:type="spellEnd"/>
      <w:r w:rsidRPr="0066605D">
        <w:rPr>
          <w:rFonts w:ascii="Tahoma" w:eastAsia="Times New Roman" w:hAnsi="Tahoma" w:cs="Tahoma"/>
          <w:kern w:val="0"/>
          <w:lang w:eastAsia="en-GB"/>
          <w14:ligatures w14:val="none"/>
        </w:rPr>
        <w:t>://doi.org/10.1177/21533687211047943</w:t>
      </w:r>
      <w:proofErr w:type="gramEnd"/>
      <w:r w:rsidRPr="0066605D">
        <w:rPr>
          <w:rFonts w:ascii="Tahoma" w:eastAsia="Times New Roman" w:hAnsi="Tahoma" w:cs="Tahoma"/>
          <w:kern w:val="0"/>
          <w:lang w:eastAsia="en-GB"/>
          <w14:ligatures w14:val="none"/>
        </w:rPr>
        <w:t>.</w:t>
      </w:r>
    </w:p>
    <w:p w14:paraId="78BB16FA"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t xml:space="preserve">Huhta, J.-M., Nota, P.M.D., Nyman, M., Pietilä, E. and Ropo, E. (2021). Universal Police Behaviours during Critical Incidents and Their Connection to Personality: A Preliminary Study. </w:t>
      </w:r>
      <w:r w:rsidRPr="0066605D">
        <w:rPr>
          <w:rFonts w:ascii="Tahoma" w:eastAsia="Times New Roman" w:hAnsi="Tahoma" w:cs="Tahoma"/>
          <w:i/>
          <w:iCs/>
          <w:kern w:val="0"/>
          <w:lang w:eastAsia="en-GB"/>
          <w14:ligatures w14:val="none"/>
        </w:rPr>
        <w:t>Nordic Journal of Studies in Policing</w:t>
      </w:r>
      <w:r w:rsidRPr="0066605D">
        <w:rPr>
          <w:rFonts w:ascii="Tahoma" w:eastAsia="Times New Roman" w:hAnsi="Tahoma" w:cs="Tahoma"/>
          <w:kern w:val="0"/>
          <w:lang w:eastAsia="en-GB"/>
          <w14:ligatures w14:val="none"/>
        </w:rPr>
        <w:t xml:space="preserve">, 8(01), pp.1–18. </w:t>
      </w:r>
      <w:proofErr w:type="spellStart"/>
      <w:proofErr w:type="gramStart"/>
      <w:r w:rsidRPr="0066605D">
        <w:rPr>
          <w:rFonts w:ascii="Tahoma" w:eastAsia="Times New Roman" w:hAnsi="Tahoma" w:cs="Tahoma"/>
          <w:kern w:val="0"/>
          <w:lang w:eastAsia="en-GB"/>
          <w14:ligatures w14:val="none"/>
        </w:rPr>
        <w:t>doi:https</w:t>
      </w:r>
      <w:proofErr w:type="spellEnd"/>
      <w:r w:rsidRPr="0066605D">
        <w:rPr>
          <w:rFonts w:ascii="Tahoma" w:eastAsia="Times New Roman" w:hAnsi="Tahoma" w:cs="Tahoma"/>
          <w:kern w:val="0"/>
          <w:lang w:eastAsia="en-GB"/>
          <w14:ligatures w14:val="none"/>
        </w:rPr>
        <w:t>://doi.org/10.18261/issn.2703-7045-2021-01-04</w:t>
      </w:r>
      <w:proofErr w:type="gramEnd"/>
      <w:r w:rsidRPr="0066605D">
        <w:rPr>
          <w:rFonts w:ascii="Tahoma" w:eastAsia="Times New Roman" w:hAnsi="Tahoma" w:cs="Tahoma"/>
          <w:kern w:val="0"/>
          <w:lang w:eastAsia="en-GB"/>
          <w14:ligatures w14:val="none"/>
        </w:rPr>
        <w:t>.</w:t>
      </w:r>
    </w:p>
    <w:p w14:paraId="3C6D69A2"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t xml:space="preserve">Joseph–Salisbury, R., Connelly, L. and Wangari-Jones, P. (2020). ‘THE UK Is Not innocent’: Black Lives Matter, Policing and Abolition in the UK. </w:t>
      </w:r>
      <w:r w:rsidRPr="0066605D">
        <w:rPr>
          <w:rFonts w:ascii="Tahoma" w:eastAsia="Times New Roman" w:hAnsi="Tahoma" w:cs="Tahoma"/>
          <w:i/>
          <w:iCs/>
          <w:kern w:val="0"/>
          <w:lang w:eastAsia="en-GB"/>
          <w14:ligatures w14:val="none"/>
        </w:rPr>
        <w:t xml:space="preserve">Equality, Diversity and Inclusion: </w:t>
      </w:r>
      <w:proofErr w:type="gramStart"/>
      <w:r w:rsidRPr="0066605D">
        <w:rPr>
          <w:rFonts w:ascii="Tahoma" w:eastAsia="Times New Roman" w:hAnsi="Tahoma" w:cs="Tahoma"/>
          <w:i/>
          <w:iCs/>
          <w:kern w:val="0"/>
          <w:lang w:eastAsia="en-GB"/>
          <w14:ligatures w14:val="none"/>
        </w:rPr>
        <w:t>an</w:t>
      </w:r>
      <w:proofErr w:type="gramEnd"/>
      <w:r w:rsidRPr="0066605D">
        <w:rPr>
          <w:rFonts w:ascii="Tahoma" w:eastAsia="Times New Roman" w:hAnsi="Tahoma" w:cs="Tahoma"/>
          <w:i/>
          <w:iCs/>
          <w:kern w:val="0"/>
          <w:lang w:eastAsia="en-GB"/>
          <w14:ligatures w14:val="none"/>
        </w:rPr>
        <w:t xml:space="preserve"> International Journal</w:t>
      </w:r>
      <w:r w:rsidRPr="0066605D">
        <w:rPr>
          <w:rFonts w:ascii="Tahoma" w:eastAsia="Times New Roman" w:hAnsi="Tahoma" w:cs="Tahoma"/>
          <w:kern w:val="0"/>
          <w:lang w:eastAsia="en-GB"/>
          <w14:ligatures w14:val="none"/>
        </w:rPr>
        <w:t>, [online] 40(1), pp.21–28. Available at: https://www.emerald.com/insight/content/doi/10.1108/EDI-06-2020-0170/full/html.</w:t>
      </w:r>
    </w:p>
    <w:p w14:paraId="4C7A4C95"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t xml:space="preserve">Lennquist, M., K., </w:t>
      </w:r>
      <w:proofErr w:type="spellStart"/>
      <w:r w:rsidRPr="0066605D">
        <w:rPr>
          <w:rFonts w:ascii="Tahoma" w:eastAsia="Times New Roman" w:hAnsi="Tahoma" w:cs="Tahoma"/>
          <w:kern w:val="0"/>
          <w:lang w:eastAsia="en-GB"/>
          <w14:ligatures w14:val="none"/>
        </w:rPr>
        <w:t>Hreckovski</w:t>
      </w:r>
      <w:proofErr w:type="spellEnd"/>
      <w:r w:rsidRPr="0066605D">
        <w:rPr>
          <w:rFonts w:ascii="Tahoma" w:eastAsia="Times New Roman" w:hAnsi="Tahoma" w:cs="Tahoma"/>
          <w:kern w:val="0"/>
          <w:lang w:eastAsia="en-GB"/>
          <w14:ligatures w14:val="none"/>
        </w:rPr>
        <w:t xml:space="preserve">, B., Dobson, B., </w:t>
      </w:r>
      <w:proofErr w:type="spellStart"/>
      <w:r w:rsidRPr="0066605D">
        <w:rPr>
          <w:rFonts w:ascii="Tahoma" w:eastAsia="Times New Roman" w:hAnsi="Tahoma" w:cs="Tahoma"/>
          <w:kern w:val="0"/>
          <w:lang w:eastAsia="en-GB"/>
          <w14:ligatures w14:val="none"/>
        </w:rPr>
        <w:t>Örtenwall</w:t>
      </w:r>
      <w:proofErr w:type="spellEnd"/>
      <w:r w:rsidRPr="0066605D">
        <w:rPr>
          <w:rFonts w:ascii="Tahoma" w:eastAsia="Times New Roman" w:hAnsi="Tahoma" w:cs="Tahoma"/>
          <w:kern w:val="0"/>
          <w:lang w:eastAsia="en-GB"/>
          <w14:ligatures w14:val="none"/>
        </w:rPr>
        <w:t>, P., Montan, C., Khorram-Manesh, A. and Lennquist, S., 2014. Development and evaluation of a new simulation model for interactive training of the medical response to major incidents and disasters. </w:t>
      </w:r>
      <w:r w:rsidRPr="0066605D">
        <w:rPr>
          <w:rFonts w:ascii="Tahoma" w:eastAsia="Times New Roman" w:hAnsi="Tahoma" w:cs="Tahoma"/>
          <w:i/>
          <w:iCs/>
          <w:kern w:val="0"/>
          <w:lang w:eastAsia="en-GB"/>
          <w14:ligatures w14:val="none"/>
        </w:rPr>
        <w:t>European Journal of Trauma and Emergency Surgery, </w:t>
      </w:r>
      <w:r w:rsidRPr="0066605D">
        <w:rPr>
          <w:rFonts w:ascii="Tahoma" w:eastAsia="Times New Roman" w:hAnsi="Tahoma" w:cs="Tahoma"/>
          <w:kern w:val="0"/>
          <w:lang w:eastAsia="en-GB"/>
          <w14:ligatures w14:val="none"/>
        </w:rPr>
        <w:t xml:space="preserve">40(4), pp. 429-443. </w:t>
      </w:r>
    </w:p>
    <w:p w14:paraId="0AD8DD14" w14:textId="77777777" w:rsidR="00042F39" w:rsidRPr="0066605D" w:rsidRDefault="00042F39" w:rsidP="00042F39">
      <w:pPr>
        <w:spacing w:after="240" w:line="360" w:lineRule="auto"/>
        <w:rPr>
          <w:rFonts w:ascii="Tahoma" w:eastAsia="Times New Roman" w:hAnsi="Tahoma" w:cs="Tahoma"/>
          <w:kern w:val="0"/>
          <w:lang w:eastAsia="en-GB"/>
          <w14:ligatures w14:val="none"/>
        </w:rPr>
      </w:pPr>
      <w:proofErr w:type="spellStart"/>
      <w:r w:rsidRPr="0066605D">
        <w:rPr>
          <w:rFonts w:ascii="Tahoma" w:eastAsia="Times New Roman" w:hAnsi="Tahoma" w:cs="Tahoma"/>
          <w:kern w:val="0"/>
          <w:lang w:eastAsia="en-GB"/>
          <w14:ligatures w14:val="none"/>
        </w:rPr>
        <w:t>Tzenios</w:t>
      </w:r>
      <w:proofErr w:type="spellEnd"/>
      <w:r w:rsidRPr="0066605D">
        <w:rPr>
          <w:rFonts w:ascii="Tahoma" w:eastAsia="Times New Roman" w:hAnsi="Tahoma" w:cs="Tahoma"/>
          <w:kern w:val="0"/>
          <w:lang w:eastAsia="en-GB"/>
          <w14:ligatures w14:val="none"/>
        </w:rPr>
        <w:t xml:space="preserve">, N. (2022). A Strategic Plan to Improve Police Response and Decision-Making during Major Incidents. </w:t>
      </w:r>
      <w:proofErr w:type="spellStart"/>
      <w:proofErr w:type="gramStart"/>
      <w:r w:rsidRPr="0066605D">
        <w:rPr>
          <w:rFonts w:ascii="Tahoma" w:eastAsia="Times New Roman" w:hAnsi="Tahoma" w:cs="Tahoma"/>
          <w:kern w:val="0"/>
          <w:lang w:eastAsia="en-GB"/>
          <w14:ligatures w14:val="none"/>
        </w:rPr>
        <w:t>doi:https</w:t>
      </w:r>
      <w:proofErr w:type="spellEnd"/>
      <w:r w:rsidRPr="0066605D">
        <w:rPr>
          <w:rFonts w:ascii="Tahoma" w:eastAsia="Times New Roman" w:hAnsi="Tahoma" w:cs="Tahoma"/>
          <w:kern w:val="0"/>
          <w:lang w:eastAsia="en-GB"/>
          <w14:ligatures w14:val="none"/>
        </w:rPr>
        <w:t>://doi.org/10.31235/osf.io/9e4ru</w:t>
      </w:r>
      <w:proofErr w:type="gramEnd"/>
      <w:r w:rsidRPr="0066605D">
        <w:rPr>
          <w:rFonts w:ascii="Tahoma" w:eastAsia="Times New Roman" w:hAnsi="Tahoma" w:cs="Tahoma"/>
          <w:kern w:val="0"/>
          <w:lang w:eastAsia="en-GB"/>
          <w14:ligatures w14:val="none"/>
        </w:rPr>
        <w:t>.</w:t>
      </w:r>
    </w:p>
    <w:p w14:paraId="3CA5FFCA"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lastRenderedPageBreak/>
        <w:t>Stanton, N. A., Salmon, P. M., Walker, G. H., Salas, E., &amp; Hancock, P. A. (2017). State-of-science: Situation awareness in individuals, teams and systems. </w:t>
      </w:r>
      <w:r w:rsidRPr="0066605D">
        <w:rPr>
          <w:rFonts w:ascii="Tahoma" w:eastAsia="Times New Roman" w:hAnsi="Tahoma" w:cs="Tahoma"/>
          <w:i/>
          <w:iCs/>
          <w:kern w:val="0"/>
          <w:lang w:eastAsia="en-GB"/>
          <w14:ligatures w14:val="none"/>
        </w:rPr>
        <w:t>Ergonomics</w:t>
      </w:r>
      <w:r w:rsidRPr="0066605D">
        <w:rPr>
          <w:rFonts w:ascii="Tahoma" w:eastAsia="Times New Roman" w:hAnsi="Tahoma" w:cs="Tahoma"/>
          <w:kern w:val="0"/>
          <w:lang w:eastAsia="en-GB"/>
          <w14:ligatures w14:val="none"/>
        </w:rPr>
        <w:t>, </w:t>
      </w:r>
      <w:r w:rsidRPr="0066605D">
        <w:rPr>
          <w:rFonts w:ascii="Tahoma" w:eastAsia="Times New Roman" w:hAnsi="Tahoma" w:cs="Tahoma"/>
          <w:i/>
          <w:iCs/>
          <w:kern w:val="0"/>
          <w:lang w:eastAsia="en-GB"/>
          <w14:ligatures w14:val="none"/>
        </w:rPr>
        <w:t>60</w:t>
      </w:r>
      <w:r w:rsidRPr="0066605D">
        <w:rPr>
          <w:rFonts w:ascii="Tahoma" w:eastAsia="Times New Roman" w:hAnsi="Tahoma" w:cs="Tahoma"/>
          <w:kern w:val="0"/>
          <w:lang w:eastAsia="en-GB"/>
          <w14:ligatures w14:val="none"/>
        </w:rPr>
        <w:t xml:space="preserve">(4), 449–466. </w:t>
      </w:r>
    </w:p>
    <w:p w14:paraId="4752B2B6" w14:textId="77777777" w:rsidR="00042F39" w:rsidRPr="0066605D" w:rsidRDefault="00042F39" w:rsidP="00042F39">
      <w:pPr>
        <w:pStyle w:val="NormalWeb"/>
        <w:spacing w:before="0" w:beforeAutospacing="0" w:after="240" w:afterAutospacing="0" w:line="360" w:lineRule="auto"/>
        <w:rPr>
          <w:rFonts w:ascii="Tahoma" w:hAnsi="Tahoma" w:cs="Tahoma"/>
          <w:sz w:val="22"/>
          <w:szCs w:val="22"/>
        </w:rPr>
      </w:pPr>
      <w:r w:rsidRPr="0066605D">
        <w:rPr>
          <w:rFonts w:ascii="Tahoma" w:hAnsi="Tahoma" w:cs="Tahoma"/>
          <w:sz w:val="22"/>
          <w:szCs w:val="22"/>
        </w:rPr>
        <w:t xml:space="preserve">Wankhade, P., McCann, L., &amp; Murphy, P. (2019). </w:t>
      </w:r>
      <w:r w:rsidRPr="0066605D">
        <w:rPr>
          <w:rFonts w:ascii="Tahoma" w:hAnsi="Tahoma" w:cs="Tahoma"/>
          <w:i/>
          <w:iCs/>
          <w:sz w:val="22"/>
          <w:szCs w:val="22"/>
        </w:rPr>
        <w:t xml:space="preserve">Critical Perspectives on the Management and Organization of Emergency Services </w:t>
      </w:r>
      <w:r w:rsidRPr="0066605D">
        <w:rPr>
          <w:rFonts w:ascii="Tahoma" w:hAnsi="Tahoma" w:cs="Tahoma"/>
          <w:sz w:val="22"/>
          <w:szCs w:val="22"/>
        </w:rPr>
        <w:t xml:space="preserve">(1st ed.). Routledge. https://doi.org/10.4324/9781315104447 </w:t>
      </w:r>
    </w:p>
    <w:p w14:paraId="4A9ED126" w14:textId="77777777" w:rsidR="00042F39" w:rsidRPr="0066605D" w:rsidRDefault="00042F39" w:rsidP="00042F39">
      <w:pPr>
        <w:spacing w:after="240" w:line="360" w:lineRule="auto"/>
        <w:rPr>
          <w:rFonts w:ascii="Tahoma" w:eastAsia="Times New Roman" w:hAnsi="Tahoma" w:cs="Tahoma"/>
          <w:kern w:val="0"/>
          <w:lang w:eastAsia="en-GB"/>
          <w14:ligatures w14:val="none"/>
        </w:rPr>
      </w:pPr>
      <w:r w:rsidRPr="0066605D">
        <w:rPr>
          <w:rFonts w:ascii="Tahoma" w:eastAsia="Times New Roman" w:hAnsi="Tahoma" w:cs="Tahoma"/>
          <w:kern w:val="0"/>
          <w:lang w:eastAsia="en-GB"/>
          <w14:ligatures w14:val="none"/>
        </w:rPr>
        <w:t>Wood, D., Bradshaw, S., Dickens, T., Parker-</w:t>
      </w:r>
      <w:proofErr w:type="spellStart"/>
      <w:r w:rsidRPr="0066605D">
        <w:rPr>
          <w:rFonts w:ascii="Tahoma" w:eastAsia="Times New Roman" w:hAnsi="Tahoma" w:cs="Tahoma"/>
          <w:kern w:val="0"/>
          <w:lang w:eastAsia="en-GB"/>
          <w14:ligatures w14:val="none"/>
        </w:rPr>
        <w:t>Mcleod</w:t>
      </w:r>
      <w:proofErr w:type="spellEnd"/>
      <w:r w:rsidRPr="0066605D">
        <w:rPr>
          <w:rFonts w:ascii="Tahoma" w:eastAsia="Times New Roman" w:hAnsi="Tahoma" w:cs="Tahoma"/>
          <w:kern w:val="0"/>
          <w:lang w:eastAsia="en-GB"/>
          <w14:ligatures w14:val="none"/>
        </w:rPr>
        <w:t xml:space="preserve">, J., Simpson, F. and Weaver, G. (2022). </w:t>
      </w:r>
      <w:r w:rsidRPr="0066605D">
        <w:rPr>
          <w:rFonts w:ascii="Tahoma" w:eastAsia="Times New Roman" w:hAnsi="Tahoma" w:cs="Tahoma"/>
          <w:i/>
          <w:iCs/>
          <w:kern w:val="0"/>
          <w:lang w:eastAsia="en-GB"/>
          <w14:ligatures w14:val="none"/>
        </w:rPr>
        <w:t xml:space="preserve">Blackstone’s Handbook </w:t>
      </w:r>
      <w:proofErr w:type="gramStart"/>
      <w:r w:rsidRPr="0066605D">
        <w:rPr>
          <w:rFonts w:ascii="Tahoma" w:eastAsia="Times New Roman" w:hAnsi="Tahoma" w:cs="Tahoma"/>
          <w:i/>
          <w:iCs/>
          <w:kern w:val="0"/>
          <w:lang w:eastAsia="en-GB"/>
          <w14:ligatures w14:val="none"/>
        </w:rPr>
        <w:t>For</w:t>
      </w:r>
      <w:proofErr w:type="gramEnd"/>
      <w:r w:rsidRPr="0066605D">
        <w:rPr>
          <w:rFonts w:ascii="Tahoma" w:eastAsia="Times New Roman" w:hAnsi="Tahoma" w:cs="Tahoma"/>
          <w:i/>
          <w:iCs/>
          <w:kern w:val="0"/>
          <w:lang w:eastAsia="en-GB"/>
          <w14:ligatures w14:val="none"/>
        </w:rPr>
        <w:t xml:space="preserve"> Policing Students 2022.</w:t>
      </w:r>
      <w:r w:rsidRPr="0066605D">
        <w:rPr>
          <w:rFonts w:ascii="Tahoma" w:eastAsia="Times New Roman" w:hAnsi="Tahoma" w:cs="Tahoma"/>
          <w:kern w:val="0"/>
          <w:lang w:eastAsia="en-GB"/>
          <w14:ligatures w14:val="none"/>
        </w:rPr>
        <w:t xml:space="preserve"> S.L.: Oxford </w:t>
      </w:r>
      <w:proofErr w:type="spellStart"/>
      <w:r w:rsidRPr="0066605D">
        <w:rPr>
          <w:rFonts w:ascii="Tahoma" w:eastAsia="Times New Roman" w:hAnsi="Tahoma" w:cs="Tahoma"/>
          <w:kern w:val="0"/>
          <w:lang w:eastAsia="en-GB"/>
          <w14:ligatures w14:val="none"/>
        </w:rPr>
        <w:t>Univ</w:t>
      </w:r>
      <w:proofErr w:type="spellEnd"/>
      <w:r w:rsidRPr="0066605D">
        <w:rPr>
          <w:rFonts w:ascii="Tahoma" w:eastAsia="Times New Roman" w:hAnsi="Tahoma" w:cs="Tahoma"/>
          <w:kern w:val="0"/>
          <w:lang w:eastAsia="en-GB"/>
          <w14:ligatures w14:val="none"/>
        </w:rPr>
        <w:t xml:space="preserve"> Press.</w:t>
      </w:r>
    </w:p>
    <w:p w14:paraId="49CA8143" w14:textId="77777777" w:rsidR="00042F39" w:rsidRPr="0066605D" w:rsidRDefault="00042F39" w:rsidP="00042F39">
      <w:pPr>
        <w:rPr>
          <w:rFonts w:ascii="Tahoma" w:hAnsi="Tahoma" w:cs="Tahoma"/>
          <w:b/>
          <w:bCs/>
        </w:rPr>
      </w:pPr>
    </w:p>
    <w:p w14:paraId="2E1DA0C3" w14:textId="77777777" w:rsidR="00042F39" w:rsidRDefault="00042F39" w:rsidP="00E90237">
      <w:pPr>
        <w:pStyle w:val="NormalWeb"/>
        <w:spacing w:before="0" w:beforeAutospacing="0" w:after="0" w:afterAutospacing="0" w:line="480" w:lineRule="auto"/>
        <w:ind w:left="720" w:hanging="720"/>
      </w:pPr>
    </w:p>
    <w:p w14:paraId="544300BB" w14:textId="77777777" w:rsidR="000268F7" w:rsidRDefault="000268F7" w:rsidP="00E90237">
      <w:pPr>
        <w:pStyle w:val="NormalWeb"/>
        <w:spacing w:before="0" w:beforeAutospacing="0" w:after="0" w:afterAutospacing="0" w:line="480" w:lineRule="auto"/>
        <w:ind w:left="720" w:hanging="720"/>
      </w:pPr>
    </w:p>
    <w:p w14:paraId="2A6D9875" w14:textId="77777777" w:rsidR="000268F7" w:rsidRDefault="000268F7" w:rsidP="00E90237">
      <w:pPr>
        <w:pStyle w:val="NormalWeb"/>
        <w:spacing w:before="0" w:beforeAutospacing="0" w:after="0" w:afterAutospacing="0" w:line="480" w:lineRule="auto"/>
        <w:ind w:left="720" w:hanging="720"/>
      </w:pPr>
    </w:p>
    <w:p w14:paraId="1479073F" w14:textId="77777777" w:rsidR="000268F7" w:rsidRDefault="000268F7" w:rsidP="00E90237">
      <w:pPr>
        <w:pStyle w:val="NormalWeb"/>
        <w:spacing w:before="0" w:beforeAutospacing="0" w:after="0" w:afterAutospacing="0" w:line="480" w:lineRule="auto"/>
        <w:ind w:left="720" w:hanging="720"/>
      </w:pPr>
    </w:p>
    <w:p w14:paraId="60D1FE6A" w14:textId="77777777" w:rsidR="000268F7" w:rsidRDefault="000268F7" w:rsidP="00E90237">
      <w:pPr>
        <w:pStyle w:val="NormalWeb"/>
        <w:spacing w:before="0" w:beforeAutospacing="0" w:after="0" w:afterAutospacing="0" w:line="480" w:lineRule="auto"/>
        <w:ind w:left="720" w:hanging="720"/>
      </w:pPr>
    </w:p>
    <w:p w14:paraId="495747CE" w14:textId="77777777" w:rsidR="000268F7" w:rsidRDefault="000268F7" w:rsidP="00E90237">
      <w:pPr>
        <w:pStyle w:val="NormalWeb"/>
        <w:spacing w:before="0" w:beforeAutospacing="0" w:after="0" w:afterAutospacing="0" w:line="480" w:lineRule="auto"/>
        <w:ind w:left="720" w:hanging="720"/>
      </w:pPr>
    </w:p>
    <w:p w14:paraId="77FC367A" w14:textId="77777777" w:rsidR="000268F7" w:rsidRDefault="000268F7" w:rsidP="00E90237">
      <w:pPr>
        <w:pStyle w:val="NormalWeb"/>
        <w:spacing w:before="0" w:beforeAutospacing="0" w:after="0" w:afterAutospacing="0" w:line="480" w:lineRule="auto"/>
        <w:ind w:left="720" w:hanging="720"/>
      </w:pPr>
    </w:p>
    <w:p w14:paraId="4E4326B8" w14:textId="77777777" w:rsidR="000268F7" w:rsidRDefault="000268F7" w:rsidP="00E90237">
      <w:pPr>
        <w:pStyle w:val="NormalWeb"/>
        <w:spacing w:before="0" w:beforeAutospacing="0" w:after="0" w:afterAutospacing="0" w:line="480" w:lineRule="auto"/>
        <w:ind w:left="720" w:hanging="720"/>
      </w:pPr>
    </w:p>
    <w:p w14:paraId="57660B9A" w14:textId="77777777" w:rsidR="000268F7" w:rsidRDefault="000268F7" w:rsidP="00E90237">
      <w:pPr>
        <w:pStyle w:val="NormalWeb"/>
        <w:spacing w:before="0" w:beforeAutospacing="0" w:after="0" w:afterAutospacing="0" w:line="480" w:lineRule="auto"/>
        <w:ind w:left="720" w:hanging="720"/>
      </w:pPr>
    </w:p>
    <w:p w14:paraId="76225DF9" w14:textId="77777777" w:rsidR="000268F7" w:rsidRDefault="000268F7" w:rsidP="00E90237">
      <w:pPr>
        <w:pStyle w:val="NormalWeb"/>
        <w:spacing w:before="0" w:beforeAutospacing="0" w:after="0" w:afterAutospacing="0" w:line="480" w:lineRule="auto"/>
        <w:ind w:left="720" w:hanging="720"/>
      </w:pPr>
    </w:p>
    <w:p w14:paraId="74B81F49" w14:textId="77777777" w:rsidR="000268F7" w:rsidRDefault="000268F7" w:rsidP="00E90237">
      <w:pPr>
        <w:pStyle w:val="NormalWeb"/>
        <w:spacing w:before="0" w:beforeAutospacing="0" w:after="0" w:afterAutospacing="0" w:line="480" w:lineRule="auto"/>
        <w:ind w:left="720" w:hanging="720"/>
      </w:pPr>
    </w:p>
    <w:p w14:paraId="318CD8F5" w14:textId="77777777" w:rsidR="000268F7" w:rsidRDefault="000268F7" w:rsidP="00E90237">
      <w:pPr>
        <w:pStyle w:val="NormalWeb"/>
        <w:spacing w:before="0" w:beforeAutospacing="0" w:after="0" w:afterAutospacing="0" w:line="480" w:lineRule="auto"/>
        <w:ind w:left="720" w:hanging="720"/>
      </w:pPr>
    </w:p>
    <w:p w14:paraId="60CD4CF6" w14:textId="77777777" w:rsidR="000268F7" w:rsidRDefault="000268F7" w:rsidP="00E90237">
      <w:pPr>
        <w:pStyle w:val="NormalWeb"/>
        <w:spacing w:before="0" w:beforeAutospacing="0" w:after="0" w:afterAutospacing="0" w:line="480" w:lineRule="auto"/>
        <w:ind w:left="720" w:hanging="720"/>
      </w:pPr>
    </w:p>
    <w:p w14:paraId="253BB72D" w14:textId="77777777" w:rsidR="000268F7" w:rsidRDefault="000268F7" w:rsidP="00E90237">
      <w:pPr>
        <w:pStyle w:val="NormalWeb"/>
        <w:spacing w:before="0" w:beforeAutospacing="0" w:after="0" w:afterAutospacing="0" w:line="480" w:lineRule="auto"/>
        <w:ind w:left="720" w:hanging="720"/>
      </w:pPr>
    </w:p>
    <w:p w14:paraId="315EB10A" w14:textId="77777777" w:rsidR="000268F7" w:rsidRDefault="000268F7" w:rsidP="00E90237">
      <w:pPr>
        <w:pStyle w:val="NormalWeb"/>
        <w:spacing w:before="0" w:beforeAutospacing="0" w:after="0" w:afterAutospacing="0" w:line="480" w:lineRule="auto"/>
        <w:ind w:left="720" w:hanging="720"/>
      </w:pPr>
    </w:p>
    <w:p w14:paraId="47AEAE60" w14:textId="77777777" w:rsidR="000268F7" w:rsidRDefault="000268F7" w:rsidP="00E90237">
      <w:pPr>
        <w:pStyle w:val="NormalWeb"/>
        <w:spacing w:before="0" w:beforeAutospacing="0" w:after="0" w:afterAutospacing="0" w:line="480" w:lineRule="auto"/>
        <w:ind w:left="720" w:hanging="720"/>
      </w:pPr>
    </w:p>
    <w:p w14:paraId="10779DCF" w14:textId="77777777" w:rsidR="000268F7" w:rsidRDefault="000268F7" w:rsidP="00E90237">
      <w:pPr>
        <w:pStyle w:val="NormalWeb"/>
        <w:spacing w:before="0" w:beforeAutospacing="0" w:after="0" w:afterAutospacing="0" w:line="480" w:lineRule="auto"/>
        <w:ind w:left="720" w:hanging="720"/>
      </w:pPr>
    </w:p>
    <w:p w14:paraId="76F108BA" w14:textId="77777777" w:rsidR="000268F7" w:rsidRDefault="000268F7" w:rsidP="000268F7">
      <w:pPr>
        <w:pStyle w:val="Default"/>
        <w:spacing w:line="360" w:lineRule="auto"/>
        <w:rPr>
          <w:rFonts w:ascii="Tahoma" w:hAnsi="Tahoma" w:cs="Tahoma"/>
          <w:sz w:val="22"/>
          <w:szCs w:val="22"/>
        </w:rPr>
      </w:pPr>
      <w:r>
        <w:rPr>
          <w:rFonts w:ascii="Tahoma" w:hAnsi="Tahoma" w:cs="Tahoma"/>
          <w:b/>
          <w:bCs/>
          <w:sz w:val="22"/>
          <w:szCs w:val="22"/>
        </w:rPr>
        <w:lastRenderedPageBreak/>
        <w:t xml:space="preserve">Essay four: </w:t>
      </w:r>
    </w:p>
    <w:p w14:paraId="17E8C11B" w14:textId="77777777" w:rsidR="000268F7" w:rsidRDefault="000268F7" w:rsidP="000268F7">
      <w:pPr>
        <w:pStyle w:val="Default"/>
        <w:spacing w:line="360" w:lineRule="auto"/>
        <w:rPr>
          <w:rFonts w:ascii="Tahoma" w:hAnsi="Tahoma" w:cs="Tahoma"/>
          <w:sz w:val="22"/>
          <w:szCs w:val="22"/>
        </w:rPr>
      </w:pPr>
      <w:r>
        <w:rPr>
          <w:rFonts w:ascii="Tahoma" w:hAnsi="Tahoma" w:cs="Tahoma"/>
          <w:sz w:val="22"/>
          <w:szCs w:val="22"/>
        </w:rPr>
        <w:t xml:space="preserve">Outline potential links between serious and organised crime and public protection issues. How might bias impact on the investigation of such incidents? Your answer must be based on academic research rather than personal experience. </w:t>
      </w:r>
    </w:p>
    <w:p w14:paraId="5744F443" w14:textId="77777777" w:rsidR="000268F7" w:rsidRDefault="000268F7" w:rsidP="000268F7">
      <w:pPr>
        <w:spacing w:line="360" w:lineRule="auto"/>
        <w:rPr>
          <w:rFonts w:ascii="Tahoma" w:hAnsi="Tahoma" w:cs="Tahoma"/>
        </w:rPr>
      </w:pPr>
      <w:r>
        <w:rPr>
          <w:rFonts w:ascii="Tahoma" w:hAnsi="Tahoma" w:cs="Tahoma"/>
          <w:b/>
          <w:bCs/>
        </w:rPr>
        <w:t xml:space="preserve">Word limit: </w:t>
      </w:r>
      <w:r>
        <w:rPr>
          <w:rFonts w:ascii="Tahoma" w:hAnsi="Tahoma" w:cs="Tahoma"/>
        </w:rPr>
        <w:t>1000 words.</w:t>
      </w:r>
    </w:p>
    <w:p w14:paraId="0B5B84D0" w14:textId="77777777" w:rsidR="000268F7" w:rsidRDefault="000268F7" w:rsidP="000268F7">
      <w:pPr>
        <w:spacing w:line="360" w:lineRule="auto"/>
        <w:rPr>
          <w:rFonts w:ascii="Tahoma" w:hAnsi="Tahoma" w:cs="Tahoma"/>
        </w:rPr>
      </w:pPr>
    </w:p>
    <w:p w14:paraId="5102C434" w14:textId="77777777" w:rsidR="000268F7" w:rsidRDefault="000268F7" w:rsidP="000268F7">
      <w:pPr>
        <w:spacing w:line="360" w:lineRule="auto"/>
        <w:rPr>
          <w:shd w:val="clear" w:color="auto" w:fill="FFFFFF"/>
        </w:rPr>
      </w:pPr>
      <w:r>
        <w:rPr>
          <w:rFonts w:ascii="Tahoma" w:hAnsi="Tahoma" w:cs="Tahoma"/>
        </w:rPr>
        <w:t xml:space="preserve">According to the National Crime Agency (2018) there are evidence that within the UK more people get involved in Serious Organise Crime (SOC). The financial costs of the proceeding in 2018, following the data of the Home Office exceed £37bn a year which is significant increase from £24bn in 2013 </w:t>
      </w:r>
      <w:r>
        <w:rPr>
          <w:rFonts w:ascii="Tahoma" w:hAnsi="Tahoma" w:cs="Tahoma"/>
          <w:shd w:val="clear" w:color="auto" w:fill="FFFFFF"/>
        </w:rPr>
        <w:t>(Mills </w:t>
      </w:r>
      <w:r>
        <w:rPr>
          <w:rFonts w:ascii="Tahoma" w:hAnsi="Tahoma" w:cs="Tahoma"/>
          <w:i/>
          <w:iCs/>
        </w:rPr>
        <w:t>et al.</w:t>
      </w:r>
      <w:r>
        <w:rPr>
          <w:rFonts w:ascii="Tahoma" w:hAnsi="Tahoma" w:cs="Tahoma"/>
        </w:rPr>
        <w:t>, 2013).</w:t>
      </w:r>
    </w:p>
    <w:p w14:paraId="722DD1E9" w14:textId="77777777" w:rsidR="000268F7" w:rsidRDefault="000268F7" w:rsidP="000268F7">
      <w:pPr>
        <w:spacing w:line="360" w:lineRule="auto"/>
        <w:rPr>
          <w:rFonts w:ascii="Tahoma" w:hAnsi="Tahoma" w:cs="Tahoma"/>
        </w:rPr>
      </w:pPr>
      <w:r>
        <w:rPr>
          <w:rFonts w:ascii="Tahoma" w:hAnsi="Tahoma" w:cs="Tahoma"/>
          <w:shd w:val="clear" w:color="auto" w:fill="FFFFFF"/>
        </w:rPr>
        <w:t xml:space="preserve">Apart from the financial cost of the SOC there are significant negative implication linked to social, health-related, physical, psychological and wellbeing consequences. The aspect of Serious Organised Crime is broadly described in the research of Winchester (2020) as criminal activity coordinated and conducted by individuals or groups. The activity of those transnational groups focuses on obtaining profits, influence and power. To achieve their aims offenders, use violence, intimidation and corruption to shield their criminal performance. </w:t>
      </w:r>
      <w:r>
        <w:rPr>
          <w:rFonts w:ascii="Tahoma" w:hAnsi="Tahoma" w:cs="Tahoma"/>
        </w:rPr>
        <w:t xml:space="preserve">SOC is defined by the European Union and the United Nations Convention Against Transnational Organised Crime (2000) as “a group of three or more persons existing over a period of time acting in concert with the aim of committing crimes for financial or material benefit”. </w:t>
      </w:r>
    </w:p>
    <w:p w14:paraId="62DABB5F" w14:textId="77777777" w:rsidR="000268F7" w:rsidRDefault="000268F7" w:rsidP="000268F7">
      <w:pPr>
        <w:spacing w:line="360" w:lineRule="auto"/>
        <w:rPr>
          <w:rFonts w:ascii="Tahoma" w:hAnsi="Tahoma" w:cs="Tahoma"/>
        </w:rPr>
      </w:pPr>
      <w:r>
        <w:rPr>
          <w:rFonts w:ascii="Tahoma" w:hAnsi="Tahoma" w:cs="Tahoma"/>
        </w:rPr>
        <w:t xml:space="preserve">The criminal activity of the Organised Crime Groups includes possession and use of illegal firearms, human trafficking, modern slavery, child sexual abuse, cybercrime, kidnap and extortion, fraud, drug smuggling, money laundering, and other. The overall numbers of SOC are only estimated and known figures provided by NCA and included in the Winchester report (2020) shows detrimental increase in referrals relating to online child sexual abuse and exploitation. This number increased by 700% since 2012. </w:t>
      </w:r>
    </w:p>
    <w:p w14:paraId="7C5322B8" w14:textId="77777777" w:rsidR="000268F7" w:rsidRDefault="000268F7" w:rsidP="000268F7">
      <w:pPr>
        <w:spacing w:line="360" w:lineRule="auto"/>
        <w:rPr>
          <w:rFonts w:ascii="Tahoma" w:hAnsi="Tahoma" w:cs="Tahoma"/>
          <w:shd w:val="clear" w:color="auto" w:fill="FFFFFF"/>
        </w:rPr>
      </w:pPr>
      <w:r>
        <w:rPr>
          <w:rFonts w:ascii="Tahoma" w:hAnsi="Tahoma" w:cs="Tahoma"/>
        </w:rPr>
        <w:t xml:space="preserve">The OCGs exploit vulnerable individuals within their activity. ‘County Lines’ is a police term used to describe gangs’ procedure of money and drugs trafficking by using vulnerable adults and children. Those people are manipulated using </w:t>
      </w:r>
      <w:r>
        <w:rPr>
          <w:rFonts w:ascii="Tahoma" w:hAnsi="Tahoma" w:cs="Tahoma"/>
          <w:shd w:val="clear" w:color="auto" w:fill="FFFFFF"/>
        </w:rPr>
        <w:t xml:space="preserve">enticement-based procedures or violence or threats of violence. According to NCA (2017) 75% of young people who are involved in County Lines carry firearm or knife. They are also involved in other crimes such as sexual violence, kidnapping, burglary, assault, possession and use of ammonia and acid. </w:t>
      </w:r>
    </w:p>
    <w:p w14:paraId="1C67ECAD" w14:textId="77777777" w:rsidR="000268F7" w:rsidRDefault="000268F7" w:rsidP="000268F7">
      <w:pPr>
        <w:spacing w:line="360" w:lineRule="auto"/>
        <w:rPr>
          <w:rFonts w:ascii="Tahoma" w:hAnsi="Tahoma" w:cs="Tahoma"/>
          <w:shd w:val="clear" w:color="auto" w:fill="FFFFFF"/>
        </w:rPr>
      </w:pPr>
      <w:r>
        <w:rPr>
          <w:rFonts w:ascii="Tahoma" w:hAnsi="Tahoma" w:cs="Tahoma"/>
          <w:shd w:val="clear" w:color="auto" w:fill="FFFFFF"/>
        </w:rPr>
        <w:lastRenderedPageBreak/>
        <w:t xml:space="preserve">There are multiple factors that increase the risk of people being involved in the criminal activity. The research of </w:t>
      </w:r>
      <w:r>
        <w:rPr>
          <w:rFonts w:ascii="Tahoma" w:hAnsi="Tahoma" w:cs="Tahoma"/>
        </w:rPr>
        <w:t>(Boulton et al., 2019)</w:t>
      </w:r>
      <w:r>
        <w:rPr>
          <w:rFonts w:ascii="Tahoma" w:hAnsi="Tahoma" w:cs="Tahoma"/>
          <w:shd w:val="clear" w:color="auto" w:fill="FFFFFF"/>
        </w:rPr>
        <w:t xml:space="preserve"> indicate that average involvement in the gang activity take place more often amongst males aged 12-14 who experiences violence. Also lack of a role model might be a factor increasing the criminal involvement. Criminal involvement of peers or family members increase the risk of joining the OCG. Those risk factor act in a cumulative way and more issues young male experienced in his life the higher is the possibility of joining gang. However, the positive factors also work in cumulative way therefore strong involvement in school or work activities, social commitments and support can act as protective measures </w:t>
      </w:r>
      <w:r>
        <w:rPr>
          <w:rFonts w:ascii="Tahoma" w:hAnsi="Tahoma" w:cs="Tahoma"/>
        </w:rPr>
        <w:t>(Boulton et al., 2019)</w:t>
      </w:r>
      <w:r>
        <w:rPr>
          <w:rFonts w:ascii="Tahoma" w:hAnsi="Tahoma" w:cs="Tahoma"/>
          <w:shd w:val="clear" w:color="auto" w:fill="FFFFFF"/>
        </w:rPr>
        <w:t>.</w:t>
      </w:r>
    </w:p>
    <w:p w14:paraId="59EF57D4" w14:textId="77777777" w:rsidR="000268F7" w:rsidRDefault="000268F7" w:rsidP="000268F7">
      <w:pPr>
        <w:spacing w:line="360" w:lineRule="auto"/>
        <w:rPr>
          <w:rFonts w:ascii="Tahoma" w:hAnsi="Tahoma" w:cs="Tahoma"/>
          <w:shd w:val="clear" w:color="auto" w:fill="FFFFFF"/>
        </w:rPr>
      </w:pPr>
    </w:p>
    <w:p w14:paraId="4E093595" w14:textId="77777777" w:rsidR="000268F7" w:rsidRDefault="000268F7" w:rsidP="000268F7">
      <w:pPr>
        <w:spacing w:line="360" w:lineRule="auto"/>
        <w:rPr>
          <w:rFonts w:ascii="Tahoma" w:hAnsi="Tahoma" w:cs="Tahoma"/>
          <w:b/>
          <w:bCs/>
          <w:shd w:val="clear" w:color="auto" w:fill="FFFFFF"/>
        </w:rPr>
      </w:pPr>
      <w:r>
        <w:rPr>
          <w:rFonts w:ascii="Tahoma" w:hAnsi="Tahoma" w:cs="Tahoma"/>
          <w:b/>
          <w:bCs/>
          <w:shd w:val="clear" w:color="auto" w:fill="FFFFFF"/>
        </w:rPr>
        <w:t>Word count: 455</w:t>
      </w:r>
    </w:p>
    <w:p w14:paraId="52597F9A" w14:textId="77777777" w:rsidR="000268F7" w:rsidRDefault="000268F7" w:rsidP="000268F7">
      <w:pPr>
        <w:spacing w:line="360" w:lineRule="auto"/>
        <w:rPr>
          <w:rFonts w:ascii="Tahoma" w:hAnsi="Tahoma" w:cs="Tahoma"/>
          <w:b/>
          <w:bCs/>
          <w:shd w:val="clear" w:color="auto" w:fill="FFFFFF"/>
        </w:rPr>
      </w:pPr>
    </w:p>
    <w:p w14:paraId="4E81150E" w14:textId="77777777" w:rsidR="000268F7" w:rsidRDefault="000268F7" w:rsidP="000268F7">
      <w:pPr>
        <w:spacing w:line="360" w:lineRule="auto"/>
        <w:rPr>
          <w:rFonts w:ascii="Tahoma" w:hAnsi="Tahoma" w:cs="Tahoma"/>
          <w:b/>
          <w:bCs/>
          <w:shd w:val="clear" w:color="auto" w:fill="FFFFFF"/>
        </w:rPr>
      </w:pPr>
      <w:r>
        <w:rPr>
          <w:rFonts w:ascii="Tahoma" w:hAnsi="Tahoma" w:cs="Tahoma"/>
          <w:b/>
          <w:bCs/>
          <w:shd w:val="clear" w:color="auto" w:fill="FFFFFF"/>
        </w:rPr>
        <w:t xml:space="preserve">References: </w:t>
      </w:r>
    </w:p>
    <w:p w14:paraId="49119952" w14:textId="77777777" w:rsidR="000268F7" w:rsidRDefault="000268F7" w:rsidP="000268F7">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Boulton, L. J., Phythian, R., &amp; Kirby, S. (2019). Diverting young men from gangs: a qualitative evaluation. </w:t>
      </w:r>
      <w:r>
        <w:rPr>
          <w:rFonts w:ascii="Times New Roman" w:eastAsia="Times New Roman" w:hAnsi="Times New Roman" w:cs="Times New Roman"/>
          <w:i/>
          <w:iCs/>
          <w:kern w:val="0"/>
          <w:sz w:val="24"/>
          <w:szCs w:val="24"/>
          <w:lang w:eastAsia="en-GB"/>
          <w14:ligatures w14:val="none"/>
        </w:rPr>
        <w:t>Policing: An International Journal</w:t>
      </w:r>
      <w:r>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i/>
          <w:iCs/>
          <w:kern w:val="0"/>
          <w:sz w:val="24"/>
          <w:szCs w:val="24"/>
          <w:lang w:eastAsia="en-GB"/>
          <w14:ligatures w14:val="none"/>
        </w:rPr>
        <w:t>42</w:t>
      </w:r>
      <w:r>
        <w:rPr>
          <w:rFonts w:ascii="Times New Roman" w:eastAsia="Times New Roman" w:hAnsi="Times New Roman" w:cs="Times New Roman"/>
          <w:kern w:val="0"/>
          <w:sz w:val="24"/>
          <w:szCs w:val="24"/>
          <w:lang w:eastAsia="en-GB"/>
          <w14:ligatures w14:val="none"/>
        </w:rPr>
        <w:t>(5), 887–900. https://doi.org/10.1108/pijpsm-04-2019-0043</w:t>
      </w:r>
    </w:p>
    <w:p w14:paraId="4333B375" w14:textId="275F78CD" w:rsidR="000268F7" w:rsidRDefault="000268F7" w:rsidP="000268F7">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Home Office, (2018). Available at:  https://assets.publishing.service.gov.uk/government/uploads/system/uploads/attachment_data/file/752850/SOC-2018-web.pdf</w:t>
      </w:r>
    </w:p>
    <w:p w14:paraId="31787316" w14:textId="14AA05E6" w:rsidR="000268F7" w:rsidRDefault="000268F7" w:rsidP="000268F7">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NCA (2018), “National strategic assessment of serious and organised crime 2018”, National Crime Agency, available at: https://nationalcrimeagency.gov.uk/who-we-are/publications/173-national-strategic-assessment-of-serious-and-organised-crime-2018/file</w:t>
      </w:r>
    </w:p>
    <w:p w14:paraId="74E3D5D3" w14:textId="59B10F96" w:rsidR="000268F7" w:rsidRDefault="000268F7" w:rsidP="000268F7">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Children’s Society (2017), “APPG on runaway and missing children and adults: briefing note on the event on disrupting exploitation of children along ‘county lines’”, available at: www.childrenssociety.org.uk/sites/default/files/appg-on-county-lines-briefing-note_v1.pdf</w:t>
      </w:r>
    </w:p>
    <w:p w14:paraId="638F00C0" w14:textId="77777777" w:rsidR="000268F7" w:rsidRDefault="000268F7" w:rsidP="000268F7">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United Nations. (2000). </w:t>
      </w:r>
      <w:r>
        <w:rPr>
          <w:rFonts w:ascii="Times New Roman" w:eastAsia="Times New Roman" w:hAnsi="Times New Roman" w:cs="Times New Roman"/>
          <w:i/>
          <w:iCs/>
          <w:kern w:val="0"/>
          <w:sz w:val="24"/>
          <w:szCs w:val="24"/>
          <w:lang w:eastAsia="en-GB"/>
          <w14:ligatures w14:val="none"/>
        </w:rPr>
        <w:t>United Nations Convention against Transnational Organized Crime</w:t>
      </w:r>
      <w:r>
        <w:rPr>
          <w:rFonts w:ascii="Times New Roman" w:eastAsia="Times New Roman" w:hAnsi="Times New Roman" w:cs="Times New Roman"/>
          <w:kern w:val="0"/>
          <w:sz w:val="24"/>
          <w:szCs w:val="24"/>
          <w:lang w:eastAsia="en-GB"/>
          <w14:ligatures w14:val="none"/>
        </w:rPr>
        <w:t>. Unodc.org; United Nations. https://www.unodc.org/unodc/en/organized-crime/intro/UNTOC.html</w:t>
      </w:r>
    </w:p>
    <w:p w14:paraId="001CC4C2" w14:textId="77777777" w:rsidR="000268F7" w:rsidRDefault="000268F7" w:rsidP="000268F7">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Winchester, N. (2020). Library Briefing. In </w:t>
      </w:r>
      <w:r>
        <w:rPr>
          <w:rFonts w:ascii="Times New Roman" w:eastAsia="Times New Roman" w:hAnsi="Times New Roman" w:cs="Times New Roman"/>
          <w:i/>
          <w:iCs/>
          <w:kern w:val="0"/>
          <w:sz w:val="24"/>
          <w:szCs w:val="24"/>
          <w:lang w:eastAsia="en-GB"/>
          <w14:ligatures w14:val="none"/>
        </w:rPr>
        <w:t>House of Lords</w:t>
      </w:r>
      <w:r>
        <w:rPr>
          <w:rFonts w:ascii="Times New Roman" w:eastAsia="Times New Roman" w:hAnsi="Times New Roman" w:cs="Times New Roman"/>
          <w:kern w:val="0"/>
          <w:sz w:val="24"/>
          <w:szCs w:val="24"/>
          <w:lang w:eastAsia="en-GB"/>
          <w14:ligatures w14:val="none"/>
        </w:rPr>
        <w:t>. https://researchbriefings.files.parliament.uk/documents/LLN-2020-0016/LLN-2020-0016.pdf</w:t>
      </w:r>
    </w:p>
    <w:p w14:paraId="6AB4F561" w14:textId="77777777" w:rsidR="000268F7" w:rsidRDefault="000268F7" w:rsidP="000268F7">
      <w:pPr>
        <w:spacing w:after="0" w:line="480" w:lineRule="auto"/>
        <w:ind w:hanging="720"/>
        <w:rPr>
          <w:rFonts w:ascii="Times New Roman" w:eastAsia="Times New Roman" w:hAnsi="Times New Roman" w:cs="Times New Roman"/>
          <w:kern w:val="0"/>
          <w:sz w:val="24"/>
          <w:szCs w:val="24"/>
          <w:lang w:eastAsia="en-GB"/>
          <w14:ligatures w14:val="none"/>
        </w:rPr>
      </w:pPr>
      <w:proofErr w:type="spellStart"/>
      <w:r>
        <w:rPr>
          <w:rFonts w:ascii="MS Mincho" w:eastAsia="MS Mincho" w:hAnsi="MS Mincho" w:cs="MS Mincho" w:hint="eastAsia"/>
          <w:kern w:val="0"/>
          <w:sz w:val="24"/>
          <w:szCs w:val="24"/>
          <w:lang w:eastAsia="en-GB"/>
          <w14:ligatures w14:val="none"/>
        </w:rPr>
        <w:t>著者</w:t>
      </w:r>
      <w:proofErr w:type="spellEnd"/>
      <w:r>
        <w:rPr>
          <w:rFonts w:ascii="MS Mincho" w:eastAsia="MS Mincho" w:hAnsi="MS Mincho" w:cs="MS Mincho" w:hint="eastAsia"/>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Hannah Mills, </w:t>
      </w:r>
      <w:proofErr w:type="spellStart"/>
      <w:r>
        <w:rPr>
          <w:rFonts w:ascii="Times New Roman" w:eastAsia="Times New Roman" w:hAnsi="Times New Roman" w:cs="Times New Roman"/>
          <w:kern w:val="0"/>
          <w:sz w:val="24"/>
          <w:szCs w:val="24"/>
          <w:lang w:eastAsia="en-GB"/>
          <w14:ligatures w14:val="none"/>
        </w:rPr>
        <w:t>Skodbo</w:t>
      </w:r>
      <w:proofErr w:type="spellEnd"/>
      <w:r>
        <w:rPr>
          <w:rFonts w:ascii="Times New Roman" w:eastAsia="Times New Roman" w:hAnsi="Times New Roman" w:cs="Times New Roman"/>
          <w:kern w:val="0"/>
          <w:sz w:val="24"/>
          <w:szCs w:val="24"/>
          <w:lang w:eastAsia="en-GB"/>
          <w14:ligatures w14:val="none"/>
        </w:rPr>
        <w:t xml:space="preserve">, S., &amp; Blyth, P. (2013). </w:t>
      </w:r>
      <w:r>
        <w:rPr>
          <w:rFonts w:ascii="Times New Roman" w:eastAsia="Times New Roman" w:hAnsi="Times New Roman" w:cs="Times New Roman"/>
          <w:i/>
          <w:iCs/>
          <w:kern w:val="0"/>
          <w:sz w:val="24"/>
          <w:szCs w:val="24"/>
          <w:lang w:eastAsia="en-GB"/>
          <w14:ligatures w14:val="none"/>
        </w:rPr>
        <w:t>Understanding Organised Crime: Estimating the Scale and the Social and Economic Costs</w:t>
      </w:r>
      <w:r>
        <w:rPr>
          <w:rFonts w:ascii="Times New Roman" w:eastAsia="Times New Roman" w:hAnsi="Times New Roman" w:cs="Times New Roman"/>
          <w:kern w:val="0"/>
          <w:sz w:val="24"/>
          <w:szCs w:val="24"/>
          <w:lang w:eastAsia="en-GB"/>
          <w14:ligatures w14:val="none"/>
        </w:rPr>
        <w:t xml:space="preserve">. </w:t>
      </w:r>
      <w:proofErr w:type="spellStart"/>
      <w:r>
        <w:rPr>
          <w:rFonts w:ascii="MS Mincho" w:eastAsia="MS Mincho" w:hAnsi="MS Mincho" w:cs="MS Mincho" w:hint="eastAsia"/>
          <w:kern w:val="0"/>
          <w:sz w:val="24"/>
          <w:szCs w:val="24"/>
          <w:lang w:eastAsia="en-GB"/>
          <w14:ligatures w14:val="none"/>
        </w:rPr>
        <w:t>出版商</w:t>
      </w:r>
      <w:proofErr w:type="spellEnd"/>
      <w:r>
        <w:rPr>
          <w:rFonts w:ascii="MS Mincho" w:eastAsia="MS Mincho" w:hAnsi="MS Mincho" w:cs="MS Mincho" w:hint="eastAsia"/>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United Kingdom.</w:t>
      </w:r>
    </w:p>
    <w:p w14:paraId="3B367F34" w14:textId="77777777" w:rsidR="000268F7" w:rsidRDefault="000268F7" w:rsidP="000268F7">
      <w:pPr>
        <w:spacing w:line="360" w:lineRule="auto"/>
        <w:rPr>
          <w:rFonts w:ascii="Tahoma" w:hAnsi="Tahoma" w:cs="Tahoma"/>
          <w:b/>
          <w:bCs/>
        </w:rPr>
      </w:pPr>
    </w:p>
    <w:p w14:paraId="59708165" w14:textId="77777777" w:rsidR="000268F7" w:rsidRDefault="000268F7" w:rsidP="00E90237">
      <w:pPr>
        <w:pStyle w:val="NormalWeb"/>
        <w:spacing w:before="0" w:beforeAutospacing="0" w:after="0" w:afterAutospacing="0" w:line="480" w:lineRule="auto"/>
        <w:ind w:left="720" w:hanging="720"/>
      </w:pPr>
    </w:p>
    <w:p w14:paraId="586F21E2" w14:textId="77777777" w:rsidR="00042F39" w:rsidRDefault="00042F39" w:rsidP="00E90237">
      <w:pPr>
        <w:pStyle w:val="NormalWeb"/>
        <w:spacing w:before="0" w:beforeAutospacing="0" w:after="0" w:afterAutospacing="0" w:line="480" w:lineRule="auto"/>
        <w:ind w:left="720" w:hanging="720"/>
      </w:pPr>
    </w:p>
    <w:p w14:paraId="19D59064" w14:textId="77777777" w:rsidR="00042F39" w:rsidRDefault="00042F39" w:rsidP="00042F39">
      <w:pPr>
        <w:pStyle w:val="Default"/>
        <w:spacing w:line="360" w:lineRule="auto"/>
        <w:rPr>
          <w:rFonts w:ascii="Tahoma" w:hAnsi="Tahoma" w:cs="Tahoma"/>
          <w:b/>
          <w:bCs/>
          <w:sz w:val="22"/>
          <w:szCs w:val="22"/>
        </w:rPr>
      </w:pPr>
    </w:p>
    <w:p w14:paraId="74775067" w14:textId="77777777" w:rsidR="00042F39" w:rsidRDefault="00042F39" w:rsidP="00042F39">
      <w:pPr>
        <w:pStyle w:val="Default"/>
        <w:spacing w:line="360" w:lineRule="auto"/>
        <w:rPr>
          <w:rFonts w:ascii="Tahoma" w:hAnsi="Tahoma" w:cs="Tahoma"/>
          <w:b/>
          <w:bCs/>
          <w:sz w:val="22"/>
          <w:szCs w:val="22"/>
        </w:rPr>
      </w:pPr>
    </w:p>
    <w:p w14:paraId="614CAF90" w14:textId="77777777" w:rsidR="00042F39" w:rsidRDefault="00042F39" w:rsidP="00042F39">
      <w:pPr>
        <w:pStyle w:val="Default"/>
        <w:spacing w:line="360" w:lineRule="auto"/>
        <w:rPr>
          <w:rFonts w:ascii="Tahoma" w:hAnsi="Tahoma" w:cs="Tahoma"/>
          <w:b/>
          <w:bCs/>
          <w:sz w:val="22"/>
          <w:szCs w:val="22"/>
        </w:rPr>
      </w:pPr>
    </w:p>
    <w:p w14:paraId="29D4BE5D" w14:textId="77777777" w:rsidR="00042F39" w:rsidRDefault="00042F39" w:rsidP="00042F39">
      <w:pPr>
        <w:pStyle w:val="Default"/>
        <w:spacing w:line="360" w:lineRule="auto"/>
        <w:rPr>
          <w:rFonts w:ascii="Tahoma" w:hAnsi="Tahoma" w:cs="Tahoma"/>
          <w:b/>
          <w:bCs/>
          <w:sz w:val="22"/>
          <w:szCs w:val="22"/>
        </w:rPr>
      </w:pPr>
    </w:p>
    <w:p w14:paraId="145EC8D5" w14:textId="77777777" w:rsidR="00042F39" w:rsidRDefault="00042F39" w:rsidP="00042F39">
      <w:pPr>
        <w:pStyle w:val="Default"/>
        <w:spacing w:line="360" w:lineRule="auto"/>
        <w:rPr>
          <w:rFonts w:ascii="Tahoma" w:hAnsi="Tahoma" w:cs="Tahoma"/>
          <w:b/>
          <w:bCs/>
          <w:sz w:val="22"/>
          <w:szCs w:val="22"/>
        </w:rPr>
      </w:pPr>
    </w:p>
    <w:p w14:paraId="495777D3" w14:textId="77777777" w:rsidR="00042F39" w:rsidRDefault="00042F39" w:rsidP="00042F39">
      <w:pPr>
        <w:pStyle w:val="Default"/>
        <w:spacing w:line="360" w:lineRule="auto"/>
        <w:rPr>
          <w:rFonts w:ascii="Tahoma" w:hAnsi="Tahoma" w:cs="Tahoma"/>
          <w:b/>
          <w:bCs/>
          <w:sz w:val="22"/>
          <w:szCs w:val="22"/>
        </w:rPr>
      </w:pPr>
    </w:p>
    <w:p w14:paraId="084DBB8A" w14:textId="77777777" w:rsidR="00042F39" w:rsidRDefault="00042F39" w:rsidP="00042F39">
      <w:pPr>
        <w:pStyle w:val="Default"/>
        <w:spacing w:line="360" w:lineRule="auto"/>
        <w:rPr>
          <w:rFonts w:ascii="Tahoma" w:hAnsi="Tahoma" w:cs="Tahoma"/>
          <w:b/>
          <w:bCs/>
          <w:sz w:val="22"/>
          <w:szCs w:val="22"/>
        </w:rPr>
      </w:pPr>
    </w:p>
    <w:p w14:paraId="59900D85" w14:textId="77777777" w:rsidR="00042F39" w:rsidRDefault="00042F39" w:rsidP="00042F39">
      <w:pPr>
        <w:pStyle w:val="Default"/>
        <w:spacing w:line="360" w:lineRule="auto"/>
        <w:rPr>
          <w:rFonts w:ascii="Tahoma" w:hAnsi="Tahoma" w:cs="Tahoma"/>
          <w:b/>
          <w:bCs/>
          <w:sz w:val="22"/>
          <w:szCs w:val="22"/>
        </w:rPr>
      </w:pPr>
    </w:p>
    <w:p w14:paraId="365B1F4B" w14:textId="77777777" w:rsidR="00042F39" w:rsidRDefault="00042F39" w:rsidP="00042F39">
      <w:pPr>
        <w:pStyle w:val="Default"/>
        <w:spacing w:line="360" w:lineRule="auto"/>
        <w:rPr>
          <w:rFonts w:ascii="Tahoma" w:hAnsi="Tahoma" w:cs="Tahoma"/>
          <w:b/>
          <w:bCs/>
          <w:sz w:val="22"/>
          <w:szCs w:val="22"/>
        </w:rPr>
      </w:pPr>
    </w:p>
    <w:p w14:paraId="19D1395E" w14:textId="77777777" w:rsidR="00042F39" w:rsidRDefault="00042F39" w:rsidP="00042F39">
      <w:pPr>
        <w:pStyle w:val="Default"/>
        <w:spacing w:line="360" w:lineRule="auto"/>
        <w:rPr>
          <w:rFonts w:ascii="Tahoma" w:hAnsi="Tahoma" w:cs="Tahoma"/>
          <w:b/>
          <w:bCs/>
          <w:sz w:val="22"/>
          <w:szCs w:val="22"/>
        </w:rPr>
      </w:pPr>
    </w:p>
    <w:p w14:paraId="3152AED3" w14:textId="77777777" w:rsidR="00042F39" w:rsidRDefault="00042F39" w:rsidP="00042F39">
      <w:pPr>
        <w:pStyle w:val="Default"/>
        <w:spacing w:line="360" w:lineRule="auto"/>
        <w:rPr>
          <w:rFonts w:ascii="Tahoma" w:hAnsi="Tahoma" w:cs="Tahoma"/>
          <w:b/>
          <w:bCs/>
          <w:sz w:val="22"/>
          <w:szCs w:val="22"/>
        </w:rPr>
      </w:pPr>
    </w:p>
    <w:p w14:paraId="27B1E964" w14:textId="77777777" w:rsidR="00042F39" w:rsidRDefault="00042F39" w:rsidP="00042F39">
      <w:pPr>
        <w:pStyle w:val="Default"/>
        <w:spacing w:line="360" w:lineRule="auto"/>
        <w:rPr>
          <w:rFonts w:ascii="Tahoma" w:hAnsi="Tahoma" w:cs="Tahoma"/>
          <w:b/>
          <w:bCs/>
          <w:sz w:val="22"/>
          <w:szCs w:val="22"/>
        </w:rPr>
      </w:pPr>
    </w:p>
    <w:p w14:paraId="6DE8B1FA" w14:textId="77777777" w:rsidR="00042F39" w:rsidRDefault="00042F39" w:rsidP="00042F39">
      <w:pPr>
        <w:pStyle w:val="Default"/>
        <w:spacing w:line="360" w:lineRule="auto"/>
        <w:rPr>
          <w:rFonts w:ascii="Tahoma" w:hAnsi="Tahoma" w:cs="Tahoma"/>
          <w:b/>
          <w:bCs/>
          <w:sz w:val="22"/>
          <w:szCs w:val="22"/>
        </w:rPr>
      </w:pPr>
    </w:p>
    <w:p w14:paraId="1B7359B6" w14:textId="77777777" w:rsidR="00042F39" w:rsidRDefault="00042F39" w:rsidP="00042F39">
      <w:pPr>
        <w:pStyle w:val="Default"/>
        <w:spacing w:line="360" w:lineRule="auto"/>
        <w:rPr>
          <w:rFonts w:ascii="Tahoma" w:hAnsi="Tahoma" w:cs="Tahoma"/>
          <w:b/>
          <w:bCs/>
          <w:sz w:val="22"/>
          <w:szCs w:val="22"/>
        </w:rPr>
      </w:pPr>
    </w:p>
    <w:p w14:paraId="060741D5" w14:textId="77777777" w:rsidR="00042F39" w:rsidRDefault="00042F39" w:rsidP="00042F39">
      <w:pPr>
        <w:pStyle w:val="Default"/>
        <w:spacing w:line="360" w:lineRule="auto"/>
        <w:rPr>
          <w:rFonts w:ascii="Tahoma" w:hAnsi="Tahoma" w:cs="Tahoma"/>
          <w:b/>
          <w:bCs/>
          <w:sz w:val="22"/>
          <w:szCs w:val="22"/>
        </w:rPr>
      </w:pPr>
    </w:p>
    <w:p w14:paraId="3052290D" w14:textId="77777777" w:rsidR="00042F39" w:rsidRDefault="00042F39" w:rsidP="00042F39">
      <w:pPr>
        <w:pStyle w:val="Default"/>
        <w:spacing w:line="360" w:lineRule="auto"/>
        <w:rPr>
          <w:rFonts w:ascii="Tahoma" w:hAnsi="Tahoma" w:cs="Tahoma"/>
          <w:b/>
          <w:bCs/>
          <w:sz w:val="22"/>
          <w:szCs w:val="22"/>
        </w:rPr>
      </w:pPr>
    </w:p>
    <w:p w14:paraId="4DE5BD46" w14:textId="77777777" w:rsidR="00042F39" w:rsidRDefault="00042F39" w:rsidP="00042F39">
      <w:pPr>
        <w:pStyle w:val="Default"/>
        <w:spacing w:line="360" w:lineRule="auto"/>
        <w:rPr>
          <w:rFonts w:ascii="Tahoma" w:hAnsi="Tahoma" w:cs="Tahoma"/>
          <w:b/>
          <w:bCs/>
          <w:sz w:val="22"/>
          <w:szCs w:val="22"/>
        </w:rPr>
      </w:pPr>
    </w:p>
    <w:p w14:paraId="330FC11C" w14:textId="77777777" w:rsidR="00042F39" w:rsidRDefault="00042F39" w:rsidP="00042F39">
      <w:pPr>
        <w:pStyle w:val="Default"/>
        <w:spacing w:line="360" w:lineRule="auto"/>
        <w:rPr>
          <w:rFonts w:ascii="Tahoma" w:hAnsi="Tahoma" w:cs="Tahoma"/>
          <w:b/>
          <w:bCs/>
          <w:sz w:val="22"/>
          <w:szCs w:val="22"/>
        </w:rPr>
      </w:pPr>
    </w:p>
    <w:p w14:paraId="2DDFAC6A" w14:textId="77777777" w:rsidR="00042F39" w:rsidRDefault="00042F39" w:rsidP="00042F39">
      <w:pPr>
        <w:pStyle w:val="Default"/>
        <w:spacing w:line="360" w:lineRule="auto"/>
        <w:rPr>
          <w:rFonts w:ascii="Tahoma" w:hAnsi="Tahoma" w:cs="Tahoma"/>
          <w:b/>
          <w:bCs/>
          <w:sz w:val="22"/>
          <w:szCs w:val="22"/>
        </w:rPr>
      </w:pPr>
    </w:p>
    <w:p w14:paraId="30C21A63" w14:textId="77777777" w:rsidR="00042F39" w:rsidRDefault="00042F39" w:rsidP="00042F39">
      <w:pPr>
        <w:pStyle w:val="Default"/>
        <w:spacing w:line="360" w:lineRule="auto"/>
        <w:rPr>
          <w:rFonts w:ascii="Tahoma" w:hAnsi="Tahoma" w:cs="Tahoma"/>
          <w:b/>
          <w:bCs/>
          <w:sz w:val="22"/>
          <w:szCs w:val="22"/>
        </w:rPr>
      </w:pPr>
    </w:p>
    <w:p w14:paraId="0B42B3B8" w14:textId="77777777" w:rsidR="00042F39" w:rsidRDefault="00042F39" w:rsidP="00042F39">
      <w:pPr>
        <w:pStyle w:val="Default"/>
        <w:spacing w:line="360" w:lineRule="auto"/>
        <w:rPr>
          <w:rFonts w:ascii="Tahoma" w:hAnsi="Tahoma" w:cs="Tahoma"/>
          <w:b/>
          <w:bCs/>
          <w:sz w:val="22"/>
          <w:szCs w:val="22"/>
        </w:rPr>
      </w:pPr>
    </w:p>
    <w:p w14:paraId="3BD19579" w14:textId="0236A08F" w:rsidR="00042F39" w:rsidRPr="00F6027E" w:rsidRDefault="00042F39" w:rsidP="00042F39">
      <w:pPr>
        <w:pStyle w:val="Default"/>
        <w:spacing w:line="360" w:lineRule="auto"/>
        <w:rPr>
          <w:rFonts w:ascii="Tahoma" w:hAnsi="Tahoma" w:cs="Tahoma"/>
          <w:sz w:val="22"/>
          <w:szCs w:val="22"/>
        </w:rPr>
      </w:pPr>
      <w:r w:rsidRPr="00F6027E">
        <w:rPr>
          <w:rFonts w:ascii="Tahoma" w:hAnsi="Tahoma" w:cs="Tahoma"/>
          <w:b/>
          <w:bCs/>
          <w:sz w:val="22"/>
          <w:szCs w:val="22"/>
        </w:rPr>
        <w:lastRenderedPageBreak/>
        <w:t xml:space="preserve">Essay five: </w:t>
      </w:r>
    </w:p>
    <w:p w14:paraId="72600D35" w14:textId="77777777" w:rsidR="00042F39" w:rsidRPr="00F6027E" w:rsidRDefault="00042F39" w:rsidP="00042F39">
      <w:pPr>
        <w:pStyle w:val="Default"/>
        <w:spacing w:line="360" w:lineRule="auto"/>
        <w:rPr>
          <w:rFonts w:ascii="Tahoma" w:hAnsi="Tahoma" w:cs="Tahoma"/>
          <w:sz w:val="22"/>
          <w:szCs w:val="22"/>
        </w:rPr>
      </w:pPr>
      <w:r w:rsidRPr="00F6027E">
        <w:rPr>
          <w:rFonts w:ascii="Tahoma" w:hAnsi="Tahoma" w:cs="Tahoma"/>
          <w:sz w:val="22"/>
          <w:szCs w:val="22"/>
        </w:rPr>
        <w:t>Evaluate the effectiveness of crime prevention theories and strategies as a means of combating</w:t>
      </w:r>
      <w:r w:rsidRPr="00F6027E">
        <w:rPr>
          <w:rFonts w:ascii="Tahoma" w:hAnsi="Tahoma" w:cs="Tahoma"/>
          <w:b/>
          <w:bCs/>
          <w:sz w:val="22"/>
          <w:szCs w:val="22"/>
        </w:rPr>
        <w:t xml:space="preserve"> </w:t>
      </w:r>
      <w:r w:rsidRPr="00F6027E">
        <w:rPr>
          <w:rFonts w:ascii="Tahoma" w:hAnsi="Tahoma" w:cs="Tahoma"/>
          <w:sz w:val="22"/>
          <w:szCs w:val="22"/>
        </w:rPr>
        <w:t xml:space="preserve">anti-social behaviour. </w:t>
      </w:r>
    </w:p>
    <w:p w14:paraId="69E7AAAE" w14:textId="77777777" w:rsidR="00042F39" w:rsidRPr="00F6027E" w:rsidRDefault="00042F39" w:rsidP="00042F39">
      <w:pPr>
        <w:pStyle w:val="Default"/>
        <w:spacing w:line="360" w:lineRule="auto"/>
        <w:rPr>
          <w:rFonts w:ascii="Tahoma" w:hAnsi="Tahoma" w:cs="Tahoma"/>
          <w:sz w:val="22"/>
          <w:szCs w:val="22"/>
        </w:rPr>
      </w:pPr>
      <w:r w:rsidRPr="00F6027E">
        <w:rPr>
          <w:rFonts w:ascii="Tahoma" w:hAnsi="Tahoma" w:cs="Tahoma"/>
          <w:sz w:val="22"/>
          <w:szCs w:val="22"/>
        </w:rPr>
        <w:t xml:space="preserve">Your answer must be based on academic research, but you may </w:t>
      </w:r>
      <w:proofErr w:type="gramStart"/>
      <w:r w:rsidRPr="00F6027E">
        <w:rPr>
          <w:rFonts w:ascii="Tahoma" w:hAnsi="Tahoma" w:cs="Tahoma"/>
          <w:sz w:val="22"/>
          <w:szCs w:val="22"/>
        </w:rPr>
        <w:t>make reference</w:t>
      </w:r>
      <w:proofErr w:type="gramEnd"/>
      <w:r w:rsidRPr="00F6027E">
        <w:rPr>
          <w:rFonts w:ascii="Tahoma" w:hAnsi="Tahoma" w:cs="Tahoma"/>
          <w:sz w:val="22"/>
          <w:szCs w:val="22"/>
        </w:rPr>
        <w:t xml:space="preserve"> to relevant case studies. </w:t>
      </w:r>
    </w:p>
    <w:p w14:paraId="45BFBC6D" w14:textId="1FDFAB40" w:rsidR="00042F39" w:rsidRDefault="00042F39" w:rsidP="00042F39">
      <w:pPr>
        <w:spacing w:line="360" w:lineRule="auto"/>
        <w:rPr>
          <w:rFonts w:ascii="Tahoma" w:hAnsi="Tahoma" w:cs="Tahoma"/>
        </w:rPr>
      </w:pPr>
      <w:r w:rsidRPr="00F6027E">
        <w:rPr>
          <w:rFonts w:ascii="Tahoma" w:hAnsi="Tahoma" w:cs="Tahoma"/>
          <w:b/>
          <w:bCs/>
        </w:rPr>
        <w:t xml:space="preserve">Word limit: </w:t>
      </w:r>
      <w:r w:rsidRPr="00F6027E">
        <w:rPr>
          <w:rFonts w:ascii="Tahoma" w:hAnsi="Tahoma" w:cs="Tahoma"/>
        </w:rPr>
        <w:t>1000 words.</w:t>
      </w:r>
    </w:p>
    <w:p w14:paraId="67AC7178" w14:textId="77777777" w:rsidR="00042F39" w:rsidRDefault="00042F39" w:rsidP="00042F39">
      <w:pPr>
        <w:spacing w:line="360" w:lineRule="auto"/>
        <w:rPr>
          <w:rFonts w:ascii="Tahoma" w:hAnsi="Tahoma" w:cs="Tahoma"/>
        </w:rPr>
      </w:pPr>
    </w:p>
    <w:p w14:paraId="5D89FA8F" w14:textId="77777777" w:rsidR="00042F39" w:rsidRDefault="00042F39" w:rsidP="00042F39">
      <w:pPr>
        <w:spacing w:line="360" w:lineRule="auto"/>
        <w:rPr>
          <w:rFonts w:ascii="Tahoma" w:hAnsi="Tahoma" w:cs="Tahoma"/>
        </w:rPr>
      </w:pPr>
      <w:r>
        <w:rPr>
          <w:rFonts w:ascii="Tahoma" w:hAnsi="Tahoma" w:cs="Tahoma"/>
        </w:rPr>
        <w:t>Author of this essay will attempt to evaluate efficiency of crime prevention theories in tackling anti-social behaviour. This essay will outline current theories and strategies implemented by police and their effectiveness based on relevant case studies.</w:t>
      </w:r>
    </w:p>
    <w:p w14:paraId="115E245B" w14:textId="77777777" w:rsidR="00042F39" w:rsidRDefault="00042F39" w:rsidP="00042F39">
      <w:pPr>
        <w:pStyle w:val="legclearfix"/>
        <w:shd w:val="clear" w:color="auto" w:fill="FFFFFF"/>
        <w:spacing w:before="0" w:beforeAutospacing="0" w:after="120" w:afterAutospacing="0" w:line="360" w:lineRule="auto"/>
        <w:rPr>
          <w:rFonts w:ascii="Tahoma" w:hAnsi="Tahoma" w:cs="Tahoma"/>
          <w:sz w:val="22"/>
          <w:szCs w:val="22"/>
        </w:rPr>
      </w:pPr>
      <w:r w:rsidRPr="00333918">
        <w:rPr>
          <w:rFonts w:ascii="Tahoma" w:hAnsi="Tahoma" w:cs="Tahoma"/>
          <w:sz w:val="22"/>
          <w:szCs w:val="22"/>
        </w:rPr>
        <w:t>The anti-social behaviour as defined in the Anti-social Behaviour, Crime and Policing Act 2014 is a conduct causing or likely to cause to any person: harassment alarm or distress, nuisance or annoyance related to person’s residential premises or occupation or conduct able to cause annoyance or nuisance to any person in relation to their housing.</w:t>
      </w:r>
    </w:p>
    <w:p w14:paraId="63A579D1" w14:textId="77777777" w:rsidR="00042F39" w:rsidRDefault="00042F39" w:rsidP="00042F39">
      <w:pPr>
        <w:pStyle w:val="legclearfix"/>
        <w:shd w:val="clear" w:color="auto" w:fill="FFFFFF"/>
        <w:spacing w:before="0" w:beforeAutospacing="0" w:after="120" w:afterAutospacing="0" w:line="360" w:lineRule="auto"/>
        <w:rPr>
          <w:rFonts w:ascii="Tahoma" w:hAnsi="Tahoma" w:cs="Tahoma"/>
          <w:sz w:val="22"/>
          <w:szCs w:val="22"/>
        </w:rPr>
      </w:pPr>
      <w:r>
        <w:rPr>
          <w:rFonts w:ascii="Tahoma" w:hAnsi="Tahoma" w:cs="Tahoma"/>
          <w:sz w:val="22"/>
          <w:szCs w:val="22"/>
        </w:rPr>
        <w:t xml:space="preserve">To combat anti-social issues British police forces have been obliged by legislation to work in partnerships with local authorities and associations to address the underlying issues and prevent escalation. In 2002 the Police Reform Act lately amended in 2017 by the Policing and Crime Act, introduced role of Community Support Officers who were initially designated to respond to the low-level crimes and address antisocial behaviour incidents. Alongside with the police officers PSCOs work within the Neighbourhood Policing Teams (NPTs). After the tragic death of Fion Pilkington and her disabled daughter </w:t>
      </w:r>
      <w:r w:rsidRPr="008F0A03">
        <w:rPr>
          <w:rFonts w:ascii="Tahoma" w:hAnsi="Tahoma" w:cs="Tahoma"/>
          <w:sz w:val="22"/>
          <w:szCs w:val="22"/>
        </w:rPr>
        <w:t>(Hussain, 2011)</w:t>
      </w:r>
      <w:r>
        <w:rPr>
          <w:rFonts w:ascii="Tahoma" w:hAnsi="Tahoma" w:cs="Tahoma"/>
          <w:sz w:val="22"/>
          <w:szCs w:val="22"/>
        </w:rPr>
        <w:t xml:space="preserve"> it appeared transparent that police have failed to provide effective approach and address lasting ten years hatred-based harassment on disabled </w:t>
      </w:r>
      <w:proofErr w:type="spellStart"/>
      <w:r>
        <w:rPr>
          <w:rFonts w:ascii="Tahoma" w:hAnsi="Tahoma" w:cs="Tahoma"/>
          <w:sz w:val="22"/>
          <w:szCs w:val="22"/>
        </w:rPr>
        <w:t>Francecca</w:t>
      </w:r>
      <w:proofErr w:type="spellEnd"/>
      <w:r>
        <w:rPr>
          <w:rFonts w:ascii="Tahoma" w:hAnsi="Tahoma" w:cs="Tahoma"/>
          <w:sz w:val="22"/>
          <w:szCs w:val="22"/>
        </w:rPr>
        <w:t xml:space="preserve"> Hardwick, who at the time of her death in October 2007, was 18 years old. This case study highlighted defective approach of police service failing to recognise the youths’ conduct depriving the victims from the will to live. </w:t>
      </w:r>
    </w:p>
    <w:p w14:paraId="5E3F410F" w14:textId="77777777" w:rsidR="00042F39" w:rsidRDefault="00042F39" w:rsidP="00042F39">
      <w:pPr>
        <w:pStyle w:val="legclearfix"/>
        <w:shd w:val="clear" w:color="auto" w:fill="FFFFFF"/>
        <w:spacing w:before="0" w:beforeAutospacing="0" w:after="120" w:afterAutospacing="0" w:line="360" w:lineRule="auto"/>
        <w:rPr>
          <w:rFonts w:ascii="Tahoma" w:hAnsi="Tahoma" w:cs="Tahoma"/>
          <w:sz w:val="22"/>
          <w:szCs w:val="22"/>
        </w:rPr>
      </w:pPr>
      <w:r>
        <w:rPr>
          <w:rFonts w:ascii="Tahoma" w:hAnsi="Tahoma" w:cs="Tahoma"/>
          <w:sz w:val="22"/>
          <w:szCs w:val="22"/>
        </w:rPr>
        <w:t xml:space="preserve">There is selection of crime prevention theories in place aiming to explain and address antisocial behaviour issues. One of them is the ‘broken window theory’ implemented after the experiment conducted in 1969 by Philip Zimbardo. This theory based on two key elements, one being broken window and second the early intervention. The theory suggests that depending on first impression on the environment people behave differently. The second component indicates that individuals facing early consequences of their antisocial behaviour conquer the behaviour. The broken window theory, according to Engel, et al. </w:t>
      </w:r>
      <w:r>
        <w:rPr>
          <w:rFonts w:ascii="Tahoma" w:hAnsi="Tahoma" w:cs="Tahoma"/>
          <w:sz w:val="22"/>
          <w:szCs w:val="22"/>
        </w:rPr>
        <w:lastRenderedPageBreak/>
        <w:t xml:space="preserve">(2014), claims that </w:t>
      </w:r>
      <w:r w:rsidRPr="00CA0DDE">
        <w:rPr>
          <w:rFonts w:ascii="Tahoma" w:hAnsi="Tahoma" w:cs="Tahoma"/>
          <w:sz w:val="22"/>
          <w:szCs w:val="22"/>
        </w:rPr>
        <w:t>crime is inseparably connected to social order</w:t>
      </w:r>
      <w:r>
        <w:rPr>
          <w:rFonts w:ascii="Tahoma" w:hAnsi="Tahoma" w:cs="Tahoma"/>
          <w:sz w:val="22"/>
          <w:szCs w:val="22"/>
        </w:rPr>
        <w:t xml:space="preserve"> and that society not paying attention and not reacting to minor social disorder </w:t>
      </w:r>
      <w:r w:rsidRPr="00CA0DDE">
        <w:rPr>
          <w:rFonts w:ascii="Tahoma" w:hAnsi="Tahoma" w:cs="Tahoma"/>
          <w:sz w:val="22"/>
          <w:szCs w:val="22"/>
        </w:rPr>
        <w:t>“is on a slippery slope to ever and ever more severe forms of disorder and, eventually, crime” (Engel, et al., 2014).</w:t>
      </w:r>
      <w:r>
        <w:rPr>
          <w:rFonts w:ascii="Tahoma" w:hAnsi="Tahoma" w:cs="Tahoma"/>
          <w:sz w:val="22"/>
          <w:szCs w:val="22"/>
        </w:rPr>
        <w:t xml:space="preserve"> The conclusion drawn from the experiment conducted by Engel shows that first impression has a significant effect on the neighbourhood and the early vigilance is effective when residents are not afraid of repercussion. However, there must be corelation between first impression and early sanctions for the desired effect, being community concerned about community welfare and policing themselves. </w:t>
      </w:r>
    </w:p>
    <w:p w14:paraId="3BAFB923" w14:textId="77777777" w:rsidR="00042F39" w:rsidRPr="00FD3F39" w:rsidRDefault="00042F39" w:rsidP="00042F39">
      <w:pPr>
        <w:shd w:val="clear" w:color="auto" w:fill="FFFFFF"/>
        <w:spacing w:line="360" w:lineRule="auto"/>
        <w:rPr>
          <w:rFonts w:ascii="Tahoma" w:hAnsi="Tahoma" w:cs="Tahoma"/>
        </w:rPr>
      </w:pPr>
      <w:r w:rsidRPr="007465E5">
        <w:rPr>
          <w:rFonts w:ascii="Tahoma" w:hAnsi="Tahoma" w:cs="Tahoma"/>
        </w:rPr>
        <w:t>However, as presented in the research of Hopkins-Burke and Hodgson (2015), council estates become ghettos for social tenants.  M</w:t>
      </w:r>
      <w:r>
        <w:rPr>
          <w:rFonts w:ascii="Tahoma" w:hAnsi="Tahoma" w:cs="Tahoma"/>
        </w:rPr>
        <w:t>ajority</w:t>
      </w:r>
      <w:r w:rsidRPr="007465E5">
        <w:rPr>
          <w:rFonts w:ascii="Tahoma" w:hAnsi="Tahoma" w:cs="Tahoma"/>
        </w:rPr>
        <w:t xml:space="preserve"> of the social housing estate</w:t>
      </w:r>
      <w:r>
        <w:rPr>
          <w:rFonts w:ascii="Tahoma" w:hAnsi="Tahoma" w:cs="Tahoma"/>
        </w:rPr>
        <w:t>s</w:t>
      </w:r>
      <w:r w:rsidRPr="007465E5">
        <w:rPr>
          <w:rFonts w:ascii="Tahoma" w:hAnsi="Tahoma" w:cs="Tahoma"/>
        </w:rPr>
        <w:t>, according to data from 2015</w:t>
      </w:r>
      <w:r>
        <w:rPr>
          <w:rFonts w:ascii="Tahoma" w:hAnsi="Tahoma" w:cs="Tahoma"/>
        </w:rPr>
        <w:t>,</w:t>
      </w:r>
      <w:r w:rsidRPr="007465E5">
        <w:rPr>
          <w:rFonts w:ascii="Tahoma" w:hAnsi="Tahoma" w:cs="Tahoma"/>
        </w:rPr>
        <w:t xml:space="preserve"> were in the most deprived 20% of the UK. </w:t>
      </w:r>
      <w:r>
        <w:rPr>
          <w:rFonts w:ascii="Tahoma" w:hAnsi="Tahoma" w:cs="Tahoma"/>
        </w:rPr>
        <w:t>That amount to almost 2 million houses with around two-</w:t>
      </w:r>
      <w:r w:rsidRPr="00A34F1E">
        <w:rPr>
          <w:rFonts w:ascii="Tahoma" w:hAnsi="Tahoma" w:cs="Tahoma"/>
        </w:rPr>
        <w:t>third of tenants in productive age out of whom only 22% are in full-time employment</w:t>
      </w:r>
      <w:r>
        <w:rPr>
          <w:rFonts w:ascii="Tahoma" w:hAnsi="Tahoma" w:cs="Tahoma"/>
        </w:rPr>
        <w:t xml:space="preserve">. This welfare housing strategy developed a culture of dependency and entitlement </w:t>
      </w:r>
      <w:r w:rsidRPr="00FD3F39">
        <w:rPr>
          <w:rFonts w:ascii="Tahoma" w:hAnsi="Tahoma" w:cs="Tahoma"/>
        </w:rPr>
        <w:t>therefore there exists a necessity to reintroduce balanced communities</w:t>
      </w:r>
      <w:r w:rsidRPr="00FD3F39">
        <w:rPr>
          <w:rFonts w:ascii="Tahoma" w:eastAsia="Times New Roman" w:hAnsi="Tahoma" w:cs="Tahoma"/>
          <w:kern w:val="0"/>
          <w:lang w:val="en" w:eastAsia="en-GB"/>
          <w14:ligatures w14:val="none"/>
        </w:rPr>
        <w:t xml:space="preserve"> likely to incentivize </w:t>
      </w:r>
      <w:r w:rsidRPr="00FD3F39">
        <w:rPr>
          <w:rFonts w:ascii="Tahoma" w:hAnsi="Tahoma" w:cs="Tahoma"/>
        </w:rPr>
        <w:t>individuals into employment, rather than placing them in welfare ghettos.</w:t>
      </w:r>
    </w:p>
    <w:p w14:paraId="5F5E41A4" w14:textId="77777777" w:rsidR="00042F39" w:rsidRDefault="00042F39" w:rsidP="00042F39">
      <w:pPr>
        <w:pStyle w:val="legclearfix"/>
        <w:shd w:val="clear" w:color="auto" w:fill="FFFFFF"/>
        <w:spacing w:before="0" w:beforeAutospacing="0" w:after="120" w:afterAutospacing="0" w:line="360" w:lineRule="auto"/>
        <w:rPr>
          <w:rFonts w:ascii="Tahoma" w:hAnsi="Tahoma" w:cs="Tahoma"/>
          <w:sz w:val="22"/>
          <w:szCs w:val="22"/>
          <w:shd w:val="clear" w:color="auto" w:fill="FFFFFF"/>
        </w:rPr>
      </w:pPr>
      <w:r>
        <w:rPr>
          <w:rFonts w:ascii="Tahoma" w:hAnsi="Tahoma" w:cs="Tahoma"/>
          <w:sz w:val="22"/>
          <w:szCs w:val="22"/>
        </w:rPr>
        <w:t>Another theory Crime Prevention Through Environmental Design is based on strategies implemented in design of public spaces to deter crime occurrence. The theory was tested by crime prevention survey conducted among the residents of Brixton Town Centre (BTC) in London. With the measures introduced in 2011 BTC noted decrease in the crime rate while in other parts of England and Wales in the same period, crime rate increased. According to the research (</w:t>
      </w:r>
      <w:proofErr w:type="spellStart"/>
      <w:r w:rsidRPr="00B15999">
        <w:rPr>
          <w:rFonts w:ascii="Tahoma" w:hAnsi="Tahoma" w:cs="Tahoma"/>
          <w:sz w:val="22"/>
          <w:szCs w:val="22"/>
        </w:rPr>
        <w:t>Piroozfar</w:t>
      </w:r>
      <w:proofErr w:type="spellEnd"/>
      <w:r w:rsidRPr="00B15999">
        <w:rPr>
          <w:rFonts w:ascii="Tahoma" w:hAnsi="Tahoma" w:cs="Tahoma"/>
          <w:sz w:val="22"/>
          <w:szCs w:val="22"/>
        </w:rPr>
        <w:t xml:space="preserve"> et al., 2019)</w:t>
      </w:r>
      <w:r>
        <w:rPr>
          <w:rFonts w:ascii="Tahoma" w:hAnsi="Tahoma" w:cs="Tahoma"/>
          <w:sz w:val="22"/>
          <w:szCs w:val="22"/>
        </w:rPr>
        <w:t xml:space="preserve"> it can be determined that there is clear connection between the time of residency and fear of crime. This study was based on environmental design and implementing strategic changes. The same strategy is utilised by local authorities in England and Wales. Ther are multiple examples of environmental crime prevention strategy that include installation of good lightning in potentially problematic areas, designing </w:t>
      </w:r>
      <w:r w:rsidRPr="00C8700E">
        <w:rPr>
          <w:rFonts w:ascii="Tahoma" w:hAnsi="Tahoma" w:cs="Tahoma"/>
          <w:sz w:val="22"/>
          <w:szCs w:val="22"/>
        </w:rPr>
        <w:t>public spaces in a way to increase pedestrian and bicycle traffic</w:t>
      </w:r>
      <w:r w:rsidRPr="00C8700E">
        <w:rPr>
          <w:rFonts w:ascii="Tahoma" w:hAnsi="Tahoma" w:cs="Tahoma"/>
          <w:sz w:val="22"/>
          <w:szCs w:val="22"/>
          <w:shd w:val="clear" w:color="auto" w:fill="FFFFFF"/>
        </w:rPr>
        <w:t xml:space="preserve"> by increasing pavements and bicycles’ tacks, removing graffities</w:t>
      </w:r>
      <w:r>
        <w:rPr>
          <w:rFonts w:ascii="Tahoma" w:hAnsi="Tahoma" w:cs="Tahoma"/>
          <w:sz w:val="22"/>
          <w:szCs w:val="22"/>
          <w:shd w:val="clear" w:color="auto" w:fill="FFFFFF"/>
        </w:rPr>
        <w:t xml:space="preserve"> or installing alley gates (College of Policing, 2022). </w:t>
      </w:r>
    </w:p>
    <w:p w14:paraId="3E0906D2" w14:textId="77777777" w:rsidR="00042F39" w:rsidRDefault="00042F39" w:rsidP="00042F39">
      <w:pPr>
        <w:pStyle w:val="legclearfix"/>
        <w:shd w:val="clear" w:color="auto" w:fill="FFFFFF"/>
        <w:spacing w:before="0" w:beforeAutospacing="0" w:after="120" w:afterAutospacing="0" w:line="360" w:lineRule="auto"/>
        <w:rPr>
          <w:rFonts w:ascii="Tahoma" w:hAnsi="Tahoma" w:cs="Tahoma"/>
          <w:sz w:val="22"/>
          <w:szCs w:val="22"/>
        </w:rPr>
      </w:pPr>
      <w:r>
        <w:rPr>
          <w:rFonts w:ascii="Tahoma" w:hAnsi="Tahoma" w:cs="Tahoma"/>
          <w:sz w:val="22"/>
          <w:szCs w:val="22"/>
        </w:rPr>
        <w:t xml:space="preserve">Some of the strategies can be implemented by local authorities other by community safety department of the police service. The crucial in tackling of antisocial behaviour is cooperation between police and society in the common aim of living a good life. </w:t>
      </w:r>
    </w:p>
    <w:p w14:paraId="7B5782BF" w14:textId="77777777" w:rsidR="00042F39" w:rsidRDefault="00042F39" w:rsidP="00042F39">
      <w:pPr>
        <w:pStyle w:val="legclearfix"/>
        <w:shd w:val="clear" w:color="auto" w:fill="FFFFFF"/>
        <w:spacing w:before="0" w:beforeAutospacing="0" w:after="120" w:afterAutospacing="0" w:line="360" w:lineRule="auto"/>
        <w:rPr>
          <w:rFonts w:ascii="Tahoma" w:hAnsi="Tahoma" w:cs="Tahoma"/>
          <w:sz w:val="22"/>
          <w:szCs w:val="22"/>
        </w:rPr>
      </w:pPr>
      <w:r>
        <w:rPr>
          <w:rFonts w:ascii="Tahoma" w:hAnsi="Tahoma" w:cs="Tahoma"/>
          <w:sz w:val="22"/>
          <w:szCs w:val="22"/>
        </w:rPr>
        <w:t xml:space="preserve">Another crime prevention strategy is policing hot spots. According to the research of </w:t>
      </w:r>
      <w:r w:rsidRPr="00077689">
        <w:rPr>
          <w:rFonts w:ascii="Tahoma" w:hAnsi="Tahoma" w:cs="Tahoma"/>
          <w:sz w:val="22"/>
          <w:szCs w:val="22"/>
        </w:rPr>
        <w:t xml:space="preserve">Braga et al., (2019) </w:t>
      </w:r>
      <w:r>
        <w:rPr>
          <w:rFonts w:ascii="Tahoma" w:hAnsi="Tahoma" w:cs="Tahoma"/>
          <w:sz w:val="22"/>
          <w:szCs w:val="22"/>
        </w:rPr>
        <w:t>78 areas of Bogota, Colombia with high rate of crime has been targeted with two types of police intervention</w:t>
      </w:r>
      <w:r w:rsidRPr="00BA285B">
        <w:rPr>
          <w:rFonts w:ascii="Tahoma" w:hAnsi="Tahoma" w:cs="Tahoma"/>
          <w:sz w:val="22"/>
          <w:szCs w:val="22"/>
        </w:rPr>
        <w:t xml:space="preserve">: </w:t>
      </w:r>
      <w:r w:rsidRPr="00BA285B">
        <w:rPr>
          <w:rFonts w:ascii="Tahoma" w:hAnsi="Tahoma" w:cs="Tahoma"/>
          <w:sz w:val="22"/>
          <w:szCs w:val="22"/>
          <w:shd w:val="clear" w:color="auto" w:fill="FCFCFC"/>
        </w:rPr>
        <w:t xml:space="preserve">increased traditional policing and problem-orientated </w:t>
      </w:r>
      <w:r w:rsidRPr="00BA285B">
        <w:rPr>
          <w:rFonts w:ascii="Tahoma" w:hAnsi="Tahoma" w:cs="Tahoma"/>
          <w:sz w:val="22"/>
          <w:szCs w:val="22"/>
          <w:shd w:val="clear" w:color="auto" w:fill="FCFCFC"/>
        </w:rPr>
        <w:lastRenderedPageBreak/>
        <w:t xml:space="preserve">policing. The problem orientated policing strategies involved alteration of original settings and dynamics causing problems to recur in high-activity crime places. </w:t>
      </w:r>
      <w:r>
        <w:rPr>
          <w:rFonts w:ascii="Tahoma" w:hAnsi="Tahoma" w:cs="Tahoma"/>
          <w:sz w:val="22"/>
          <w:szCs w:val="22"/>
          <w:shd w:val="clear" w:color="auto" w:fill="FCFCFC"/>
        </w:rPr>
        <w:t>Traditional policing was aiming to reduce crime occurrence by increased police presence and law enforcement activities. This approach was successful a</w:t>
      </w:r>
      <w:r w:rsidRPr="00BA285B">
        <w:rPr>
          <w:rFonts w:ascii="Tahoma" w:hAnsi="Tahoma" w:cs="Tahoma"/>
          <w:sz w:val="22"/>
          <w:szCs w:val="22"/>
          <w:shd w:val="clear" w:color="auto" w:fill="FCFCFC"/>
        </w:rPr>
        <w:t xml:space="preserve">mong </w:t>
      </w:r>
      <w:r>
        <w:rPr>
          <w:rFonts w:ascii="Tahoma" w:hAnsi="Tahoma" w:cs="Tahoma"/>
          <w:sz w:val="22"/>
          <w:szCs w:val="22"/>
          <w:shd w:val="clear" w:color="auto" w:fill="FCFCFC"/>
        </w:rPr>
        <w:t xml:space="preserve">62 (79.5%) out of 78 tested areas and brought significant effect in crime reduction </w:t>
      </w:r>
      <w:r w:rsidRPr="005278B6">
        <w:rPr>
          <w:rFonts w:ascii="Tahoma" w:hAnsi="Tahoma" w:cs="Tahoma"/>
          <w:sz w:val="22"/>
          <w:szCs w:val="22"/>
        </w:rPr>
        <w:t>(Braga et al., 2019).</w:t>
      </w:r>
    </w:p>
    <w:p w14:paraId="673FDF22" w14:textId="77777777" w:rsidR="00042F39" w:rsidRPr="00333918" w:rsidRDefault="00042F39" w:rsidP="00042F39">
      <w:pPr>
        <w:pStyle w:val="legclearfix"/>
        <w:shd w:val="clear" w:color="auto" w:fill="FFFFFF"/>
        <w:spacing w:before="0" w:beforeAutospacing="0" w:after="120" w:afterAutospacing="0" w:line="360" w:lineRule="auto"/>
        <w:rPr>
          <w:rFonts w:ascii="Arial" w:hAnsi="Arial" w:cs="Arial"/>
          <w:color w:val="000000"/>
          <w:sz w:val="22"/>
          <w:szCs w:val="22"/>
        </w:rPr>
      </w:pPr>
      <w:r>
        <w:rPr>
          <w:rFonts w:ascii="Tahoma" w:hAnsi="Tahoma" w:cs="Tahoma"/>
          <w:sz w:val="22"/>
          <w:szCs w:val="22"/>
        </w:rPr>
        <w:t>The antisocial behaviour has potential to cause significant issues in everyday life of victims. From single acts of annoyance to repetitive and prolonged behaviours causing significant harm and impacting social life and mental health of those affected. The complexity of these low-level incidents/crimes to be addressed effectively should be approached by multi-agency cooperation. Police service would not be able to tackle these issues alone without support of local authority, housing associations, education, environmental agencies, sport clubs or charities. Each organisation working towards public and community welfare should participate in effective addressing antisocial problems in local communities.</w:t>
      </w:r>
    </w:p>
    <w:p w14:paraId="185FFE09" w14:textId="77777777" w:rsidR="00042F39" w:rsidRDefault="00042F39" w:rsidP="00042F39">
      <w:pPr>
        <w:rPr>
          <w:rFonts w:ascii="Tahoma" w:hAnsi="Tahoma" w:cs="Tahoma"/>
        </w:rPr>
      </w:pPr>
    </w:p>
    <w:p w14:paraId="35A15B37" w14:textId="77777777" w:rsidR="00042F39" w:rsidRDefault="00042F39" w:rsidP="00042F39">
      <w:pPr>
        <w:rPr>
          <w:rFonts w:ascii="Tahoma" w:hAnsi="Tahoma" w:cs="Tahoma"/>
        </w:rPr>
      </w:pPr>
      <w:r w:rsidRPr="005278B6">
        <w:rPr>
          <w:rFonts w:ascii="Tahoma" w:hAnsi="Tahoma" w:cs="Tahoma"/>
          <w:b/>
          <w:bCs/>
        </w:rPr>
        <w:t>Word count: 930</w:t>
      </w:r>
    </w:p>
    <w:p w14:paraId="0A350C73" w14:textId="77777777" w:rsidR="00042F39" w:rsidRDefault="00042F39" w:rsidP="00042F39">
      <w:pPr>
        <w:rPr>
          <w:rFonts w:ascii="Tahoma" w:hAnsi="Tahoma" w:cs="Tahoma"/>
        </w:rPr>
      </w:pPr>
    </w:p>
    <w:p w14:paraId="302B457C" w14:textId="77777777" w:rsidR="00042F39" w:rsidRDefault="00042F39" w:rsidP="00042F39">
      <w:pPr>
        <w:rPr>
          <w:rFonts w:ascii="Tahoma" w:hAnsi="Tahoma" w:cs="Tahoma"/>
        </w:rPr>
      </w:pPr>
    </w:p>
    <w:p w14:paraId="0715783F" w14:textId="77777777" w:rsidR="00042F39" w:rsidRDefault="00042F39" w:rsidP="00042F39">
      <w:pPr>
        <w:rPr>
          <w:rFonts w:ascii="Tahoma" w:hAnsi="Tahoma" w:cs="Tahoma"/>
          <w:b/>
          <w:bCs/>
        </w:rPr>
      </w:pPr>
      <w:r w:rsidRPr="005278B6">
        <w:rPr>
          <w:rFonts w:ascii="Tahoma" w:hAnsi="Tahoma" w:cs="Tahoma"/>
          <w:b/>
          <w:bCs/>
        </w:rPr>
        <w:t>Bibliography:</w:t>
      </w:r>
    </w:p>
    <w:p w14:paraId="5DB2C654" w14:textId="77777777" w:rsidR="00042F39" w:rsidRPr="005278B6" w:rsidRDefault="00042F39" w:rsidP="00042F39">
      <w:pPr>
        <w:rPr>
          <w:rFonts w:ascii="Tahoma" w:hAnsi="Tahoma" w:cs="Tahoma"/>
          <w:b/>
          <w:bCs/>
        </w:rPr>
      </w:pPr>
    </w:p>
    <w:p w14:paraId="2E6F5C42"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Braga, A. A., Turchan, B. S., Papachristos, A. V., &amp; Hureau, D. M. (2019). Hot spots policing and crime reduction: An update of an ongoing systematic review and meta-analysis. </w:t>
      </w:r>
      <w:r w:rsidRPr="005278B6">
        <w:rPr>
          <w:rFonts w:ascii="Tahoma" w:hAnsi="Tahoma" w:cs="Tahoma"/>
          <w:i/>
          <w:iCs/>
          <w:sz w:val="22"/>
          <w:szCs w:val="22"/>
        </w:rPr>
        <w:t>Journal of Experimental Criminology</w:t>
      </w:r>
      <w:r w:rsidRPr="005278B6">
        <w:rPr>
          <w:rFonts w:ascii="Tahoma" w:hAnsi="Tahoma" w:cs="Tahoma"/>
          <w:sz w:val="22"/>
          <w:szCs w:val="22"/>
        </w:rPr>
        <w:t xml:space="preserve">, </w:t>
      </w:r>
      <w:r w:rsidRPr="005278B6">
        <w:rPr>
          <w:rFonts w:ascii="Tahoma" w:hAnsi="Tahoma" w:cs="Tahoma"/>
          <w:i/>
          <w:iCs/>
          <w:sz w:val="22"/>
          <w:szCs w:val="22"/>
        </w:rPr>
        <w:t>15</w:t>
      </w:r>
      <w:r w:rsidRPr="005278B6">
        <w:rPr>
          <w:rFonts w:ascii="Tahoma" w:hAnsi="Tahoma" w:cs="Tahoma"/>
          <w:sz w:val="22"/>
          <w:szCs w:val="22"/>
        </w:rPr>
        <w:t>(3), 289–311. https://doi.org/10.1007/s11292-019-09372-3</w:t>
      </w:r>
    </w:p>
    <w:p w14:paraId="01331E5B"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Brown, R. (2019, December 20). </w:t>
      </w:r>
      <w:r w:rsidRPr="005278B6">
        <w:rPr>
          <w:rFonts w:ascii="Tahoma" w:hAnsi="Tahoma" w:cs="Tahoma"/>
          <w:i/>
          <w:iCs/>
          <w:sz w:val="22"/>
          <w:szCs w:val="22"/>
        </w:rPr>
        <w:t>A Pilkington Malaise? Have We Really Learnt the Lessons for 2020? - ASB HELP</w:t>
      </w:r>
      <w:r w:rsidRPr="005278B6">
        <w:rPr>
          <w:rFonts w:ascii="Tahoma" w:hAnsi="Tahoma" w:cs="Tahoma"/>
          <w:sz w:val="22"/>
          <w:szCs w:val="22"/>
        </w:rPr>
        <w:t>. ASB HELP. https://asbhelp.co.uk/a-pilkington-malaise-have-we-really-learnt-the-lessons-for-2020/</w:t>
      </w:r>
    </w:p>
    <w:p w14:paraId="21203C63"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College of Policing. (2022a, January 19). </w:t>
      </w:r>
      <w:r w:rsidRPr="005278B6">
        <w:rPr>
          <w:rFonts w:ascii="Tahoma" w:hAnsi="Tahoma" w:cs="Tahoma"/>
          <w:i/>
          <w:iCs/>
          <w:sz w:val="22"/>
          <w:szCs w:val="22"/>
        </w:rPr>
        <w:t>Interventions for situational crime prevention</w:t>
      </w:r>
      <w:r w:rsidRPr="005278B6">
        <w:rPr>
          <w:rFonts w:ascii="Tahoma" w:hAnsi="Tahoma" w:cs="Tahoma"/>
          <w:sz w:val="22"/>
          <w:szCs w:val="22"/>
        </w:rPr>
        <w:t>. College of Policing. https://www.college.police.uk/guidance/neighbourhood-crime/interventions-situational-crime-prevention</w:t>
      </w:r>
    </w:p>
    <w:p w14:paraId="6CB965B3"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lastRenderedPageBreak/>
        <w:t xml:space="preserve">College of Policing. (2022b, July 1). </w:t>
      </w:r>
      <w:r w:rsidRPr="005278B6">
        <w:rPr>
          <w:rFonts w:ascii="Tahoma" w:hAnsi="Tahoma" w:cs="Tahoma"/>
          <w:i/>
          <w:iCs/>
          <w:sz w:val="22"/>
          <w:szCs w:val="22"/>
        </w:rPr>
        <w:t>Legislation and powers</w:t>
      </w:r>
      <w:r w:rsidRPr="005278B6">
        <w:rPr>
          <w:rFonts w:ascii="Tahoma" w:hAnsi="Tahoma" w:cs="Tahoma"/>
          <w:sz w:val="22"/>
          <w:szCs w:val="22"/>
        </w:rPr>
        <w:t>. College of Policing. https://www.college.police.uk/career-learning/joining-police/joining-pcso/handbook/legislation-and-powers</w:t>
      </w:r>
    </w:p>
    <w:p w14:paraId="1F7F712A"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Engel, C., </w:t>
      </w:r>
      <w:proofErr w:type="spellStart"/>
      <w:r w:rsidRPr="005278B6">
        <w:rPr>
          <w:rFonts w:ascii="Tahoma" w:hAnsi="Tahoma" w:cs="Tahoma"/>
          <w:sz w:val="22"/>
          <w:szCs w:val="22"/>
        </w:rPr>
        <w:t>Beckenkamp</w:t>
      </w:r>
      <w:proofErr w:type="spellEnd"/>
      <w:r w:rsidRPr="005278B6">
        <w:rPr>
          <w:rFonts w:ascii="Tahoma" w:hAnsi="Tahoma" w:cs="Tahoma"/>
          <w:sz w:val="22"/>
          <w:szCs w:val="22"/>
        </w:rPr>
        <w:t xml:space="preserve">, M., Glöckner, A., </w:t>
      </w:r>
      <w:proofErr w:type="spellStart"/>
      <w:r w:rsidRPr="005278B6">
        <w:rPr>
          <w:rFonts w:ascii="Tahoma" w:hAnsi="Tahoma" w:cs="Tahoma"/>
          <w:sz w:val="22"/>
          <w:szCs w:val="22"/>
        </w:rPr>
        <w:t>Irlenbusch</w:t>
      </w:r>
      <w:proofErr w:type="spellEnd"/>
      <w:r w:rsidRPr="005278B6">
        <w:rPr>
          <w:rFonts w:ascii="Tahoma" w:hAnsi="Tahoma" w:cs="Tahoma"/>
          <w:sz w:val="22"/>
          <w:szCs w:val="22"/>
        </w:rPr>
        <w:t xml:space="preserve">, B., Hennig-Schmidt, H., Kube, S., </w:t>
      </w:r>
      <w:proofErr w:type="spellStart"/>
      <w:r w:rsidRPr="005278B6">
        <w:rPr>
          <w:rFonts w:ascii="Tahoma" w:hAnsi="Tahoma" w:cs="Tahoma"/>
          <w:sz w:val="22"/>
          <w:szCs w:val="22"/>
        </w:rPr>
        <w:t>Kurschilgen</w:t>
      </w:r>
      <w:proofErr w:type="spellEnd"/>
      <w:r w:rsidRPr="005278B6">
        <w:rPr>
          <w:rFonts w:ascii="Tahoma" w:hAnsi="Tahoma" w:cs="Tahoma"/>
          <w:sz w:val="22"/>
          <w:szCs w:val="22"/>
        </w:rPr>
        <w:t xml:space="preserve">, M., Morell, A., </w:t>
      </w:r>
      <w:proofErr w:type="spellStart"/>
      <w:r w:rsidRPr="005278B6">
        <w:rPr>
          <w:rFonts w:ascii="Tahoma" w:hAnsi="Tahoma" w:cs="Tahoma"/>
          <w:sz w:val="22"/>
          <w:szCs w:val="22"/>
        </w:rPr>
        <w:t>Nicklisch</w:t>
      </w:r>
      <w:proofErr w:type="spellEnd"/>
      <w:r w:rsidRPr="005278B6">
        <w:rPr>
          <w:rFonts w:ascii="Tahoma" w:hAnsi="Tahoma" w:cs="Tahoma"/>
          <w:sz w:val="22"/>
          <w:szCs w:val="22"/>
        </w:rPr>
        <w:t xml:space="preserve">, A., Normann, H.-T., &amp; </w:t>
      </w:r>
      <w:proofErr w:type="spellStart"/>
      <w:r w:rsidRPr="005278B6">
        <w:rPr>
          <w:rFonts w:ascii="Tahoma" w:hAnsi="Tahoma" w:cs="Tahoma"/>
          <w:sz w:val="22"/>
          <w:szCs w:val="22"/>
        </w:rPr>
        <w:t>Towfigh</w:t>
      </w:r>
      <w:proofErr w:type="spellEnd"/>
      <w:r w:rsidRPr="005278B6">
        <w:rPr>
          <w:rFonts w:ascii="Tahoma" w:hAnsi="Tahoma" w:cs="Tahoma"/>
          <w:sz w:val="22"/>
          <w:szCs w:val="22"/>
        </w:rPr>
        <w:t xml:space="preserve">, E. (2014). First impressions are more important than early intervention: Qualifying broken windows theory in the lab. </w:t>
      </w:r>
      <w:r w:rsidRPr="005278B6">
        <w:rPr>
          <w:rFonts w:ascii="Tahoma" w:hAnsi="Tahoma" w:cs="Tahoma"/>
          <w:i/>
          <w:iCs/>
          <w:sz w:val="22"/>
          <w:szCs w:val="22"/>
        </w:rPr>
        <w:t>International Review of Law and Economics</w:t>
      </w:r>
      <w:r w:rsidRPr="005278B6">
        <w:rPr>
          <w:rFonts w:ascii="Tahoma" w:hAnsi="Tahoma" w:cs="Tahoma"/>
          <w:sz w:val="22"/>
          <w:szCs w:val="22"/>
        </w:rPr>
        <w:t xml:space="preserve">, </w:t>
      </w:r>
      <w:r w:rsidRPr="005278B6">
        <w:rPr>
          <w:rFonts w:ascii="Tahoma" w:hAnsi="Tahoma" w:cs="Tahoma"/>
          <w:i/>
          <w:iCs/>
          <w:sz w:val="22"/>
          <w:szCs w:val="22"/>
        </w:rPr>
        <w:t>37</w:t>
      </w:r>
      <w:r w:rsidRPr="005278B6">
        <w:rPr>
          <w:rFonts w:ascii="Tahoma" w:hAnsi="Tahoma" w:cs="Tahoma"/>
          <w:sz w:val="22"/>
          <w:szCs w:val="22"/>
        </w:rPr>
        <w:t>, 126–136. https://doi.org/10.1016/j.irle.2013.07.005</w:t>
      </w:r>
    </w:p>
    <w:p w14:paraId="77250E21"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Home Office. (2016). </w:t>
      </w:r>
      <w:r w:rsidRPr="005278B6">
        <w:rPr>
          <w:rFonts w:ascii="Tahoma" w:hAnsi="Tahoma" w:cs="Tahoma"/>
          <w:i/>
          <w:iCs/>
          <w:sz w:val="22"/>
          <w:szCs w:val="22"/>
        </w:rPr>
        <w:t>Modern Crime Prevention Strategy Modern Crime Prevention Strategy</w:t>
      </w:r>
      <w:r w:rsidRPr="005278B6">
        <w:rPr>
          <w:rFonts w:ascii="Tahoma" w:hAnsi="Tahoma" w:cs="Tahoma"/>
          <w:sz w:val="22"/>
          <w:szCs w:val="22"/>
        </w:rPr>
        <w:t>. https://assets.publishing.service.gov.uk/media/5a8197cf40f0b62305b8fc96/6.1770_Modern_Crime_Prevention_Strategy_final_WEB_version.pdf</w:t>
      </w:r>
    </w:p>
    <w:p w14:paraId="639BF8D4"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Hopkins-Burke, R., &amp; Hodgson, P. (2015). Anti-social behaviour, community and radical moral communitarianism. </w:t>
      </w:r>
      <w:r w:rsidRPr="005278B6">
        <w:rPr>
          <w:rFonts w:ascii="Tahoma" w:hAnsi="Tahoma" w:cs="Tahoma"/>
          <w:i/>
          <w:iCs/>
          <w:sz w:val="22"/>
          <w:szCs w:val="22"/>
        </w:rPr>
        <w:t>Cogent Social Sciences</w:t>
      </w:r>
      <w:r w:rsidRPr="005278B6">
        <w:rPr>
          <w:rFonts w:ascii="Tahoma" w:hAnsi="Tahoma" w:cs="Tahoma"/>
          <w:sz w:val="22"/>
          <w:szCs w:val="22"/>
        </w:rPr>
        <w:t xml:space="preserve">, </w:t>
      </w:r>
      <w:r w:rsidRPr="005278B6">
        <w:rPr>
          <w:rFonts w:ascii="Tahoma" w:hAnsi="Tahoma" w:cs="Tahoma"/>
          <w:i/>
          <w:iCs/>
          <w:sz w:val="22"/>
          <w:szCs w:val="22"/>
        </w:rPr>
        <w:t>1</w:t>
      </w:r>
      <w:r w:rsidRPr="005278B6">
        <w:rPr>
          <w:rFonts w:ascii="Tahoma" w:hAnsi="Tahoma" w:cs="Tahoma"/>
          <w:sz w:val="22"/>
          <w:szCs w:val="22"/>
        </w:rPr>
        <w:t>(1). https://doi.org/10.1080/23311886.2015.1033369</w:t>
      </w:r>
    </w:p>
    <w:p w14:paraId="71A5CC22" w14:textId="7E2DF555"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Hussain, D. (2011, May 26). </w:t>
      </w:r>
      <w:r w:rsidRPr="005278B6">
        <w:rPr>
          <w:rFonts w:ascii="Tahoma" w:hAnsi="Tahoma" w:cs="Tahoma"/>
          <w:i/>
          <w:iCs/>
          <w:sz w:val="22"/>
          <w:szCs w:val="22"/>
        </w:rPr>
        <w:t>IPCC Investigation Finds Alarming Failings in Pilkington Case</w:t>
      </w:r>
      <w:r w:rsidRPr="005278B6">
        <w:rPr>
          <w:rFonts w:ascii="Tahoma" w:hAnsi="Tahoma" w:cs="Tahoma"/>
          <w:sz w:val="22"/>
          <w:szCs w:val="22"/>
        </w:rPr>
        <w:t>. Police Professional. https://www.policeprofessional.com/news/ipcc-investigation-finds-%C2%91alarming-failings%C2%92-in-pilkington-case/</w:t>
      </w:r>
    </w:p>
    <w:p w14:paraId="00951C82"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Legislation.gov.uk. (2003). </w:t>
      </w:r>
      <w:r w:rsidRPr="005278B6">
        <w:rPr>
          <w:rFonts w:ascii="Tahoma" w:hAnsi="Tahoma" w:cs="Tahoma"/>
          <w:i/>
          <w:iCs/>
          <w:sz w:val="22"/>
          <w:szCs w:val="22"/>
        </w:rPr>
        <w:t>Anti-social Behaviour Act 2003</w:t>
      </w:r>
      <w:r w:rsidRPr="005278B6">
        <w:rPr>
          <w:rFonts w:ascii="Tahoma" w:hAnsi="Tahoma" w:cs="Tahoma"/>
          <w:sz w:val="22"/>
          <w:szCs w:val="22"/>
        </w:rPr>
        <w:t>. Legislation.gov.uk. https://www.legislation.gov.uk/ukpga/2003/38/contents</w:t>
      </w:r>
    </w:p>
    <w:p w14:paraId="737346EB"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t xml:space="preserve">Legislation.gov.uk. (2014). </w:t>
      </w:r>
      <w:r w:rsidRPr="005278B6">
        <w:rPr>
          <w:rFonts w:ascii="Tahoma" w:hAnsi="Tahoma" w:cs="Tahoma"/>
          <w:i/>
          <w:iCs/>
          <w:sz w:val="22"/>
          <w:szCs w:val="22"/>
        </w:rPr>
        <w:t>Anti-social Behaviour, Crime and Policing Act 2014</w:t>
      </w:r>
      <w:r w:rsidRPr="005278B6">
        <w:rPr>
          <w:rFonts w:ascii="Tahoma" w:hAnsi="Tahoma" w:cs="Tahoma"/>
          <w:sz w:val="22"/>
          <w:szCs w:val="22"/>
        </w:rPr>
        <w:t>. Legislation.gov.uk. https://www.legislation.gov.uk/ukpga/2014/12/section/2</w:t>
      </w:r>
    </w:p>
    <w:p w14:paraId="28749F35"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proofErr w:type="spellStart"/>
      <w:r w:rsidRPr="005278B6">
        <w:rPr>
          <w:rFonts w:ascii="Tahoma" w:hAnsi="Tahoma" w:cs="Tahoma"/>
          <w:sz w:val="22"/>
          <w:szCs w:val="22"/>
        </w:rPr>
        <w:t>Piroozfar</w:t>
      </w:r>
      <w:proofErr w:type="spellEnd"/>
      <w:r w:rsidRPr="005278B6">
        <w:rPr>
          <w:rFonts w:ascii="Tahoma" w:hAnsi="Tahoma" w:cs="Tahoma"/>
          <w:sz w:val="22"/>
          <w:szCs w:val="22"/>
        </w:rPr>
        <w:t xml:space="preserve">, P., Farr, E. R. P., Aboagye-Nimo, E., &amp; Osei-Berchie, J. (2019). Crime prevention in urban spaces through environmental design: A critical UK perspective. </w:t>
      </w:r>
      <w:r w:rsidRPr="005278B6">
        <w:rPr>
          <w:rFonts w:ascii="Tahoma" w:hAnsi="Tahoma" w:cs="Tahoma"/>
          <w:i/>
          <w:iCs/>
          <w:sz w:val="22"/>
          <w:szCs w:val="22"/>
        </w:rPr>
        <w:t>Cities</w:t>
      </w:r>
      <w:r w:rsidRPr="005278B6">
        <w:rPr>
          <w:rFonts w:ascii="Tahoma" w:hAnsi="Tahoma" w:cs="Tahoma"/>
          <w:sz w:val="22"/>
          <w:szCs w:val="22"/>
        </w:rPr>
        <w:t xml:space="preserve">, </w:t>
      </w:r>
      <w:r w:rsidRPr="005278B6">
        <w:rPr>
          <w:rFonts w:ascii="Tahoma" w:hAnsi="Tahoma" w:cs="Tahoma"/>
          <w:i/>
          <w:iCs/>
          <w:sz w:val="22"/>
          <w:szCs w:val="22"/>
        </w:rPr>
        <w:t>95</w:t>
      </w:r>
      <w:r w:rsidRPr="005278B6">
        <w:rPr>
          <w:rFonts w:ascii="Tahoma" w:hAnsi="Tahoma" w:cs="Tahoma"/>
          <w:sz w:val="22"/>
          <w:szCs w:val="22"/>
        </w:rPr>
        <w:t>(102411). https://doi.org/10.1016/j.cities.2019.102411</w:t>
      </w:r>
    </w:p>
    <w:p w14:paraId="1D0C809C"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i/>
          <w:iCs/>
          <w:sz w:val="22"/>
          <w:szCs w:val="22"/>
        </w:rPr>
        <w:t>Police Reform and Social Responsibility Act 2011</w:t>
      </w:r>
      <w:r w:rsidRPr="005278B6">
        <w:rPr>
          <w:rFonts w:ascii="Tahoma" w:hAnsi="Tahoma" w:cs="Tahoma"/>
          <w:sz w:val="22"/>
          <w:szCs w:val="22"/>
        </w:rPr>
        <w:t>. (2011). Legislation.gov.uk. https://www.legislation.gov.uk/ukpga/2011/13/contents/enacted/data.htm</w:t>
      </w:r>
    </w:p>
    <w:p w14:paraId="03AE97AC" w14:textId="77777777" w:rsidR="00042F39" w:rsidRPr="005278B6" w:rsidRDefault="00042F39" w:rsidP="00042F39">
      <w:pPr>
        <w:pStyle w:val="NormalWeb"/>
        <w:spacing w:before="0" w:beforeAutospacing="0" w:after="0" w:afterAutospacing="0" w:line="480" w:lineRule="auto"/>
        <w:ind w:left="720" w:hanging="720"/>
        <w:rPr>
          <w:rFonts w:ascii="Tahoma" w:hAnsi="Tahoma" w:cs="Tahoma"/>
          <w:sz w:val="22"/>
          <w:szCs w:val="22"/>
        </w:rPr>
      </w:pPr>
      <w:r w:rsidRPr="005278B6">
        <w:rPr>
          <w:rFonts w:ascii="Tahoma" w:hAnsi="Tahoma" w:cs="Tahoma"/>
          <w:sz w:val="22"/>
          <w:szCs w:val="22"/>
        </w:rPr>
        <w:lastRenderedPageBreak/>
        <w:t xml:space="preserve">Weisburd, D, Farrington, DP, &amp; Gill, C (eds) 2016, What Works in Crime Prevention and Rehabilitation: Lessons from Systematic Reviews, Springer New York, New York, NY. Available from: ProQuest </w:t>
      </w:r>
      <w:proofErr w:type="spellStart"/>
      <w:r w:rsidRPr="005278B6">
        <w:rPr>
          <w:rFonts w:ascii="Tahoma" w:hAnsi="Tahoma" w:cs="Tahoma"/>
          <w:sz w:val="22"/>
          <w:szCs w:val="22"/>
        </w:rPr>
        <w:t>Ebook</w:t>
      </w:r>
      <w:proofErr w:type="spellEnd"/>
      <w:r w:rsidRPr="005278B6">
        <w:rPr>
          <w:rFonts w:ascii="Tahoma" w:hAnsi="Tahoma" w:cs="Tahoma"/>
          <w:sz w:val="22"/>
          <w:szCs w:val="22"/>
        </w:rPr>
        <w:t xml:space="preserve"> Central. [27 November 2023]. </w:t>
      </w:r>
    </w:p>
    <w:p w14:paraId="5BFD6166" w14:textId="77777777" w:rsidR="00042F39" w:rsidRPr="00F6027E" w:rsidRDefault="00042F39" w:rsidP="00042F39">
      <w:pPr>
        <w:rPr>
          <w:rFonts w:ascii="Tahoma" w:hAnsi="Tahoma" w:cs="Tahoma"/>
        </w:rPr>
      </w:pPr>
    </w:p>
    <w:p w14:paraId="086C3FA0" w14:textId="77777777" w:rsidR="00042F39" w:rsidRDefault="00042F39" w:rsidP="00E90237">
      <w:pPr>
        <w:pStyle w:val="NormalWeb"/>
        <w:spacing w:before="0" w:beforeAutospacing="0" w:after="0" w:afterAutospacing="0" w:line="480" w:lineRule="auto"/>
        <w:ind w:left="720" w:hanging="720"/>
      </w:pPr>
    </w:p>
    <w:p w14:paraId="3DD7CCDE" w14:textId="0C5711F9" w:rsidR="00AF76FC" w:rsidRPr="006F6434" w:rsidRDefault="00AF76FC" w:rsidP="006F6434">
      <w:pPr>
        <w:spacing w:line="360" w:lineRule="auto"/>
        <w:rPr>
          <w:rFonts w:ascii="Tahoma" w:hAnsi="Tahoma" w:cs="Tahoma"/>
          <w:b/>
          <w:bCs/>
        </w:rPr>
      </w:pPr>
    </w:p>
    <w:sectPr w:rsidR="00AF76FC" w:rsidRPr="006F643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13642" w14:textId="77777777" w:rsidR="00310596" w:rsidRDefault="00310596" w:rsidP="00A16BF8">
      <w:pPr>
        <w:spacing w:after="0" w:line="240" w:lineRule="auto"/>
      </w:pPr>
      <w:r>
        <w:separator/>
      </w:r>
    </w:p>
  </w:endnote>
  <w:endnote w:type="continuationSeparator" w:id="0">
    <w:p w14:paraId="482FFEC1" w14:textId="77777777" w:rsidR="00310596" w:rsidRDefault="00310596" w:rsidP="00A16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328758"/>
      <w:docPartObj>
        <w:docPartGallery w:val="Page Numbers (Bottom of Page)"/>
        <w:docPartUnique/>
      </w:docPartObj>
    </w:sdtPr>
    <w:sdtEndPr>
      <w:rPr>
        <w:noProof/>
      </w:rPr>
    </w:sdtEndPr>
    <w:sdtContent>
      <w:p w14:paraId="736C5304" w14:textId="258E819E" w:rsidR="00A16BF8" w:rsidRDefault="00A16B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093392" w14:textId="77777777" w:rsidR="00A16BF8" w:rsidRDefault="00A16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726A5" w14:textId="77777777" w:rsidR="00310596" w:rsidRDefault="00310596" w:rsidP="00A16BF8">
      <w:pPr>
        <w:spacing w:after="0" w:line="240" w:lineRule="auto"/>
      </w:pPr>
      <w:r>
        <w:separator/>
      </w:r>
    </w:p>
  </w:footnote>
  <w:footnote w:type="continuationSeparator" w:id="0">
    <w:p w14:paraId="387B8F08" w14:textId="77777777" w:rsidR="00310596" w:rsidRDefault="00310596" w:rsidP="00A16B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4A278" w14:textId="7564270D" w:rsidR="00A16BF8" w:rsidRDefault="00A16BF8">
    <w:pPr>
      <w:pStyle w:val="Header"/>
    </w:pPr>
    <w:r>
      <w:t>Elzbieta Przeklasa</w:t>
    </w:r>
    <w:r>
      <w:tab/>
      <w:t xml:space="preserve">                                                                                                                                      2131987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81986"/>
    <w:multiLevelType w:val="hybridMultilevel"/>
    <w:tmpl w:val="488EEAB6"/>
    <w:lvl w:ilvl="0" w:tplc="59DE16BA">
      <w:start w:val="1"/>
      <w:numFmt w:val="bullet"/>
      <w:lvlText w:val="•"/>
      <w:lvlJc w:val="left"/>
      <w:pPr>
        <w:tabs>
          <w:tab w:val="num" w:pos="720"/>
        </w:tabs>
        <w:ind w:left="720" w:hanging="360"/>
      </w:pPr>
      <w:rPr>
        <w:rFonts w:ascii="Arial" w:hAnsi="Arial" w:hint="default"/>
      </w:rPr>
    </w:lvl>
    <w:lvl w:ilvl="1" w:tplc="3BDA969A" w:tentative="1">
      <w:start w:val="1"/>
      <w:numFmt w:val="bullet"/>
      <w:lvlText w:val="•"/>
      <w:lvlJc w:val="left"/>
      <w:pPr>
        <w:tabs>
          <w:tab w:val="num" w:pos="1440"/>
        </w:tabs>
        <w:ind w:left="1440" w:hanging="360"/>
      </w:pPr>
      <w:rPr>
        <w:rFonts w:ascii="Arial" w:hAnsi="Arial" w:hint="default"/>
      </w:rPr>
    </w:lvl>
    <w:lvl w:ilvl="2" w:tplc="26F870FC" w:tentative="1">
      <w:start w:val="1"/>
      <w:numFmt w:val="bullet"/>
      <w:lvlText w:val="•"/>
      <w:lvlJc w:val="left"/>
      <w:pPr>
        <w:tabs>
          <w:tab w:val="num" w:pos="2160"/>
        </w:tabs>
        <w:ind w:left="2160" w:hanging="360"/>
      </w:pPr>
      <w:rPr>
        <w:rFonts w:ascii="Arial" w:hAnsi="Arial" w:hint="default"/>
      </w:rPr>
    </w:lvl>
    <w:lvl w:ilvl="3" w:tplc="F7AE869C" w:tentative="1">
      <w:start w:val="1"/>
      <w:numFmt w:val="bullet"/>
      <w:lvlText w:val="•"/>
      <w:lvlJc w:val="left"/>
      <w:pPr>
        <w:tabs>
          <w:tab w:val="num" w:pos="2880"/>
        </w:tabs>
        <w:ind w:left="2880" w:hanging="360"/>
      </w:pPr>
      <w:rPr>
        <w:rFonts w:ascii="Arial" w:hAnsi="Arial" w:hint="default"/>
      </w:rPr>
    </w:lvl>
    <w:lvl w:ilvl="4" w:tplc="8CECB9E6" w:tentative="1">
      <w:start w:val="1"/>
      <w:numFmt w:val="bullet"/>
      <w:lvlText w:val="•"/>
      <w:lvlJc w:val="left"/>
      <w:pPr>
        <w:tabs>
          <w:tab w:val="num" w:pos="3600"/>
        </w:tabs>
        <w:ind w:left="3600" w:hanging="360"/>
      </w:pPr>
      <w:rPr>
        <w:rFonts w:ascii="Arial" w:hAnsi="Arial" w:hint="default"/>
      </w:rPr>
    </w:lvl>
    <w:lvl w:ilvl="5" w:tplc="4C86070E" w:tentative="1">
      <w:start w:val="1"/>
      <w:numFmt w:val="bullet"/>
      <w:lvlText w:val="•"/>
      <w:lvlJc w:val="left"/>
      <w:pPr>
        <w:tabs>
          <w:tab w:val="num" w:pos="4320"/>
        </w:tabs>
        <w:ind w:left="4320" w:hanging="360"/>
      </w:pPr>
      <w:rPr>
        <w:rFonts w:ascii="Arial" w:hAnsi="Arial" w:hint="default"/>
      </w:rPr>
    </w:lvl>
    <w:lvl w:ilvl="6" w:tplc="0DEA38B0" w:tentative="1">
      <w:start w:val="1"/>
      <w:numFmt w:val="bullet"/>
      <w:lvlText w:val="•"/>
      <w:lvlJc w:val="left"/>
      <w:pPr>
        <w:tabs>
          <w:tab w:val="num" w:pos="5040"/>
        </w:tabs>
        <w:ind w:left="5040" w:hanging="360"/>
      </w:pPr>
      <w:rPr>
        <w:rFonts w:ascii="Arial" w:hAnsi="Arial" w:hint="default"/>
      </w:rPr>
    </w:lvl>
    <w:lvl w:ilvl="7" w:tplc="3CAE2D26" w:tentative="1">
      <w:start w:val="1"/>
      <w:numFmt w:val="bullet"/>
      <w:lvlText w:val="•"/>
      <w:lvlJc w:val="left"/>
      <w:pPr>
        <w:tabs>
          <w:tab w:val="num" w:pos="5760"/>
        </w:tabs>
        <w:ind w:left="5760" w:hanging="360"/>
      </w:pPr>
      <w:rPr>
        <w:rFonts w:ascii="Arial" w:hAnsi="Arial" w:hint="default"/>
      </w:rPr>
    </w:lvl>
    <w:lvl w:ilvl="8" w:tplc="6406A4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9F74809"/>
    <w:multiLevelType w:val="hybridMultilevel"/>
    <w:tmpl w:val="EFBED960"/>
    <w:lvl w:ilvl="0" w:tplc="0CC43F6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A502C2D"/>
    <w:multiLevelType w:val="hybridMultilevel"/>
    <w:tmpl w:val="D0E43208"/>
    <w:lvl w:ilvl="0" w:tplc="EEB07BC4">
      <w:start w:val="1"/>
      <w:numFmt w:val="bullet"/>
      <w:lvlText w:val="•"/>
      <w:lvlJc w:val="left"/>
      <w:pPr>
        <w:tabs>
          <w:tab w:val="num" w:pos="720"/>
        </w:tabs>
        <w:ind w:left="720" w:hanging="360"/>
      </w:pPr>
      <w:rPr>
        <w:rFonts w:ascii="Arial" w:hAnsi="Arial" w:hint="default"/>
      </w:rPr>
    </w:lvl>
    <w:lvl w:ilvl="1" w:tplc="A79A5866" w:tentative="1">
      <w:start w:val="1"/>
      <w:numFmt w:val="bullet"/>
      <w:lvlText w:val="•"/>
      <w:lvlJc w:val="left"/>
      <w:pPr>
        <w:tabs>
          <w:tab w:val="num" w:pos="1440"/>
        </w:tabs>
        <w:ind w:left="1440" w:hanging="360"/>
      </w:pPr>
      <w:rPr>
        <w:rFonts w:ascii="Arial" w:hAnsi="Arial" w:hint="default"/>
      </w:rPr>
    </w:lvl>
    <w:lvl w:ilvl="2" w:tplc="9BC69EDC" w:tentative="1">
      <w:start w:val="1"/>
      <w:numFmt w:val="bullet"/>
      <w:lvlText w:val="•"/>
      <w:lvlJc w:val="left"/>
      <w:pPr>
        <w:tabs>
          <w:tab w:val="num" w:pos="2160"/>
        </w:tabs>
        <w:ind w:left="2160" w:hanging="360"/>
      </w:pPr>
      <w:rPr>
        <w:rFonts w:ascii="Arial" w:hAnsi="Arial" w:hint="default"/>
      </w:rPr>
    </w:lvl>
    <w:lvl w:ilvl="3" w:tplc="C60C55C0" w:tentative="1">
      <w:start w:val="1"/>
      <w:numFmt w:val="bullet"/>
      <w:lvlText w:val="•"/>
      <w:lvlJc w:val="left"/>
      <w:pPr>
        <w:tabs>
          <w:tab w:val="num" w:pos="2880"/>
        </w:tabs>
        <w:ind w:left="2880" w:hanging="360"/>
      </w:pPr>
      <w:rPr>
        <w:rFonts w:ascii="Arial" w:hAnsi="Arial" w:hint="default"/>
      </w:rPr>
    </w:lvl>
    <w:lvl w:ilvl="4" w:tplc="192CFE0E" w:tentative="1">
      <w:start w:val="1"/>
      <w:numFmt w:val="bullet"/>
      <w:lvlText w:val="•"/>
      <w:lvlJc w:val="left"/>
      <w:pPr>
        <w:tabs>
          <w:tab w:val="num" w:pos="3600"/>
        </w:tabs>
        <w:ind w:left="3600" w:hanging="360"/>
      </w:pPr>
      <w:rPr>
        <w:rFonts w:ascii="Arial" w:hAnsi="Arial" w:hint="default"/>
      </w:rPr>
    </w:lvl>
    <w:lvl w:ilvl="5" w:tplc="FC76E63E" w:tentative="1">
      <w:start w:val="1"/>
      <w:numFmt w:val="bullet"/>
      <w:lvlText w:val="•"/>
      <w:lvlJc w:val="left"/>
      <w:pPr>
        <w:tabs>
          <w:tab w:val="num" w:pos="4320"/>
        </w:tabs>
        <w:ind w:left="4320" w:hanging="360"/>
      </w:pPr>
      <w:rPr>
        <w:rFonts w:ascii="Arial" w:hAnsi="Arial" w:hint="default"/>
      </w:rPr>
    </w:lvl>
    <w:lvl w:ilvl="6" w:tplc="84FC3D0A" w:tentative="1">
      <w:start w:val="1"/>
      <w:numFmt w:val="bullet"/>
      <w:lvlText w:val="•"/>
      <w:lvlJc w:val="left"/>
      <w:pPr>
        <w:tabs>
          <w:tab w:val="num" w:pos="5040"/>
        </w:tabs>
        <w:ind w:left="5040" w:hanging="360"/>
      </w:pPr>
      <w:rPr>
        <w:rFonts w:ascii="Arial" w:hAnsi="Arial" w:hint="default"/>
      </w:rPr>
    </w:lvl>
    <w:lvl w:ilvl="7" w:tplc="04F44938" w:tentative="1">
      <w:start w:val="1"/>
      <w:numFmt w:val="bullet"/>
      <w:lvlText w:val="•"/>
      <w:lvlJc w:val="left"/>
      <w:pPr>
        <w:tabs>
          <w:tab w:val="num" w:pos="5760"/>
        </w:tabs>
        <w:ind w:left="5760" w:hanging="360"/>
      </w:pPr>
      <w:rPr>
        <w:rFonts w:ascii="Arial" w:hAnsi="Arial" w:hint="default"/>
      </w:rPr>
    </w:lvl>
    <w:lvl w:ilvl="8" w:tplc="39C470C4" w:tentative="1">
      <w:start w:val="1"/>
      <w:numFmt w:val="bullet"/>
      <w:lvlText w:val="•"/>
      <w:lvlJc w:val="left"/>
      <w:pPr>
        <w:tabs>
          <w:tab w:val="num" w:pos="6480"/>
        </w:tabs>
        <w:ind w:left="6480" w:hanging="360"/>
      </w:pPr>
      <w:rPr>
        <w:rFonts w:ascii="Arial" w:hAnsi="Arial" w:hint="default"/>
      </w:rPr>
    </w:lvl>
  </w:abstractNum>
  <w:num w:numId="1" w16cid:durableId="385490191">
    <w:abstractNumId w:val="0"/>
  </w:num>
  <w:num w:numId="2" w16cid:durableId="1439987007">
    <w:abstractNumId w:val="2"/>
  </w:num>
  <w:num w:numId="3" w16cid:durableId="189034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749"/>
    <w:rsid w:val="000268F7"/>
    <w:rsid w:val="00042F39"/>
    <w:rsid w:val="001760E6"/>
    <w:rsid w:val="001C1E66"/>
    <w:rsid w:val="00202D4E"/>
    <w:rsid w:val="00270D59"/>
    <w:rsid w:val="00310596"/>
    <w:rsid w:val="003573A4"/>
    <w:rsid w:val="003A4AA3"/>
    <w:rsid w:val="003B408F"/>
    <w:rsid w:val="0041259C"/>
    <w:rsid w:val="00464448"/>
    <w:rsid w:val="004A4040"/>
    <w:rsid w:val="004C4ECF"/>
    <w:rsid w:val="004E3238"/>
    <w:rsid w:val="005323ED"/>
    <w:rsid w:val="005D7072"/>
    <w:rsid w:val="00603D67"/>
    <w:rsid w:val="006F6434"/>
    <w:rsid w:val="00751988"/>
    <w:rsid w:val="007C0117"/>
    <w:rsid w:val="008C6210"/>
    <w:rsid w:val="008D0C77"/>
    <w:rsid w:val="008D3830"/>
    <w:rsid w:val="009B1B01"/>
    <w:rsid w:val="009F42F4"/>
    <w:rsid w:val="009F450B"/>
    <w:rsid w:val="00A16BF8"/>
    <w:rsid w:val="00A72B7E"/>
    <w:rsid w:val="00AB6429"/>
    <w:rsid w:val="00AF76FC"/>
    <w:rsid w:val="00B47E6B"/>
    <w:rsid w:val="00B67FA8"/>
    <w:rsid w:val="00BA086F"/>
    <w:rsid w:val="00CA305C"/>
    <w:rsid w:val="00D958CC"/>
    <w:rsid w:val="00E90237"/>
    <w:rsid w:val="00E91EBC"/>
    <w:rsid w:val="00F0306A"/>
    <w:rsid w:val="00F55749"/>
    <w:rsid w:val="00F65FB7"/>
    <w:rsid w:val="00F95B65"/>
    <w:rsid w:val="00FE6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884F7"/>
  <w15:chartTrackingRefBased/>
  <w15:docId w15:val="{8B960B8C-12CB-4BE0-827A-C2F727E70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6429"/>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41259C"/>
    <w:pPr>
      <w:ind w:left="720"/>
      <w:contextualSpacing/>
    </w:pPr>
  </w:style>
  <w:style w:type="paragraph" w:styleId="Header">
    <w:name w:val="header"/>
    <w:basedOn w:val="Normal"/>
    <w:link w:val="HeaderChar"/>
    <w:uiPriority w:val="99"/>
    <w:unhideWhenUsed/>
    <w:rsid w:val="00A16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BF8"/>
  </w:style>
  <w:style w:type="paragraph" w:styleId="Footer">
    <w:name w:val="footer"/>
    <w:basedOn w:val="Normal"/>
    <w:link w:val="FooterChar"/>
    <w:uiPriority w:val="99"/>
    <w:unhideWhenUsed/>
    <w:rsid w:val="00A16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BF8"/>
  </w:style>
  <w:style w:type="character" w:styleId="Hyperlink">
    <w:name w:val="Hyperlink"/>
    <w:basedOn w:val="DefaultParagraphFont"/>
    <w:uiPriority w:val="99"/>
    <w:unhideWhenUsed/>
    <w:rsid w:val="008D3830"/>
    <w:rPr>
      <w:color w:val="0563C1" w:themeColor="hyperlink"/>
      <w:u w:val="single"/>
    </w:rPr>
  </w:style>
  <w:style w:type="character" w:styleId="UnresolvedMention">
    <w:name w:val="Unresolved Mention"/>
    <w:basedOn w:val="DefaultParagraphFont"/>
    <w:uiPriority w:val="99"/>
    <w:semiHidden/>
    <w:unhideWhenUsed/>
    <w:rsid w:val="008D3830"/>
    <w:rPr>
      <w:color w:val="605E5C"/>
      <w:shd w:val="clear" w:color="auto" w:fill="E1DFDD"/>
    </w:rPr>
  </w:style>
  <w:style w:type="paragraph" w:styleId="NormalWeb">
    <w:name w:val="Normal (Web)"/>
    <w:basedOn w:val="Normal"/>
    <w:uiPriority w:val="99"/>
    <w:unhideWhenUsed/>
    <w:rsid w:val="00AF76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042F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41364">
      <w:bodyDiv w:val="1"/>
      <w:marLeft w:val="0"/>
      <w:marRight w:val="0"/>
      <w:marTop w:val="0"/>
      <w:marBottom w:val="0"/>
      <w:divBdr>
        <w:top w:val="none" w:sz="0" w:space="0" w:color="auto"/>
        <w:left w:val="none" w:sz="0" w:space="0" w:color="auto"/>
        <w:bottom w:val="none" w:sz="0" w:space="0" w:color="auto"/>
        <w:right w:val="none" w:sz="0" w:space="0" w:color="auto"/>
      </w:divBdr>
    </w:div>
    <w:div w:id="1087338719">
      <w:bodyDiv w:val="1"/>
      <w:marLeft w:val="0"/>
      <w:marRight w:val="0"/>
      <w:marTop w:val="0"/>
      <w:marBottom w:val="0"/>
      <w:divBdr>
        <w:top w:val="none" w:sz="0" w:space="0" w:color="auto"/>
        <w:left w:val="none" w:sz="0" w:space="0" w:color="auto"/>
        <w:bottom w:val="none" w:sz="0" w:space="0" w:color="auto"/>
        <w:right w:val="none" w:sz="0" w:space="0" w:color="auto"/>
      </w:divBdr>
      <w:divsChild>
        <w:div w:id="1540434645">
          <w:marLeft w:val="0"/>
          <w:marRight w:val="0"/>
          <w:marTop w:val="0"/>
          <w:marBottom w:val="0"/>
          <w:divBdr>
            <w:top w:val="none" w:sz="0" w:space="0" w:color="auto"/>
            <w:left w:val="none" w:sz="0" w:space="0" w:color="auto"/>
            <w:bottom w:val="none" w:sz="0" w:space="0" w:color="auto"/>
            <w:right w:val="none" w:sz="0" w:space="0" w:color="auto"/>
          </w:divBdr>
        </w:div>
      </w:divsChild>
    </w:div>
    <w:div w:id="1134908426">
      <w:bodyDiv w:val="1"/>
      <w:marLeft w:val="0"/>
      <w:marRight w:val="0"/>
      <w:marTop w:val="0"/>
      <w:marBottom w:val="0"/>
      <w:divBdr>
        <w:top w:val="none" w:sz="0" w:space="0" w:color="auto"/>
        <w:left w:val="none" w:sz="0" w:space="0" w:color="auto"/>
        <w:bottom w:val="none" w:sz="0" w:space="0" w:color="auto"/>
        <w:right w:val="none" w:sz="0" w:space="0" w:color="auto"/>
      </w:divBdr>
    </w:div>
    <w:div w:id="1548296155">
      <w:bodyDiv w:val="1"/>
      <w:marLeft w:val="0"/>
      <w:marRight w:val="0"/>
      <w:marTop w:val="0"/>
      <w:marBottom w:val="0"/>
      <w:divBdr>
        <w:top w:val="none" w:sz="0" w:space="0" w:color="auto"/>
        <w:left w:val="none" w:sz="0" w:space="0" w:color="auto"/>
        <w:bottom w:val="none" w:sz="0" w:space="0" w:color="auto"/>
        <w:right w:val="none" w:sz="0" w:space="0" w:color="auto"/>
      </w:divBdr>
      <w:divsChild>
        <w:div w:id="2040541142">
          <w:marLeft w:val="547"/>
          <w:marRight w:val="0"/>
          <w:marTop w:val="154"/>
          <w:marBottom w:val="0"/>
          <w:divBdr>
            <w:top w:val="none" w:sz="0" w:space="0" w:color="auto"/>
            <w:left w:val="none" w:sz="0" w:space="0" w:color="auto"/>
            <w:bottom w:val="none" w:sz="0" w:space="0" w:color="auto"/>
            <w:right w:val="none" w:sz="0" w:space="0" w:color="auto"/>
          </w:divBdr>
        </w:div>
        <w:div w:id="966592491">
          <w:marLeft w:val="547"/>
          <w:marRight w:val="0"/>
          <w:marTop w:val="154"/>
          <w:marBottom w:val="0"/>
          <w:divBdr>
            <w:top w:val="none" w:sz="0" w:space="0" w:color="auto"/>
            <w:left w:val="none" w:sz="0" w:space="0" w:color="auto"/>
            <w:bottom w:val="none" w:sz="0" w:space="0" w:color="auto"/>
            <w:right w:val="none" w:sz="0" w:space="0" w:color="auto"/>
          </w:divBdr>
        </w:div>
        <w:div w:id="1967466122">
          <w:marLeft w:val="547"/>
          <w:marRight w:val="0"/>
          <w:marTop w:val="154"/>
          <w:marBottom w:val="0"/>
          <w:divBdr>
            <w:top w:val="none" w:sz="0" w:space="0" w:color="auto"/>
            <w:left w:val="none" w:sz="0" w:space="0" w:color="auto"/>
            <w:bottom w:val="none" w:sz="0" w:space="0" w:color="auto"/>
            <w:right w:val="none" w:sz="0" w:space="0" w:color="auto"/>
          </w:divBdr>
        </w:div>
        <w:div w:id="1229267695">
          <w:marLeft w:val="547"/>
          <w:marRight w:val="0"/>
          <w:marTop w:val="154"/>
          <w:marBottom w:val="0"/>
          <w:divBdr>
            <w:top w:val="none" w:sz="0" w:space="0" w:color="auto"/>
            <w:left w:val="none" w:sz="0" w:space="0" w:color="auto"/>
            <w:bottom w:val="none" w:sz="0" w:space="0" w:color="auto"/>
            <w:right w:val="none" w:sz="0" w:space="0" w:color="auto"/>
          </w:divBdr>
        </w:div>
        <w:div w:id="1168132440">
          <w:marLeft w:val="547"/>
          <w:marRight w:val="0"/>
          <w:marTop w:val="154"/>
          <w:marBottom w:val="0"/>
          <w:divBdr>
            <w:top w:val="none" w:sz="0" w:space="0" w:color="auto"/>
            <w:left w:val="none" w:sz="0" w:space="0" w:color="auto"/>
            <w:bottom w:val="none" w:sz="0" w:space="0" w:color="auto"/>
            <w:right w:val="none" w:sz="0" w:space="0" w:color="auto"/>
          </w:divBdr>
        </w:div>
      </w:divsChild>
    </w:div>
    <w:div w:id="1613898619">
      <w:bodyDiv w:val="1"/>
      <w:marLeft w:val="0"/>
      <w:marRight w:val="0"/>
      <w:marTop w:val="0"/>
      <w:marBottom w:val="0"/>
      <w:divBdr>
        <w:top w:val="none" w:sz="0" w:space="0" w:color="auto"/>
        <w:left w:val="none" w:sz="0" w:space="0" w:color="auto"/>
        <w:bottom w:val="none" w:sz="0" w:space="0" w:color="auto"/>
        <w:right w:val="none" w:sz="0" w:space="0" w:color="auto"/>
      </w:divBdr>
      <w:divsChild>
        <w:div w:id="1391267840">
          <w:marLeft w:val="0"/>
          <w:marRight w:val="0"/>
          <w:marTop w:val="0"/>
          <w:marBottom w:val="0"/>
          <w:divBdr>
            <w:top w:val="none" w:sz="0" w:space="0" w:color="auto"/>
            <w:left w:val="none" w:sz="0" w:space="0" w:color="auto"/>
            <w:bottom w:val="none" w:sz="0" w:space="0" w:color="auto"/>
            <w:right w:val="none" w:sz="0" w:space="0" w:color="auto"/>
          </w:divBdr>
        </w:div>
      </w:divsChild>
    </w:div>
    <w:div w:id="1911306300">
      <w:bodyDiv w:val="1"/>
      <w:marLeft w:val="0"/>
      <w:marRight w:val="0"/>
      <w:marTop w:val="0"/>
      <w:marBottom w:val="0"/>
      <w:divBdr>
        <w:top w:val="none" w:sz="0" w:space="0" w:color="auto"/>
        <w:left w:val="none" w:sz="0" w:space="0" w:color="auto"/>
        <w:bottom w:val="none" w:sz="0" w:space="0" w:color="auto"/>
        <w:right w:val="none" w:sz="0" w:space="0" w:color="auto"/>
      </w:divBdr>
      <w:divsChild>
        <w:div w:id="1945110054">
          <w:marLeft w:val="547"/>
          <w:marRight w:val="0"/>
          <w:marTop w:val="140"/>
          <w:marBottom w:val="0"/>
          <w:divBdr>
            <w:top w:val="none" w:sz="0" w:space="0" w:color="auto"/>
            <w:left w:val="none" w:sz="0" w:space="0" w:color="auto"/>
            <w:bottom w:val="none" w:sz="0" w:space="0" w:color="auto"/>
            <w:right w:val="none" w:sz="0" w:space="0" w:color="auto"/>
          </w:divBdr>
        </w:div>
        <w:div w:id="226262242">
          <w:marLeft w:val="547"/>
          <w:marRight w:val="0"/>
          <w:marTop w:val="140"/>
          <w:marBottom w:val="0"/>
          <w:divBdr>
            <w:top w:val="none" w:sz="0" w:space="0" w:color="auto"/>
            <w:left w:val="none" w:sz="0" w:space="0" w:color="auto"/>
            <w:bottom w:val="none" w:sz="0" w:space="0" w:color="auto"/>
            <w:right w:val="none" w:sz="0" w:space="0" w:color="auto"/>
          </w:divBdr>
        </w:div>
        <w:div w:id="1318804963">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15614263.2018.152538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TotalTime>
  <Pages>1</Pages>
  <Words>5116</Words>
  <Characters>29164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Przeklasa,Elzbieta swp8276</dc:creator>
  <cp:keywords/>
  <dc:description/>
  <cp:lastModifiedBy>Ela Przeklasa</cp:lastModifiedBy>
  <cp:revision>10</cp:revision>
  <dcterms:created xsi:type="dcterms:W3CDTF">2023-11-11T14:54:00Z</dcterms:created>
  <dcterms:modified xsi:type="dcterms:W3CDTF">2023-11-27T23:44:00Z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2023-11-11T14:54:49Z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5be84f94-71f9-49b9-9453-62059260d798</vt:lpwstr>
  </property>
  <property fmtid="{D5CDD505-2E9C-101B-9397-08002B2CF9AE}" pid="8" name="MSIP_Label_66cf8fe5-b7b7-4df7-b38d-1c61ac2f6639_ContentBits">
    <vt:lpwstr>0</vt:lpwstr>
  </property>
</Properties>
</file>