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95783" w14:textId="77777777" w:rsidR="006C600F" w:rsidRPr="00A90CEF" w:rsidRDefault="006C600F" w:rsidP="001E6AE9">
      <w:pPr>
        <w:spacing w:line="360" w:lineRule="auto"/>
        <w:rPr>
          <w:rFonts w:ascii="Arial" w:hAnsi="Arial" w:cs="Arial"/>
          <w:b/>
          <w:bCs/>
          <w:sz w:val="22"/>
          <w:szCs w:val="22"/>
        </w:rPr>
      </w:pPr>
      <w:r w:rsidRPr="00A90CEF">
        <w:rPr>
          <w:rFonts w:ascii="Arial" w:hAnsi="Arial" w:cs="Arial"/>
          <w:b/>
          <w:bCs/>
          <w:sz w:val="22"/>
          <w:szCs w:val="22"/>
        </w:rPr>
        <w:t xml:space="preserve">Charlie Payton </w:t>
      </w:r>
    </w:p>
    <w:p w14:paraId="71EF1321" w14:textId="77777777" w:rsidR="006C600F" w:rsidRPr="00A90CEF" w:rsidRDefault="006C600F" w:rsidP="001E6AE9">
      <w:pPr>
        <w:spacing w:line="360" w:lineRule="auto"/>
        <w:rPr>
          <w:rFonts w:ascii="Arial" w:hAnsi="Arial" w:cs="Arial"/>
          <w:b/>
          <w:bCs/>
          <w:sz w:val="22"/>
          <w:szCs w:val="22"/>
        </w:rPr>
      </w:pPr>
      <w:r w:rsidRPr="00A90CEF">
        <w:rPr>
          <w:rFonts w:ascii="Arial" w:hAnsi="Arial" w:cs="Arial"/>
          <w:b/>
          <w:bCs/>
          <w:sz w:val="22"/>
          <w:szCs w:val="22"/>
        </w:rPr>
        <w:t>23341449</w:t>
      </w:r>
    </w:p>
    <w:p w14:paraId="7BBDD152" w14:textId="77777777" w:rsidR="006C600F" w:rsidRPr="00A90CEF" w:rsidRDefault="006C600F" w:rsidP="001E6AE9">
      <w:pPr>
        <w:spacing w:line="360" w:lineRule="auto"/>
        <w:rPr>
          <w:rFonts w:ascii="Arial" w:hAnsi="Arial" w:cs="Arial"/>
          <w:b/>
          <w:bCs/>
          <w:sz w:val="22"/>
          <w:szCs w:val="22"/>
        </w:rPr>
      </w:pPr>
      <w:r w:rsidRPr="00A90CEF">
        <w:rPr>
          <w:rFonts w:ascii="Arial" w:hAnsi="Arial" w:cs="Arial"/>
          <w:b/>
          <w:bCs/>
          <w:sz w:val="22"/>
          <w:szCs w:val="22"/>
        </w:rPr>
        <w:t xml:space="preserve">Principles of health and social care </w:t>
      </w:r>
    </w:p>
    <w:p w14:paraId="3C142C0D" w14:textId="77777777" w:rsidR="006C600F" w:rsidRPr="00A90CEF" w:rsidRDefault="006C600F" w:rsidP="001E6AE9">
      <w:pPr>
        <w:spacing w:line="360" w:lineRule="auto"/>
        <w:rPr>
          <w:rFonts w:ascii="Arial" w:hAnsi="Arial" w:cs="Arial"/>
          <w:b/>
          <w:bCs/>
          <w:sz w:val="22"/>
          <w:szCs w:val="22"/>
        </w:rPr>
      </w:pPr>
      <w:r w:rsidRPr="00A90CEF">
        <w:rPr>
          <w:rFonts w:ascii="Arial" w:hAnsi="Arial" w:cs="Arial"/>
          <w:b/>
          <w:bCs/>
          <w:sz w:val="22"/>
          <w:szCs w:val="22"/>
        </w:rPr>
        <w:t>BMHP5016</w:t>
      </w:r>
    </w:p>
    <w:p w14:paraId="01B5B487" w14:textId="77777777" w:rsidR="00536842" w:rsidRPr="00536842" w:rsidRDefault="00536842" w:rsidP="001E6AE9">
      <w:pPr>
        <w:spacing w:before="100" w:beforeAutospacing="1" w:after="100" w:afterAutospacing="1" w:line="360" w:lineRule="auto"/>
        <w:outlineLvl w:val="1"/>
        <w:rPr>
          <w:rFonts w:ascii="Arial" w:eastAsia="Times New Roman" w:hAnsi="Arial" w:cs="Arial"/>
          <w:b/>
          <w:bCs/>
          <w:kern w:val="0"/>
          <w:sz w:val="22"/>
          <w:szCs w:val="22"/>
          <w:u w:val="single"/>
          <w14:ligatures w14:val="none"/>
        </w:rPr>
      </w:pPr>
      <w:r w:rsidRPr="00536842">
        <w:rPr>
          <w:rFonts w:ascii="Arial" w:eastAsia="Times New Roman" w:hAnsi="Arial" w:cs="Arial"/>
          <w:b/>
          <w:bCs/>
          <w:kern w:val="0"/>
          <w:sz w:val="22"/>
          <w:szCs w:val="22"/>
          <w:u w:val="single"/>
          <w14:ligatures w14:val="none"/>
        </w:rPr>
        <w:t>Introduction</w:t>
      </w:r>
    </w:p>
    <w:p w14:paraId="32DB5E82" w14:textId="77777777" w:rsidR="00536842" w:rsidRPr="00536842" w:rsidRDefault="00536842" w:rsidP="001E6AE9">
      <w:pPr>
        <w:spacing w:before="100" w:beforeAutospacing="1" w:after="100" w:afterAutospacing="1" w:line="360" w:lineRule="auto"/>
        <w:rPr>
          <w:rFonts w:ascii="Arial" w:hAnsi="Arial" w:cs="Arial"/>
          <w:kern w:val="0"/>
          <w:sz w:val="22"/>
          <w:szCs w:val="22"/>
          <w14:ligatures w14:val="none"/>
        </w:rPr>
      </w:pPr>
    </w:p>
    <w:p w14:paraId="24C5754D" w14:textId="7E6ED196" w:rsidR="00536842" w:rsidRDefault="00536842" w:rsidP="001E6AE9">
      <w:pPr>
        <w:spacing w:before="100" w:beforeAutospacing="1" w:after="100" w:afterAutospacing="1" w:line="360" w:lineRule="auto"/>
        <w:rPr>
          <w:rFonts w:ascii="Arial" w:hAnsi="Arial" w:cs="Arial"/>
          <w:kern w:val="0"/>
          <w:sz w:val="22"/>
          <w:szCs w:val="22"/>
          <w14:ligatures w14:val="none"/>
        </w:rPr>
      </w:pPr>
      <w:r w:rsidRPr="00536842">
        <w:rPr>
          <w:rFonts w:ascii="Arial" w:hAnsi="Arial" w:cs="Arial"/>
          <w:kern w:val="0"/>
          <w:sz w:val="22"/>
          <w:szCs w:val="22"/>
          <w14:ligatures w14:val="none"/>
        </w:rPr>
        <w:t xml:space="preserve">Health and social care practice within the United Kingdom </w:t>
      </w:r>
      <w:bookmarkStart w:id="0" w:name="_Int_UqjFZcaQ"/>
      <w:r w:rsidRPr="00536842">
        <w:rPr>
          <w:rFonts w:ascii="Arial" w:hAnsi="Arial" w:cs="Arial"/>
          <w:kern w:val="0"/>
          <w:sz w:val="22"/>
          <w:szCs w:val="22"/>
          <w14:ligatures w14:val="none"/>
        </w:rPr>
        <w:t>is underpinned</w:t>
      </w:r>
      <w:bookmarkEnd w:id="0"/>
      <w:r w:rsidRPr="00536842">
        <w:rPr>
          <w:rFonts w:ascii="Arial" w:hAnsi="Arial" w:cs="Arial"/>
          <w:kern w:val="0"/>
          <w:sz w:val="22"/>
          <w:szCs w:val="22"/>
          <w14:ligatures w14:val="none"/>
        </w:rPr>
        <w:t xml:space="preserve"> by professional values, legislation and ethical frameworks that aim to promote dignity, </w:t>
      </w:r>
      <w:r w:rsidR="00764944" w:rsidRPr="00536842">
        <w:rPr>
          <w:rFonts w:ascii="Arial" w:hAnsi="Arial" w:cs="Arial"/>
          <w:kern w:val="0"/>
          <w:sz w:val="22"/>
          <w:szCs w:val="22"/>
          <w14:ligatures w14:val="none"/>
        </w:rPr>
        <w:t>safety,</w:t>
      </w:r>
      <w:r w:rsidRPr="00536842">
        <w:rPr>
          <w:rFonts w:ascii="Arial" w:hAnsi="Arial" w:cs="Arial"/>
          <w:kern w:val="0"/>
          <w:sz w:val="22"/>
          <w:szCs w:val="22"/>
          <w14:ligatures w14:val="none"/>
        </w:rPr>
        <w:t xml:space="preserve"> and equality. Three of the most significant principles guiding practice are person-centred care, partnership </w:t>
      </w:r>
      <w:r w:rsidR="00764944" w:rsidRPr="00536842">
        <w:rPr>
          <w:rFonts w:ascii="Arial" w:hAnsi="Arial" w:cs="Arial"/>
          <w:kern w:val="0"/>
          <w:sz w:val="22"/>
          <w:szCs w:val="22"/>
          <w14:ligatures w14:val="none"/>
        </w:rPr>
        <w:t>working,</w:t>
      </w:r>
      <w:r w:rsidRPr="00536842">
        <w:rPr>
          <w:rFonts w:ascii="Arial" w:hAnsi="Arial" w:cs="Arial"/>
          <w:kern w:val="0"/>
          <w:sz w:val="22"/>
          <w:szCs w:val="22"/>
          <w14:ligatures w14:val="none"/>
        </w:rPr>
        <w:t xml:space="preserve"> and ethical decision-making. These principles are not only theoretical ideals but practical foundations that shape assessment, </w:t>
      </w:r>
      <w:r w:rsidR="00764944" w:rsidRPr="00536842">
        <w:rPr>
          <w:rFonts w:ascii="Arial" w:hAnsi="Arial" w:cs="Arial"/>
          <w:kern w:val="0"/>
          <w:sz w:val="22"/>
          <w:szCs w:val="22"/>
          <w14:ligatures w14:val="none"/>
        </w:rPr>
        <w:t>intervention,</w:t>
      </w:r>
      <w:r w:rsidRPr="00536842">
        <w:rPr>
          <w:rFonts w:ascii="Arial" w:hAnsi="Arial" w:cs="Arial"/>
          <w:kern w:val="0"/>
          <w:sz w:val="22"/>
          <w:szCs w:val="22"/>
          <w14:ligatures w14:val="none"/>
        </w:rPr>
        <w:t xml:space="preserve"> and professional accountability. As someone who aims to work as a drug misuse worker or support worker, understanding how these principles </w:t>
      </w:r>
      <w:r w:rsidR="00764944" w:rsidRPr="00536842">
        <w:rPr>
          <w:rFonts w:ascii="Arial" w:hAnsi="Arial" w:cs="Arial"/>
          <w:kern w:val="0"/>
          <w:sz w:val="22"/>
          <w:szCs w:val="22"/>
          <w14:ligatures w14:val="none"/>
        </w:rPr>
        <w:t>use</w:t>
      </w:r>
      <w:r w:rsidRPr="00536842">
        <w:rPr>
          <w:rFonts w:ascii="Arial" w:hAnsi="Arial" w:cs="Arial"/>
          <w:kern w:val="0"/>
          <w:sz w:val="22"/>
          <w:szCs w:val="22"/>
          <w14:ligatures w14:val="none"/>
        </w:rPr>
        <w:t xml:space="preserve"> in real settings is essential. This assignment reflects on their importance, explores how they </w:t>
      </w:r>
      <w:bookmarkStart w:id="1" w:name="_Int_5awyje1I"/>
      <w:r w:rsidRPr="00536842">
        <w:rPr>
          <w:rFonts w:ascii="Arial" w:hAnsi="Arial" w:cs="Arial"/>
          <w:kern w:val="0"/>
          <w:sz w:val="22"/>
          <w:szCs w:val="22"/>
          <w14:ligatures w14:val="none"/>
        </w:rPr>
        <w:t>are applied</w:t>
      </w:r>
      <w:bookmarkEnd w:id="1"/>
      <w:r w:rsidRPr="00536842">
        <w:rPr>
          <w:rFonts w:ascii="Arial" w:hAnsi="Arial" w:cs="Arial"/>
          <w:kern w:val="0"/>
          <w:sz w:val="22"/>
          <w:szCs w:val="22"/>
          <w14:ligatures w14:val="none"/>
        </w:rPr>
        <w:t xml:space="preserve"> in practice and critically considers how they will influence my own professional development.</w:t>
      </w:r>
    </w:p>
    <w:p w14:paraId="162110AF" w14:textId="77777777" w:rsidR="00786495" w:rsidRDefault="00786495" w:rsidP="00536842">
      <w:pPr>
        <w:spacing w:before="100" w:beforeAutospacing="1" w:after="100" w:afterAutospacing="1" w:line="240" w:lineRule="auto"/>
        <w:rPr>
          <w:rFonts w:ascii="Arial" w:hAnsi="Arial" w:cs="Arial"/>
          <w:kern w:val="0"/>
          <w:sz w:val="22"/>
          <w:szCs w:val="22"/>
          <w14:ligatures w14:val="none"/>
        </w:rPr>
      </w:pPr>
    </w:p>
    <w:p w14:paraId="1F107526" w14:textId="77777777" w:rsidR="0027403F" w:rsidRPr="0027403F" w:rsidRDefault="0027403F" w:rsidP="00786495">
      <w:pPr>
        <w:spacing w:before="100" w:beforeAutospacing="1" w:after="100" w:afterAutospacing="1" w:line="360" w:lineRule="auto"/>
        <w:outlineLvl w:val="0"/>
        <w:rPr>
          <w:rFonts w:ascii="Arial" w:eastAsia="Times New Roman" w:hAnsi="Arial" w:cs="Arial"/>
          <w:b/>
          <w:bCs/>
          <w:kern w:val="36"/>
          <w:sz w:val="22"/>
          <w:szCs w:val="22"/>
          <w:u w:val="single"/>
          <w14:ligatures w14:val="none"/>
        </w:rPr>
      </w:pPr>
      <w:r w:rsidRPr="0027403F">
        <w:rPr>
          <w:rFonts w:ascii="Arial" w:eastAsia="Times New Roman" w:hAnsi="Arial" w:cs="Arial"/>
          <w:b/>
          <w:bCs/>
          <w:kern w:val="36"/>
          <w:sz w:val="22"/>
          <w:szCs w:val="22"/>
          <w:u w:val="single"/>
          <w14:ligatures w14:val="none"/>
        </w:rPr>
        <w:t>Reflection on the Importance of the Principles of Health and Social Care</w:t>
      </w:r>
    </w:p>
    <w:p w14:paraId="556B02D4" w14:textId="77777777"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p>
    <w:p w14:paraId="0558588F" w14:textId="77777777"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r w:rsidRPr="0027403F">
        <w:rPr>
          <w:rFonts w:ascii="Arial" w:hAnsi="Arial" w:cs="Arial"/>
          <w:kern w:val="0"/>
          <w:sz w:val="22"/>
          <w:szCs w:val="22"/>
          <w14:ligatures w14:val="none"/>
        </w:rPr>
        <w:t>Person-centred care is central to UK health and social care policy and legislation. The Care Act 2014 places a legal duty on local authorities to promote individual wellbeing, including personal dignity, physical and mental health, protection from abuse and control over day-to-day life (Care Act 2014). This reflects a shift away from paternalistic models of care towards empowerment and shared decision-making.</w:t>
      </w:r>
    </w:p>
    <w:p w14:paraId="294A1BC0" w14:textId="77777777"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p>
    <w:p w14:paraId="1B175843" w14:textId="7F818AE9"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r w:rsidRPr="0027403F">
        <w:rPr>
          <w:rFonts w:ascii="Arial" w:hAnsi="Arial" w:cs="Arial"/>
          <w:kern w:val="0"/>
          <w:sz w:val="22"/>
          <w:szCs w:val="22"/>
          <w14:ligatures w14:val="none"/>
        </w:rPr>
        <w:t xml:space="preserve">The theoretical foundation of person-centred care can </w:t>
      </w:r>
      <w:bookmarkStart w:id="2" w:name="_Int_tFgO02P6"/>
      <w:r w:rsidRPr="0027403F">
        <w:rPr>
          <w:rFonts w:ascii="Arial" w:hAnsi="Arial" w:cs="Arial"/>
          <w:kern w:val="0"/>
          <w:sz w:val="22"/>
          <w:szCs w:val="22"/>
          <w14:ligatures w14:val="none"/>
        </w:rPr>
        <w:t>be linked</w:t>
      </w:r>
      <w:bookmarkEnd w:id="2"/>
      <w:r w:rsidRPr="0027403F">
        <w:rPr>
          <w:rFonts w:ascii="Arial" w:hAnsi="Arial" w:cs="Arial"/>
          <w:kern w:val="0"/>
          <w:sz w:val="22"/>
          <w:szCs w:val="22"/>
          <w14:ligatures w14:val="none"/>
        </w:rPr>
        <w:t xml:space="preserve"> to Rogers’ (1951) humanistic theory, which emphasises empathy, </w:t>
      </w:r>
      <w:r w:rsidR="001E6AE9" w:rsidRPr="0027403F">
        <w:rPr>
          <w:rFonts w:ascii="Arial" w:hAnsi="Arial" w:cs="Arial"/>
          <w:kern w:val="0"/>
          <w:sz w:val="22"/>
          <w:szCs w:val="22"/>
          <w14:ligatures w14:val="none"/>
        </w:rPr>
        <w:t>genuineness,</w:t>
      </w:r>
      <w:r w:rsidRPr="0027403F">
        <w:rPr>
          <w:rFonts w:ascii="Arial" w:hAnsi="Arial" w:cs="Arial"/>
          <w:kern w:val="0"/>
          <w:sz w:val="22"/>
          <w:szCs w:val="22"/>
          <w14:ligatures w14:val="none"/>
        </w:rPr>
        <w:t xml:space="preserve"> and unconditional positive regard within therapeutic relationships. In substance misuse services, where individuals may have experienced stigma or trauma, these values are essential for building trust. If a service user feels judged or dismissed, engagement is unlikely to </w:t>
      </w:r>
      <w:bookmarkStart w:id="3" w:name="_Int_ySjJGVIO"/>
      <w:r w:rsidRPr="0027403F">
        <w:rPr>
          <w:rFonts w:ascii="Arial" w:hAnsi="Arial" w:cs="Arial"/>
          <w:kern w:val="0"/>
          <w:sz w:val="22"/>
          <w:szCs w:val="22"/>
          <w14:ligatures w14:val="none"/>
        </w:rPr>
        <w:t>be sustained</w:t>
      </w:r>
      <w:bookmarkEnd w:id="3"/>
      <w:r w:rsidRPr="0027403F">
        <w:rPr>
          <w:rFonts w:ascii="Arial" w:hAnsi="Arial" w:cs="Arial"/>
          <w:kern w:val="0"/>
          <w:sz w:val="22"/>
          <w:szCs w:val="22"/>
          <w14:ligatures w14:val="none"/>
        </w:rPr>
        <w:t>.</w:t>
      </w:r>
    </w:p>
    <w:p w14:paraId="69A1CF10" w14:textId="77777777"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p>
    <w:p w14:paraId="7F919903" w14:textId="69B75A9C"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r w:rsidRPr="0027403F">
        <w:rPr>
          <w:rFonts w:ascii="Arial" w:hAnsi="Arial" w:cs="Arial"/>
          <w:kern w:val="0"/>
          <w:sz w:val="22"/>
          <w:szCs w:val="22"/>
          <w14:ligatures w14:val="none"/>
        </w:rPr>
        <w:t xml:space="preserve">Maslow’s (1943) Hierarchy of Needs further supports person-centred approaches. Maslow argues that individuals must have basic physiological and safety needs met before they can focus on higher-level psychological growth. In drug misuse settings, individuals may prioritise housing, </w:t>
      </w:r>
      <w:r w:rsidR="001E6AE9" w:rsidRPr="0027403F">
        <w:rPr>
          <w:rFonts w:ascii="Arial" w:hAnsi="Arial" w:cs="Arial"/>
          <w:kern w:val="0"/>
          <w:sz w:val="22"/>
          <w:szCs w:val="22"/>
          <w14:ligatures w14:val="none"/>
        </w:rPr>
        <w:t>safety,</w:t>
      </w:r>
      <w:r w:rsidRPr="0027403F">
        <w:rPr>
          <w:rFonts w:ascii="Arial" w:hAnsi="Arial" w:cs="Arial"/>
          <w:kern w:val="0"/>
          <w:sz w:val="22"/>
          <w:szCs w:val="22"/>
          <w14:ligatures w14:val="none"/>
        </w:rPr>
        <w:t xml:space="preserve"> or financial stability before considering abstinence. This </w:t>
      </w:r>
      <w:r w:rsidR="001E6AE9" w:rsidRPr="0027403F">
        <w:rPr>
          <w:rFonts w:ascii="Arial" w:hAnsi="Arial" w:cs="Arial"/>
          <w:kern w:val="0"/>
          <w:sz w:val="22"/>
          <w:szCs w:val="22"/>
          <w14:ligatures w14:val="none"/>
        </w:rPr>
        <w:t>shows</w:t>
      </w:r>
      <w:r w:rsidRPr="0027403F">
        <w:rPr>
          <w:rFonts w:ascii="Arial" w:hAnsi="Arial" w:cs="Arial"/>
          <w:kern w:val="0"/>
          <w:sz w:val="22"/>
          <w:szCs w:val="22"/>
          <w14:ligatures w14:val="none"/>
        </w:rPr>
        <w:t xml:space="preserve"> that recovery cannot </w:t>
      </w:r>
      <w:bookmarkStart w:id="4" w:name="_Int_DUHQ4gLC"/>
      <w:r w:rsidRPr="0027403F">
        <w:rPr>
          <w:rFonts w:ascii="Arial" w:hAnsi="Arial" w:cs="Arial"/>
          <w:kern w:val="0"/>
          <w:sz w:val="22"/>
          <w:szCs w:val="22"/>
          <w14:ligatures w14:val="none"/>
        </w:rPr>
        <w:t>be approached</w:t>
      </w:r>
      <w:bookmarkEnd w:id="4"/>
      <w:r w:rsidRPr="0027403F">
        <w:rPr>
          <w:rFonts w:ascii="Arial" w:hAnsi="Arial" w:cs="Arial"/>
          <w:kern w:val="0"/>
          <w:sz w:val="22"/>
          <w:szCs w:val="22"/>
          <w14:ligatures w14:val="none"/>
        </w:rPr>
        <w:t xml:space="preserve"> in isolation from wider social needs.</w:t>
      </w:r>
    </w:p>
    <w:p w14:paraId="0FA80021" w14:textId="77777777"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p>
    <w:p w14:paraId="3B19A504" w14:textId="77777777"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r w:rsidRPr="0027403F">
        <w:rPr>
          <w:rFonts w:ascii="Arial" w:hAnsi="Arial" w:cs="Arial"/>
          <w:kern w:val="0"/>
          <w:sz w:val="22"/>
          <w:szCs w:val="22"/>
          <w14:ligatures w14:val="none"/>
        </w:rPr>
        <w:t xml:space="preserve">However, while person-centred care </w:t>
      </w:r>
      <w:bookmarkStart w:id="5" w:name="_Int_a9AnvG2v"/>
      <w:r w:rsidRPr="0027403F">
        <w:rPr>
          <w:rFonts w:ascii="Arial" w:hAnsi="Arial" w:cs="Arial"/>
          <w:kern w:val="0"/>
          <w:sz w:val="22"/>
          <w:szCs w:val="22"/>
          <w14:ligatures w14:val="none"/>
        </w:rPr>
        <w:t>is widely promoted</w:t>
      </w:r>
      <w:bookmarkEnd w:id="5"/>
      <w:r w:rsidRPr="0027403F">
        <w:rPr>
          <w:rFonts w:ascii="Arial" w:hAnsi="Arial" w:cs="Arial"/>
          <w:kern w:val="0"/>
          <w:sz w:val="22"/>
          <w:szCs w:val="22"/>
          <w14:ligatures w14:val="none"/>
        </w:rPr>
        <w:t>, it is not without challenges. Manthorpe et al. (2012) argue that organisational pressures such as limited staffing and target-driven services can reduce person-centred practice to a procedural exercise rather than meaningful engagement. In overstretched services, professionals may have limited time to build therapeutic relationships, which undermines the relational foundations described by Rogers (1951).</w:t>
      </w:r>
    </w:p>
    <w:p w14:paraId="61DC58AD" w14:textId="77777777"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p>
    <w:p w14:paraId="5D42D6F6" w14:textId="7E5BCDDA"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r w:rsidRPr="0027403F">
        <w:rPr>
          <w:rFonts w:ascii="Arial" w:hAnsi="Arial" w:cs="Arial"/>
          <w:kern w:val="0"/>
          <w:sz w:val="22"/>
          <w:szCs w:val="22"/>
          <w14:ligatures w14:val="none"/>
        </w:rPr>
        <w:t xml:space="preserve">Furthermore, autonomy must </w:t>
      </w:r>
      <w:bookmarkStart w:id="6" w:name="_Int_WaQxKE53"/>
      <w:r w:rsidRPr="0027403F">
        <w:rPr>
          <w:rFonts w:ascii="Arial" w:hAnsi="Arial" w:cs="Arial"/>
          <w:kern w:val="0"/>
          <w:sz w:val="22"/>
          <w:szCs w:val="22"/>
          <w14:ligatures w14:val="none"/>
        </w:rPr>
        <w:t>be balanced</w:t>
      </w:r>
      <w:bookmarkEnd w:id="6"/>
      <w:r w:rsidRPr="0027403F">
        <w:rPr>
          <w:rFonts w:ascii="Arial" w:hAnsi="Arial" w:cs="Arial"/>
          <w:kern w:val="0"/>
          <w:sz w:val="22"/>
          <w:szCs w:val="22"/>
          <w14:ligatures w14:val="none"/>
        </w:rPr>
        <w:t xml:space="preserve"> with professional responsibility. The Mental Capacity Act 2005 </w:t>
      </w:r>
      <w:r w:rsidR="00957139" w:rsidRPr="0027403F">
        <w:rPr>
          <w:rFonts w:ascii="Arial" w:hAnsi="Arial" w:cs="Arial"/>
          <w:kern w:val="0"/>
          <w:sz w:val="22"/>
          <w:szCs w:val="22"/>
          <w14:ligatures w14:val="none"/>
        </w:rPr>
        <w:t>shows</w:t>
      </w:r>
      <w:r w:rsidRPr="0027403F">
        <w:rPr>
          <w:rFonts w:ascii="Arial" w:hAnsi="Arial" w:cs="Arial"/>
          <w:kern w:val="0"/>
          <w:sz w:val="22"/>
          <w:szCs w:val="22"/>
          <w14:ligatures w14:val="none"/>
        </w:rPr>
        <w:t xml:space="preserve"> that individuals </w:t>
      </w:r>
      <w:bookmarkStart w:id="7" w:name="_Int_sPoDPLcf"/>
      <w:r w:rsidRPr="0027403F">
        <w:rPr>
          <w:rFonts w:ascii="Arial" w:hAnsi="Arial" w:cs="Arial"/>
          <w:kern w:val="0"/>
          <w:sz w:val="22"/>
          <w:szCs w:val="22"/>
          <w14:ligatures w14:val="none"/>
        </w:rPr>
        <w:t>are presumed</w:t>
      </w:r>
      <w:bookmarkEnd w:id="7"/>
      <w:r w:rsidRPr="0027403F">
        <w:rPr>
          <w:rFonts w:ascii="Arial" w:hAnsi="Arial" w:cs="Arial"/>
          <w:kern w:val="0"/>
          <w:sz w:val="22"/>
          <w:szCs w:val="22"/>
          <w14:ligatures w14:val="none"/>
        </w:rPr>
        <w:t xml:space="preserve"> to have capacity unless proven otherwise and have the right to make unwise decisions. However, professionals must also consider safeguarding duties under the Care Act 2014. This creates ethical tension, particularly in drug misuse services where relapse or risky behaviours may occur. Beauchamp and Childress (2019) </w:t>
      </w:r>
      <w:r w:rsidR="009203B6" w:rsidRPr="0027403F">
        <w:rPr>
          <w:rFonts w:ascii="Arial" w:hAnsi="Arial" w:cs="Arial"/>
          <w:kern w:val="0"/>
          <w:sz w:val="22"/>
          <w:szCs w:val="22"/>
          <w14:ligatures w14:val="none"/>
        </w:rPr>
        <w:t>find</w:t>
      </w:r>
      <w:r w:rsidRPr="0027403F">
        <w:rPr>
          <w:rFonts w:ascii="Arial" w:hAnsi="Arial" w:cs="Arial"/>
          <w:kern w:val="0"/>
          <w:sz w:val="22"/>
          <w:szCs w:val="22"/>
          <w14:ligatures w14:val="none"/>
        </w:rPr>
        <w:t xml:space="preserve"> autonomy, beneficence, non-</w:t>
      </w:r>
      <w:r w:rsidR="00957139" w:rsidRPr="0027403F">
        <w:rPr>
          <w:rFonts w:ascii="Arial" w:hAnsi="Arial" w:cs="Arial"/>
          <w:kern w:val="0"/>
          <w:sz w:val="22"/>
          <w:szCs w:val="22"/>
          <w14:ligatures w14:val="none"/>
        </w:rPr>
        <w:t>maleficence,</w:t>
      </w:r>
      <w:r w:rsidRPr="0027403F">
        <w:rPr>
          <w:rFonts w:ascii="Arial" w:hAnsi="Arial" w:cs="Arial"/>
          <w:kern w:val="0"/>
          <w:sz w:val="22"/>
          <w:szCs w:val="22"/>
          <w14:ligatures w14:val="none"/>
        </w:rPr>
        <w:t xml:space="preserve"> and justice as key ethical principles. In practice, professionals must balance respecting choice (autonomy) with preventing harm (non-maleficence).</w:t>
      </w:r>
    </w:p>
    <w:p w14:paraId="683D8DB5" w14:textId="77777777"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p>
    <w:p w14:paraId="1C7239A4" w14:textId="5E648205"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r w:rsidRPr="0027403F">
        <w:rPr>
          <w:rFonts w:ascii="Arial" w:hAnsi="Arial" w:cs="Arial"/>
          <w:kern w:val="0"/>
          <w:sz w:val="22"/>
          <w:szCs w:val="22"/>
          <w14:ligatures w14:val="none"/>
        </w:rPr>
        <w:t xml:space="preserve">Partnership working is equally essential. Modern health needs are complex and interconnected. The Health and Care Act 2022 introduced Integrated Care Systems (ICSs) to strengthen collaboration between NHS services, local </w:t>
      </w:r>
      <w:r w:rsidR="009203B6" w:rsidRPr="0027403F">
        <w:rPr>
          <w:rFonts w:ascii="Arial" w:hAnsi="Arial" w:cs="Arial"/>
          <w:kern w:val="0"/>
          <w:sz w:val="22"/>
          <w:szCs w:val="22"/>
          <w14:ligatures w14:val="none"/>
        </w:rPr>
        <w:t>authorities,</w:t>
      </w:r>
      <w:r w:rsidRPr="0027403F">
        <w:rPr>
          <w:rFonts w:ascii="Arial" w:hAnsi="Arial" w:cs="Arial"/>
          <w:kern w:val="0"/>
          <w:sz w:val="22"/>
          <w:szCs w:val="22"/>
          <w14:ligatures w14:val="none"/>
        </w:rPr>
        <w:t xml:space="preserve"> and voluntary organisations (Health and Care Act 2022). Effective partnership working reduces fragmentation and improves continuity of care (Glasby and Dickinson, 2014).</w:t>
      </w:r>
    </w:p>
    <w:p w14:paraId="6519F6BB" w14:textId="77777777"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p>
    <w:p w14:paraId="301B5FF1" w14:textId="4DBC5CE4"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r w:rsidRPr="0027403F">
        <w:rPr>
          <w:rFonts w:ascii="Arial" w:hAnsi="Arial" w:cs="Arial"/>
          <w:kern w:val="0"/>
          <w:sz w:val="22"/>
          <w:szCs w:val="22"/>
          <w14:ligatures w14:val="none"/>
        </w:rPr>
        <w:t xml:space="preserve">In drug misuse services, collaboration often involves GPs, mental health services, housing </w:t>
      </w:r>
      <w:r w:rsidR="00950F8C" w:rsidRPr="0027403F">
        <w:rPr>
          <w:rFonts w:ascii="Arial" w:hAnsi="Arial" w:cs="Arial"/>
          <w:kern w:val="0"/>
          <w:sz w:val="22"/>
          <w:szCs w:val="22"/>
          <w14:ligatures w14:val="none"/>
        </w:rPr>
        <w:t>providers,</w:t>
      </w:r>
      <w:r w:rsidRPr="0027403F">
        <w:rPr>
          <w:rFonts w:ascii="Arial" w:hAnsi="Arial" w:cs="Arial"/>
          <w:kern w:val="0"/>
          <w:sz w:val="22"/>
          <w:szCs w:val="22"/>
          <w14:ligatures w14:val="none"/>
        </w:rPr>
        <w:t xml:space="preserve"> and criminal justice agencies. Without partnership working, individuals may experience repeated assessments, conflicting </w:t>
      </w:r>
      <w:r w:rsidR="00950F8C" w:rsidRPr="0027403F">
        <w:rPr>
          <w:rFonts w:ascii="Arial" w:hAnsi="Arial" w:cs="Arial"/>
          <w:kern w:val="0"/>
          <w:sz w:val="22"/>
          <w:szCs w:val="22"/>
          <w14:ligatures w14:val="none"/>
        </w:rPr>
        <w:t>advice,</w:t>
      </w:r>
      <w:r w:rsidRPr="0027403F">
        <w:rPr>
          <w:rFonts w:ascii="Arial" w:hAnsi="Arial" w:cs="Arial"/>
          <w:kern w:val="0"/>
          <w:sz w:val="22"/>
          <w:szCs w:val="22"/>
          <w14:ligatures w14:val="none"/>
        </w:rPr>
        <w:t xml:space="preserve"> or gaps in support. However, barriers such as confidentiality concerns and organisational culture differences can limit effective integration. The Data Protection Act 2018 requires information sharing to be lawful and proportionate, which sometimes creates uncertainty among professionals.</w:t>
      </w:r>
    </w:p>
    <w:p w14:paraId="253C6BA2" w14:textId="77777777" w:rsidR="0027403F" w:rsidRPr="0027403F" w:rsidRDefault="0027403F" w:rsidP="00786495">
      <w:pPr>
        <w:spacing w:before="100" w:beforeAutospacing="1" w:after="100" w:afterAutospacing="1" w:line="360" w:lineRule="auto"/>
        <w:rPr>
          <w:rFonts w:ascii="Arial" w:hAnsi="Arial" w:cs="Arial"/>
          <w:kern w:val="0"/>
          <w:sz w:val="22"/>
          <w:szCs w:val="22"/>
          <w14:ligatures w14:val="none"/>
        </w:rPr>
      </w:pPr>
    </w:p>
    <w:p w14:paraId="19F9D97B" w14:textId="3D69E49A" w:rsidR="0027403F" w:rsidRDefault="0027403F" w:rsidP="00786495">
      <w:pPr>
        <w:spacing w:before="100" w:beforeAutospacing="1" w:after="100" w:afterAutospacing="1" w:line="360" w:lineRule="auto"/>
        <w:rPr>
          <w:rFonts w:ascii="Arial" w:hAnsi="Arial" w:cs="Arial"/>
          <w:kern w:val="0"/>
          <w:sz w:val="22"/>
          <w:szCs w:val="22"/>
          <w14:ligatures w14:val="none"/>
        </w:rPr>
      </w:pPr>
      <w:r w:rsidRPr="0027403F">
        <w:rPr>
          <w:rFonts w:ascii="Arial" w:hAnsi="Arial" w:cs="Arial"/>
          <w:kern w:val="0"/>
          <w:sz w:val="22"/>
          <w:szCs w:val="22"/>
          <w14:ligatures w14:val="none"/>
        </w:rPr>
        <w:t xml:space="preserve">Overall, person-centred care, partnership working and ethics collectively enhance quality of care by promoting dignity, </w:t>
      </w:r>
      <w:r w:rsidR="009203B6" w:rsidRPr="0027403F">
        <w:rPr>
          <w:rFonts w:ascii="Arial" w:hAnsi="Arial" w:cs="Arial"/>
          <w:kern w:val="0"/>
          <w:sz w:val="22"/>
          <w:szCs w:val="22"/>
          <w14:ligatures w14:val="none"/>
        </w:rPr>
        <w:t>collaboration,</w:t>
      </w:r>
      <w:r w:rsidRPr="0027403F">
        <w:rPr>
          <w:rFonts w:ascii="Arial" w:hAnsi="Arial" w:cs="Arial"/>
          <w:kern w:val="0"/>
          <w:sz w:val="22"/>
          <w:szCs w:val="22"/>
          <w14:ligatures w14:val="none"/>
        </w:rPr>
        <w:t xml:space="preserve"> and accountability. However, they require critical thinking, reflective </w:t>
      </w:r>
      <w:r w:rsidR="009203B6" w:rsidRPr="0027403F">
        <w:rPr>
          <w:rFonts w:ascii="Arial" w:hAnsi="Arial" w:cs="Arial"/>
          <w:kern w:val="0"/>
          <w:sz w:val="22"/>
          <w:szCs w:val="22"/>
          <w14:ligatures w14:val="none"/>
        </w:rPr>
        <w:t>practice,</w:t>
      </w:r>
      <w:r w:rsidRPr="0027403F">
        <w:rPr>
          <w:rFonts w:ascii="Arial" w:hAnsi="Arial" w:cs="Arial"/>
          <w:kern w:val="0"/>
          <w:sz w:val="22"/>
          <w:szCs w:val="22"/>
          <w14:ligatures w14:val="none"/>
        </w:rPr>
        <w:t xml:space="preserve"> and strong professional judgement to </w:t>
      </w:r>
      <w:bookmarkStart w:id="8" w:name="_Int_rugWyyl4"/>
      <w:r w:rsidRPr="0027403F">
        <w:rPr>
          <w:rFonts w:ascii="Arial" w:hAnsi="Arial" w:cs="Arial"/>
          <w:kern w:val="0"/>
          <w:sz w:val="22"/>
          <w:szCs w:val="22"/>
          <w14:ligatures w14:val="none"/>
        </w:rPr>
        <w:t>be effectively implemented</w:t>
      </w:r>
      <w:bookmarkEnd w:id="8"/>
      <w:r w:rsidRPr="0027403F">
        <w:rPr>
          <w:rFonts w:ascii="Arial" w:hAnsi="Arial" w:cs="Arial"/>
          <w:kern w:val="0"/>
          <w:sz w:val="22"/>
          <w:szCs w:val="22"/>
          <w14:ligatures w14:val="none"/>
        </w:rPr>
        <w:t>.</w:t>
      </w:r>
    </w:p>
    <w:p w14:paraId="229A83C3" w14:textId="77777777" w:rsidR="006527BB" w:rsidRPr="006527BB" w:rsidRDefault="006527BB" w:rsidP="006527BB">
      <w:pPr>
        <w:spacing w:before="100" w:beforeAutospacing="1" w:after="100" w:afterAutospacing="1" w:line="360" w:lineRule="auto"/>
        <w:outlineLvl w:val="0"/>
        <w:rPr>
          <w:rFonts w:ascii="Arial" w:eastAsia="Times New Roman" w:hAnsi="Arial" w:cs="Arial"/>
          <w:b/>
          <w:bCs/>
          <w:kern w:val="36"/>
          <w:sz w:val="22"/>
          <w:szCs w:val="22"/>
          <w:u w:val="single"/>
          <w14:ligatures w14:val="none"/>
        </w:rPr>
      </w:pPr>
      <w:r w:rsidRPr="006527BB">
        <w:rPr>
          <w:rFonts w:ascii="Arial" w:eastAsia="Times New Roman" w:hAnsi="Arial" w:cs="Arial"/>
          <w:b/>
          <w:bCs/>
          <w:kern w:val="36"/>
          <w:sz w:val="22"/>
          <w:szCs w:val="22"/>
          <w:u w:val="single"/>
          <w14:ligatures w14:val="none"/>
        </w:rPr>
        <w:t>Practical Examples of Concepts in Practice</w:t>
      </w:r>
    </w:p>
    <w:p w14:paraId="1CBDA39D" w14:textId="77777777" w:rsidR="006527BB" w:rsidRPr="006527BB" w:rsidRDefault="006527BB" w:rsidP="006527BB">
      <w:pPr>
        <w:spacing w:before="100" w:beforeAutospacing="1" w:after="100" w:afterAutospacing="1" w:line="360" w:lineRule="auto"/>
        <w:rPr>
          <w:rFonts w:ascii="Arial" w:hAnsi="Arial" w:cs="Arial"/>
          <w:kern w:val="0"/>
          <w:sz w:val="22"/>
          <w:szCs w:val="22"/>
          <w14:ligatures w14:val="none"/>
        </w:rPr>
      </w:pPr>
    </w:p>
    <w:p w14:paraId="323A745C" w14:textId="77777777" w:rsidR="006527BB" w:rsidRPr="006527BB" w:rsidRDefault="006527BB" w:rsidP="006527BB">
      <w:pPr>
        <w:spacing w:before="100" w:beforeAutospacing="1" w:after="100" w:afterAutospacing="1" w:line="360" w:lineRule="auto"/>
        <w:rPr>
          <w:rFonts w:ascii="Arial" w:hAnsi="Arial" w:cs="Arial"/>
          <w:kern w:val="0"/>
          <w:sz w:val="22"/>
          <w:szCs w:val="22"/>
          <w14:ligatures w14:val="none"/>
        </w:rPr>
      </w:pPr>
      <w:r w:rsidRPr="006527BB">
        <w:rPr>
          <w:rFonts w:ascii="Arial" w:hAnsi="Arial" w:cs="Arial"/>
          <w:kern w:val="0"/>
          <w:sz w:val="22"/>
          <w:szCs w:val="22"/>
          <w14:ligatures w14:val="none"/>
        </w:rPr>
        <w:t xml:space="preserve">A practical example can </w:t>
      </w:r>
      <w:bookmarkStart w:id="9" w:name="_Int_snKzrXdp"/>
      <w:r w:rsidRPr="006527BB">
        <w:rPr>
          <w:rFonts w:ascii="Arial" w:hAnsi="Arial" w:cs="Arial"/>
          <w:kern w:val="0"/>
          <w:sz w:val="22"/>
          <w:szCs w:val="22"/>
          <w14:ligatures w14:val="none"/>
        </w:rPr>
        <w:t>be seen</w:t>
      </w:r>
      <w:bookmarkEnd w:id="9"/>
      <w:r w:rsidRPr="006527BB">
        <w:rPr>
          <w:rFonts w:ascii="Arial" w:hAnsi="Arial" w:cs="Arial"/>
          <w:kern w:val="0"/>
          <w:sz w:val="22"/>
          <w:szCs w:val="22"/>
          <w14:ligatures w14:val="none"/>
        </w:rPr>
        <w:t xml:space="preserve"> within a community-based drug and alcohol recovery service in England.</w:t>
      </w:r>
    </w:p>
    <w:p w14:paraId="078EBB5A" w14:textId="77777777" w:rsidR="006527BB" w:rsidRPr="006527BB" w:rsidRDefault="006527BB" w:rsidP="006527BB">
      <w:pPr>
        <w:spacing w:before="100" w:beforeAutospacing="1" w:after="100" w:afterAutospacing="1" w:line="360" w:lineRule="auto"/>
        <w:rPr>
          <w:rFonts w:ascii="Arial" w:hAnsi="Arial" w:cs="Arial"/>
          <w:kern w:val="0"/>
          <w:sz w:val="22"/>
          <w:szCs w:val="22"/>
          <w14:ligatures w14:val="none"/>
        </w:rPr>
      </w:pPr>
    </w:p>
    <w:p w14:paraId="09B61B94" w14:textId="6F4DA45B" w:rsidR="006527BB" w:rsidRPr="006527BB" w:rsidRDefault="006527BB" w:rsidP="006527BB">
      <w:pPr>
        <w:spacing w:before="100" w:beforeAutospacing="1" w:after="100" w:afterAutospacing="1" w:line="360" w:lineRule="auto"/>
        <w:rPr>
          <w:rFonts w:ascii="Arial" w:hAnsi="Arial" w:cs="Arial"/>
          <w:kern w:val="0"/>
          <w:sz w:val="22"/>
          <w:szCs w:val="22"/>
          <w14:ligatures w14:val="none"/>
        </w:rPr>
      </w:pPr>
      <w:r w:rsidRPr="006527BB">
        <w:rPr>
          <w:rFonts w:ascii="Arial" w:hAnsi="Arial" w:cs="Arial"/>
          <w:kern w:val="0"/>
          <w:sz w:val="22"/>
          <w:szCs w:val="22"/>
          <w14:ligatures w14:val="none"/>
        </w:rPr>
        <w:t xml:space="preserve">An anonymised service user presented with opioid dependence, </w:t>
      </w:r>
      <w:r w:rsidR="00A5679A" w:rsidRPr="006527BB">
        <w:rPr>
          <w:rFonts w:ascii="Arial" w:hAnsi="Arial" w:cs="Arial"/>
          <w:kern w:val="0"/>
          <w:sz w:val="22"/>
          <w:szCs w:val="22"/>
          <w14:ligatures w14:val="none"/>
        </w:rPr>
        <w:t>depression,</w:t>
      </w:r>
      <w:r w:rsidRPr="006527BB">
        <w:rPr>
          <w:rFonts w:ascii="Arial" w:hAnsi="Arial" w:cs="Arial"/>
          <w:kern w:val="0"/>
          <w:sz w:val="22"/>
          <w:szCs w:val="22"/>
          <w14:ligatures w14:val="none"/>
        </w:rPr>
        <w:t xml:space="preserve"> and unstable housing. Rather than focusing solely on prescribing medication, the practitioner conducted a holistic assessment exploring mental health, housing, </w:t>
      </w:r>
      <w:r w:rsidR="00A5679A" w:rsidRPr="006527BB">
        <w:rPr>
          <w:rFonts w:ascii="Arial" w:hAnsi="Arial" w:cs="Arial"/>
          <w:kern w:val="0"/>
          <w:sz w:val="22"/>
          <w:szCs w:val="22"/>
          <w14:ligatures w14:val="none"/>
        </w:rPr>
        <w:t>employment,</w:t>
      </w:r>
      <w:r w:rsidRPr="006527BB">
        <w:rPr>
          <w:rFonts w:ascii="Arial" w:hAnsi="Arial" w:cs="Arial"/>
          <w:kern w:val="0"/>
          <w:sz w:val="22"/>
          <w:szCs w:val="22"/>
          <w14:ligatures w14:val="none"/>
        </w:rPr>
        <w:t xml:space="preserve"> and social support. This approach reflects the wellbeing principle within the Care Act 2014.</w:t>
      </w:r>
    </w:p>
    <w:p w14:paraId="2A4CB2DE" w14:textId="77777777" w:rsidR="006527BB" w:rsidRPr="006527BB" w:rsidRDefault="006527BB" w:rsidP="006527BB">
      <w:pPr>
        <w:spacing w:before="100" w:beforeAutospacing="1" w:after="100" w:afterAutospacing="1" w:line="360" w:lineRule="auto"/>
        <w:rPr>
          <w:rFonts w:ascii="Arial" w:hAnsi="Arial" w:cs="Arial"/>
          <w:kern w:val="0"/>
          <w:sz w:val="22"/>
          <w:szCs w:val="22"/>
          <w14:ligatures w14:val="none"/>
        </w:rPr>
      </w:pPr>
    </w:p>
    <w:p w14:paraId="5B76A7AB" w14:textId="77777777" w:rsidR="006527BB" w:rsidRPr="006527BB" w:rsidRDefault="006527BB" w:rsidP="006527BB">
      <w:pPr>
        <w:spacing w:before="100" w:beforeAutospacing="1" w:after="100" w:afterAutospacing="1" w:line="360" w:lineRule="auto"/>
        <w:rPr>
          <w:rFonts w:ascii="Arial" w:hAnsi="Arial" w:cs="Arial"/>
          <w:kern w:val="0"/>
          <w:sz w:val="22"/>
          <w:szCs w:val="22"/>
          <w14:ligatures w14:val="none"/>
        </w:rPr>
      </w:pPr>
      <w:r w:rsidRPr="006527BB">
        <w:rPr>
          <w:rFonts w:ascii="Arial" w:hAnsi="Arial" w:cs="Arial"/>
          <w:kern w:val="0"/>
          <w:sz w:val="22"/>
          <w:szCs w:val="22"/>
          <w14:ligatures w14:val="none"/>
        </w:rPr>
        <w:t>The service user expressed that stabilising their housing situation was a priority before committing to abstinence. In line with person-centred care principles, the practitioner respected this view and collaboratively developed a recovery plan. This reflects Rogers’ (1951) emphasis on empathy and shared decision-making.</w:t>
      </w:r>
    </w:p>
    <w:p w14:paraId="720B2DB9" w14:textId="77777777" w:rsidR="006527BB" w:rsidRPr="006527BB" w:rsidRDefault="006527BB" w:rsidP="006527BB">
      <w:pPr>
        <w:spacing w:before="100" w:beforeAutospacing="1" w:after="100" w:afterAutospacing="1" w:line="360" w:lineRule="auto"/>
        <w:rPr>
          <w:rFonts w:ascii="Arial" w:hAnsi="Arial" w:cs="Arial"/>
          <w:kern w:val="0"/>
          <w:sz w:val="22"/>
          <w:szCs w:val="22"/>
          <w14:ligatures w14:val="none"/>
        </w:rPr>
      </w:pPr>
    </w:p>
    <w:p w14:paraId="31E613E9" w14:textId="77777777" w:rsidR="006527BB" w:rsidRPr="006527BB" w:rsidRDefault="006527BB" w:rsidP="006527BB">
      <w:pPr>
        <w:spacing w:before="100" w:beforeAutospacing="1" w:after="100" w:afterAutospacing="1" w:line="360" w:lineRule="auto"/>
        <w:rPr>
          <w:rFonts w:ascii="Arial" w:hAnsi="Arial" w:cs="Arial"/>
          <w:kern w:val="0"/>
          <w:sz w:val="22"/>
          <w:szCs w:val="22"/>
          <w14:ligatures w14:val="none"/>
        </w:rPr>
      </w:pPr>
      <w:r w:rsidRPr="006527BB">
        <w:rPr>
          <w:rFonts w:ascii="Arial" w:hAnsi="Arial" w:cs="Arial"/>
          <w:kern w:val="0"/>
          <w:sz w:val="22"/>
          <w:szCs w:val="22"/>
          <w14:ligatures w14:val="none"/>
        </w:rPr>
        <w:t>Partnership working was crucial. The practitioner coordinated with the individual’s GP within the NHS, a community mental health team and a housing officer. Public Health England (2018) emphasises that co-occurring mental health and substance misuse conditions require integrated care. Without collaboration, fragmented services can lead to disengagement.</w:t>
      </w:r>
    </w:p>
    <w:p w14:paraId="6296954E" w14:textId="77777777" w:rsidR="006527BB" w:rsidRPr="006527BB" w:rsidRDefault="006527BB" w:rsidP="006527BB">
      <w:pPr>
        <w:spacing w:before="100" w:beforeAutospacing="1" w:after="100" w:afterAutospacing="1" w:line="360" w:lineRule="auto"/>
        <w:rPr>
          <w:rFonts w:ascii="Arial" w:hAnsi="Arial" w:cs="Arial"/>
          <w:kern w:val="0"/>
          <w:sz w:val="22"/>
          <w:szCs w:val="22"/>
          <w14:ligatures w14:val="none"/>
        </w:rPr>
      </w:pPr>
    </w:p>
    <w:p w14:paraId="45EAAC00" w14:textId="70A0313D" w:rsidR="006527BB" w:rsidRPr="006527BB" w:rsidRDefault="006527BB" w:rsidP="006527BB">
      <w:pPr>
        <w:spacing w:before="100" w:beforeAutospacing="1" w:after="100" w:afterAutospacing="1" w:line="360" w:lineRule="auto"/>
        <w:rPr>
          <w:rFonts w:ascii="Arial" w:hAnsi="Arial" w:cs="Arial"/>
          <w:kern w:val="0"/>
          <w:sz w:val="22"/>
          <w:szCs w:val="22"/>
          <w14:ligatures w14:val="none"/>
        </w:rPr>
      </w:pPr>
      <w:r w:rsidRPr="006527BB">
        <w:rPr>
          <w:rFonts w:ascii="Arial" w:hAnsi="Arial" w:cs="Arial"/>
          <w:kern w:val="0"/>
          <w:sz w:val="22"/>
          <w:szCs w:val="22"/>
          <w14:ligatures w14:val="none"/>
        </w:rPr>
        <w:t xml:space="preserve">During recovery, the service user experienced relapse. Instead of punitive discharge, the team implemented harm reduction strategies consistent with NICE (2016) guidance. This reflects beneficence and non-maleficence, prioritising safety while </w:t>
      </w:r>
      <w:r w:rsidR="00241889" w:rsidRPr="006527BB">
        <w:rPr>
          <w:rFonts w:ascii="Arial" w:hAnsi="Arial" w:cs="Arial"/>
          <w:kern w:val="0"/>
          <w:sz w:val="22"/>
          <w:szCs w:val="22"/>
          <w14:ligatures w14:val="none"/>
        </w:rPr>
        <w:t>keeping</w:t>
      </w:r>
      <w:r w:rsidRPr="006527BB">
        <w:rPr>
          <w:rFonts w:ascii="Arial" w:hAnsi="Arial" w:cs="Arial"/>
          <w:kern w:val="0"/>
          <w:sz w:val="22"/>
          <w:szCs w:val="22"/>
          <w14:ligatures w14:val="none"/>
        </w:rPr>
        <w:t xml:space="preserve"> engagement. It also </w:t>
      </w:r>
      <w:r w:rsidR="00241889" w:rsidRPr="006527BB">
        <w:rPr>
          <w:rFonts w:ascii="Arial" w:hAnsi="Arial" w:cs="Arial"/>
          <w:kern w:val="0"/>
          <w:sz w:val="22"/>
          <w:szCs w:val="22"/>
          <w14:ligatures w14:val="none"/>
        </w:rPr>
        <w:t>shows</w:t>
      </w:r>
      <w:r w:rsidRPr="006527BB">
        <w:rPr>
          <w:rFonts w:ascii="Arial" w:hAnsi="Arial" w:cs="Arial"/>
          <w:kern w:val="0"/>
          <w:sz w:val="22"/>
          <w:szCs w:val="22"/>
          <w14:ligatures w14:val="none"/>
        </w:rPr>
        <w:t xml:space="preserve"> trauma-informed practice, recognising relapse as part of recovery rather than moral failure.</w:t>
      </w:r>
    </w:p>
    <w:p w14:paraId="56D54D99" w14:textId="77777777" w:rsidR="006527BB" w:rsidRPr="006527BB" w:rsidRDefault="006527BB" w:rsidP="006527BB">
      <w:pPr>
        <w:spacing w:before="100" w:beforeAutospacing="1" w:after="100" w:afterAutospacing="1" w:line="360" w:lineRule="auto"/>
        <w:rPr>
          <w:rFonts w:ascii="Arial" w:hAnsi="Arial" w:cs="Arial"/>
          <w:kern w:val="0"/>
          <w:sz w:val="22"/>
          <w:szCs w:val="22"/>
          <w14:ligatures w14:val="none"/>
        </w:rPr>
      </w:pPr>
    </w:p>
    <w:p w14:paraId="500EB901" w14:textId="6D2ED53A" w:rsidR="006527BB" w:rsidRPr="006527BB" w:rsidRDefault="006527BB" w:rsidP="006527BB">
      <w:pPr>
        <w:spacing w:before="100" w:beforeAutospacing="1" w:after="100" w:afterAutospacing="1" w:line="360" w:lineRule="auto"/>
        <w:rPr>
          <w:rFonts w:ascii="Arial" w:hAnsi="Arial" w:cs="Arial"/>
          <w:kern w:val="0"/>
          <w:sz w:val="22"/>
          <w:szCs w:val="22"/>
          <w14:ligatures w14:val="none"/>
        </w:rPr>
      </w:pPr>
      <w:r w:rsidRPr="006527BB">
        <w:rPr>
          <w:rFonts w:ascii="Arial" w:hAnsi="Arial" w:cs="Arial"/>
          <w:kern w:val="0"/>
          <w:sz w:val="22"/>
          <w:szCs w:val="22"/>
          <w14:ligatures w14:val="none"/>
        </w:rPr>
        <w:t xml:space="preserve">Safeguarding concerns </w:t>
      </w:r>
      <w:bookmarkStart w:id="10" w:name="_Int_96DzYUxG"/>
      <w:r w:rsidRPr="006527BB">
        <w:rPr>
          <w:rFonts w:ascii="Arial" w:hAnsi="Arial" w:cs="Arial"/>
          <w:kern w:val="0"/>
          <w:sz w:val="22"/>
          <w:szCs w:val="22"/>
          <w14:ligatures w14:val="none"/>
        </w:rPr>
        <w:t>were discussed</w:t>
      </w:r>
      <w:bookmarkEnd w:id="10"/>
      <w:r w:rsidRPr="006527BB">
        <w:rPr>
          <w:rFonts w:ascii="Arial" w:hAnsi="Arial" w:cs="Arial"/>
          <w:kern w:val="0"/>
          <w:sz w:val="22"/>
          <w:szCs w:val="22"/>
          <w14:ligatures w14:val="none"/>
        </w:rPr>
        <w:t xml:space="preserve"> in a multi-agency meeting under Care Act 2014 responsibilities. This ensured risks </w:t>
      </w:r>
      <w:bookmarkStart w:id="11" w:name="_Int_KlfTWne7"/>
      <w:r w:rsidRPr="006527BB">
        <w:rPr>
          <w:rFonts w:ascii="Arial" w:hAnsi="Arial" w:cs="Arial"/>
          <w:kern w:val="0"/>
          <w:sz w:val="22"/>
          <w:szCs w:val="22"/>
          <w14:ligatures w14:val="none"/>
        </w:rPr>
        <w:t>were managed</w:t>
      </w:r>
      <w:bookmarkEnd w:id="11"/>
      <w:r w:rsidRPr="006527BB">
        <w:rPr>
          <w:rFonts w:ascii="Arial" w:hAnsi="Arial" w:cs="Arial"/>
          <w:kern w:val="0"/>
          <w:sz w:val="22"/>
          <w:szCs w:val="22"/>
          <w14:ligatures w14:val="none"/>
        </w:rPr>
        <w:t xml:space="preserve"> while </w:t>
      </w:r>
      <w:r w:rsidR="00241889" w:rsidRPr="006527BB">
        <w:rPr>
          <w:rFonts w:ascii="Arial" w:hAnsi="Arial" w:cs="Arial"/>
          <w:kern w:val="0"/>
          <w:sz w:val="22"/>
          <w:szCs w:val="22"/>
          <w14:ligatures w14:val="none"/>
        </w:rPr>
        <w:t>supporting</w:t>
      </w:r>
      <w:r w:rsidRPr="006527BB">
        <w:rPr>
          <w:rFonts w:ascii="Arial" w:hAnsi="Arial" w:cs="Arial"/>
          <w:kern w:val="0"/>
          <w:sz w:val="22"/>
          <w:szCs w:val="22"/>
          <w14:ligatures w14:val="none"/>
        </w:rPr>
        <w:t xml:space="preserve"> the service user’s dignity. However, workforce pressures and funding limitations </w:t>
      </w:r>
      <w:r w:rsidR="00241889" w:rsidRPr="006527BB">
        <w:rPr>
          <w:rFonts w:ascii="Arial" w:hAnsi="Arial" w:cs="Arial"/>
          <w:kern w:val="0"/>
          <w:sz w:val="22"/>
          <w:szCs w:val="22"/>
          <w14:ligatures w14:val="none"/>
        </w:rPr>
        <w:t>found</w:t>
      </w:r>
      <w:r w:rsidRPr="006527BB">
        <w:rPr>
          <w:rFonts w:ascii="Arial" w:hAnsi="Arial" w:cs="Arial"/>
          <w:kern w:val="0"/>
          <w:sz w:val="22"/>
          <w:szCs w:val="22"/>
          <w14:ligatures w14:val="none"/>
        </w:rPr>
        <w:t xml:space="preserve"> by the King’s Fund (2022) can affect the consistency of such collaborative approaches.</w:t>
      </w:r>
    </w:p>
    <w:p w14:paraId="5FDC2DB5" w14:textId="77777777" w:rsidR="006527BB" w:rsidRPr="006527BB" w:rsidRDefault="006527BB" w:rsidP="006527BB">
      <w:pPr>
        <w:spacing w:before="100" w:beforeAutospacing="1" w:after="100" w:afterAutospacing="1" w:line="360" w:lineRule="auto"/>
        <w:rPr>
          <w:rFonts w:ascii="Arial" w:hAnsi="Arial" w:cs="Arial"/>
          <w:kern w:val="0"/>
          <w:sz w:val="22"/>
          <w:szCs w:val="22"/>
          <w14:ligatures w14:val="none"/>
        </w:rPr>
      </w:pPr>
    </w:p>
    <w:p w14:paraId="1CD26A7F" w14:textId="0D28820D" w:rsidR="006527BB" w:rsidRPr="006527BB" w:rsidRDefault="006527BB" w:rsidP="006527BB">
      <w:pPr>
        <w:spacing w:before="100" w:beforeAutospacing="1" w:after="100" w:afterAutospacing="1" w:line="360" w:lineRule="auto"/>
        <w:rPr>
          <w:rFonts w:ascii="Arial" w:hAnsi="Arial" w:cs="Arial"/>
          <w:kern w:val="0"/>
          <w:sz w:val="22"/>
          <w:szCs w:val="22"/>
          <w14:ligatures w14:val="none"/>
        </w:rPr>
      </w:pPr>
      <w:r w:rsidRPr="006527BB">
        <w:rPr>
          <w:rFonts w:ascii="Arial" w:hAnsi="Arial" w:cs="Arial"/>
          <w:kern w:val="0"/>
          <w:sz w:val="22"/>
          <w:szCs w:val="22"/>
          <w14:ligatures w14:val="none"/>
        </w:rPr>
        <w:t xml:space="preserve">This example </w:t>
      </w:r>
      <w:bookmarkStart w:id="12" w:name="_Int_4W5Rf0Sn"/>
      <w:r w:rsidRPr="006527BB">
        <w:rPr>
          <w:rFonts w:ascii="Arial" w:hAnsi="Arial" w:cs="Arial"/>
          <w:kern w:val="0"/>
          <w:sz w:val="22"/>
          <w:szCs w:val="22"/>
          <w14:ligatures w14:val="none"/>
        </w:rPr>
        <w:t>demonstrates</w:t>
      </w:r>
      <w:bookmarkEnd w:id="12"/>
      <w:r w:rsidRPr="006527BB">
        <w:rPr>
          <w:rFonts w:ascii="Arial" w:hAnsi="Arial" w:cs="Arial"/>
          <w:kern w:val="0"/>
          <w:sz w:val="22"/>
          <w:szCs w:val="22"/>
          <w14:ligatures w14:val="none"/>
        </w:rPr>
        <w:t xml:space="preserve"> how theory, legislation and ethical frameworks </w:t>
      </w:r>
      <w:bookmarkStart w:id="13" w:name="_Int_cZ83DXZn"/>
      <w:r w:rsidRPr="006527BB">
        <w:rPr>
          <w:rFonts w:ascii="Arial" w:hAnsi="Arial" w:cs="Arial"/>
          <w:kern w:val="0"/>
          <w:sz w:val="22"/>
          <w:szCs w:val="22"/>
          <w14:ligatures w14:val="none"/>
        </w:rPr>
        <w:t>operate</w:t>
      </w:r>
      <w:bookmarkEnd w:id="13"/>
      <w:r w:rsidRPr="006527BB">
        <w:rPr>
          <w:rFonts w:ascii="Arial" w:hAnsi="Arial" w:cs="Arial"/>
          <w:kern w:val="0"/>
          <w:sz w:val="22"/>
          <w:szCs w:val="22"/>
          <w14:ligatures w14:val="none"/>
        </w:rPr>
        <w:t xml:space="preserve"> together in practice. When applied effectively, these principles improve outcomes, reduce harm and enhance engagement. However, successful implementation requires </w:t>
      </w:r>
      <w:r w:rsidR="00D467FD" w:rsidRPr="006527BB">
        <w:rPr>
          <w:rFonts w:ascii="Arial" w:hAnsi="Arial" w:cs="Arial"/>
          <w:kern w:val="0"/>
          <w:sz w:val="22"/>
          <w:szCs w:val="22"/>
          <w14:ligatures w14:val="none"/>
        </w:rPr>
        <w:t>effective communication</w:t>
      </w:r>
      <w:r w:rsidRPr="006527BB">
        <w:rPr>
          <w:rFonts w:ascii="Arial" w:hAnsi="Arial" w:cs="Arial"/>
          <w:kern w:val="0"/>
          <w:sz w:val="22"/>
          <w:szCs w:val="22"/>
          <w14:ligatures w14:val="none"/>
        </w:rPr>
        <w:t xml:space="preserve">, </w:t>
      </w:r>
      <w:r w:rsidR="00D467FD" w:rsidRPr="006527BB">
        <w:rPr>
          <w:rFonts w:ascii="Arial" w:hAnsi="Arial" w:cs="Arial"/>
          <w:kern w:val="0"/>
          <w:sz w:val="22"/>
          <w:szCs w:val="22"/>
          <w14:ligatures w14:val="none"/>
        </w:rPr>
        <w:t>leadership,</w:t>
      </w:r>
      <w:r w:rsidRPr="006527BB">
        <w:rPr>
          <w:rFonts w:ascii="Arial" w:hAnsi="Arial" w:cs="Arial"/>
          <w:kern w:val="0"/>
          <w:sz w:val="22"/>
          <w:szCs w:val="22"/>
          <w14:ligatures w14:val="none"/>
        </w:rPr>
        <w:t xml:space="preserve"> and adequate resources.</w:t>
      </w:r>
    </w:p>
    <w:p w14:paraId="0AF66E49" w14:textId="77777777" w:rsidR="00976B0D" w:rsidRPr="00976B0D" w:rsidRDefault="00976B0D" w:rsidP="000B0786">
      <w:pPr>
        <w:spacing w:before="100" w:beforeAutospacing="1" w:after="100" w:afterAutospacing="1" w:line="360" w:lineRule="auto"/>
        <w:outlineLvl w:val="0"/>
        <w:rPr>
          <w:rFonts w:ascii="Arial" w:eastAsia="Times New Roman" w:hAnsi="Arial" w:cs="Arial"/>
          <w:b/>
          <w:bCs/>
          <w:kern w:val="36"/>
          <w:sz w:val="22"/>
          <w:szCs w:val="22"/>
          <w:u w:val="single"/>
          <w14:ligatures w14:val="none"/>
        </w:rPr>
      </w:pPr>
      <w:r w:rsidRPr="00976B0D">
        <w:rPr>
          <w:rFonts w:ascii="Arial" w:eastAsia="Times New Roman" w:hAnsi="Arial" w:cs="Arial"/>
          <w:b/>
          <w:bCs/>
          <w:kern w:val="36"/>
          <w:sz w:val="22"/>
          <w:szCs w:val="22"/>
          <w:u w:val="single"/>
          <w14:ligatures w14:val="none"/>
        </w:rPr>
        <w:t>Self-Reflection as a Future Drug Misuse or Support Worker</w:t>
      </w:r>
    </w:p>
    <w:p w14:paraId="2AF19EA4" w14:textId="77777777" w:rsidR="00976B0D" w:rsidRPr="00976B0D" w:rsidRDefault="00976B0D" w:rsidP="000B0786">
      <w:pPr>
        <w:spacing w:before="100" w:beforeAutospacing="1" w:after="100" w:afterAutospacing="1" w:line="360" w:lineRule="auto"/>
        <w:rPr>
          <w:rFonts w:ascii="Arial" w:hAnsi="Arial" w:cs="Arial"/>
          <w:kern w:val="0"/>
          <w:sz w:val="22"/>
          <w:szCs w:val="22"/>
          <w14:ligatures w14:val="none"/>
        </w:rPr>
      </w:pPr>
    </w:p>
    <w:p w14:paraId="125FD54B" w14:textId="77777777" w:rsidR="00976B0D" w:rsidRPr="00976B0D" w:rsidRDefault="00976B0D" w:rsidP="000B0786">
      <w:pPr>
        <w:spacing w:before="100" w:beforeAutospacing="1" w:after="100" w:afterAutospacing="1" w:line="360" w:lineRule="auto"/>
        <w:rPr>
          <w:rFonts w:ascii="Arial" w:hAnsi="Arial" w:cs="Arial"/>
          <w:kern w:val="0"/>
          <w:sz w:val="22"/>
          <w:szCs w:val="22"/>
          <w14:ligatures w14:val="none"/>
        </w:rPr>
      </w:pPr>
      <w:r w:rsidRPr="00976B0D">
        <w:rPr>
          <w:rFonts w:ascii="Arial" w:hAnsi="Arial" w:cs="Arial"/>
          <w:kern w:val="0"/>
          <w:sz w:val="22"/>
          <w:szCs w:val="22"/>
          <w14:ligatures w14:val="none"/>
        </w:rPr>
        <w:t xml:space="preserve">Reflecting on these principles has helped me understand the responsibility involved in working within drug misuse services. I </w:t>
      </w:r>
      <w:bookmarkStart w:id="14" w:name="_Int_Ni4rqAK6"/>
      <w:r w:rsidRPr="00976B0D">
        <w:rPr>
          <w:rFonts w:ascii="Arial" w:hAnsi="Arial" w:cs="Arial"/>
          <w:kern w:val="0"/>
          <w:sz w:val="22"/>
          <w:szCs w:val="22"/>
          <w14:ligatures w14:val="none"/>
        </w:rPr>
        <w:t>am particularly drawn</w:t>
      </w:r>
      <w:bookmarkEnd w:id="14"/>
      <w:r w:rsidRPr="00976B0D">
        <w:rPr>
          <w:rFonts w:ascii="Arial" w:hAnsi="Arial" w:cs="Arial"/>
          <w:kern w:val="0"/>
          <w:sz w:val="22"/>
          <w:szCs w:val="22"/>
          <w14:ligatures w14:val="none"/>
        </w:rPr>
        <w:t xml:space="preserve"> to this field because individuals experiencing addiction often face stigma and social exclusion. Marmot (2010) highlights how health inequalities </w:t>
      </w:r>
      <w:bookmarkStart w:id="15" w:name="_Int_BUbhuNyp"/>
      <w:r w:rsidRPr="00976B0D">
        <w:rPr>
          <w:rFonts w:ascii="Arial" w:hAnsi="Arial" w:cs="Arial"/>
          <w:kern w:val="0"/>
          <w:sz w:val="22"/>
          <w:szCs w:val="22"/>
          <w14:ligatures w14:val="none"/>
        </w:rPr>
        <w:t>are strongly linked</w:t>
      </w:r>
      <w:bookmarkEnd w:id="15"/>
      <w:r w:rsidRPr="00976B0D">
        <w:rPr>
          <w:rFonts w:ascii="Arial" w:hAnsi="Arial" w:cs="Arial"/>
          <w:kern w:val="0"/>
          <w:sz w:val="22"/>
          <w:szCs w:val="22"/>
          <w14:ligatures w14:val="none"/>
        </w:rPr>
        <w:t xml:space="preserve"> to socioeconomic factors. Therefore, I recognise that substance misuse is not simply an individual failing but often connected to structural disadvantage.</w:t>
      </w:r>
    </w:p>
    <w:p w14:paraId="01865E50" w14:textId="77777777" w:rsidR="00976B0D" w:rsidRPr="00976B0D" w:rsidRDefault="00976B0D" w:rsidP="000B0786">
      <w:pPr>
        <w:spacing w:before="100" w:beforeAutospacing="1" w:after="100" w:afterAutospacing="1" w:line="360" w:lineRule="auto"/>
        <w:rPr>
          <w:rFonts w:ascii="Arial" w:hAnsi="Arial" w:cs="Arial"/>
          <w:kern w:val="0"/>
          <w:sz w:val="22"/>
          <w:szCs w:val="22"/>
          <w14:ligatures w14:val="none"/>
        </w:rPr>
      </w:pPr>
    </w:p>
    <w:p w14:paraId="1ADCE228" w14:textId="5617FE9B" w:rsidR="00976B0D" w:rsidRPr="00976B0D" w:rsidRDefault="00976B0D" w:rsidP="000B0786">
      <w:pPr>
        <w:spacing w:before="100" w:beforeAutospacing="1" w:after="100" w:afterAutospacing="1" w:line="360" w:lineRule="auto"/>
        <w:rPr>
          <w:rFonts w:ascii="Arial" w:hAnsi="Arial" w:cs="Arial"/>
          <w:kern w:val="0"/>
          <w:sz w:val="22"/>
          <w:szCs w:val="22"/>
          <w14:ligatures w14:val="none"/>
        </w:rPr>
      </w:pPr>
      <w:r w:rsidRPr="00976B0D">
        <w:rPr>
          <w:rFonts w:ascii="Arial" w:hAnsi="Arial" w:cs="Arial"/>
          <w:kern w:val="0"/>
          <w:sz w:val="22"/>
          <w:szCs w:val="22"/>
          <w14:ligatures w14:val="none"/>
        </w:rPr>
        <w:t xml:space="preserve">Person-centred care will influence how I communicate and build relationships. </w:t>
      </w:r>
      <w:r w:rsidR="00A36340" w:rsidRPr="00976B0D">
        <w:rPr>
          <w:rFonts w:ascii="Arial" w:hAnsi="Arial" w:cs="Arial"/>
          <w:kern w:val="0"/>
          <w:sz w:val="22"/>
          <w:szCs w:val="22"/>
          <w14:ligatures w14:val="none"/>
        </w:rPr>
        <w:t>Empathy and active listening</w:t>
      </w:r>
      <w:r w:rsidRPr="00976B0D">
        <w:rPr>
          <w:rFonts w:ascii="Arial" w:hAnsi="Arial" w:cs="Arial"/>
          <w:kern w:val="0"/>
          <w:sz w:val="22"/>
          <w:szCs w:val="22"/>
          <w14:ligatures w14:val="none"/>
        </w:rPr>
        <w:t xml:space="preserve"> are strengths of mine. However, I am aware that </w:t>
      </w:r>
      <w:r w:rsidR="00D467FD" w:rsidRPr="00976B0D">
        <w:rPr>
          <w:rFonts w:ascii="Arial" w:hAnsi="Arial" w:cs="Arial"/>
          <w:kern w:val="0"/>
          <w:sz w:val="22"/>
          <w:szCs w:val="22"/>
          <w14:ligatures w14:val="none"/>
        </w:rPr>
        <w:t>keeping</w:t>
      </w:r>
      <w:r w:rsidRPr="00976B0D">
        <w:rPr>
          <w:rFonts w:ascii="Arial" w:hAnsi="Arial" w:cs="Arial"/>
          <w:kern w:val="0"/>
          <w:sz w:val="22"/>
          <w:szCs w:val="22"/>
          <w14:ligatures w14:val="none"/>
        </w:rPr>
        <w:t xml:space="preserve"> professional boundaries is equally important. The HCPC (2023) Standards of Conduct, Performance and Ethics require professionals to act in the best interests of service users while </w:t>
      </w:r>
      <w:r w:rsidR="00A36340" w:rsidRPr="00976B0D">
        <w:rPr>
          <w:rFonts w:ascii="Arial" w:hAnsi="Arial" w:cs="Arial"/>
          <w:kern w:val="0"/>
          <w:sz w:val="22"/>
          <w:szCs w:val="22"/>
          <w14:ligatures w14:val="none"/>
        </w:rPr>
        <w:t>keeping</w:t>
      </w:r>
      <w:r w:rsidRPr="00976B0D">
        <w:rPr>
          <w:rFonts w:ascii="Arial" w:hAnsi="Arial" w:cs="Arial"/>
          <w:kern w:val="0"/>
          <w:sz w:val="22"/>
          <w:szCs w:val="22"/>
          <w14:ligatures w14:val="none"/>
        </w:rPr>
        <w:t xml:space="preserve"> integrity and accountability.</w:t>
      </w:r>
    </w:p>
    <w:p w14:paraId="26DCC9C3" w14:textId="77777777" w:rsidR="00976B0D" w:rsidRPr="00976B0D" w:rsidRDefault="00976B0D" w:rsidP="000B0786">
      <w:pPr>
        <w:spacing w:before="100" w:beforeAutospacing="1" w:after="100" w:afterAutospacing="1" w:line="360" w:lineRule="auto"/>
        <w:rPr>
          <w:rFonts w:ascii="Arial" w:hAnsi="Arial" w:cs="Arial"/>
          <w:kern w:val="0"/>
          <w:sz w:val="22"/>
          <w:szCs w:val="22"/>
          <w14:ligatures w14:val="none"/>
        </w:rPr>
      </w:pPr>
    </w:p>
    <w:p w14:paraId="7F3509C7" w14:textId="6148B76B" w:rsidR="00976B0D" w:rsidRPr="00976B0D" w:rsidRDefault="00976B0D" w:rsidP="000B0786">
      <w:pPr>
        <w:spacing w:before="100" w:beforeAutospacing="1" w:after="100" w:afterAutospacing="1" w:line="360" w:lineRule="auto"/>
        <w:rPr>
          <w:rFonts w:ascii="Arial" w:hAnsi="Arial" w:cs="Arial"/>
          <w:kern w:val="0"/>
          <w:sz w:val="22"/>
          <w:szCs w:val="22"/>
          <w14:ligatures w14:val="none"/>
        </w:rPr>
      </w:pPr>
      <w:r w:rsidRPr="00976B0D">
        <w:rPr>
          <w:rFonts w:ascii="Arial" w:hAnsi="Arial" w:cs="Arial"/>
          <w:kern w:val="0"/>
          <w:sz w:val="22"/>
          <w:szCs w:val="22"/>
          <w14:ligatures w14:val="none"/>
        </w:rPr>
        <w:t xml:space="preserve">I also recognise the importance of anti-discriminatory practice. Thompson’s (2016) PCS model explains how oppression </w:t>
      </w:r>
      <w:r w:rsidR="00D467FD" w:rsidRPr="00976B0D">
        <w:rPr>
          <w:rFonts w:ascii="Arial" w:hAnsi="Arial" w:cs="Arial"/>
          <w:kern w:val="0"/>
          <w:sz w:val="22"/>
          <w:szCs w:val="22"/>
          <w14:ligatures w14:val="none"/>
        </w:rPr>
        <w:t>uses</w:t>
      </w:r>
      <w:r w:rsidRPr="00976B0D">
        <w:rPr>
          <w:rFonts w:ascii="Arial" w:hAnsi="Arial" w:cs="Arial"/>
          <w:kern w:val="0"/>
          <w:sz w:val="22"/>
          <w:szCs w:val="22"/>
          <w14:ligatures w14:val="none"/>
        </w:rPr>
        <w:t xml:space="preserve"> at personal, </w:t>
      </w:r>
      <w:r w:rsidR="00D467FD" w:rsidRPr="00976B0D">
        <w:rPr>
          <w:rFonts w:ascii="Arial" w:hAnsi="Arial" w:cs="Arial"/>
          <w:kern w:val="0"/>
          <w:sz w:val="22"/>
          <w:szCs w:val="22"/>
          <w14:ligatures w14:val="none"/>
        </w:rPr>
        <w:t>cultural,</w:t>
      </w:r>
      <w:r w:rsidRPr="00976B0D">
        <w:rPr>
          <w:rFonts w:ascii="Arial" w:hAnsi="Arial" w:cs="Arial"/>
          <w:kern w:val="0"/>
          <w:sz w:val="22"/>
          <w:szCs w:val="22"/>
          <w14:ligatures w14:val="none"/>
        </w:rPr>
        <w:t xml:space="preserve"> and structural levels. In drug misuse services, individuals may face discrimination based on class, criminal </w:t>
      </w:r>
      <w:r w:rsidR="00D467FD" w:rsidRPr="00976B0D">
        <w:rPr>
          <w:rFonts w:ascii="Arial" w:hAnsi="Arial" w:cs="Arial"/>
          <w:kern w:val="0"/>
          <w:sz w:val="22"/>
          <w:szCs w:val="22"/>
          <w14:ligatures w14:val="none"/>
        </w:rPr>
        <w:t>history,</w:t>
      </w:r>
      <w:r w:rsidRPr="00976B0D">
        <w:rPr>
          <w:rFonts w:ascii="Arial" w:hAnsi="Arial" w:cs="Arial"/>
          <w:kern w:val="0"/>
          <w:sz w:val="22"/>
          <w:szCs w:val="22"/>
          <w14:ligatures w14:val="none"/>
        </w:rPr>
        <w:t xml:space="preserve"> or mental health status. I must remain self-aware and challenge my own assumptions.</w:t>
      </w:r>
    </w:p>
    <w:p w14:paraId="30C507E0" w14:textId="77777777" w:rsidR="00976B0D" w:rsidRPr="00976B0D" w:rsidRDefault="00976B0D" w:rsidP="000B0786">
      <w:pPr>
        <w:spacing w:before="100" w:beforeAutospacing="1" w:after="100" w:afterAutospacing="1" w:line="360" w:lineRule="auto"/>
        <w:rPr>
          <w:rFonts w:ascii="Arial" w:hAnsi="Arial" w:cs="Arial"/>
          <w:kern w:val="0"/>
          <w:sz w:val="22"/>
          <w:szCs w:val="22"/>
          <w14:ligatures w14:val="none"/>
        </w:rPr>
      </w:pPr>
    </w:p>
    <w:p w14:paraId="11CBDFBD" w14:textId="35A90870" w:rsidR="00976B0D" w:rsidRPr="00976B0D" w:rsidRDefault="00976B0D" w:rsidP="000B0786">
      <w:pPr>
        <w:spacing w:before="100" w:beforeAutospacing="1" w:after="100" w:afterAutospacing="1" w:line="360" w:lineRule="auto"/>
        <w:rPr>
          <w:rFonts w:ascii="Arial" w:hAnsi="Arial" w:cs="Arial"/>
          <w:kern w:val="0"/>
          <w:sz w:val="22"/>
          <w:szCs w:val="22"/>
          <w14:ligatures w14:val="none"/>
        </w:rPr>
      </w:pPr>
      <w:r w:rsidRPr="00976B0D">
        <w:rPr>
          <w:rFonts w:ascii="Arial" w:hAnsi="Arial" w:cs="Arial"/>
          <w:kern w:val="0"/>
          <w:sz w:val="22"/>
          <w:szCs w:val="22"/>
          <w14:ligatures w14:val="none"/>
        </w:rPr>
        <w:t xml:space="preserve">Ethical dilemmas will inevitably arise. For example, if a service user declines treatment but is at </w:t>
      </w:r>
      <w:r w:rsidR="00A36340" w:rsidRPr="00976B0D">
        <w:rPr>
          <w:rFonts w:ascii="Arial" w:hAnsi="Arial" w:cs="Arial"/>
          <w:kern w:val="0"/>
          <w:sz w:val="22"/>
          <w:szCs w:val="22"/>
          <w14:ligatures w14:val="none"/>
        </w:rPr>
        <w:t>elevated risk</w:t>
      </w:r>
      <w:r w:rsidRPr="00976B0D">
        <w:rPr>
          <w:rFonts w:ascii="Arial" w:hAnsi="Arial" w:cs="Arial"/>
          <w:kern w:val="0"/>
          <w:sz w:val="22"/>
          <w:szCs w:val="22"/>
          <w14:ligatures w14:val="none"/>
        </w:rPr>
        <w:t xml:space="preserve"> of harm, I would need to balance autonomy under the Mental Capacity Act 2005 with safeguarding responsibilities under the Care Act 2014. Schön’s (1983) concept of reflection-in-action highlights the importance of thinking critically during practice, while reflection-on-action supports ongoing professional development.</w:t>
      </w:r>
    </w:p>
    <w:p w14:paraId="55531473" w14:textId="77777777" w:rsidR="00976B0D" w:rsidRPr="00976B0D" w:rsidRDefault="00976B0D" w:rsidP="000B0786">
      <w:pPr>
        <w:spacing w:before="100" w:beforeAutospacing="1" w:after="100" w:afterAutospacing="1" w:line="360" w:lineRule="auto"/>
        <w:rPr>
          <w:rFonts w:ascii="Arial" w:hAnsi="Arial" w:cs="Arial"/>
          <w:kern w:val="0"/>
          <w:sz w:val="22"/>
          <w:szCs w:val="22"/>
          <w14:ligatures w14:val="none"/>
        </w:rPr>
      </w:pPr>
    </w:p>
    <w:p w14:paraId="6F4461DB" w14:textId="6FFEA0C3" w:rsidR="00976B0D" w:rsidRPr="00976B0D" w:rsidRDefault="00976B0D" w:rsidP="000B0786">
      <w:pPr>
        <w:spacing w:before="100" w:beforeAutospacing="1" w:after="100" w:afterAutospacing="1" w:line="360" w:lineRule="auto"/>
        <w:rPr>
          <w:rFonts w:ascii="Arial" w:hAnsi="Arial" w:cs="Arial"/>
          <w:kern w:val="0"/>
          <w:sz w:val="22"/>
          <w:szCs w:val="22"/>
          <w14:ligatures w14:val="none"/>
        </w:rPr>
      </w:pPr>
      <w:r w:rsidRPr="00976B0D">
        <w:rPr>
          <w:rFonts w:ascii="Arial" w:hAnsi="Arial" w:cs="Arial"/>
          <w:kern w:val="0"/>
          <w:sz w:val="22"/>
          <w:szCs w:val="22"/>
          <w14:ligatures w14:val="none"/>
        </w:rPr>
        <w:t xml:space="preserve">Partnership working will also shape my daily practice. The World Health </w:t>
      </w:r>
      <w:r w:rsidR="00E419B3" w:rsidRPr="00976B0D">
        <w:rPr>
          <w:rFonts w:ascii="Arial" w:hAnsi="Arial" w:cs="Arial"/>
          <w:kern w:val="0"/>
          <w:sz w:val="22"/>
          <w:szCs w:val="22"/>
          <w14:ligatures w14:val="none"/>
        </w:rPr>
        <w:t>Organisation</w:t>
      </w:r>
      <w:r w:rsidRPr="00976B0D">
        <w:rPr>
          <w:rFonts w:ascii="Arial" w:hAnsi="Arial" w:cs="Arial"/>
          <w:kern w:val="0"/>
          <w:sz w:val="22"/>
          <w:szCs w:val="22"/>
          <w14:ligatures w14:val="none"/>
        </w:rPr>
        <w:t xml:space="preserve"> (2010) states that collaborative practice improves health outcomes. To contribute effectively, I will need to develop confidence in multi-disciplinary meetings and ensure accurate documentation.</w:t>
      </w:r>
    </w:p>
    <w:p w14:paraId="2D6B05D9" w14:textId="77777777" w:rsidR="00976B0D" w:rsidRPr="00976B0D" w:rsidRDefault="00976B0D" w:rsidP="000B0786">
      <w:pPr>
        <w:spacing w:before="100" w:beforeAutospacing="1" w:after="100" w:afterAutospacing="1" w:line="360" w:lineRule="auto"/>
        <w:rPr>
          <w:rFonts w:ascii="Arial" w:hAnsi="Arial" w:cs="Arial"/>
          <w:kern w:val="0"/>
          <w:sz w:val="22"/>
          <w:szCs w:val="22"/>
          <w14:ligatures w14:val="none"/>
        </w:rPr>
      </w:pPr>
    </w:p>
    <w:p w14:paraId="7DCC0FE6" w14:textId="523F6F9B" w:rsidR="00976B0D" w:rsidRDefault="00976B0D" w:rsidP="000B0786">
      <w:pPr>
        <w:spacing w:before="100" w:beforeAutospacing="1" w:after="100" w:afterAutospacing="1" w:line="360" w:lineRule="auto"/>
        <w:rPr>
          <w:rFonts w:ascii="Arial" w:hAnsi="Arial" w:cs="Arial"/>
          <w:kern w:val="0"/>
          <w:sz w:val="22"/>
          <w:szCs w:val="22"/>
          <w14:ligatures w14:val="none"/>
        </w:rPr>
      </w:pPr>
      <w:r w:rsidRPr="00976B0D">
        <w:rPr>
          <w:rFonts w:ascii="Arial" w:hAnsi="Arial" w:cs="Arial"/>
          <w:kern w:val="0"/>
          <w:sz w:val="22"/>
          <w:szCs w:val="22"/>
          <w14:ligatures w14:val="none"/>
        </w:rPr>
        <w:t xml:space="preserve">In terms of areas for development, I would like to strengthen my knowledge of trauma-informed practice and motivational interviewing techniques. Continuous professional development (CPD) will be essential. I plan to attend specialist training, engage in </w:t>
      </w:r>
      <w:r w:rsidR="00D467FD" w:rsidRPr="00976B0D">
        <w:rPr>
          <w:rFonts w:ascii="Arial" w:hAnsi="Arial" w:cs="Arial"/>
          <w:kern w:val="0"/>
          <w:sz w:val="22"/>
          <w:szCs w:val="22"/>
          <w14:ligatures w14:val="none"/>
        </w:rPr>
        <w:t>supervision,</w:t>
      </w:r>
      <w:r w:rsidRPr="00976B0D">
        <w:rPr>
          <w:rFonts w:ascii="Arial" w:hAnsi="Arial" w:cs="Arial"/>
          <w:kern w:val="0"/>
          <w:sz w:val="22"/>
          <w:szCs w:val="22"/>
          <w14:ligatures w14:val="none"/>
        </w:rPr>
        <w:t xml:space="preserve"> and regularly review NICE guidance. Tew (2011) emphasises that recovery-oriented practice focuses on strengths and empowerment, which aligns with my values.</w:t>
      </w:r>
    </w:p>
    <w:p w14:paraId="64171F88" w14:textId="77777777" w:rsidR="00B4290A" w:rsidRPr="00B4290A" w:rsidRDefault="00B4290A" w:rsidP="00E419B3">
      <w:pPr>
        <w:spacing w:after="0" w:line="360" w:lineRule="auto"/>
        <w:rPr>
          <w:rFonts w:ascii="Arial" w:eastAsia="Times New Roman" w:hAnsi="Arial" w:cs="Arial"/>
          <w:color w:val="111111"/>
          <w:kern w:val="0"/>
          <w:sz w:val="22"/>
          <w:szCs w:val="22"/>
          <w14:ligatures w14:val="none"/>
        </w:rPr>
      </w:pPr>
      <w:r w:rsidRPr="00B4290A">
        <w:rPr>
          <w:rFonts w:ascii="Arial" w:eastAsia="Times New Roman" w:hAnsi="Arial" w:cs="Arial"/>
          <w:color w:val="111111"/>
          <w:kern w:val="0"/>
          <w:sz w:val="22"/>
          <w:szCs w:val="22"/>
          <w14:ligatures w14:val="none"/>
        </w:rPr>
        <w:t>Through my studies and experiences so far, I have realised how complex substance misuse work can be, particularly when balancing empathy with safeguarding responsibilities.</w:t>
      </w:r>
    </w:p>
    <w:p w14:paraId="230C9548" w14:textId="77777777" w:rsidR="00976B0D" w:rsidRPr="00976B0D" w:rsidRDefault="00976B0D" w:rsidP="000B0786">
      <w:pPr>
        <w:spacing w:before="100" w:beforeAutospacing="1" w:after="100" w:afterAutospacing="1" w:line="360" w:lineRule="auto"/>
        <w:rPr>
          <w:rFonts w:ascii="Arial" w:hAnsi="Arial" w:cs="Arial"/>
          <w:kern w:val="0"/>
          <w:sz w:val="22"/>
          <w:szCs w:val="22"/>
          <w14:ligatures w14:val="none"/>
        </w:rPr>
      </w:pPr>
      <w:r w:rsidRPr="00976B0D">
        <w:rPr>
          <w:rFonts w:ascii="Arial" w:hAnsi="Arial" w:cs="Arial"/>
          <w:kern w:val="0"/>
          <w:sz w:val="22"/>
          <w:szCs w:val="22"/>
          <w14:ligatures w14:val="none"/>
        </w:rPr>
        <w:t>Self-care will also be important. Working in drug misuse services can be emotionally demanding. Maintaining resilience through supervision and reflective practice will support ethical and sustainable practice.</w:t>
      </w:r>
    </w:p>
    <w:p w14:paraId="34C7B3FD" w14:textId="77777777" w:rsidR="00976B0D" w:rsidRPr="00976B0D" w:rsidRDefault="00976B0D" w:rsidP="000B0786">
      <w:pPr>
        <w:spacing w:before="100" w:beforeAutospacing="1" w:after="100" w:afterAutospacing="1" w:line="360" w:lineRule="auto"/>
        <w:rPr>
          <w:rFonts w:ascii="Arial" w:hAnsi="Arial" w:cs="Arial"/>
          <w:kern w:val="0"/>
          <w:sz w:val="22"/>
          <w:szCs w:val="22"/>
          <w14:ligatures w14:val="none"/>
        </w:rPr>
      </w:pPr>
    </w:p>
    <w:p w14:paraId="6C50B9AA" w14:textId="3D604C96" w:rsidR="00976B0D" w:rsidRDefault="00976B0D" w:rsidP="000B0786">
      <w:pPr>
        <w:spacing w:before="100" w:beforeAutospacing="1" w:after="100" w:afterAutospacing="1" w:line="360" w:lineRule="auto"/>
        <w:rPr>
          <w:rFonts w:ascii="Arial" w:hAnsi="Arial" w:cs="Arial"/>
          <w:kern w:val="0"/>
          <w:sz w:val="22"/>
          <w:szCs w:val="22"/>
          <w14:ligatures w14:val="none"/>
        </w:rPr>
      </w:pPr>
      <w:r w:rsidRPr="00976B0D">
        <w:rPr>
          <w:rFonts w:ascii="Arial" w:hAnsi="Arial" w:cs="Arial"/>
          <w:kern w:val="0"/>
          <w:sz w:val="22"/>
          <w:szCs w:val="22"/>
          <w14:ligatures w14:val="none"/>
        </w:rPr>
        <w:t xml:space="preserve">Overall, these principles are not abstract theories but practical guides that will shape my professional identity. By embedding person-centred care, partnership working and ethical reflection into my daily work, I aim to provide compassionate, </w:t>
      </w:r>
      <w:r w:rsidR="000B0786" w:rsidRPr="00976B0D">
        <w:rPr>
          <w:rFonts w:ascii="Arial" w:hAnsi="Arial" w:cs="Arial"/>
          <w:kern w:val="0"/>
          <w:sz w:val="22"/>
          <w:szCs w:val="22"/>
          <w14:ligatures w14:val="none"/>
        </w:rPr>
        <w:t>accountable,</w:t>
      </w:r>
      <w:r w:rsidRPr="00976B0D">
        <w:rPr>
          <w:rFonts w:ascii="Arial" w:hAnsi="Arial" w:cs="Arial"/>
          <w:kern w:val="0"/>
          <w:sz w:val="22"/>
          <w:szCs w:val="22"/>
          <w14:ligatures w14:val="none"/>
        </w:rPr>
        <w:t xml:space="preserve"> and evidence-based support.</w:t>
      </w:r>
    </w:p>
    <w:p w14:paraId="581E2D1C" w14:textId="77777777" w:rsidR="00ED32BD" w:rsidRPr="00ED32BD" w:rsidRDefault="00ED32BD" w:rsidP="00ED32BD">
      <w:pPr>
        <w:spacing w:before="100" w:beforeAutospacing="1" w:after="100" w:afterAutospacing="1" w:line="360" w:lineRule="auto"/>
        <w:outlineLvl w:val="0"/>
        <w:rPr>
          <w:rFonts w:ascii="Arial" w:eastAsia="Times New Roman" w:hAnsi="Arial" w:cs="Arial"/>
          <w:b/>
          <w:bCs/>
          <w:kern w:val="36"/>
          <w:sz w:val="22"/>
          <w:szCs w:val="22"/>
          <w:u w:val="single"/>
          <w14:ligatures w14:val="none"/>
        </w:rPr>
      </w:pPr>
      <w:r w:rsidRPr="00ED32BD">
        <w:rPr>
          <w:rFonts w:ascii="Arial" w:eastAsia="Times New Roman" w:hAnsi="Arial" w:cs="Arial"/>
          <w:b/>
          <w:bCs/>
          <w:kern w:val="36"/>
          <w:sz w:val="22"/>
          <w:szCs w:val="22"/>
          <w:u w:val="single"/>
          <w14:ligatures w14:val="none"/>
        </w:rPr>
        <w:t>Conclusion</w:t>
      </w:r>
    </w:p>
    <w:p w14:paraId="18B57559" w14:textId="77777777" w:rsidR="00ED32BD" w:rsidRPr="00ED32BD" w:rsidRDefault="00ED32BD" w:rsidP="00ED32BD">
      <w:pPr>
        <w:spacing w:before="100" w:beforeAutospacing="1" w:after="100" w:afterAutospacing="1" w:line="360" w:lineRule="auto"/>
        <w:rPr>
          <w:rFonts w:ascii="Arial" w:hAnsi="Arial" w:cs="Arial"/>
          <w:kern w:val="0"/>
          <w:sz w:val="22"/>
          <w:szCs w:val="22"/>
          <w14:ligatures w14:val="none"/>
        </w:rPr>
      </w:pPr>
    </w:p>
    <w:p w14:paraId="04639993" w14:textId="509D4E8F" w:rsidR="00ED32BD" w:rsidRDefault="00ED32BD" w:rsidP="00ED32BD">
      <w:pPr>
        <w:spacing w:before="100" w:beforeAutospacing="1" w:after="100" w:afterAutospacing="1" w:line="360" w:lineRule="auto"/>
        <w:rPr>
          <w:rFonts w:ascii="Arial" w:hAnsi="Arial" w:cs="Arial"/>
          <w:kern w:val="0"/>
          <w:sz w:val="22"/>
          <w:szCs w:val="22"/>
          <w14:ligatures w14:val="none"/>
        </w:rPr>
      </w:pPr>
      <w:r w:rsidRPr="00ED32BD">
        <w:rPr>
          <w:rFonts w:ascii="Arial" w:hAnsi="Arial" w:cs="Arial"/>
          <w:kern w:val="0"/>
          <w:sz w:val="22"/>
          <w:szCs w:val="22"/>
          <w14:ligatures w14:val="none"/>
        </w:rPr>
        <w:t xml:space="preserve">In conclusion, person-centred care, partnership working and ethical decision-making form the foundation of effective UK health and social care practice. Legislation such as the Care Act 2014 and the Health and Care Act 2022 reinforces these principles, while theoretical frameworks from Rogers, Maslow and Beauchamp and Childress provide insight into their ethical application. Through critical reflection, I recognise that applying these principles requires balancing autonomy with safeguarding, collaboration with confidentiality and empathy with professional boundaries. As a future drug misuse or support worker, I am committed to ongoing learning and reflective practice to ensure these principles </w:t>
      </w:r>
      <w:r w:rsidR="000470E6" w:rsidRPr="00ED32BD">
        <w:rPr>
          <w:rFonts w:ascii="Arial" w:hAnsi="Arial" w:cs="Arial"/>
          <w:kern w:val="0"/>
          <w:sz w:val="22"/>
          <w:szCs w:val="22"/>
          <w14:ligatures w14:val="none"/>
        </w:rPr>
        <w:t>stay</w:t>
      </w:r>
      <w:r w:rsidRPr="00ED32BD">
        <w:rPr>
          <w:rFonts w:ascii="Arial" w:hAnsi="Arial" w:cs="Arial"/>
          <w:kern w:val="0"/>
          <w:sz w:val="22"/>
          <w:szCs w:val="22"/>
          <w14:ligatures w14:val="none"/>
        </w:rPr>
        <w:t xml:space="preserve"> central to my professional development.</w:t>
      </w:r>
    </w:p>
    <w:p w14:paraId="332C2B96" w14:textId="77777777" w:rsidR="002F6BDF" w:rsidRDefault="002F6BDF" w:rsidP="00ED32BD">
      <w:pPr>
        <w:spacing w:before="100" w:beforeAutospacing="1" w:after="100" w:afterAutospacing="1" w:line="360" w:lineRule="auto"/>
        <w:rPr>
          <w:rFonts w:ascii="Arial" w:hAnsi="Arial" w:cs="Arial"/>
          <w:kern w:val="0"/>
          <w:sz w:val="22"/>
          <w:szCs w:val="22"/>
          <w14:ligatures w14:val="none"/>
        </w:rPr>
      </w:pPr>
    </w:p>
    <w:p w14:paraId="23AFC250" w14:textId="0BA633A2" w:rsidR="00054D1D" w:rsidRPr="002F6BDF" w:rsidRDefault="00212184" w:rsidP="00212184">
      <w:pPr>
        <w:spacing w:before="100" w:beforeAutospacing="1" w:after="100" w:afterAutospacing="1" w:line="360" w:lineRule="auto"/>
        <w:rPr>
          <w:rFonts w:ascii="Arial" w:hAnsi="Arial" w:cs="Arial"/>
          <w:b/>
          <w:bCs/>
          <w:kern w:val="0"/>
          <w:sz w:val="22"/>
          <w:szCs w:val="22"/>
          <w:u w:val="single"/>
          <w14:ligatures w14:val="none"/>
        </w:rPr>
      </w:pPr>
      <w:r w:rsidRPr="002F6BDF">
        <w:rPr>
          <w:rFonts w:ascii="Arial" w:hAnsi="Arial" w:cs="Arial"/>
          <w:b/>
          <w:bCs/>
          <w:kern w:val="0"/>
          <w:sz w:val="22"/>
          <w:szCs w:val="22"/>
          <w:u w:val="single"/>
          <w14:ligatures w14:val="none"/>
        </w:rPr>
        <w:t xml:space="preserve">Reference list </w:t>
      </w:r>
    </w:p>
    <w:p w14:paraId="28CF6DEF"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 xml:space="preserve">Beauchamp, T.L. and Childress, J.F. (2019) </w:t>
      </w:r>
      <w:r w:rsidRPr="002F6BDF">
        <w:rPr>
          <w:rStyle w:val="s2"/>
          <w:rFonts w:ascii="Arial" w:hAnsi="Arial" w:cs="Arial"/>
          <w:sz w:val="22"/>
          <w:szCs w:val="22"/>
        </w:rPr>
        <w:t>Principles of biomedical ethics</w:t>
      </w:r>
      <w:r w:rsidRPr="002F6BDF">
        <w:rPr>
          <w:rStyle w:val="s1"/>
          <w:rFonts w:ascii="Arial" w:hAnsi="Arial" w:cs="Arial"/>
          <w:sz w:val="22"/>
          <w:szCs w:val="22"/>
        </w:rPr>
        <w:t>. 8th edn. Oxford: Oxford University Press.</w:t>
      </w:r>
    </w:p>
    <w:p w14:paraId="38B933B4" w14:textId="77777777" w:rsidR="00054D1D" w:rsidRPr="002F6BDF" w:rsidRDefault="00054D1D" w:rsidP="00212184">
      <w:pPr>
        <w:pStyle w:val="p2"/>
        <w:spacing w:line="360" w:lineRule="auto"/>
        <w:rPr>
          <w:rFonts w:ascii="Arial" w:hAnsi="Arial" w:cs="Arial"/>
          <w:sz w:val="22"/>
          <w:szCs w:val="22"/>
        </w:rPr>
      </w:pPr>
    </w:p>
    <w:p w14:paraId="34015DFA"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Care Act 2014. London: The Stationery Office.</w:t>
      </w:r>
    </w:p>
    <w:p w14:paraId="337F14A4" w14:textId="77777777" w:rsidR="00054D1D" w:rsidRPr="002F6BDF" w:rsidRDefault="00054D1D" w:rsidP="00212184">
      <w:pPr>
        <w:pStyle w:val="p2"/>
        <w:spacing w:line="360" w:lineRule="auto"/>
        <w:rPr>
          <w:rFonts w:ascii="Arial" w:hAnsi="Arial" w:cs="Arial"/>
          <w:sz w:val="22"/>
          <w:szCs w:val="22"/>
        </w:rPr>
      </w:pPr>
    </w:p>
    <w:p w14:paraId="2D47A2BC"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Data Protection Act 2018. London: The Stationery Office.</w:t>
      </w:r>
    </w:p>
    <w:p w14:paraId="303AC0E4" w14:textId="77777777" w:rsidR="00054D1D" w:rsidRPr="002F6BDF" w:rsidRDefault="00054D1D" w:rsidP="00212184">
      <w:pPr>
        <w:pStyle w:val="p2"/>
        <w:spacing w:line="360" w:lineRule="auto"/>
        <w:rPr>
          <w:rFonts w:ascii="Arial" w:hAnsi="Arial" w:cs="Arial"/>
          <w:sz w:val="22"/>
          <w:szCs w:val="22"/>
        </w:rPr>
      </w:pPr>
    </w:p>
    <w:p w14:paraId="5906C650"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 xml:space="preserve">Glasby, J. and Dickinson, H. (2014) </w:t>
      </w:r>
      <w:r w:rsidRPr="002F6BDF">
        <w:rPr>
          <w:rStyle w:val="s2"/>
          <w:rFonts w:ascii="Arial" w:hAnsi="Arial" w:cs="Arial"/>
          <w:sz w:val="22"/>
          <w:szCs w:val="22"/>
        </w:rPr>
        <w:t>Partnership working in health and social care: what is integrated care and how can we deliver it?</w:t>
      </w:r>
      <w:r w:rsidRPr="002F6BDF">
        <w:rPr>
          <w:rStyle w:val="s1"/>
          <w:rFonts w:ascii="Arial" w:hAnsi="Arial" w:cs="Arial"/>
          <w:sz w:val="22"/>
          <w:szCs w:val="22"/>
        </w:rPr>
        <w:t xml:space="preserve"> 2nd edn. Bristol: Policy Press.</w:t>
      </w:r>
    </w:p>
    <w:p w14:paraId="73F2E2F2" w14:textId="77777777" w:rsidR="00054D1D" w:rsidRPr="002F6BDF" w:rsidRDefault="00054D1D" w:rsidP="00212184">
      <w:pPr>
        <w:pStyle w:val="p2"/>
        <w:spacing w:line="360" w:lineRule="auto"/>
        <w:rPr>
          <w:rFonts w:ascii="Arial" w:hAnsi="Arial" w:cs="Arial"/>
          <w:sz w:val="22"/>
          <w:szCs w:val="22"/>
        </w:rPr>
      </w:pPr>
    </w:p>
    <w:p w14:paraId="47F94FBB"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Health and Care Act 2022. London: The Stationery Office.</w:t>
      </w:r>
    </w:p>
    <w:p w14:paraId="42748F7A" w14:textId="77777777" w:rsidR="00054D1D" w:rsidRPr="002F6BDF" w:rsidRDefault="00054D1D" w:rsidP="00212184">
      <w:pPr>
        <w:pStyle w:val="p2"/>
        <w:spacing w:line="360" w:lineRule="auto"/>
        <w:rPr>
          <w:rFonts w:ascii="Arial" w:hAnsi="Arial" w:cs="Arial"/>
          <w:sz w:val="22"/>
          <w:szCs w:val="22"/>
        </w:rPr>
      </w:pPr>
    </w:p>
    <w:p w14:paraId="0CB10D4C"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 xml:space="preserve">Health and Care Professions Council (2023) </w:t>
      </w:r>
      <w:r w:rsidRPr="002F6BDF">
        <w:rPr>
          <w:rStyle w:val="s2"/>
          <w:rFonts w:ascii="Arial" w:hAnsi="Arial" w:cs="Arial"/>
          <w:sz w:val="22"/>
          <w:szCs w:val="22"/>
        </w:rPr>
        <w:t xml:space="preserve">Standards of conduct, </w:t>
      </w:r>
      <w:bookmarkStart w:id="16" w:name="_Int_DWw8UiWp"/>
      <w:r w:rsidRPr="002F6BDF">
        <w:rPr>
          <w:rStyle w:val="s2"/>
          <w:rFonts w:ascii="Arial" w:hAnsi="Arial" w:cs="Arial"/>
          <w:sz w:val="22"/>
          <w:szCs w:val="22"/>
        </w:rPr>
        <w:t>performance</w:t>
      </w:r>
      <w:bookmarkEnd w:id="16"/>
      <w:r w:rsidRPr="002F6BDF">
        <w:rPr>
          <w:rStyle w:val="s2"/>
          <w:rFonts w:ascii="Arial" w:hAnsi="Arial" w:cs="Arial"/>
          <w:sz w:val="22"/>
          <w:szCs w:val="22"/>
        </w:rPr>
        <w:t xml:space="preserve"> and ethics</w:t>
      </w:r>
      <w:r w:rsidRPr="002F6BDF">
        <w:rPr>
          <w:rStyle w:val="s1"/>
          <w:rFonts w:ascii="Arial" w:hAnsi="Arial" w:cs="Arial"/>
          <w:sz w:val="22"/>
          <w:szCs w:val="22"/>
        </w:rPr>
        <w:t>. London: HCPC.</w:t>
      </w:r>
    </w:p>
    <w:p w14:paraId="7F57C524" w14:textId="77777777" w:rsidR="00054D1D" w:rsidRPr="002F6BDF" w:rsidRDefault="00054D1D" w:rsidP="00212184">
      <w:pPr>
        <w:pStyle w:val="p2"/>
        <w:spacing w:line="360" w:lineRule="auto"/>
        <w:rPr>
          <w:rFonts w:ascii="Arial" w:hAnsi="Arial" w:cs="Arial"/>
          <w:sz w:val="22"/>
          <w:szCs w:val="22"/>
        </w:rPr>
      </w:pPr>
    </w:p>
    <w:p w14:paraId="6533008B"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 xml:space="preserve">King’s Fund (2022) </w:t>
      </w:r>
      <w:r w:rsidRPr="002F6BDF">
        <w:rPr>
          <w:rStyle w:val="s2"/>
          <w:rFonts w:ascii="Arial" w:hAnsi="Arial" w:cs="Arial"/>
          <w:sz w:val="22"/>
          <w:szCs w:val="22"/>
        </w:rPr>
        <w:t>Integrated care systems explained</w:t>
      </w:r>
      <w:r w:rsidRPr="002F6BDF">
        <w:rPr>
          <w:rStyle w:val="s1"/>
          <w:rFonts w:ascii="Arial" w:hAnsi="Arial" w:cs="Arial"/>
          <w:sz w:val="22"/>
          <w:szCs w:val="22"/>
        </w:rPr>
        <w:t>. London: King’s Fund.</w:t>
      </w:r>
    </w:p>
    <w:p w14:paraId="70A8C81C" w14:textId="77777777" w:rsidR="00054D1D" w:rsidRPr="002F6BDF" w:rsidRDefault="00054D1D" w:rsidP="00212184">
      <w:pPr>
        <w:pStyle w:val="p2"/>
        <w:spacing w:line="360" w:lineRule="auto"/>
        <w:rPr>
          <w:rFonts w:ascii="Arial" w:hAnsi="Arial" w:cs="Arial"/>
          <w:sz w:val="22"/>
          <w:szCs w:val="22"/>
        </w:rPr>
      </w:pPr>
    </w:p>
    <w:p w14:paraId="1611BE6E" w14:textId="65541713"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 xml:space="preserve">Manthorpe, J., Moriarty, </w:t>
      </w:r>
      <w:r w:rsidR="000470E6" w:rsidRPr="002F6BDF">
        <w:rPr>
          <w:rStyle w:val="s1"/>
          <w:rFonts w:ascii="Arial" w:hAnsi="Arial" w:cs="Arial"/>
          <w:sz w:val="22"/>
          <w:szCs w:val="22"/>
        </w:rPr>
        <w:t>J.,</w:t>
      </w:r>
      <w:r w:rsidRPr="002F6BDF">
        <w:rPr>
          <w:rStyle w:val="s1"/>
          <w:rFonts w:ascii="Arial" w:hAnsi="Arial" w:cs="Arial"/>
          <w:sz w:val="22"/>
          <w:szCs w:val="22"/>
        </w:rPr>
        <w:t xml:space="preserve"> and Stevens, M. (2012) ‘The effectiveness of social work with adults’, </w:t>
      </w:r>
      <w:r w:rsidRPr="002F6BDF">
        <w:rPr>
          <w:rStyle w:val="s2"/>
          <w:rFonts w:ascii="Arial" w:hAnsi="Arial" w:cs="Arial"/>
          <w:sz w:val="22"/>
          <w:szCs w:val="22"/>
        </w:rPr>
        <w:t>British Journal of Social Work</w:t>
      </w:r>
      <w:r w:rsidRPr="002F6BDF">
        <w:rPr>
          <w:rStyle w:val="s1"/>
          <w:rFonts w:ascii="Arial" w:hAnsi="Arial" w:cs="Arial"/>
          <w:sz w:val="22"/>
          <w:szCs w:val="22"/>
        </w:rPr>
        <w:t>, 42(6), pp. 1111–1130.</w:t>
      </w:r>
    </w:p>
    <w:p w14:paraId="41C336C9" w14:textId="77777777" w:rsidR="00054D1D" w:rsidRPr="002F6BDF" w:rsidRDefault="00054D1D" w:rsidP="00212184">
      <w:pPr>
        <w:pStyle w:val="p2"/>
        <w:spacing w:line="360" w:lineRule="auto"/>
        <w:rPr>
          <w:rFonts w:ascii="Arial" w:hAnsi="Arial" w:cs="Arial"/>
          <w:sz w:val="22"/>
          <w:szCs w:val="22"/>
        </w:rPr>
      </w:pPr>
    </w:p>
    <w:p w14:paraId="79199907"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 xml:space="preserve">Marmot, M. (2010) </w:t>
      </w:r>
      <w:r w:rsidRPr="002F6BDF">
        <w:rPr>
          <w:rStyle w:val="s2"/>
          <w:rFonts w:ascii="Arial" w:hAnsi="Arial" w:cs="Arial"/>
          <w:sz w:val="22"/>
          <w:szCs w:val="22"/>
        </w:rPr>
        <w:t>Fair society, healthy lives: The Marmot review</w:t>
      </w:r>
      <w:r w:rsidRPr="002F6BDF">
        <w:rPr>
          <w:rStyle w:val="s1"/>
          <w:rFonts w:ascii="Arial" w:hAnsi="Arial" w:cs="Arial"/>
          <w:sz w:val="22"/>
          <w:szCs w:val="22"/>
        </w:rPr>
        <w:t>. London: UCL Institute of Health Equity.</w:t>
      </w:r>
    </w:p>
    <w:p w14:paraId="6610A3D7" w14:textId="77777777" w:rsidR="00054D1D" w:rsidRPr="002F6BDF" w:rsidRDefault="00054D1D" w:rsidP="00212184">
      <w:pPr>
        <w:pStyle w:val="p2"/>
        <w:spacing w:line="360" w:lineRule="auto"/>
        <w:rPr>
          <w:rFonts w:ascii="Arial" w:hAnsi="Arial" w:cs="Arial"/>
          <w:sz w:val="22"/>
          <w:szCs w:val="22"/>
        </w:rPr>
      </w:pPr>
    </w:p>
    <w:p w14:paraId="276A6A84"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 xml:space="preserve">Maslow, A.H. (1943) ‘A theory of human motivation’, </w:t>
      </w:r>
      <w:r w:rsidRPr="002F6BDF">
        <w:rPr>
          <w:rStyle w:val="s2"/>
          <w:rFonts w:ascii="Arial" w:hAnsi="Arial" w:cs="Arial"/>
          <w:sz w:val="22"/>
          <w:szCs w:val="22"/>
        </w:rPr>
        <w:t>Psychological Review</w:t>
      </w:r>
      <w:r w:rsidRPr="002F6BDF">
        <w:rPr>
          <w:rStyle w:val="s1"/>
          <w:rFonts w:ascii="Arial" w:hAnsi="Arial" w:cs="Arial"/>
          <w:sz w:val="22"/>
          <w:szCs w:val="22"/>
        </w:rPr>
        <w:t>, 50(4), pp. 370–396.</w:t>
      </w:r>
    </w:p>
    <w:p w14:paraId="388503A6" w14:textId="77777777" w:rsidR="00054D1D" w:rsidRPr="002F6BDF" w:rsidRDefault="00054D1D" w:rsidP="00212184">
      <w:pPr>
        <w:pStyle w:val="p2"/>
        <w:spacing w:line="360" w:lineRule="auto"/>
        <w:rPr>
          <w:rFonts w:ascii="Arial" w:hAnsi="Arial" w:cs="Arial"/>
          <w:sz w:val="22"/>
          <w:szCs w:val="22"/>
        </w:rPr>
      </w:pPr>
    </w:p>
    <w:p w14:paraId="61E9CBE6"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Mental Capacity Act 2005. London: The Stationery Office.</w:t>
      </w:r>
    </w:p>
    <w:p w14:paraId="6140132A" w14:textId="77777777" w:rsidR="00054D1D" w:rsidRPr="002F6BDF" w:rsidRDefault="00054D1D" w:rsidP="00212184">
      <w:pPr>
        <w:pStyle w:val="p2"/>
        <w:spacing w:line="360" w:lineRule="auto"/>
        <w:rPr>
          <w:rFonts w:ascii="Arial" w:hAnsi="Arial" w:cs="Arial"/>
          <w:sz w:val="22"/>
          <w:szCs w:val="22"/>
        </w:rPr>
      </w:pPr>
    </w:p>
    <w:p w14:paraId="722C1F93"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 xml:space="preserve">National Institute for Health and Care Excellence (2016) </w:t>
      </w:r>
      <w:r w:rsidRPr="002F6BDF">
        <w:rPr>
          <w:rStyle w:val="s2"/>
          <w:rFonts w:ascii="Arial" w:hAnsi="Arial" w:cs="Arial"/>
          <w:sz w:val="22"/>
          <w:szCs w:val="22"/>
        </w:rPr>
        <w:t>Coexisting severe mental illness and substance misuse: community health and social care services (NG58)</w:t>
      </w:r>
      <w:r w:rsidRPr="002F6BDF">
        <w:rPr>
          <w:rStyle w:val="s1"/>
          <w:rFonts w:ascii="Arial" w:hAnsi="Arial" w:cs="Arial"/>
          <w:sz w:val="22"/>
          <w:szCs w:val="22"/>
        </w:rPr>
        <w:t>. London: NICE.</w:t>
      </w:r>
    </w:p>
    <w:p w14:paraId="21C44B22" w14:textId="77777777" w:rsidR="00054D1D" w:rsidRPr="002F6BDF" w:rsidRDefault="00054D1D" w:rsidP="00212184">
      <w:pPr>
        <w:pStyle w:val="p2"/>
        <w:spacing w:line="360" w:lineRule="auto"/>
        <w:rPr>
          <w:rFonts w:ascii="Arial" w:hAnsi="Arial" w:cs="Arial"/>
          <w:sz w:val="22"/>
          <w:szCs w:val="22"/>
        </w:rPr>
      </w:pPr>
    </w:p>
    <w:p w14:paraId="02830D14"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 xml:space="preserve">Public Health England (2018) </w:t>
      </w:r>
      <w:r w:rsidRPr="002F6BDF">
        <w:rPr>
          <w:rStyle w:val="s2"/>
          <w:rFonts w:ascii="Arial" w:hAnsi="Arial" w:cs="Arial"/>
          <w:sz w:val="22"/>
          <w:szCs w:val="22"/>
        </w:rPr>
        <w:t>Better care for people with co-occurring mental health and alcohol/drug use conditions</w:t>
      </w:r>
      <w:r w:rsidRPr="002F6BDF">
        <w:rPr>
          <w:rStyle w:val="s1"/>
          <w:rFonts w:ascii="Arial" w:hAnsi="Arial" w:cs="Arial"/>
          <w:sz w:val="22"/>
          <w:szCs w:val="22"/>
        </w:rPr>
        <w:t>. London: PHE.</w:t>
      </w:r>
    </w:p>
    <w:p w14:paraId="789974CE" w14:textId="77777777" w:rsidR="00054D1D" w:rsidRPr="002F6BDF" w:rsidRDefault="00054D1D" w:rsidP="00212184">
      <w:pPr>
        <w:pStyle w:val="p2"/>
        <w:spacing w:line="360" w:lineRule="auto"/>
        <w:rPr>
          <w:rFonts w:ascii="Arial" w:hAnsi="Arial" w:cs="Arial"/>
          <w:sz w:val="22"/>
          <w:szCs w:val="22"/>
        </w:rPr>
      </w:pPr>
    </w:p>
    <w:p w14:paraId="3222FA0D" w14:textId="15D06F94"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 xml:space="preserve">Rogers, C.R. (1951) </w:t>
      </w:r>
      <w:r w:rsidR="000470E6" w:rsidRPr="002F6BDF">
        <w:rPr>
          <w:rStyle w:val="s2"/>
          <w:rFonts w:ascii="Arial" w:hAnsi="Arial" w:cs="Arial"/>
          <w:sz w:val="22"/>
          <w:szCs w:val="22"/>
        </w:rPr>
        <w:t>Client-entered</w:t>
      </w:r>
      <w:r w:rsidRPr="002F6BDF">
        <w:rPr>
          <w:rStyle w:val="s2"/>
          <w:rFonts w:ascii="Arial" w:hAnsi="Arial" w:cs="Arial"/>
          <w:sz w:val="22"/>
          <w:szCs w:val="22"/>
        </w:rPr>
        <w:t xml:space="preserve"> therapy: its current practice, implications and theory</w:t>
      </w:r>
      <w:r w:rsidRPr="002F6BDF">
        <w:rPr>
          <w:rStyle w:val="s1"/>
          <w:rFonts w:ascii="Arial" w:hAnsi="Arial" w:cs="Arial"/>
          <w:sz w:val="22"/>
          <w:szCs w:val="22"/>
        </w:rPr>
        <w:t>. Boston: Houghton Mifflin.</w:t>
      </w:r>
    </w:p>
    <w:p w14:paraId="02DF8ED5" w14:textId="77777777" w:rsidR="00054D1D" w:rsidRPr="002F6BDF" w:rsidRDefault="00054D1D" w:rsidP="00212184">
      <w:pPr>
        <w:pStyle w:val="p2"/>
        <w:spacing w:line="360" w:lineRule="auto"/>
        <w:rPr>
          <w:rFonts w:ascii="Arial" w:hAnsi="Arial" w:cs="Arial"/>
          <w:sz w:val="22"/>
          <w:szCs w:val="22"/>
        </w:rPr>
      </w:pPr>
    </w:p>
    <w:p w14:paraId="55772724"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 xml:space="preserve">Schön, D.A. (1983) </w:t>
      </w:r>
      <w:r w:rsidRPr="002F6BDF">
        <w:rPr>
          <w:rStyle w:val="s2"/>
          <w:rFonts w:ascii="Arial" w:hAnsi="Arial" w:cs="Arial"/>
          <w:sz w:val="22"/>
          <w:szCs w:val="22"/>
        </w:rPr>
        <w:t>The reflective practitioner</w:t>
      </w:r>
      <w:r w:rsidRPr="002F6BDF">
        <w:rPr>
          <w:rStyle w:val="s1"/>
          <w:rFonts w:ascii="Arial" w:hAnsi="Arial" w:cs="Arial"/>
          <w:sz w:val="22"/>
          <w:szCs w:val="22"/>
        </w:rPr>
        <w:t>. New York: Basic Books.</w:t>
      </w:r>
    </w:p>
    <w:p w14:paraId="57257EE6" w14:textId="77777777" w:rsidR="00054D1D" w:rsidRPr="002F6BDF" w:rsidRDefault="00054D1D" w:rsidP="00212184">
      <w:pPr>
        <w:pStyle w:val="p2"/>
        <w:spacing w:line="360" w:lineRule="auto"/>
        <w:rPr>
          <w:rFonts w:ascii="Arial" w:hAnsi="Arial" w:cs="Arial"/>
          <w:sz w:val="22"/>
          <w:szCs w:val="22"/>
        </w:rPr>
      </w:pPr>
    </w:p>
    <w:p w14:paraId="548220D5"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 xml:space="preserve">Tew, J. (2011) </w:t>
      </w:r>
      <w:r w:rsidRPr="002F6BDF">
        <w:rPr>
          <w:rStyle w:val="s2"/>
          <w:rFonts w:ascii="Arial" w:hAnsi="Arial" w:cs="Arial"/>
          <w:sz w:val="22"/>
          <w:szCs w:val="22"/>
        </w:rPr>
        <w:t>Social approaches to mental distress</w:t>
      </w:r>
      <w:r w:rsidRPr="002F6BDF">
        <w:rPr>
          <w:rStyle w:val="s1"/>
          <w:rFonts w:ascii="Arial" w:hAnsi="Arial" w:cs="Arial"/>
          <w:sz w:val="22"/>
          <w:szCs w:val="22"/>
        </w:rPr>
        <w:t>. Basingstoke: Palgrave Macmillan.</w:t>
      </w:r>
    </w:p>
    <w:p w14:paraId="1F327F12" w14:textId="77777777" w:rsidR="00054D1D" w:rsidRPr="002F6BDF" w:rsidRDefault="00054D1D" w:rsidP="00212184">
      <w:pPr>
        <w:pStyle w:val="p2"/>
        <w:spacing w:line="360" w:lineRule="auto"/>
        <w:rPr>
          <w:rFonts w:ascii="Arial" w:hAnsi="Arial" w:cs="Arial"/>
          <w:sz w:val="22"/>
          <w:szCs w:val="22"/>
        </w:rPr>
      </w:pPr>
    </w:p>
    <w:p w14:paraId="6F419A65" w14:textId="77777777"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 xml:space="preserve">Thompson, N. (2016) </w:t>
      </w:r>
      <w:r w:rsidRPr="002F6BDF">
        <w:rPr>
          <w:rStyle w:val="s2"/>
          <w:rFonts w:ascii="Arial" w:hAnsi="Arial" w:cs="Arial"/>
          <w:sz w:val="22"/>
          <w:szCs w:val="22"/>
        </w:rPr>
        <w:t>Anti-discriminatory practice</w:t>
      </w:r>
      <w:r w:rsidRPr="002F6BDF">
        <w:rPr>
          <w:rStyle w:val="s1"/>
          <w:rFonts w:ascii="Arial" w:hAnsi="Arial" w:cs="Arial"/>
          <w:sz w:val="22"/>
          <w:szCs w:val="22"/>
        </w:rPr>
        <w:t>. 6th edn. Basingstoke: Palgrave Macmillan.</w:t>
      </w:r>
    </w:p>
    <w:p w14:paraId="42CD121F" w14:textId="77777777" w:rsidR="00054D1D" w:rsidRPr="002F6BDF" w:rsidRDefault="00054D1D" w:rsidP="00212184">
      <w:pPr>
        <w:pStyle w:val="p2"/>
        <w:spacing w:line="360" w:lineRule="auto"/>
        <w:rPr>
          <w:rFonts w:ascii="Arial" w:hAnsi="Arial" w:cs="Arial"/>
          <w:sz w:val="22"/>
          <w:szCs w:val="22"/>
        </w:rPr>
      </w:pPr>
    </w:p>
    <w:p w14:paraId="503D0BA6" w14:textId="7D04442D" w:rsidR="00054D1D" w:rsidRPr="002F6BDF" w:rsidRDefault="00054D1D" w:rsidP="00212184">
      <w:pPr>
        <w:pStyle w:val="p1"/>
        <w:spacing w:line="360" w:lineRule="auto"/>
        <w:rPr>
          <w:rFonts w:ascii="Arial" w:hAnsi="Arial" w:cs="Arial"/>
          <w:sz w:val="22"/>
          <w:szCs w:val="22"/>
        </w:rPr>
      </w:pPr>
      <w:r w:rsidRPr="002F6BDF">
        <w:rPr>
          <w:rStyle w:val="s1"/>
          <w:rFonts w:ascii="Arial" w:hAnsi="Arial" w:cs="Arial"/>
          <w:sz w:val="22"/>
          <w:szCs w:val="22"/>
        </w:rPr>
        <w:t xml:space="preserve">World Health </w:t>
      </w:r>
      <w:r w:rsidR="000470E6" w:rsidRPr="002F6BDF">
        <w:rPr>
          <w:rStyle w:val="s1"/>
          <w:rFonts w:ascii="Arial" w:hAnsi="Arial" w:cs="Arial"/>
          <w:sz w:val="22"/>
          <w:szCs w:val="22"/>
        </w:rPr>
        <w:t>Organisation</w:t>
      </w:r>
      <w:r w:rsidRPr="002F6BDF">
        <w:rPr>
          <w:rStyle w:val="s1"/>
          <w:rFonts w:ascii="Arial" w:hAnsi="Arial" w:cs="Arial"/>
          <w:sz w:val="22"/>
          <w:szCs w:val="22"/>
        </w:rPr>
        <w:t xml:space="preserve"> (2010) </w:t>
      </w:r>
      <w:r w:rsidRPr="002F6BDF">
        <w:rPr>
          <w:rStyle w:val="s2"/>
          <w:rFonts w:ascii="Arial" w:hAnsi="Arial" w:cs="Arial"/>
          <w:sz w:val="22"/>
          <w:szCs w:val="22"/>
        </w:rPr>
        <w:t xml:space="preserve">Framework for action on </w:t>
      </w:r>
      <w:r w:rsidR="00A90CEF" w:rsidRPr="002F6BDF">
        <w:rPr>
          <w:rStyle w:val="s2"/>
          <w:rFonts w:ascii="Arial" w:hAnsi="Arial" w:cs="Arial"/>
          <w:sz w:val="22"/>
          <w:szCs w:val="22"/>
        </w:rPr>
        <w:t>inter-professional</w:t>
      </w:r>
      <w:r w:rsidRPr="002F6BDF">
        <w:rPr>
          <w:rStyle w:val="s2"/>
          <w:rFonts w:ascii="Arial" w:hAnsi="Arial" w:cs="Arial"/>
          <w:sz w:val="22"/>
          <w:szCs w:val="22"/>
        </w:rPr>
        <w:t xml:space="preserve"> education and collaborative practice</w:t>
      </w:r>
      <w:r w:rsidRPr="002F6BDF">
        <w:rPr>
          <w:rStyle w:val="s1"/>
          <w:rFonts w:ascii="Arial" w:hAnsi="Arial" w:cs="Arial"/>
          <w:sz w:val="22"/>
          <w:szCs w:val="22"/>
        </w:rPr>
        <w:t>. Geneva: WHO.</w:t>
      </w:r>
    </w:p>
    <w:p w14:paraId="3F80833D" w14:textId="77777777" w:rsidR="00ED32BD" w:rsidRPr="00ED32BD" w:rsidRDefault="00ED32BD" w:rsidP="00212184">
      <w:pPr>
        <w:spacing w:before="100" w:beforeAutospacing="1" w:after="100" w:afterAutospacing="1" w:line="360" w:lineRule="auto"/>
        <w:rPr>
          <w:rFonts w:ascii="Arial" w:hAnsi="Arial" w:cs="Arial"/>
          <w:kern w:val="0"/>
          <w:sz w:val="22"/>
          <w:szCs w:val="22"/>
          <w14:ligatures w14:val="none"/>
        </w:rPr>
      </w:pPr>
    </w:p>
    <w:p w14:paraId="31838589" w14:textId="77777777" w:rsidR="000B0786" w:rsidRPr="00976B0D" w:rsidRDefault="000B0786" w:rsidP="00212184">
      <w:pPr>
        <w:spacing w:before="100" w:beforeAutospacing="1" w:after="100" w:afterAutospacing="1" w:line="360" w:lineRule="auto"/>
        <w:rPr>
          <w:rFonts w:ascii="Arial" w:hAnsi="Arial" w:cs="Arial"/>
          <w:kern w:val="0"/>
          <w:sz w:val="22"/>
          <w:szCs w:val="22"/>
          <w14:ligatures w14:val="none"/>
        </w:rPr>
      </w:pPr>
    </w:p>
    <w:p w14:paraId="3F1CCD58" w14:textId="77777777" w:rsidR="00764944" w:rsidRPr="00536842" w:rsidRDefault="00764944" w:rsidP="00212184">
      <w:pPr>
        <w:spacing w:before="100" w:beforeAutospacing="1" w:after="100" w:afterAutospacing="1" w:line="360" w:lineRule="auto"/>
        <w:rPr>
          <w:rFonts w:ascii="Arial" w:hAnsi="Arial" w:cs="Arial"/>
          <w:kern w:val="0"/>
          <w:sz w:val="22"/>
          <w:szCs w:val="22"/>
          <w14:ligatures w14:val="none"/>
        </w:rPr>
      </w:pPr>
    </w:p>
    <w:p w14:paraId="670AA99A" w14:textId="77777777" w:rsidR="006C600F" w:rsidRPr="002F6BDF" w:rsidRDefault="006C600F" w:rsidP="00212184">
      <w:pPr>
        <w:spacing w:line="360" w:lineRule="auto"/>
        <w:rPr>
          <w:rFonts w:ascii="Arial" w:hAnsi="Arial" w:cs="Arial"/>
          <w:sz w:val="22"/>
          <w:szCs w:val="22"/>
        </w:rPr>
      </w:pPr>
    </w:p>
    <w:sectPr w:rsidR="006C600F" w:rsidRPr="002F6B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DWw8UiWp" int2:invalidationBookmarkName="" int2:hashCode="R27g9q8deKoqPZ" int2:id="0CnvV24R">
      <int2:state int2:value="Rejected" int2:type="style"/>
    </int2:bookmark>
    <int2:bookmark int2:bookmarkName="_Int_sPoDPLcf" int2:invalidationBookmarkName="" int2:hashCode="BCVFBNgotMJkhi" int2:id="0kyFefEU">
      <int2:state int2:value="Rejected" int2:type="style"/>
    </int2:bookmark>
    <int2:bookmark int2:bookmarkName="_Int_tFgO02P6" int2:invalidationBookmarkName="" int2:hashCode="NlRItHDSz+j/1b" int2:id="7ZzM6WgU">
      <int2:state int2:value="Rejected" int2:type="style"/>
    </int2:bookmark>
    <int2:bookmark int2:bookmarkName="_Int_snKzrXdp" int2:invalidationBookmarkName="" int2:hashCode="q6x18dm+eLzEIN" int2:id="DF5iZcbE">
      <int2:state int2:value="Rejected" int2:type="style"/>
    </int2:bookmark>
    <int2:bookmark int2:bookmarkName="_Int_rugWyyl4" int2:invalidationBookmarkName="" int2:hashCode="1VxefXJUWY4/32" int2:id="JOZD7rAa">
      <int2:state int2:value="Rejected" int2:type="style"/>
    </int2:bookmark>
    <int2:bookmark int2:bookmarkName="_Int_96DzYUxG" int2:invalidationBookmarkName="" int2:hashCode="OrtaUyOEG10V21" int2:id="K5dUU5s0">
      <int2:state int2:value="Rejected" int2:type="style"/>
    </int2:bookmark>
    <int2:bookmark int2:bookmarkName="_Int_BUbhuNyp" int2:invalidationBookmarkName="" int2:hashCode="BOBojiTDBnBrcF" int2:id="ObIKSg7S">
      <int2:state int2:value="Rejected" int2:type="style"/>
    </int2:bookmark>
    <int2:bookmark int2:bookmarkName="_Int_KlfTWne7" int2:invalidationBookmarkName="" int2:hashCode="3uFrK00m3ZL3Ff" int2:id="RFmDqWIK">
      <int2:state int2:value="Rejected" int2:type="style"/>
    </int2:bookmark>
    <int2:bookmark int2:bookmarkName="_Int_DUHQ4gLC" int2:invalidationBookmarkName="" int2:hashCode="L/wESW2+9632qJ" int2:id="RGChNEp6">
      <int2:state int2:value="Rejected" int2:type="style"/>
    </int2:bookmark>
    <int2:bookmark int2:bookmarkName="_Int_UqjFZcaQ" int2:invalidationBookmarkName="" int2:hashCode="MByIW6aeUYyo5Y" int2:id="WB8VFqe3">
      <int2:state int2:value="Rejected" int2:type="style"/>
    </int2:bookmark>
    <int2:bookmark int2:bookmarkName="_Int_cZ83DXZn" int2:invalidationBookmarkName="" int2:hashCode="3bPvKjIwSOetA5" int2:id="XSSjzCQ6">
      <int2:state int2:value="Rejected" int2:type="style"/>
    </int2:bookmark>
    <int2:bookmark int2:bookmarkName="_Int_4W5Rf0Sn" int2:invalidationBookmarkName="" int2:hashCode="SMFwPIHakRGYAb" int2:id="arfaGYod">
      <int2:state int2:value="Rejected" int2:type="style"/>
    </int2:bookmark>
    <int2:bookmark int2:bookmarkName="_Int_5awyje1I" int2:invalidationBookmarkName="" int2:hashCode="su7+37DiJr+Uvd" int2:id="gUE6Bnh2">
      <int2:state int2:value="Rejected" int2:type="style"/>
    </int2:bookmark>
    <int2:bookmark int2:bookmarkName="_Int_ySjJGVIO" int2:invalidationBookmarkName="" int2:hashCode="2J2YsolNv5V/h1" int2:id="ngVGFkks">
      <int2:state int2:value="Rejected" int2:type="style"/>
    </int2:bookmark>
    <int2:bookmark int2:bookmarkName="_Int_a9AnvG2v" int2:invalidationBookmarkName="" int2:hashCode="G9N6tii+uWPrbO" int2:id="scMlXIv4">
      <int2:state int2:value="Rejected" int2:type="style"/>
    </int2:bookmark>
    <int2:bookmark int2:bookmarkName="_Int_Ni4rqAK6" int2:invalidationBookmarkName="" int2:hashCode="XN/oRAKBSGL5d8" int2:id="t5ixlj2d">
      <int2:state int2:value="Rejected" int2:type="style"/>
    </int2:bookmark>
    <int2:bookmark int2:bookmarkName="_Int_WaQxKE53" int2:invalidationBookmarkName="" int2:hashCode="Q+cLWcG/gpkNZz" int2:id="xQQAKszI">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00F"/>
    <w:rsid w:val="000470E6"/>
    <w:rsid w:val="00054D1D"/>
    <w:rsid w:val="000B0786"/>
    <w:rsid w:val="0017199C"/>
    <w:rsid w:val="001E6AE9"/>
    <w:rsid w:val="00212184"/>
    <w:rsid w:val="00241889"/>
    <w:rsid w:val="0024542D"/>
    <w:rsid w:val="0027403F"/>
    <w:rsid w:val="002F6BDF"/>
    <w:rsid w:val="003D0053"/>
    <w:rsid w:val="00536842"/>
    <w:rsid w:val="006527BB"/>
    <w:rsid w:val="006C600F"/>
    <w:rsid w:val="00764944"/>
    <w:rsid w:val="00786495"/>
    <w:rsid w:val="00832277"/>
    <w:rsid w:val="009203B6"/>
    <w:rsid w:val="00950F8C"/>
    <w:rsid w:val="00957139"/>
    <w:rsid w:val="00976B0D"/>
    <w:rsid w:val="00A11B6D"/>
    <w:rsid w:val="00A36340"/>
    <w:rsid w:val="00A5679A"/>
    <w:rsid w:val="00A90CEF"/>
    <w:rsid w:val="00B4290A"/>
    <w:rsid w:val="00D467FD"/>
    <w:rsid w:val="00E419B3"/>
    <w:rsid w:val="00ED3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48350C"/>
  <w15:chartTrackingRefBased/>
  <w15:docId w15:val="{8C3A4906-067A-3148-AF6E-321AC36D3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60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60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60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60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60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60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60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60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60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60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60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60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60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60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60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60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60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600F"/>
    <w:rPr>
      <w:rFonts w:eastAsiaTheme="majorEastAsia" w:cstheme="majorBidi"/>
      <w:color w:val="272727" w:themeColor="text1" w:themeTint="D8"/>
    </w:rPr>
  </w:style>
  <w:style w:type="paragraph" w:styleId="Title">
    <w:name w:val="Title"/>
    <w:basedOn w:val="Normal"/>
    <w:next w:val="Normal"/>
    <w:link w:val="TitleChar"/>
    <w:uiPriority w:val="10"/>
    <w:qFormat/>
    <w:rsid w:val="006C60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60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60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60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600F"/>
    <w:pPr>
      <w:spacing w:before="160"/>
      <w:jc w:val="center"/>
    </w:pPr>
    <w:rPr>
      <w:i/>
      <w:iCs/>
      <w:color w:val="404040" w:themeColor="text1" w:themeTint="BF"/>
    </w:rPr>
  </w:style>
  <w:style w:type="character" w:customStyle="1" w:styleId="QuoteChar">
    <w:name w:val="Quote Char"/>
    <w:basedOn w:val="DefaultParagraphFont"/>
    <w:link w:val="Quote"/>
    <w:uiPriority w:val="29"/>
    <w:rsid w:val="006C600F"/>
    <w:rPr>
      <w:i/>
      <w:iCs/>
      <w:color w:val="404040" w:themeColor="text1" w:themeTint="BF"/>
    </w:rPr>
  </w:style>
  <w:style w:type="paragraph" w:styleId="ListParagraph">
    <w:name w:val="List Paragraph"/>
    <w:basedOn w:val="Normal"/>
    <w:uiPriority w:val="34"/>
    <w:qFormat/>
    <w:rsid w:val="006C600F"/>
    <w:pPr>
      <w:ind w:left="720"/>
      <w:contextualSpacing/>
    </w:pPr>
  </w:style>
  <w:style w:type="character" w:styleId="IntenseEmphasis">
    <w:name w:val="Intense Emphasis"/>
    <w:basedOn w:val="DefaultParagraphFont"/>
    <w:uiPriority w:val="21"/>
    <w:qFormat/>
    <w:rsid w:val="006C600F"/>
    <w:rPr>
      <w:i/>
      <w:iCs/>
      <w:color w:val="0F4761" w:themeColor="accent1" w:themeShade="BF"/>
    </w:rPr>
  </w:style>
  <w:style w:type="paragraph" w:styleId="IntenseQuote">
    <w:name w:val="Intense Quote"/>
    <w:basedOn w:val="Normal"/>
    <w:next w:val="Normal"/>
    <w:link w:val="IntenseQuoteChar"/>
    <w:uiPriority w:val="30"/>
    <w:qFormat/>
    <w:rsid w:val="006C60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600F"/>
    <w:rPr>
      <w:i/>
      <w:iCs/>
      <w:color w:val="0F4761" w:themeColor="accent1" w:themeShade="BF"/>
    </w:rPr>
  </w:style>
  <w:style w:type="character" w:styleId="IntenseReference">
    <w:name w:val="Intense Reference"/>
    <w:basedOn w:val="DefaultParagraphFont"/>
    <w:uiPriority w:val="32"/>
    <w:qFormat/>
    <w:rsid w:val="006C600F"/>
    <w:rPr>
      <w:b/>
      <w:bCs/>
      <w:smallCaps/>
      <w:color w:val="0F4761" w:themeColor="accent1" w:themeShade="BF"/>
      <w:spacing w:val="5"/>
    </w:rPr>
  </w:style>
  <w:style w:type="character" w:customStyle="1" w:styleId="s1">
    <w:name w:val="s1"/>
    <w:basedOn w:val="DefaultParagraphFont"/>
    <w:rsid w:val="00536842"/>
  </w:style>
  <w:style w:type="paragraph" w:customStyle="1" w:styleId="p2">
    <w:name w:val="p2"/>
    <w:basedOn w:val="Normal"/>
    <w:rsid w:val="00536842"/>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36842"/>
  </w:style>
  <w:style w:type="paragraph" w:customStyle="1" w:styleId="p3">
    <w:name w:val="p3"/>
    <w:basedOn w:val="Normal"/>
    <w:rsid w:val="00536842"/>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054D1D"/>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1849</Words>
  <Characters>10544</Characters>
  <Application>Microsoft Office Word</Application>
  <DocSecurity>0</DocSecurity>
  <Lines>87</Lines>
  <Paragraphs>24</Paragraphs>
  <ScaleCrop>false</ScaleCrop>
  <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Payton</dc:creator>
  <cp:keywords/>
  <dc:description/>
  <cp:lastModifiedBy>charlie Payton</cp:lastModifiedBy>
  <cp:revision>2</cp:revision>
  <dcterms:created xsi:type="dcterms:W3CDTF">2026-03-01T17:18:00Z</dcterms:created>
  <dcterms:modified xsi:type="dcterms:W3CDTF">2026-03-01T17:18:00Z</dcterms:modified>
</cp:coreProperties>
</file>