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Georgia" w:cs="Georgia" w:eastAsia="Georgia" w:hAnsi="Georgia"/>
          <w:sz w:val="24"/>
          <w:szCs w:val="24"/>
        </w:rPr>
      </w:pPr>
      <w:r w:rsidDel="00000000" w:rsidR="00000000" w:rsidRPr="00000000">
        <w:rPr>
          <w:rFonts w:ascii="Georgia" w:cs="Georgia" w:eastAsia="Georgia" w:hAnsi="Georgia"/>
          <w:sz w:val="24"/>
          <w:szCs w:val="24"/>
          <w:u w:val="single"/>
          <w:rtl w:val="0"/>
        </w:rPr>
        <w:t xml:space="preserve">Explore the available range of </w:t>
      </w:r>
      <w:r w:rsidDel="00000000" w:rsidR="00000000" w:rsidRPr="00000000">
        <w:rPr>
          <w:rFonts w:ascii="Georgia" w:cs="Georgia" w:eastAsia="Georgia" w:hAnsi="Georgia"/>
          <w:sz w:val="24"/>
          <w:szCs w:val="24"/>
          <w:u w:val="single"/>
          <w:rtl w:val="0"/>
        </w:rPr>
        <w:t xml:space="preserve">‘contact trace’ </w:t>
      </w:r>
      <w:r w:rsidDel="00000000" w:rsidR="00000000" w:rsidRPr="00000000">
        <w:rPr>
          <w:rFonts w:ascii="Georgia" w:cs="Georgia" w:eastAsia="Georgia" w:hAnsi="Georgia"/>
          <w:sz w:val="24"/>
          <w:szCs w:val="24"/>
          <w:u w:val="single"/>
          <w:rtl w:val="0"/>
        </w:rPr>
        <w:t xml:space="preserve">scientific evidence </w:t>
      </w:r>
      <w:r w:rsidDel="00000000" w:rsidR="00000000" w:rsidRPr="00000000">
        <w:rPr>
          <w:rFonts w:ascii="Georgia" w:cs="Georgia" w:eastAsia="Georgia" w:hAnsi="Georgia"/>
          <w:sz w:val="24"/>
          <w:szCs w:val="24"/>
          <w:u w:val="single"/>
          <w:rtl w:val="0"/>
        </w:rPr>
        <w:t xml:space="preserve">prior to the discovery of DNA</w:t>
      </w:r>
      <w:r w:rsidDel="00000000" w:rsidR="00000000" w:rsidRPr="00000000">
        <w:rPr>
          <w:rFonts w:ascii="Georgia" w:cs="Georgia" w:eastAsia="Georgia" w:hAnsi="Georgia"/>
          <w:sz w:val="24"/>
          <w:szCs w:val="24"/>
          <w:u w:val="single"/>
          <w:rtl w:val="0"/>
        </w:rPr>
        <w:t xml:space="preserve"> and provide</w:t>
      </w:r>
      <w:r w:rsidDel="00000000" w:rsidR="00000000" w:rsidRPr="00000000">
        <w:rPr>
          <w:rFonts w:ascii="Georgia" w:cs="Georgia" w:eastAsia="Georgia" w:hAnsi="Georgia"/>
          <w:sz w:val="24"/>
          <w:szCs w:val="24"/>
          <w:u w:val="single"/>
          <w:rtl w:val="0"/>
        </w:rPr>
        <w:t xml:space="preserve"> examples where inconclusive </w:t>
      </w:r>
      <w:r w:rsidDel="00000000" w:rsidR="00000000" w:rsidRPr="00000000">
        <w:rPr>
          <w:rFonts w:ascii="Georgia" w:cs="Georgia" w:eastAsia="Georgia" w:hAnsi="Georgia"/>
          <w:sz w:val="24"/>
          <w:szCs w:val="24"/>
          <w:u w:val="single"/>
          <w:rtl w:val="0"/>
        </w:rPr>
        <w:t xml:space="preserve">outcomes caused a </w:t>
      </w:r>
      <w:r w:rsidDel="00000000" w:rsidR="00000000" w:rsidRPr="00000000">
        <w:rPr>
          <w:rFonts w:ascii="Georgia" w:cs="Georgia" w:eastAsia="Georgia" w:hAnsi="Georgia"/>
          <w:sz w:val="24"/>
          <w:szCs w:val="24"/>
          <w:u w:val="single"/>
          <w:rtl w:val="0"/>
        </w:rPr>
        <w:t xml:space="preserve">miscarriage of justice</w:t>
      </w:r>
      <w:r w:rsidDel="00000000" w:rsidR="00000000" w:rsidRPr="00000000">
        <w:rPr>
          <w:rFonts w:ascii="Georgia" w:cs="Georgia" w:eastAsia="Georgia" w:hAnsi="Georgia"/>
          <w:sz w:val="24"/>
          <w:szCs w:val="24"/>
          <w:u w:val="single"/>
          <w:rtl w:val="0"/>
        </w:rPr>
        <w:t xml:space="preserve"> i.e. finger prints, sperm, medication, chemicals.</w:t>
      </w:r>
      <w:r w:rsidDel="00000000" w:rsidR="00000000" w:rsidRPr="00000000">
        <w:rPr>
          <w:rtl w:val="0"/>
        </w:rPr>
      </w:r>
    </w:p>
    <w:p w:rsidR="00000000" w:rsidDel="00000000" w:rsidP="00000000" w:rsidRDefault="00000000" w:rsidRPr="00000000" w14:paraId="00000002">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3">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It was Edmund Locard, a French criminologist, who famously said that ‘everyone leaves a trace</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This seems truer for DNA than any other form of contact trace evidence. It is usually considered that deoxyribonucleic acid (DNA) only appeared in the scientific universe during the second world war (1944) as this was when McCarty, Avery and McLeod first hypothesised it to be hereditary.</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I</w:t>
      </w:r>
      <w:r w:rsidDel="00000000" w:rsidR="00000000" w:rsidRPr="00000000">
        <w:rPr>
          <w:rFonts w:ascii="Georgia" w:cs="Georgia" w:eastAsia="Georgia" w:hAnsi="Georgia"/>
          <w:sz w:val="24"/>
          <w:szCs w:val="24"/>
          <w:rtl w:val="0"/>
        </w:rPr>
        <w:t xml:space="preserve">n actual fact</w:t>
      </w:r>
      <w:r w:rsidDel="00000000" w:rsidR="00000000" w:rsidRPr="00000000">
        <w:rPr>
          <w:rFonts w:ascii="Georgia" w:cs="Georgia" w:eastAsia="Georgia" w:hAnsi="Georgia"/>
          <w:sz w:val="24"/>
          <w:szCs w:val="24"/>
          <w:rtl w:val="0"/>
        </w:rPr>
        <w:t xml:space="preserve">, DNA was first discovered, seemingly by accident in 1869 by Friedrich Miescher, a Swiss physician studying protein inside white blood cells</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However, it was not until 1952 that American biologist James Watson and British physician Francis Crick discovered that DNA has a double helix structure. Furthermore, it was not until 1988 that the first conviction, based on DNA evidence, was made.</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In 1993</w:t>
      </w:r>
      <w:r w:rsidDel="00000000" w:rsidR="00000000" w:rsidRPr="00000000">
        <w:rPr>
          <w:rFonts w:ascii="Georgia" w:cs="Georgia" w:eastAsia="Georgia" w:hAnsi="Georgia"/>
          <w:sz w:val="24"/>
          <w:szCs w:val="24"/>
          <w:rtl w:val="0"/>
        </w:rPr>
        <w:t xml:space="preserve"> a major advancement in the field of forensic evidence was made. </w:t>
      </w:r>
      <w:r w:rsidDel="00000000" w:rsidR="00000000" w:rsidRPr="00000000">
        <w:rPr>
          <w:rFonts w:ascii="Georgia" w:cs="Georgia" w:eastAsia="Georgia" w:hAnsi="Georgia"/>
          <w:sz w:val="24"/>
          <w:szCs w:val="24"/>
          <w:rtl w:val="0"/>
        </w:rPr>
        <w:t xml:space="preserve">Kerry B Mullis, a molecular biologist, achieved the Nobel prize for chemistry for his discovery of </w:t>
      </w:r>
      <w:r w:rsidDel="00000000" w:rsidR="00000000" w:rsidRPr="00000000">
        <w:rPr>
          <w:rFonts w:ascii="Georgia" w:cs="Georgia" w:eastAsia="Georgia" w:hAnsi="Georgia"/>
          <w:sz w:val="24"/>
          <w:szCs w:val="24"/>
          <w:rtl w:val="0"/>
        </w:rPr>
        <w:t xml:space="preserve">polymerase chain reaction (PCR) which was a method of partial DNA replication</w:t>
      </w:r>
      <w:r w:rsidDel="00000000" w:rsidR="00000000" w:rsidRPr="00000000">
        <w:rPr>
          <w:rFonts w:ascii="Georgia" w:cs="Georgia" w:eastAsia="Georgia" w:hAnsi="Georgia"/>
          <w:sz w:val="24"/>
          <w:szCs w:val="24"/>
          <w:rtl w:val="0"/>
        </w:rPr>
        <w:t xml:space="preserve">. This meant that just one tiny strand of DNA found at any crime scene could be replicated and therefore used to place a suspect with the same DNA structure at that crime scene. DNA evidence has since been extremely helpful to the police in catching criminals. It is often heavily relied on in court these days so it is hard to imagine a time before forensic DNA analysis was possible.  Prior to 1993 police had to base their accusations on other scientific trace evidence. There were and still are many issues to take into consideration when so many different forms of evidence need to be collected and analysed. Some of these contact trace evidence types include; fingerprints, fibres, shoe prints, bite marks, hair, and many more. I explore some of these scientific, pre DNA contact trace evidence.</w:t>
      </w:r>
    </w:p>
    <w:p w:rsidR="00000000" w:rsidDel="00000000" w:rsidP="00000000" w:rsidRDefault="00000000" w:rsidRPr="00000000" w14:paraId="00000004">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5">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Fingerprints are completely unique to each individual making them an even more condemning form of evidence than DNA samples, as identical twins share the same DNA </w:t>
      </w:r>
      <w:r w:rsidDel="00000000" w:rsidR="00000000" w:rsidRPr="00000000">
        <w:rPr>
          <w:rFonts w:ascii="Georgia" w:cs="Georgia" w:eastAsia="Georgia" w:hAnsi="Georgia"/>
          <w:sz w:val="24"/>
          <w:szCs w:val="24"/>
          <w:rtl w:val="0"/>
        </w:rPr>
        <w:t xml:space="preserve">structure</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There are many different features that define fingerprints. There are three different types of fingerprint (each type with its own set of variations), the most common of these being; loops, whorls and arches</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Fonts w:ascii="Georgia" w:cs="Georgia" w:eastAsia="Georgia" w:hAnsi="Georgia"/>
          <w:sz w:val="24"/>
          <w:szCs w:val="24"/>
          <w:rtl w:val="0"/>
        </w:rPr>
        <w:t xml:space="preserve">.  Pattern analysis allows for initial categorization. Which, today, is done by a computer program and checked against the national database of fingerprints</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w:t>
      </w:r>
    </w:p>
    <w:p w:rsidR="00000000" w:rsidDel="00000000" w:rsidP="00000000" w:rsidRDefault="00000000" w:rsidRPr="00000000" w14:paraId="00000006">
      <w:pPr>
        <w:ind w:left="0" w:firstLine="0"/>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Pr>
        <w:drawing>
          <wp:inline distB="114300" distT="114300" distL="114300" distR="114300">
            <wp:extent cx="1795463" cy="2038327"/>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1795463" cy="2038327"/>
                    </a:xfrm>
                    <a:prstGeom prst="rect"/>
                    <a:ln/>
                  </pic:spPr>
                </pic:pic>
              </a:graphicData>
            </a:graphic>
          </wp:inline>
        </w:drawing>
      </w:r>
      <w:r w:rsidDel="00000000" w:rsidR="00000000" w:rsidRPr="00000000">
        <w:rPr>
          <w:rFonts w:ascii="Merriweather" w:cs="Merriweather" w:eastAsia="Merriweather" w:hAnsi="Merriweather"/>
          <w:sz w:val="24"/>
          <w:szCs w:val="24"/>
          <w:vertAlign w:val="superscript"/>
        </w:rPr>
        <w:footnoteReference w:customMarkFollows="0" w:id="7"/>
      </w:r>
      <w:r w:rsidDel="00000000" w:rsidR="00000000" w:rsidRPr="00000000">
        <w:rPr>
          <w:rFonts w:ascii="Merriweather" w:cs="Merriweather" w:eastAsia="Merriweather" w:hAnsi="Merriweather"/>
          <w:sz w:val="24"/>
          <w:szCs w:val="24"/>
        </w:rPr>
        <w:drawing>
          <wp:inline distB="114300" distT="114300" distL="114300" distR="114300">
            <wp:extent cx="1810581" cy="2052638"/>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810581" cy="2052638"/>
                    </a:xfrm>
                    <a:prstGeom prst="rect"/>
                    <a:ln/>
                  </pic:spPr>
                </pic:pic>
              </a:graphicData>
            </a:graphic>
          </wp:inline>
        </w:drawing>
      </w:r>
      <w:r w:rsidDel="00000000" w:rsidR="00000000" w:rsidRPr="00000000">
        <w:rPr>
          <w:rFonts w:ascii="Merriweather" w:cs="Merriweather" w:eastAsia="Merriweather" w:hAnsi="Merriweather"/>
          <w:sz w:val="24"/>
          <w:szCs w:val="24"/>
          <w:vertAlign w:val="superscript"/>
        </w:rPr>
        <w:footnoteReference w:customMarkFollows="0" w:id="8"/>
      </w:r>
      <w:r w:rsidDel="00000000" w:rsidR="00000000" w:rsidRPr="00000000">
        <w:rPr>
          <w:rFonts w:ascii="Merriweather" w:cs="Merriweather" w:eastAsia="Merriweather" w:hAnsi="Merriweather"/>
          <w:sz w:val="24"/>
          <w:szCs w:val="24"/>
        </w:rPr>
        <w:drawing>
          <wp:inline distB="114300" distT="114300" distL="114300" distR="114300">
            <wp:extent cx="1745572" cy="2043113"/>
            <wp:effectExtent b="0" l="0" r="0" t="0"/>
            <wp:docPr id="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745572" cy="2043113"/>
                    </a:xfrm>
                    <a:prstGeom prst="rect"/>
                    <a:ln/>
                  </pic:spPr>
                </pic:pic>
              </a:graphicData>
            </a:graphic>
          </wp:inline>
        </w:drawing>
      </w:r>
      <w:r w:rsidDel="00000000" w:rsidR="00000000" w:rsidRPr="00000000">
        <w:rPr>
          <w:rFonts w:ascii="Merriweather" w:cs="Merriweather" w:eastAsia="Merriweather" w:hAnsi="Merriweather"/>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07">
      <w:pPr>
        <w:ind w:left="0" w:firstLine="0"/>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8">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These patterns are made by friction ridges and furrows: ridges being raised and furrows being the indentations or depressions. There are sub defining characteristics unique to each and every individual’s fingerprints</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It is through identifying these that expert analysts are able to match fingerprints left at a crime scene to those belonging to a </w:t>
      </w:r>
      <w:r w:rsidDel="00000000" w:rsidR="00000000" w:rsidRPr="00000000">
        <w:rPr>
          <w:rFonts w:ascii="Georgia" w:cs="Georgia" w:eastAsia="Georgia" w:hAnsi="Georgia"/>
          <w:sz w:val="24"/>
          <w:szCs w:val="24"/>
          <w:rtl w:val="0"/>
        </w:rPr>
        <w:t xml:space="preserve">suspect. On close examination fingerprints are seen to have slight modifications with in/as part of the patterns. There are Y junctions, bifurcations, ridge endings and lake bridge </w:t>
      </w:r>
      <w:r w:rsidDel="00000000" w:rsidR="00000000" w:rsidRPr="00000000">
        <w:rPr>
          <w:rFonts w:ascii="Georgia" w:cs="Georgia" w:eastAsia="Georgia" w:hAnsi="Georgia"/>
          <w:sz w:val="24"/>
          <w:szCs w:val="24"/>
          <w:rtl w:val="0"/>
        </w:rPr>
        <w:t xml:space="preserve">endings</w:t>
      </w:r>
      <w:r w:rsidDel="00000000" w:rsidR="00000000" w:rsidRPr="00000000">
        <w:rPr>
          <w:rFonts w:ascii="Georgia" w:cs="Georgia" w:eastAsia="Georgia" w:hAnsi="Georgia"/>
          <w:sz w:val="24"/>
          <w:szCs w:val="24"/>
          <w:vertAlign w:val="superscript"/>
        </w:rPr>
        <w:footnoteReference w:customMarkFollows="0" w:id="11"/>
      </w: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09">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A">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the UK there are various procedures that fingerprint analysts must go through before a match  can be certified for use in court. First the prints are cross referenced with various fingerprint databases by a computer which flags up any potential matches. These are then checked by an expert who makes a decision which is then passed on to be checked by two other experts of equal qualification who verify or invalidate any previous conclusions made by the first</w:t>
      </w:r>
      <w:r w:rsidDel="00000000" w:rsidR="00000000" w:rsidRPr="00000000">
        <w:rPr>
          <w:rFonts w:ascii="Georgia" w:cs="Georgia" w:eastAsia="Georgia" w:hAnsi="Georgia"/>
          <w:sz w:val="24"/>
          <w:szCs w:val="24"/>
          <w:vertAlign w:val="superscript"/>
        </w:rPr>
        <w:footnoteReference w:customMarkFollows="0" w:id="12"/>
      </w:r>
      <w:r w:rsidDel="00000000" w:rsidR="00000000" w:rsidRPr="00000000">
        <w:rPr>
          <w:rFonts w:ascii="Georgia" w:cs="Georgia" w:eastAsia="Georgia" w:hAnsi="Georgia"/>
          <w:sz w:val="24"/>
          <w:szCs w:val="24"/>
          <w:rtl w:val="0"/>
        </w:rPr>
        <w:t xml:space="preserve">.  In terms of identification, experts must find a minimum of sixteen points of similarity when attempting to convict or clear a suspect. </w:t>
      </w:r>
      <w:r w:rsidDel="00000000" w:rsidR="00000000" w:rsidRPr="00000000">
        <w:rPr>
          <w:rFonts w:ascii="Georgia" w:cs="Georgia" w:eastAsia="Georgia" w:hAnsi="Georgia"/>
          <w:sz w:val="24"/>
          <w:szCs w:val="24"/>
          <w:rtl w:val="0"/>
        </w:rPr>
        <w:t xml:space="preserve">W</w:t>
      </w:r>
      <w:r w:rsidDel="00000000" w:rsidR="00000000" w:rsidRPr="00000000">
        <w:rPr>
          <w:rFonts w:ascii="Georgia" w:cs="Georgia" w:eastAsia="Georgia" w:hAnsi="Georgia"/>
          <w:sz w:val="24"/>
          <w:szCs w:val="24"/>
          <w:rtl w:val="0"/>
        </w:rPr>
        <w:t xml:space="preserve">hen trying to find out the identity of a victim, fingerprint analysts need only find eight points of similarity. This means that everyone is held to the same standards consistently. However, contradictory to this, different countries/governments have different laws about how many identification points must be found in order to clear or convict someone, ranging from around twelve to twenty. Not only are fingerprints entirely individual, they also remain persistently the same over time. In other words, the fingerprints you have when you are twenty are the same as when you are sixty. This was discovered by Hermann Welcker a German doctor who recorded his fingerprints in 1856 and repeated this again in 1897</w:t>
      </w:r>
      <w:r w:rsidDel="00000000" w:rsidR="00000000" w:rsidRPr="00000000">
        <w:rPr>
          <w:rFonts w:ascii="Georgia" w:cs="Georgia" w:eastAsia="Georgia" w:hAnsi="Georgia"/>
          <w:sz w:val="24"/>
          <w:szCs w:val="24"/>
          <w:vertAlign w:val="superscript"/>
        </w:rPr>
        <w:footnoteReference w:customMarkFollows="0" w:id="13"/>
      </w:r>
      <w:r w:rsidDel="00000000" w:rsidR="00000000" w:rsidRPr="00000000">
        <w:rPr>
          <w:rFonts w:ascii="Georgia" w:cs="Georgia" w:eastAsia="Georgia" w:hAnsi="Georgia"/>
          <w:sz w:val="24"/>
          <w:szCs w:val="24"/>
          <w:rtl w:val="0"/>
        </w:rPr>
        <w:t xml:space="preserve">. He observed an undeniable consistency in his friction ridges on his fingerprints</w:t>
      </w:r>
      <w:r w:rsidDel="00000000" w:rsidR="00000000" w:rsidRPr="00000000">
        <w:rPr>
          <w:rFonts w:ascii="Georgia" w:cs="Georgia" w:eastAsia="Georgia" w:hAnsi="Georgia"/>
          <w:sz w:val="24"/>
          <w:szCs w:val="24"/>
          <w:vertAlign w:val="superscript"/>
        </w:rPr>
        <w:footnoteReference w:customMarkFollows="0" w:id="14"/>
      </w:r>
      <w:r w:rsidDel="00000000" w:rsidR="00000000" w:rsidRPr="00000000">
        <w:rPr>
          <w:rFonts w:ascii="Georgia" w:cs="Georgia" w:eastAsia="Georgia" w:hAnsi="Georgia"/>
          <w:sz w:val="24"/>
          <w:szCs w:val="24"/>
          <w:rtl w:val="0"/>
        </w:rPr>
        <w:t xml:space="preserve">.  However, in Argentina the first criminal identification was made in 1892 by an inspector Eduardo Alvarez</w:t>
      </w:r>
      <w:r w:rsidDel="00000000" w:rsidR="00000000" w:rsidRPr="00000000">
        <w:rPr>
          <w:rFonts w:ascii="Georgia" w:cs="Georgia" w:eastAsia="Georgia" w:hAnsi="Georgia"/>
          <w:sz w:val="24"/>
          <w:szCs w:val="24"/>
          <w:vertAlign w:val="superscript"/>
        </w:rPr>
        <w:footnoteReference w:customMarkFollows="0" w:id="15"/>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shd w:fill="fffff5" w:val="clear"/>
          <w:rtl w:val="0"/>
        </w:rPr>
        <w:t xml:space="preserve">Francisca Rojas killed her two sons the slit her own throat in order to implicate someone else to the murders</w:t>
      </w:r>
      <w:r w:rsidDel="00000000" w:rsidR="00000000" w:rsidRPr="00000000">
        <w:rPr>
          <w:rFonts w:ascii="Georgia" w:cs="Georgia" w:eastAsia="Georgia" w:hAnsi="Georgia"/>
          <w:sz w:val="24"/>
          <w:szCs w:val="24"/>
          <w:shd w:fill="fffff5" w:val="clear"/>
          <w:vertAlign w:val="superscript"/>
        </w:rPr>
        <w:footnoteReference w:customMarkFollows="0" w:id="16"/>
      </w:r>
      <w:r w:rsidDel="00000000" w:rsidR="00000000" w:rsidRPr="00000000">
        <w:rPr>
          <w:rFonts w:ascii="Georgia" w:cs="Georgia" w:eastAsia="Georgia" w:hAnsi="Georgia"/>
          <w:sz w:val="24"/>
          <w:szCs w:val="24"/>
          <w:shd w:fill="fffff5" w:val="clear"/>
          <w:rtl w:val="0"/>
        </w:rPr>
        <w:t xml:space="preserve">. Alvarez discovered the truth by matching Rojas’s fingerprint to a bloody one left on a door post</w:t>
      </w:r>
      <w:r w:rsidDel="00000000" w:rsidR="00000000" w:rsidRPr="00000000">
        <w:rPr>
          <w:rFonts w:ascii="Georgia" w:cs="Georgia" w:eastAsia="Georgia" w:hAnsi="Georgia"/>
          <w:sz w:val="24"/>
          <w:szCs w:val="24"/>
          <w:shd w:fill="fffff5" w:val="clear"/>
          <w:vertAlign w:val="superscript"/>
        </w:rPr>
        <w:footnoteReference w:customMarkFollows="0" w:id="17"/>
      </w:r>
      <w:r w:rsidDel="00000000" w:rsidR="00000000" w:rsidRPr="00000000">
        <w:rPr>
          <w:rFonts w:ascii="Georgia" w:cs="Georgia" w:eastAsia="Georgia" w:hAnsi="Georgia"/>
          <w:sz w:val="24"/>
          <w:szCs w:val="24"/>
          <w:shd w:fill="fffff5" w:val="clear"/>
          <w:rtl w:val="0"/>
        </w:rPr>
        <w:t xml:space="preserve">.</w:t>
      </w:r>
      <w:r w:rsidDel="00000000" w:rsidR="00000000" w:rsidRPr="00000000">
        <w:rPr>
          <w:rtl w:val="0"/>
        </w:rPr>
      </w:r>
    </w:p>
    <w:p w:rsidR="00000000" w:rsidDel="00000000" w:rsidP="00000000" w:rsidRDefault="00000000" w:rsidRPr="00000000" w14:paraId="0000000B">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C">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methods used when collecting fingerprints vary depending on several factors. The most important factor to consider when collecting fingerprints is the surface from which the fingerprint needs to be lifted from.  There are different materials used to collect fingerprints from all kinds of surfaces, from a car door handle to the skin of a victim. </w:t>
      </w:r>
    </w:p>
    <w:p w:rsidR="00000000" w:rsidDel="00000000" w:rsidP="00000000" w:rsidRDefault="00000000" w:rsidRPr="00000000" w14:paraId="0000000D">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E">
      <w:pPr>
        <w:ind w:left="0" w:firstLine="0"/>
        <w:rPr>
          <w:rFonts w:ascii="Georgia" w:cs="Georgia" w:eastAsia="Georgia" w:hAnsi="Georgia"/>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2962275</wp:posOffset>
            </wp:positionH>
            <wp:positionV relativeFrom="paragraph">
              <wp:posOffset>123825</wp:posOffset>
            </wp:positionV>
            <wp:extent cx="3815304" cy="1443038"/>
            <wp:effectExtent b="0" l="0" r="0" t="0"/>
            <wp:wrapSquare wrapText="bothSides" distB="114300" distT="114300" distL="114300" distR="114300"/>
            <wp:docPr id="5"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815304" cy="1443038"/>
                    </a:xfrm>
                    <a:prstGeom prst="rect"/>
                    <a:ln/>
                  </pic:spPr>
                </pic:pic>
              </a:graphicData>
            </a:graphic>
          </wp:anchor>
        </w:drawing>
      </w:r>
    </w:p>
    <w:p w:rsidR="00000000" w:rsidDel="00000000" w:rsidP="00000000" w:rsidRDefault="00000000" w:rsidRPr="00000000" w14:paraId="0000000F">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Where a murder is being investigated, no expense is spared and every possible avenue is explored. Contact trace evidence even extends to the wounds left on victims by various  weapons. This is a doctors report from the murder of Marion Gilchrist, 1908 in Glasgow</w:t>
      </w:r>
      <w:r w:rsidDel="00000000" w:rsidR="00000000" w:rsidRPr="00000000">
        <w:rPr>
          <w:rFonts w:ascii="Georgia" w:cs="Georgia" w:eastAsia="Georgia" w:hAnsi="Georgia"/>
          <w:sz w:val="24"/>
          <w:szCs w:val="24"/>
          <w:vertAlign w:val="superscript"/>
        </w:rPr>
        <w:footnoteReference w:customMarkFollows="0" w:id="18"/>
      </w:r>
      <w:r w:rsidDel="00000000" w:rsidR="00000000" w:rsidRPr="00000000">
        <w:rPr>
          <w:rFonts w:ascii="Georgia" w:cs="Georgia" w:eastAsia="Georgia" w:hAnsi="Georgia"/>
          <w:sz w:val="24"/>
          <w:szCs w:val="24"/>
          <w:rtl w:val="0"/>
        </w:rPr>
        <w:t xml:space="preserve">.                                                                  The cause of death was determined by the evidence left by </w:t>
      </w:r>
      <w:r w:rsidDel="00000000" w:rsidR="00000000" w:rsidRPr="00000000">
        <w:rPr>
          <w:rFonts w:ascii="Georgia" w:cs="Georgia" w:eastAsia="Georgia" w:hAnsi="Georgia"/>
          <w:sz w:val="24"/>
          <w:szCs w:val="24"/>
          <w:rtl w:val="0"/>
        </w:rPr>
        <w:t xml:space="preserve">the</w:t>
      </w:r>
      <w:r w:rsidDel="00000000" w:rsidR="00000000" w:rsidRPr="00000000">
        <w:rPr>
          <w:rFonts w:ascii="Georgia" w:cs="Georgia" w:eastAsia="Georgia" w:hAnsi="Georgia"/>
          <w:sz w:val="24"/>
          <w:szCs w:val="24"/>
          <w:rtl w:val="0"/>
        </w:rPr>
        <w:t xml:space="preserve"> murder weapon. This could have helped the detectives; now they have an idea of what they are looking for. In this case, however, the murder weapon was not found and the wrong man, Oscar Slater, was convicted.  It is vital that investigators explore every type of contact trace evidence before coming to any </w:t>
      </w:r>
      <w:r w:rsidDel="00000000" w:rsidR="00000000" w:rsidRPr="00000000">
        <w:rPr>
          <w:rFonts w:ascii="Georgia" w:cs="Georgia" w:eastAsia="Georgia" w:hAnsi="Georgia"/>
          <w:sz w:val="24"/>
          <w:szCs w:val="24"/>
          <w:rtl w:val="0"/>
        </w:rPr>
        <w:t xml:space="preserve">conclusions</w:t>
      </w: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10">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11">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cases of rape or when a murder victim has been raped the most important piece of contact trace evidence is semen left by the perpetrator. However, before semen could be tested for DNA structure, many men were wrongfully convicted. One of these men was Lewis Fogle. Fogle was sentenced to life without parole in 1982</w:t>
      </w:r>
      <w:r w:rsidDel="00000000" w:rsidR="00000000" w:rsidRPr="00000000">
        <w:rPr>
          <w:rFonts w:ascii="Georgia" w:cs="Georgia" w:eastAsia="Georgia" w:hAnsi="Georgia"/>
          <w:sz w:val="24"/>
          <w:szCs w:val="24"/>
          <w:vertAlign w:val="superscript"/>
        </w:rPr>
        <w:footnoteReference w:customMarkFollows="0" w:id="19"/>
      </w:r>
      <w:r w:rsidDel="00000000" w:rsidR="00000000" w:rsidRPr="00000000">
        <w:rPr>
          <w:rFonts w:ascii="Georgia" w:cs="Georgia" w:eastAsia="Georgia" w:hAnsi="Georgia"/>
          <w:sz w:val="24"/>
          <w:szCs w:val="24"/>
          <w:rtl w:val="0"/>
        </w:rPr>
        <w:t xml:space="preserve"> Pennsylvania. Before the time of his arrest Fogle had not even been mentioned in any interview or investigation, it was not until March 1981, when Earl Elderkin (an original suspect and witness) was ‘interviewed’ for a fifth time by a hypnotist with no formal qualifications, that Fogle was implicated in any way</w:t>
      </w:r>
      <w:r w:rsidDel="00000000" w:rsidR="00000000" w:rsidRPr="00000000">
        <w:rPr>
          <w:rFonts w:ascii="Georgia" w:cs="Georgia" w:eastAsia="Georgia" w:hAnsi="Georgia"/>
          <w:sz w:val="24"/>
          <w:szCs w:val="24"/>
          <w:vertAlign w:val="superscript"/>
        </w:rPr>
        <w:footnoteReference w:customMarkFollows="0" w:id="20"/>
      </w:r>
      <w:r w:rsidDel="00000000" w:rsidR="00000000" w:rsidRPr="00000000">
        <w:rPr>
          <w:rFonts w:ascii="Georgia" w:cs="Georgia" w:eastAsia="Georgia" w:hAnsi="Georgia"/>
          <w:sz w:val="24"/>
          <w:szCs w:val="24"/>
          <w:rtl w:val="0"/>
        </w:rPr>
        <w:t xml:space="preserve">. During the interview, Elderkin said that he had seen Fogle and his brother rape Dean Katherine (a fifteen year old girl) on the front seat of the car he was in after picking her up from her home. Elderkin went on to say that Katherine had threatened to go </w:t>
      </w:r>
      <w:r w:rsidDel="00000000" w:rsidR="00000000" w:rsidRPr="00000000">
        <w:drawing>
          <wp:anchor allowOverlap="1" behindDoc="0" distB="114300" distT="114300" distL="114300" distR="114300" hidden="0" layoutInCell="1" locked="0" relativeHeight="0" simplePos="0">
            <wp:simplePos x="0" y="0"/>
            <wp:positionH relativeFrom="column">
              <wp:posOffset>4314825</wp:posOffset>
            </wp:positionH>
            <wp:positionV relativeFrom="paragraph">
              <wp:posOffset>2181225</wp:posOffset>
            </wp:positionV>
            <wp:extent cx="1566863" cy="1779646"/>
            <wp:effectExtent b="0" l="0" r="0" t="0"/>
            <wp:wrapSquare wrapText="bothSides" distB="114300" distT="114300" distL="114300" distR="114300"/>
            <wp:docPr id="4"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1566863" cy="1779646"/>
                    </a:xfrm>
                    <a:prstGeom prst="rect"/>
                    <a:ln/>
                  </pic:spPr>
                </pic:pic>
              </a:graphicData>
            </a:graphic>
          </wp:anchor>
        </w:drawing>
      </w:r>
    </w:p>
    <w:p w:rsidR="00000000" w:rsidDel="00000000" w:rsidP="00000000" w:rsidRDefault="00000000" w:rsidRPr="00000000" w14:paraId="00000012">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to the police about the assault so Fogle had taken a gun out from under the seat and shot her when she ran away</w:t>
      </w:r>
      <w:r w:rsidDel="00000000" w:rsidR="00000000" w:rsidRPr="00000000">
        <w:rPr>
          <w:rFonts w:ascii="Georgia" w:cs="Georgia" w:eastAsia="Georgia" w:hAnsi="Georgia"/>
          <w:sz w:val="24"/>
          <w:szCs w:val="24"/>
          <w:vertAlign w:val="superscript"/>
        </w:rPr>
        <w:footnoteReference w:customMarkFollows="0" w:id="21"/>
      </w:r>
      <w:r w:rsidDel="00000000" w:rsidR="00000000" w:rsidRPr="00000000">
        <w:rPr>
          <w:rFonts w:ascii="Georgia" w:cs="Georgia" w:eastAsia="Georgia" w:hAnsi="Georgia"/>
          <w:sz w:val="24"/>
          <w:szCs w:val="24"/>
          <w:rtl w:val="0"/>
        </w:rPr>
        <w:t xml:space="preserve">. Dennis Fogle (Lewis Fogle’s brother) was then also questioned, his statement matched Elderkin’s which was enough for police to arrest Lewis Fogle on suspicion of murder and rape. Three men came forward that were in jail with Fogle saying that he had confessed to his crimes in their cell. This was enough for Fogle to get a conviction even though there was no physical evidence tying him to the victim or crime in any way</w:t>
      </w:r>
      <w:r w:rsidDel="00000000" w:rsidR="00000000" w:rsidRPr="00000000">
        <w:rPr>
          <w:rFonts w:ascii="Georgia" w:cs="Georgia" w:eastAsia="Georgia" w:hAnsi="Georgia"/>
          <w:sz w:val="24"/>
          <w:szCs w:val="24"/>
          <w:vertAlign w:val="superscript"/>
        </w:rPr>
        <w:footnoteReference w:customMarkFollows="0" w:id="22"/>
      </w:r>
      <w:r w:rsidDel="00000000" w:rsidR="00000000" w:rsidRPr="00000000">
        <w:rPr>
          <w:rFonts w:ascii="Georgia" w:cs="Georgia" w:eastAsia="Georgia" w:hAnsi="Georgia"/>
          <w:sz w:val="24"/>
          <w:szCs w:val="24"/>
          <w:rtl w:val="0"/>
        </w:rPr>
        <w:t xml:space="preserve">. It was not until 2015 that Lewis Fogle managed to get seemen, found on the body of the victim, DNA tested. It was not his and he was released soon after</w:t>
      </w:r>
      <w:r w:rsidDel="00000000" w:rsidR="00000000" w:rsidRPr="00000000">
        <w:rPr>
          <w:rFonts w:ascii="Georgia" w:cs="Georgia" w:eastAsia="Georgia" w:hAnsi="Georgia"/>
          <w:sz w:val="24"/>
          <w:szCs w:val="24"/>
          <w:vertAlign w:val="superscript"/>
        </w:rPr>
        <w:footnoteReference w:customMarkFollows="0" w:id="23"/>
      </w:r>
      <w:r w:rsidDel="00000000" w:rsidR="00000000" w:rsidRPr="00000000">
        <w:rPr>
          <w:rFonts w:ascii="Georgia" w:cs="Georgia" w:eastAsia="Georgia" w:hAnsi="Georgia"/>
          <w:sz w:val="24"/>
          <w:szCs w:val="24"/>
          <w:rtl w:val="0"/>
        </w:rPr>
        <w:t xml:space="preserve">. This case is testament to the power of DNA testing in cases where there is only one kind of contact trace evidence found, it could be seemen, blood, saliva or even a single hair with a follicle. </w:t>
      </w:r>
    </w:p>
    <w:p w:rsidR="00000000" w:rsidDel="00000000" w:rsidP="00000000" w:rsidRDefault="00000000" w:rsidRPr="00000000" w14:paraId="00000013">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4">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Not just one type of contact trace evidence should be considered where possible. Edward Lee Elmore spent half his life on death row for the brutal rape and murder of 74 year old Dorothy Edwards in 1982, South Carolina</w:t>
      </w:r>
      <w:r w:rsidDel="00000000" w:rsidR="00000000" w:rsidRPr="00000000">
        <w:rPr>
          <w:rFonts w:ascii="Georgia" w:cs="Georgia" w:eastAsia="Georgia" w:hAnsi="Georgia"/>
          <w:sz w:val="24"/>
          <w:szCs w:val="24"/>
          <w:vertAlign w:val="superscript"/>
        </w:rPr>
        <w:footnoteReference w:customMarkFollows="0" w:id="24"/>
      </w:r>
      <w:r w:rsidDel="00000000" w:rsidR="00000000" w:rsidRPr="00000000">
        <w:rPr>
          <w:rFonts w:ascii="Georgia" w:cs="Georgia" w:eastAsia="Georgia" w:hAnsi="Georgia"/>
          <w:sz w:val="24"/>
          <w:szCs w:val="24"/>
          <w:rtl w:val="0"/>
        </w:rPr>
        <w:t xml:space="preserve">. Elmore was Dorothy’s handyman; when forensics found a partial fingerprint on the backdoor to the elderly widow’s home and matched it with Elmore, they did not consider that it was left there after he had cleaned her </w:t>
      </w:r>
      <w:r w:rsidDel="00000000" w:rsidR="00000000" w:rsidRPr="00000000">
        <w:rPr>
          <w:rFonts w:ascii="Georgia" w:cs="Georgia" w:eastAsia="Georgia" w:hAnsi="Georgia"/>
          <w:sz w:val="24"/>
          <w:szCs w:val="24"/>
          <w:rtl w:val="0"/>
        </w:rPr>
        <w:t xml:space="preserve">windows</w:t>
      </w:r>
      <w:r w:rsidDel="00000000" w:rsidR="00000000" w:rsidRPr="00000000">
        <w:rPr>
          <w:rFonts w:ascii="Georgia" w:cs="Georgia" w:eastAsia="Georgia" w:hAnsi="Georgia"/>
          <w:sz w:val="24"/>
          <w:szCs w:val="24"/>
          <w:rtl w:val="0"/>
        </w:rPr>
        <w:t xml:space="preserve"> the month before. Unfortunately for Elmore, he was identified as a suspect by Greenwood City Councilman Jimmy Holloway, who was Dorothy’s neighbour and friend</w:t>
      </w:r>
      <w:r w:rsidDel="00000000" w:rsidR="00000000" w:rsidRPr="00000000">
        <w:rPr>
          <w:rFonts w:ascii="Georgia" w:cs="Georgia" w:eastAsia="Georgia" w:hAnsi="Georgia"/>
          <w:sz w:val="24"/>
          <w:szCs w:val="24"/>
          <w:vertAlign w:val="superscript"/>
        </w:rPr>
        <w:footnoteReference w:customMarkFollows="0" w:id="25"/>
      </w:r>
      <w:r w:rsidDel="00000000" w:rsidR="00000000" w:rsidRPr="00000000">
        <w:rPr>
          <w:rFonts w:ascii="Georgia" w:cs="Georgia" w:eastAsia="Georgia" w:hAnsi="Georgia"/>
          <w:sz w:val="24"/>
          <w:szCs w:val="24"/>
          <w:rtl w:val="0"/>
        </w:rPr>
        <w:t xml:space="preserve">. This and the partial fingerprint on the backdoor was enough for the police to arrest Elmore within forty eight hours of discovering the body</w:t>
      </w:r>
      <w:r w:rsidDel="00000000" w:rsidR="00000000" w:rsidRPr="00000000">
        <w:rPr>
          <w:rFonts w:ascii="Georgia" w:cs="Georgia" w:eastAsia="Georgia" w:hAnsi="Georgia"/>
          <w:sz w:val="24"/>
          <w:szCs w:val="24"/>
          <w:vertAlign w:val="superscript"/>
        </w:rPr>
        <w:footnoteReference w:customMarkFollows="0" w:id="26"/>
      </w:r>
      <w:r w:rsidDel="00000000" w:rsidR="00000000" w:rsidRPr="00000000">
        <w:rPr>
          <w:rFonts w:ascii="Georgia" w:cs="Georgia" w:eastAsia="Georgia" w:hAnsi="Georgia"/>
          <w:sz w:val="24"/>
          <w:szCs w:val="24"/>
          <w:rtl w:val="0"/>
        </w:rPr>
        <w:t xml:space="preserve">. Elmore was put on trial three times in the thirty years he was in prison, twenty nine of those spent on death row, believing each and everyday that he would be killed for a crime he did not commit. At the first of these trials, the prosecution used evidence that, sadly today, would have exonerated him; Elmore had traces of blood on his shoes and trousers that matched the same blood type as Edwads. If the trial had taken place ten years later, the use of DNA analysis would have shown that the blood did not belong to Edwards. Whether or not Elmore’s blood was tested to be a different blood type to the type on his clothing is unknown. </w:t>
      </w:r>
      <w:r w:rsidDel="00000000" w:rsidR="00000000" w:rsidRPr="00000000">
        <w:drawing>
          <wp:anchor allowOverlap="1" behindDoc="0" distB="114300" distT="114300" distL="114300" distR="114300" hidden="0" layoutInCell="1" locked="0" relativeHeight="0" simplePos="0">
            <wp:simplePos x="0" y="0"/>
            <wp:positionH relativeFrom="column">
              <wp:posOffset>66676</wp:posOffset>
            </wp:positionH>
            <wp:positionV relativeFrom="paragraph">
              <wp:posOffset>1533525</wp:posOffset>
            </wp:positionV>
            <wp:extent cx="2514600" cy="1819275"/>
            <wp:effectExtent b="0" l="0" r="0" t="0"/>
            <wp:wrapSquare wrapText="bothSides" distB="114300" distT="114300" distL="114300" distR="114300"/>
            <wp:docPr id="2"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2514600" cy="1819275"/>
                    </a:xfrm>
                    <a:prstGeom prst="rect"/>
                    <a:ln/>
                  </pic:spPr>
                </pic:pic>
              </a:graphicData>
            </a:graphic>
          </wp:anchor>
        </w:drawing>
      </w:r>
    </w:p>
    <w:p w:rsidR="00000000" w:rsidDel="00000000" w:rsidP="00000000" w:rsidRDefault="00000000" w:rsidRPr="00000000" w14:paraId="00000015">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6">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There was also speak of negro hair found in Edwards bed. This evidence however was not brought to court and was not ever seen by the defense, nor was there a single picture of the hairs from the crime scene. Only one picture of the bag was found in the case file, by Diana Holt (Elmore’s new defense lawyer) years later. The hairs were in a clear bag with nothing on it, no chain of custody or other documentation was found. At the time of conviction none of this seemed to matter, especially once that Elmore’s cell mate had told the court that Elmore had confessed the night before to killing Edwards. It was uncovered later by Holt, that Elmore’s cell mate had been paid off to purger himself on the stand; this was not until his appeal in 1995. It also came to fruition that the time of death had not been, as the previous medical examiner had suggested, Saturday evening but was in fact the following afternoon on Sunday. This meant that Elmore now had an alibi for the time that the murder had taken place</w:t>
      </w:r>
      <w:r w:rsidDel="00000000" w:rsidR="00000000" w:rsidRPr="00000000">
        <w:rPr>
          <w:rFonts w:ascii="Georgia" w:cs="Georgia" w:eastAsia="Georgia" w:hAnsi="Georgia"/>
          <w:sz w:val="24"/>
          <w:szCs w:val="24"/>
          <w:vertAlign w:val="superscript"/>
        </w:rPr>
        <w:footnoteReference w:customMarkFollows="0" w:id="27"/>
      </w:r>
      <w:r w:rsidDel="00000000" w:rsidR="00000000" w:rsidRPr="00000000">
        <w:rPr>
          <w:rFonts w:ascii="Georgia" w:cs="Georgia" w:eastAsia="Georgia" w:hAnsi="Georgia"/>
          <w:sz w:val="24"/>
          <w:szCs w:val="24"/>
          <w:rtl w:val="0"/>
        </w:rPr>
        <w:t xml:space="preserve">.</w:t>
      </w:r>
    </w:p>
    <w:p w:rsidR="00000000" w:rsidDel="00000000" w:rsidP="00000000" w:rsidRDefault="00000000" w:rsidRPr="00000000" w14:paraId="00000017">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8">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Councilman Holloway had been having an affair with Edwards and unfortunately the friendly neighborhood councilman died in 1994 but not before Holt could visit and interview him. In his discussion with Holt, Holloway spoke in detail about what Edwards was doing immediately before she was killed and how long it took her to die. Holloway had been the person who found Dorothy Edwards body and called the police, which would have been suspicious enough, but Holt thought it was strange that (when looking back over the report, Holloway had entered Edwards house, seen blood and then went to get another neighbor to watch him discover the body</w:t>
      </w:r>
      <w:r w:rsidDel="00000000" w:rsidR="00000000" w:rsidRPr="00000000">
        <w:rPr>
          <w:rFonts w:ascii="Georgia" w:cs="Georgia" w:eastAsia="Georgia" w:hAnsi="Georgia"/>
          <w:sz w:val="24"/>
          <w:szCs w:val="24"/>
          <w:vertAlign w:val="superscript"/>
        </w:rPr>
        <w:footnoteReference w:customMarkFollows="0" w:id="28"/>
      </w:r>
      <w:r w:rsidDel="00000000" w:rsidR="00000000" w:rsidRPr="00000000">
        <w:rPr>
          <w:rFonts w:ascii="Georgia" w:cs="Georgia" w:eastAsia="Georgia" w:hAnsi="Georgia"/>
          <w:sz w:val="24"/>
          <w:szCs w:val="24"/>
          <w:rtl w:val="0"/>
        </w:rPr>
        <w:t xml:space="preserve">. Holloway, of course, could not stand trial as a suspect because he was dead by the time of the appeal in 1995. If he had, there is a chance that Elmore would have been exonerated sooner. </w:t>
      </w:r>
      <w:r w:rsidDel="00000000" w:rsidR="00000000" w:rsidRPr="00000000">
        <w:rPr>
          <w:rFonts w:ascii="Georgia" w:cs="Georgia" w:eastAsia="Georgia" w:hAnsi="Georgia"/>
          <w:sz w:val="24"/>
          <w:szCs w:val="24"/>
          <w:rtl w:val="0"/>
        </w:rPr>
        <w:t xml:space="preserve">It should also be noted that things would probably have been very different if Holloway had not been a councilman with influence over the community and the police. </w:t>
      </w:r>
    </w:p>
    <w:p w:rsidR="00000000" w:rsidDel="00000000" w:rsidP="00000000" w:rsidRDefault="00000000" w:rsidRPr="00000000" w14:paraId="00000019">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A">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most relevant contribution to this particular miscarriage of justice, however, is the blatent misshandling of evidence. There was a chain of custody for Mr Elmore’s trousers; one of the police officers on this record knew Hollowway and Edwards. It was put forward that this police officer could have tampered with the clothing, potentially planting blood on them. The same thing could have happened with the forementioned negro hair, supposedly found in Edwards bed but never seen by the jury. </w:t>
      </w:r>
      <w:r w:rsidDel="00000000" w:rsidR="00000000" w:rsidRPr="00000000">
        <w:rPr>
          <w:rtl w:val="0"/>
        </w:rPr>
      </w:r>
    </w:p>
    <w:p w:rsidR="00000000" w:rsidDel="00000000" w:rsidP="00000000" w:rsidRDefault="00000000" w:rsidRPr="00000000" w14:paraId="0000001B">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C">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conclusion, prior to the discovery of DNA replication in 1993, a wide range of  contact trace evidence was used by detectives to identify criminals. This evidence while often useful could not always prevent a misscarriege of justice from happening. Without a positive identification on a fingerprint left at a crime scene, such other contact trace evidence was often inconclusive. Fingerprints may be partial or obscured and  expert witnesses can disagree. Furthermore contact trace evidence can be falsified or mishandled, thus obscuring the truth. It is harder to do when dealing with DNA but in all cases the potential should be considered and rigorous procedures followed to protect the integrity of evidence. DNA evidence leaves less room for doubt as it can pinpoint an individual's unique DNA profile which is very compelling evidence in a court of law. However DNA should be considered alongside all the evidence and should not be relied on alone. </w:t>
      </w:r>
    </w:p>
    <w:p w:rsidR="00000000" w:rsidDel="00000000" w:rsidP="00000000" w:rsidRDefault="00000000" w:rsidRPr="00000000" w14:paraId="0000001D">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E">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F">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0">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1">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2">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3">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4">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5">
      <w:pPr>
        <w:spacing w:line="240" w:lineRule="auto"/>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6">
      <w:pPr>
        <w:spacing w:line="240" w:lineRule="auto"/>
        <w:ind w:left="720" w:hanging="720"/>
        <w:rPr>
          <w:rFonts w:ascii="Georgia" w:cs="Georgia" w:eastAsia="Georgia" w:hAnsi="Georgia"/>
          <w:sz w:val="24"/>
          <w:szCs w:val="24"/>
          <w:u w:val="single"/>
        </w:rPr>
      </w:pPr>
      <w:r w:rsidDel="00000000" w:rsidR="00000000" w:rsidRPr="00000000">
        <w:rPr>
          <w:rFonts w:ascii="Georgia" w:cs="Georgia" w:eastAsia="Georgia" w:hAnsi="Georgia"/>
          <w:sz w:val="24"/>
          <w:szCs w:val="24"/>
          <w:u w:val="single"/>
          <w:rtl w:val="0"/>
        </w:rPr>
        <w:t xml:space="preserve">Bibliography:</w:t>
      </w:r>
    </w:p>
    <w:p w:rsidR="00000000" w:rsidDel="00000000" w:rsidP="00000000" w:rsidRDefault="00000000" w:rsidRPr="00000000" w14:paraId="00000027">
      <w:pPr>
        <w:spacing w:line="240" w:lineRule="auto"/>
        <w:ind w:left="720" w:hanging="720"/>
        <w:rPr>
          <w:rFonts w:ascii="Georgia" w:cs="Georgia" w:eastAsia="Georgia" w:hAnsi="Georgia"/>
          <w:sz w:val="24"/>
          <w:szCs w:val="24"/>
          <w:u w:val="single"/>
        </w:rPr>
      </w:pPr>
      <w:r w:rsidDel="00000000" w:rsidR="00000000" w:rsidRPr="00000000">
        <w:rPr>
          <w:rtl w:val="0"/>
        </w:rPr>
      </w:r>
    </w:p>
    <w:p w:rsidR="00000000" w:rsidDel="00000000" w:rsidP="00000000" w:rsidRDefault="00000000" w:rsidRPr="00000000" w14:paraId="00000028">
      <w:pPr>
        <w:spacing w:line="240" w:lineRule="auto"/>
        <w:ind w:left="720" w:hanging="720"/>
        <w:rPr>
          <w:rFonts w:ascii="Georgia" w:cs="Georgia" w:eastAsia="Georgia" w:hAnsi="Georgia"/>
          <w:sz w:val="24"/>
          <w:szCs w:val="24"/>
        </w:rPr>
      </w:pPr>
      <w:hyperlink r:id="rId13">
        <w:r w:rsidDel="00000000" w:rsidR="00000000" w:rsidRPr="00000000">
          <w:rPr>
            <w:vertAlign w:val="baseline"/>
            <w:rtl w:val="0"/>
          </w:rPr>
          <w:t xml:space="preserve">CNN, By Emanuella Grinberg, ‘How Edward Lee Elmore Escaped South Carolina’s Death Row’, </w:t>
        </w:r>
      </w:hyperlink>
      <w:hyperlink r:id="rId14">
        <w:r w:rsidDel="00000000" w:rsidR="00000000" w:rsidRPr="00000000">
          <w:rPr>
            <w:i w:val="1"/>
            <w:vertAlign w:val="baseline"/>
            <w:rtl w:val="0"/>
          </w:rPr>
          <w:t xml:space="preserve">CNN</w:t>
        </w:r>
      </w:hyperlink>
      <w:hyperlink r:id="rId15">
        <w:r w:rsidDel="00000000" w:rsidR="00000000" w:rsidRPr="00000000">
          <w:rPr>
            <w:vertAlign w:val="baseline"/>
            <w:rtl w:val="0"/>
          </w:rPr>
          <w:t xml:space="preserve"> &lt;https://www.cnn.com/2014/03/07/us/death-row-stories-elmore/index.html&gt; [accessed 8 May 2020]</w:t>
        </w:r>
      </w:hyperlink>
      <w:r w:rsidDel="00000000" w:rsidR="00000000" w:rsidRPr="00000000">
        <w:rPr>
          <w:rtl w:val="0"/>
        </w:rPr>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16">
        <w:r w:rsidDel="00000000" w:rsidR="00000000" w:rsidRPr="00000000">
          <w:rPr>
            <w:vertAlign w:val="baseline"/>
            <w:rtl w:val="0"/>
          </w:rPr>
          <w:t xml:space="preserve">Cobain, Ian, ‘Killer Breakthrough – the Day DNA Evidence First Nailed a Murderer’, </w:t>
        </w:r>
      </w:hyperlink>
      <w:hyperlink r:id="rId17">
        <w:r w:rsidDel="00000000" w:rsidR="00000000" w:rsidRPr="00000000">
          <w:rPr>
            <w:i w:val="1"/>
            <w:vertAlign w:val="baseline"/>
            <w:rtl w:val="0"/>
          </w:rPr>
          <w:t xml:space="preserve">The Guardian</w:t>
        </w:r>
      </w:hyperlink>
      <w:hyperlink r:id="rId18">
        <w:r w:rsidDel="00000000" w:rsidR="00000000" w:rsidRPr="00000000">
          <w:rPr>
            <w:vertAlign w:val="baseline"/>
            <w:rtl w:val="0"/>
          </w:rPr>
          <w:t xml:space="preserve">, 7 June 2016, section UK news &lt;https://www.theguardian.com/uk-news/2016/jun/07/killer-dna-evidence-genetic-profiling-criminal-investigation&gt; [accessed 17 December 2019]</w:t>
        </w:r>
      </w:hyperlink>
      <w:r w:rsidDel="00000000" w:rsidR="00000000" w:rsidRPr="00000000">
        <w:rPr>
          <w:rtl w:val="0"/>
        </w:rPr>
      </w:r>
    </w:p>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19">
        <w:r w:rsidDel="00000000" w:rsidR="00000000" w:rsidRPr="00000000">
          <w:rPr>
            <w:vertAlign w:val="baseline"/>
            <w:rtl w:val="0"/>
          </w:rPr>
          <w:t xml:space="preserve">Dahm, Ralf, ‘Friedrich Miescher and the Discovery of DNA’, </w:t>
        </w:r>
      </w:hyperlink>
      <w:hyperlink r:id="rId20">
        <w:r w:rsidDel="00000000" w:rsidR="00000000" w:rsidRPr="00000000">
          <w:rPr>
            <w:i w:val="1"/>
            <w:vertAlign w:val="baseline"/>
            <w:rtl w:val="0"/>
          </w:rPr>
          <w:t xml:space="preserve">Developmental Biology</w:t>
        </w:r>
      </w:hyperlink>
      <w:hyperlink r:id="rId21">
        <w:r w:rsidDel="00000000" w:rsidR="00000000" w:rsidRPr="00000000">
          <w:rPr>
            <w:vertAlign w:val="baseline"/>
            <w:rtl w:val="0"/>
          </w:rPr>
          <w:t xml:space="preserve">, 278.2 (2005), 274–88 &lt;https://doi.org/10.1016/j.ydbio.2004.11.028&gt;</w:t>
        </w:r>
      </w:hyperlink>
      <w:r w:rsidDel="00000000" w:rsidR="00000000" w:rsidRPr="00000000">
        <w:rPr>
          <w:rtl w:val="0"/>
        </w:rPr>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22">
        <w:r w:rsidDel="00000000" w:rsidR="00000000" w:rsidRPr="00000000">
          <w:rPr>
            <w:vertAlign w:val="baseline"/>
            <w:rtl w:val="0"/>
          </w:rPr>
          <w:t xml:space="preserve">‘Edward Lee Elmore: Free After 29 Years On Death Row’, </w:t>
        </w:r>
      </w:hyperlink>
      <w:hyperlink r:id="rId23">
        <w:r w:rsidDel="00000000" w:rsidR="00000000" w:rsidRPr="00000000">
          <w:rPr>
            <w:i w:val="1"/>
            <w:vertAlign w:val="baseline"/>
            <w:rtl w:val="0"/>
          </w:rPr>
          <w:t xml:space="preserve">Crime Traveller</w:t>
        </w:r>
      </w:hyperlink>
      <w:hyperlink r:id="rId24">
        <w:r w:rsidDel="00000000" w:rsidR="00000000" w:rsidRPr="00000000">
          <w:rPr>
            <w:vertAlign w:val="baseline"/>
            <w:rtl w:val="0"/>
          </w:rPr>
          <w:t xml:space="preserve">, 2015 &lt;https://www.crimetraveller.org/2015/06/edward-lee-elmore/&gt; [accessed 8 May 2020]</w:t>
        </w:r>
      </w:hyperlink>
      <w:r w:rsidDel="00000000" w:rsidR="00000000" w:rsidRPr="00000000">
        <w:rPr>
          <w:rtl w:val="0"/>
        </w:rPr>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25">
        <w:r w:rsidDel="00000000" w:rsidR="00000000" w:rsidRPr="00000000">
          <w:rPr>
            <w:vertAlign w:val="baseline"/>
            <w:rtl w:val="0"/>
          </w:rPr>
          <w:t xml:space="preserve">‘Fingerprint Analysis: Principles’ &lt;http://www.forensicsciencesimplified.org/prints/principles.html&gt; [accessed 29 December 2019]</w:t>
        </w:r>
      </w:hyperlink>
      <w:r w:rsidDel="00000000" w:rsidR="00000000" w:rsidRPr="00000000">
        <w:rPr>
          <w:rtl w:val="0"/>
        </w:rPr>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26">
        <w:r w:rsidDel="00000000" w:rsidR="00000000" w:rsidRPr="00000000">
          <w:rPr>
            <w:vertAlign w:val="baseline"/>
            <w:rtl w:val="0"/>
          </w:rPr>
          <w:t xml:space="preserve">‘Fingerprint Comparison’, </w:t>
        </w:r>
      </w:hyperlink>
      <w:hyperlink r:id="rId27">
        <w:r w:rsidDel="00000000" w:rsidR="00000000" w:rsidRPr="00000000">
          <w:rPr>
            <w:i w:val="1"/>
            <w:vertAlign w:val="baseline"/>
            <w:rtl w:val="0"/>
          </w:rPr>
          <w:t xml:space="preserve">Crown Copyrite</w:t>
        </w:r>
      </w:hyperlink>
      <w:hyperlink r:id="rId28">
        <w:r w:rsidDel="00000000" w:rsidR="00000000" w:rsidRPr="00000000">
          <w:rPr>
            <w:vertAlign w:val="baseline"/>
            <w:rtl w:val="0"/>
          </w:rPr>
          <w:t xml:space="preserve">, 2, 2017, 44</w:t>
        </w:r>
      </w:hyperlink>
      <w:r w:rsidDel="00000000" w:rsidR="00000000" w:rsidRPr="00000000">
        <w:rPr>
          <w:rtl w:val="0"/>
        </w:rPr>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29">
        <w:r w:rsidDel="00000000" w:rsidR="00000000" w:rsidRPr="00000000">
          <w:rPr>
            <w:vertAlign w:val="baseline"/>
            <w:rtl w:val="0"/>
          </w:rPr>
          <w:t xml:space="preserve">‘Fingerprints Second Level Details’ &lt;https://www.sqaacademy.org.uk/pluginfile.php/34022/mod_resource/content/2/Fingerprints/second.html&gt; [accessed 29 December 2019]</w:t>
        </w:r>
      </w:hyperlink>
      <w:r w:rsidDel="00000000" w:rsidR="00000000" w:rsidRPr="00000000">
        <w:rPr>
          <w:rtl w:val="0"/>
        </w:rPr>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30">
        <w:r w:rsidDel="00000000" w:rsidR="00000000" w:rsidRPr="00000000">
          <w:rPr>
            <w:vertAlign w:val="baseline"/>
            <w:rtl w:val="0"/>
          </w:rPr>
          <w:t xml:space="preserve">Holder Jr, Eric H, ‘The History of Fingerprints’ &lt;http://onin.com/fp/fphistory.html&gt; [accessed 30 December 2019]</w:t>
        </w:r>
      </w:hyperlink>
      <w:r w:rsidDel="00000000" w:rsidR="00000000" w:rsidRPr="00000000">
        <w:rPr>
          <w:rtl w:val="0"/>
        </w:rPr>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31">
        <w:r w:rsidDel="00000000" w:rsidR="00000000" w:rsidRPr="00000000">
          <w:rPr>
            <w:vertAlign w:val="baseline"/>
            <w:rtl w:val="0"/>
          </w:rPr>
          <w:t xml:space="preserve">Maurice Possley, ‘Lewis Fogle - National Registry of Exonerations’, 2015 &lt;https://www.law.umich.edu/special/exoneration/Pages/casedetail.aspx?caseid=4756&gt; [accessed 14 May 2020]</w:t>
        </w:r>
      </w:hyperlink>
      <w:r w:rsidDel="00000000" w:rsidR="00000000" w:rsidRPr="00000000">
        <w:rPr>
          <w:rtl w:val="0"/>
        </w:rPr>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32">
        <w:r w:rsidDel="00000000" w:rsidR="00000000" w:rsidRPr="00000000">
          <w:rPr>
            <w:vertAlign w:val="baseline"/>
            <w:rtl w:val="0"/>
          </w:rPr>
          <w:t xml:space="preserve">Team, National Records of Scotland Web, ‘National Records of Scotland’, </w:t>
        </w:r>
      </w:hyperlink>
      <w:hyperlink r:id="rId33">
        <w:r w:rsidDel="00000000" w:rsidR="00000000" w:rsidRPr="00000000">
          <w:rPr>
            <w:i w:val="1"/>
            <w:vertAlign w:val="baseline"/>
            <w:rtl w:val="0"/>
          </w:rPr>
          <w:t xml:space="preserve">National Records of Scotland</w:t>
        </w:r>
      </w:hyperlink>
      <w:hyperlink r:id="rId34">
        <w:r w:rsidDel="00000000" w:rsidR="00000000" w:rsidRPr="00000000">
          <w:rPr>
            <w:vertAlign w:val="baseline"/>
            <w:rtl w:val="0"/>
          </w:rPr>
          <w:t xml:space="preserve">, 2013 &lt;/research/learning/features/the-case-of-oscar-slater&gt; [accessed 30 December 2019]</w:t>
        </w:r>
      </w:hyperlink>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35">
        <w:r w:rsidDel="00000000" w:rsidR="00000000" w:rsidRPr="00000000">
          <w:rPr>
            <w:vertAlign w:val="baseline"/>
            <w:rtl w:val="0"/>
          </w:rPr>
          <w:t xml:space="preserve">‘The Forensics Library’ &lt;https://aboutforensics.co.uk/&gt; [accessed 17 December 2019]</w:t>
        </w:r>
      </w:hyperlink>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rFonts w:ascii="Georgia" w:cs="Georgia" w:eastAsia="Georgia" w:hAnsi="Georgia"/>
          <w:sz w:val="24"/>
          <w:szCs w:val="24"/>
        </w:rPr>
      </w:pPr>
      <w:hyperlink r:id="rId36">
        <w:r w:rsidDel="00000000" w:rsidR="00000000" w:rsidRPr="00000000">
          <w:rPr>
            <w:vertAlign w:val="baseline"/>
            <w:rtl w:val="0"/>
          </w:rPr>
          <w:t xml:space="preserve">Zimmer, Carl, ‘One Twin Committed the Crime — but Which One? A New DNA Test Can Finger the Culprit’, </w:t>
        </w:r>
      </w:hyperlink>
      <w:hyperlink r:id="rId37">
        <w:r w:rsidDel="00000000" w:rsidR="00000000" w:rsidRPr="00000000">
          <w:rPr>
            <w:i w:val="1"/>
            <w:vertAlign w:val="baseline"/>
            <w:rtl w:val="0"/>
          </w:rPr>
          <w:t xml:space="preserve">The New York Times</w:t>
        </w:r>
      </w:hyperlink>
      <w:hyperlink r:id="rId38">
        <w:r w:rsidDel="00000000" w:rsidR="00000000" w:rsidRPr="00000000">
          <w:rPr>
            <w:vertAlign w:val="baseline"/>
            <w:rtl w:val="0"/>
          </w:rPr>
          <w:t xml:space="preserve">, 1 March 2019, section Science &lt;https://www.nytimes.com/2019/03/01/science/twins-dna-crime-paternity.html&gt; [accessed 29 December 2019]</w:t>
        </w:r>
      </w:hyperlink>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Ralf Dahm, ‘Friedrich Miescher and the Discovery of DNA’, </w:t>
        </w:r>
      </w:hyperlink>
      <w:hyperlink r:id="rId2">
        <w:r w:rsidDel="00000000" w:rsidR="00000000" w:rsidRPr="00000000">
          <w:rPr>
            <w:i w:val="1"/>
            <w:sz w:val="20"/>
            <w:szCs w:val="20"/>
            <w:vertAlign w:val="baseline"/>
            <w:rtl w:val="0"/>
          </w:rPr>
          <w:t xml:space="preserve">Developmental Biology</w:t>
        </w:r>
      </w:hyperlink>
      <w:hyperlink r:id="rId3">
        <w:r w:rsidDel="00000000" w:rsidR="00000000" w:rsidRPr="00000000">
          <w:rPr>
            <w:sz w:val="20"/>
            <w:szCs w:val="20"/>
            <w:vertAlign w:val="baseline"/>
            <w:rtl w:val="0"/>
          </w:rPr>
          <w:t xml:space="preserve">, 278.2 (2005), 274–88 &lt;https://doi.org/10.1016/j.ydbio.2004.11.028&gt;.</w:t>
        </w:r>
      </w:hyperlink>
      <w:r w:rsidDel="00000000" w:rsidR="00000000" w:rsidRPr="00000000">
        <w:rPr>
          <w:rtl w:val="0"/>
        </w:rPr>
      </w:r>
    </w:p>
  </w:footnote>
  <w:footnote w:id="2">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Dahm.</w:t>
        </w:r>
      </w:hyperlink>
      <w:r w:rsidDel="00000000" w:rsidR="00000000" w:rsidRPr="00000000">
        <w:rPr>
          <w:rtl w:val="0"/>
        </w:rPr>
      </w:r>
    </w:p>
  </w:footnote>
  <w:footnote w:id="3">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sz w:val="20"/>
            <w:szCs w:val="20"/>
            <w:vertAlign w:val="baseline"/>
            <w:rtl w:val="0"/>
          </w:rPr>
          <w:t xml:space="preserve">Ian Cobain, ‘Killer Breakthrough – the Day DNA Evidence First Nailed a Murderer’, </w:t>
        </w:r>
      </w:hyperlink>
      <w:hyperlink r:id="rId6">
        <w:r w:rsidDel="00000000" w:rsidR="00000000" w:rsidRPr="00000000">
          <w:rPr>
            <w:i w:val="1"/>
            <w:sz w:val="20"/>
            <w:szCs w:val="20"/>
            <w:vertAlign w:val="baseline"/>
            <w:rtl w:val="0"/>
          </w:rPr>
          <w:t xml:space="preserve">The Guardian</w:t>
        </w:r>
      </w:hyperlink>
      <w:hyperlink r:id="rId7">
        <w:r w:rsidDel="00000000" w:rsidR="00000000" w:rsidRPr="00000000">
          <w:rPr>
            <w:sz w:val="20"/>
            <w:szCs w:val="20"/>
            <w:vertAlign w:val="baseline"/>
            <w:rtl w:val="0"/>
          </w:rPr>
          <w:t xml:space="preserve">, 7 June 2016, section UK news &lt;https://www.theguardian.com/uk-news/2016/jun/07/killer-dna-evidence-genetic-profiling-criminal-investigation&gt; [accessed 17 December 2019].</w:t>
        </w:r>
      </w:hyperlink>
      <w:r w:rsidDel="00000000" w:rsidR="00000000" w:rsidRPr="00000000">
        <w:rPr>
          <w:rtl w:val="0"/>
        </w:rPr>
      </w:r>
    </w:p>
  </w:footnote>
  <w:footnote w:id="0">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sz w:val="20"/>
            <w:szCs w:val="20"/>
            <w:vertAlign w:val="baseline"/>
            <w:rtl w:val="0"/>
          </w:rPr>
          <w:t xml:space="preserve">‘The Forensics Library’ &lt;https://aboutforensics.co.uk/&gt; [accessed 17 December 2019].</w:t>
        </w:r>
      </w:hyperlink>
      <w:r w:rsidDel="00000000" w:rsidR="00000000" w:rsidRPr="00000000">
        <w:rPr>
          <w:rtl w:val="0"/>
        </w:rPr>
      </w:r>
    </w:p>
  </w:footnote>
  <w:footnote w:id="4">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sz w:val="20"/>
            <w:szCs w:val="20"/>
            <w:vertAlign w:val="baseline"/>
            <w:rtl w:val="0"/>
          </w:rPr>
          <w:t xml:space="preserve">Carl Zimmer, ‘One Twin Committed the Crime — but Which One? A New DNA Test Can Finger the Culprit’, </w:t>
        </w:r>
      </w:hyperlink>
      <w:hyperlink r:id="rId10">
        <w:r w:rsidDel="00000000" w:rsidR="00000000" w:rsidRPr="00000000">
          <w:rPr>
            <w:i w:val="1"/>
            <w:sz w:val="20"/>
            <w:szCs w:val="20"/>
            <w:vertAlign w:val="baseline"/>
            <w:rtl w:val="0"/>
          </w:rPr>
          <w:t xml:space="preserve">The New York Times</w:t>
        </w:r>
      </w:hyperlink>
      <w:hyperlink r:id="rId11">
        <w:r w:rsidDel="00000000" w:rsidR="00000000" w:rsidRPr="00000000">
          <w:rPr>
            <w:sz w:val="20"/>
            <w:szCs w:val="20"/>
            <w:vertAlign w:val="baseline"/>
            <w:rtl w:val="0"/>
          </w:rPr>
          <w:t xml:space="preserve">, 1 March 2019, section Science &lt;https://www.nytimes.com/2019/03/01/science/twins-dna-crime-paternity.html&gt; [accessed 29 December 2019].</w:t>
        </w:r>
      </w:hyperlink>
      <w:r w:rsidDel="00000000" w:rsidR="00000000" w:rsidRPr="00000000">
        <w:rPr>
          <w:rtl w:val="0"/>
        </w:rPr>
      </w:r>
    </w:p>
  </w:footnote>
  <w:footnote w:id="7">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2">
        <w:r w:rsidDel="00000000" w:rsidR="00000000" w:rsidRPr="00000000">
          <w:rPr>
            <w:sz w:val="20"/>
            <w:szCs w:val="20"/>
            <w:vertAlign w:val="baseline"/>
            <w:rtl w:val="0"/>
          </w:rPr>
          <w:t xml:space="preserve">‘Fingerprint Analysis: Principles’.</w:t>
        </w:r>
      </w:hyperlink>
      <w:r w:rsidDel="00000000" w:rsidR="00000000" w:rsidRPr="00000000">
        <w:rPr>
          <w:rtl w:val="0"/>
        </w:rPr>
      </w:r>
    </w:p>
  </w:footnote>
  <w:footnote w:id="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3">
        <w:r w:rsidDel="00000000" w:rsidR="00000000" w:rsidRPr="00000000">
          <w:rPr>
            <w:sz w:val="20"/>
            <w:szCs w:val="20"/>
            <w:vertAlign w:val="baseline"/>
            <w:rtl w:val="0"/>
          </w:rPr>
          <w:t xml:space="preserve">‘Fingerprint Analysis: Principles’ &lt;http://www.forensicsciencesimplified.org/prints/principles.html&gt; [accessed 29 December 2019].</w:t>
        </w:r>
      </w:hyperlink>
      <w:r w:rsidDel="00000000" w:rsidR="00000000" w:rsidRPr="00000000">
        <w:rPr>
          <w:rtl w:val="0"/>
        </w:rPr>
      </w:r>
    </w:p>
  </w:footnote>
  <w:footnote w:id="8">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4">
        <w:r w:rsidDel="00000000" w:rsidR="00000000" w:rsidRPr="00000000">
          <w:rPr>
            <w:sz w:val="20"/>
            <w:szCs w:val="20"/>
            <w:vertAlign w:val="baseline"/>
            <w:rtl w:val="0"/>
          </w:rPr>
          <w:t xml:space="preserve">‘Fingerprint Analysis: Principles’.</w:t>
        </w:r>
      </w:hyperlink>
      <w:r w:rsidDel="00000000" w:rsidR="00000000" w:rsidRPr="00000000">
        <w:rPr>
          <w:rtl w:val="0"/>
        </w:rPr>
      </w:r>
    </w:p>
  </w:footnote>
  <w:footnote w:id="9">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5">
        <w:r w:rsidDel="00000000" w:rsidR="00000000" w:rsidRPr="00000000">
          <w:rPr>
            <w:sz w:val="20"/>
            <w:szCs w:val="20"/>
            <w:vertAlign w:val="baseline"/>
            <w:rtl w:val="0"/>
          </w:rPr>
          <w:t xml:space="preserve">‘Fingerprint Analysis: Principles’.</w:t>
        </w:r>
      </w:hyperlink>
      <w:r w:rsidDel="00000000" w:rsidR="00000000" w:rsidRPr="00000000">
        <w:rPr>
          <w:rtl w:val="0"/>
        </w:rPr>
      </w:r>
    </w:p>
  </w:footnote>
  <w:footnote w:id="11">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6">
        <w:r w:rsidDel="00000000" w:rsidR="00000000" w:rsidRPr="00000000">
          <w:rPr>
            <w:sz w:val="20"/>
            <w:szCs w:val="20"/>
            <w:vertAlign w:val="baseline"/>
            <w:rtl w:val="0"/>
          </w:rPr>
          <w:t xml:space="preserve">‘Fingerprints Second Level Details’.</w:t>
        </w:r>
      </w:hyperlink>
      <w:r w:rsidDel="00000000" w:rsidR="00000000" w:rsidRPr="00000000">
        <w:rPr>
          <w:rtl w:val="0"/>
        </w:rPr>
      </w:r>
    </w:p>
  </w:footnote>
  <w:footnote w:id="12">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7">
        <w:r w:rsidDel="00000000" w:rsidR="00000000" w:rsidRPr="00000000">
          <w:rPr>
            <w:sz w:val="20"/>
            <w:szCs w:val="20"/>
            <w:vertAlign w:val="baseline"/>
            <w:rtl w:val="0"/>
          </w:rPr>
          <w:t xml:space="preserve">‘Fingerprint Comparison’, </w:t>
        </w:r>
      </w:hyperlink>
      <w:hyperlink r:id="rId18">
        <w:r w:rsidDel="00000000" w:rsidR="00000000" w:rsidRPr="00000000">
          <w:rPr>
            <w:i w:val="1"/>
            <w:sz w:val="20"/>
            <w:szCs w:val="20"/>
            <w:vertAlign w:val="baseline"/>
            <w:rtl w:val="0"/>
          </w:rPr>
          <w:t xml:space="preserve">Crown Copyrite</w:t>
        </w:r>
      </w:hyperlink>
      <w:hyperlink r:id="rId19">
        <w:r w:rsidDel="00000000" w:rsidR="00000000" w:rsidRPr="00000000">
          <w:rPr>
            <w:sz w:val="20"/>
            <w:szCs w:val="20"/>
            <w:vertAlign w:val="baseline"/>
            <w:rtl w:val="0"/>
          </w:rPr>
          <w:t xml:space="preserve">, 2, 2017, 44.</w:t>
        </w:r>
      </w:hyperlink>
      <w:r w:rsidDel="00000000" w:rsidR="00000000" w:rsidRPr="00000000">
        <w:rPr>
          <w:rtl w:val="0"/>
        </w:rPr>
      </w:r>
    </w:p>
  </w:footnote>
  <w:footnote w:id="18">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0">
        <w:r w:rsidDel="00000000" w:rsidR="00000000" w:rsidRPr="00000000">
          <w:rPr>
            <w:sz w:val="20"/>
            <w:szCs w:val="20"/>
            <w:vertAlign w:val="baseline"/>
            <w:rtl w:val="0"/>
          </w:rPr>
          <w:t xml:space="preserve">National Records of Scotland Web Team, ‘National Records of Scotland’, </w:t>
        </w:r>
      </w:hyperlink>
      <w:hyperlink r:id="rId21">
        <w:r w:rsidDel="00000000" w:rsidR="00000000" w:rsidRPr="00000000">
          <w:rPr>
            <w:i w:val="1"/>
            <w:sz w:val="20"/>
            <w:szCs w:val="20"/>
            <w:vertAlign w:val="baseline"/>
            <w:rtl w:val="0"/>
          </w:rPr>
          <w:t xml:space="preserve">National Records of Scotland</w:t>
        </w:r>
      </w:hyperlink>
      <w:hyperlink r:id="rId22">
        <w:r w:rsidDel="00000000" w:rsidR="00000000" w:rsidRPr="00000000">
          <w:rPr>
            <w:sz w:val="20"/>
            <w:szCs w:val="20"/>
            <w:vertAlign w:val="baseline"/>
            <w:rtl w:val="0"/>
          </w:rPr>
          <w:t xml:space="preserve">, 2013 &lt;/research/learning/features/the-case-of-oscar-slater&gt; [accessed 30 December 2019].</w:t>
        </w:r>
      </w:hyperlink>
      <w:r w:rsidDel="00000000" w:rsidR="00000000" w:rsidRPr="00000000">
        <w:rPr>
          <w:rtl w:val="0"/>
        </w:rPr>
      </w:r>
    </w:p>
  </w:footnote>
  <w:footnote w:id="14">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3">
        <w:r w:rsidDel="00000000" w:rsidR="00000000" w:rsidRPr="00000000">
          <w:rPr>
            <w:sz w:val="20"/>
            <w:szCs w:val="20"/>
            <w:vertAlign w:val="baseline"/>
            <w:rtl w:val="0"/>
          </w:rPr>
          <w:t xml:space="preserve">Holder Jr.</w:t>
        </w:r>
      </w:hyperlink>
      <w:r w:rsidDel="00000000" w:rsidR="00000000" w:rsidRPr="00000000">
        <w:rPr>
          <w:rtl w:val="0"/>
        </w:rPr>
      </w:r>
    </w:p>
  </w:footnote>
  <w:footnote w:id="13">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vertAlign w:val="baseline"/>
            <w:rtl w:val="0"/>
          </w:rPr>
          <w:t xml:space="preserve">Eric H Holder Jr, ‘The History of Fingerprints’ &lt;http://onin.com/fp/fphistory.html&gt; [accessed 30 December 2019].</w:t>
        </w:r>
      </w:hyperlink>
      <w:r w:rsidDel="00000000" w:rsidR="00000000" w:rsidRPr="00000000">
        <w:rPr>
          <w:rtl w:val="0"/>
        </w:rPr>
      </w:r>
    </w:p>
  </w:footnote>
  <w:footnote w:id="1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5">
        <w:r w:rsidDel="00000000" w:rsidR="00000000" w:rsidRPr="00000000">
          <w:rPr>
            <w:sz w:val="20"/>
            <w:szCs w:val="20"/>
            <w:vertAlign w:val="baseline"/>
            <w:rtl w:val="0"/>
          </w:rPr>
          <w:t xml:space="preserve">Holder Jr.</w:t>
        </w:r>
      </w:hyperlink>
      <w:r w:rsidDel="00000000" w:rsidR="00000000" w:rsidRPr="00000000">
        <w:rPr>
          <w:rtl w:val="0"/>
        </w:rPr>
      </w:r>
    </w:p>
  </w:footnote>
  <w:footnote w:id="16">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6">
        <w:r w:rsidDel="00000000" w:rsidR="00000000" w:rsidRPr="00000000">
          <w:rPr>
            <w:sz w:val="20"/>
            <w:szCs w:val="20"/>
            <w:vertAlign w:val="baseline"/>
            <w:rtl w:val="0"/>
          </w:rPr>
          <w:t xml:space="preserve">Holder Jr.</w:t>
        </w:r>
      </w:hyperlink>
      <w:r w:rsidDel="00000000" w:rsidR="00000000" w:rsidRPr="00000000">
        <w:rPr>
          <w:rtl w:val="0"/>
        </w:rPr>
      </w:r>
    </w:p>
  </w:footnote>
  <w:footnote w:id="17">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7">
        <w:r w:rsidDel="00000000" w:rsidR="00000000" w:rsidRPr="00000000">
          <w:rPr>
            <w:sz w:val="20"/>
            <w:szCs w:val="20"/>
            <w:vertAlign w:val="baseline"/>
            <w:rtl w:val="0"/>
          </w:rPr>
          <w:t xml:space="preserve">Holder Jr.</w:t>
        </w:r>
      </w:hyperlink>
      <w:r w:rsidDel="00000000" w:rsidR="00000000" w:rsidRPr="00000000">
        <w:rPr>
          <w:rtl w:val="0"/>
        </w:rPr>
      </w:r>
    </w:p>
  </w:footnote>
  <w:footnote w:id="10">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p>
  </w:footnote>
  <w:footnote w:id="6">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8">
        <w:r w:rsidDel="00000000" w:rsidR="00000000" w:rsidRPr="00000000">
          <w:rPr>
            <w:sz w:val="20"/>
            <w:szCs w:val="20"/>
            <w:vertAlign w:val="baseline"/>
            <w:rtl w:val="0"/>
          </w:rPr>
          <w:t xml:space="preserve">‘Fingerprints Second Level Details’ &lt;https://www.sqaacademy.org.uk/pluginfile.php/34022/mod_resource/content/2/Fingerprints/second.html&gt; [accessed 29 December 2019].</w:t>
        </w:r>
      </w:hyperlink>
      <w:r w:rsidDel="00000000" w:rsidR="00000000" w:rsidRPr="00000000">
        <w:rPr>
          <w:rtl w:val="0"/>
        </w:rPr>
      </w:r>
    </w:p>
  </w:footnote>
  <w:footnote w:id="24">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9">
        <w:r w:rsidDel="00000000" w:rsidR="00000000" w:rsidRPr="00000000">
          <w:rPr>
            <w:sz w:val="20"/>
            <w:szCs w:val="20"/>
            <w:vertAlign w:val="baseline"/>
            <w:rtl w:val="0"/>
          </w:rPr>
          <w:t xml:space="preserve">By Emanuella Grinberg CNN, ‘How Edward Lee Elmore Escaped South Carolina’s Death Row’, </w:t>
        </w:r>
      </w:hyperlink>
      <w:hyperlink r:id="rId30">
        <w:r w:rsidDel="00000000" w:rsidR="00000000" w:rsidRPr="00000000">
          <w:rPr>
            <w:i w:val="1"/>
            <w:sz w:val="20"/>
            <w:szCs w:val="20"/>
            <w:vertAlign w:val="baseline"/>
            <w:rtl w:val="0"/>
          </w:rPr>
          <w:t xml:space="preserve">CNN</w:t>
        </w:r>
      </w:hyperlink>
      <w:hyperlink r:id="rId31">
        <w:r w:rsidDel="00000000" w:rsidR="00000000" w:rsidRPr="00000000">
          <w:rPr>
            <w:sz w:val="20"/>
            <w:szCs w:val="20"/>
            <w:vertAlign w:val="baseline"/>
            <w:rtl w:val="0"/>
          </w:rPr>
          <w:t xml:space="preserve"> </w:t>
        </w:r>
      </w:hyperlink>
      <w:r w:rsidDel="00000000" w:rsidR="00000000" w:rsidRPr="00000000">
        <w:rPr>
          <w:rtl w:val="0"/>
        </w:rPr>
      </w:r>
    </w:p>
  </w:footnote>
  <w:footnote w:id="26">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2">
        <w:r w:rsidDel="00000000" w:rsidR="00000000" w:rsidRPr="00000000">
          <w:rPr>
            <w:sz w:val="20"/>
            <w:szCs w:val="20"/>
            <w:vertAlign w:val="baseline"/>
            <w:rtl w:val="0"/>
          </w:rPr>
          <w:t xml:space="preserve">CNN.</w:t>
        </w:r>
      </w:hyperlink>
      <w:r w:rsidDel="00000000" w:rsidR="00000000" w:rsidRPr="00000000">
        <w:rPr>
          <w:rtl w:val="0"/>
        </w:rPr>
      </w:r>
    </w:p>
  </w:footnote>
  <w:footnote w:id="27">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3">
        <w:r w:rsidDel="00000000" w:rsidR="00000000" w:rsidRPr="00000000">
          <w:rPr>
            <w:sz w:val="20"/>
            <w:szCs w:val="20"/>
            <w:vertAlign w:val="baseline"/>
            <w:rtl w:val="0"/>
          </w:rPr>
          <w:t xml:space="preserve">‘Edward Lee Elmore’.</w:t>
        </w:r>
      </w:hyperlink>
      <w:r w:rsidDel="00000000" w:rsidR="00000000" w:rsidRPr="00000000">
        <w:rPr>
          <w:rtl w:val="0"/>
        </w:rPr>
      </w:r>
    </w:p>
  </w:footnote>
  <w:footnote w:id="2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4">
        <w:r w:rsidDel="00000000" w:rsidR="00000000" w:rsidRPr="00000000">
          <w:rPr>
            <w:sz w:val="20"/>
            <w:szCs w:val="20"/>
            <w:vertAlign w:val="baseline"/>
            <w:rtl w:val="0"/>
          </w:rPr>
          <w:t xml:space="preserve">‘Edward Lee Elmore: Free After 29 Years On Death Row’, </w:t>
        </w:r>
      </w:hyperlink>
      <w:hyperlink r:id="rId35">
        <w:r w:rsidDel="00000000" w:rsidR="00000000" w:rsidRPr="00000000">
          <w:rPr>
            <w:i w:val="1"/>
            <w:sz w:val="20"/>
            <w:szCs w:val="20"/>
            <w:vertAlign w:val="baseline"/>
            <w:rtl w:val="0"/>
          </w:rPr>
          <w:t xml:space="preserve">Crime Traveller</w:t>
        </w:r>
      </w:hyperlink>
      <w:hyperlink r:id="rId36">
        <w:r w:rsidDel="00000000" w:rsidR="00000000" w:rsidRPr="00000000">
          <w:rPr>
            <w:sz w:val="20"/>
            <w:szCs w:val="20"/>
            <w:vertAlign w:val="baseline"/>
            <w:rtl w:val="0"/>
          </w:rPr>
          <w:t xml:space="preserve">, 2015 &lt;https://www.crimetraveller.org/2015/06/edward-lee-elmore/&gt; [accessed 8 May 2020].</w:t>
        </w:r>
      </w:hyperlink>
      <w:r w:rsidDel="00000000" w:rsidR="00000000" w:rsidRPr="00000000">
        <w:rPr>
          <w:rtl w:val="0"/>
        </w:rPr>
      </w:r>
    </w:p>
  </w:footnote>
  <w:footnote w:id="28">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7">
        <w:r w:rsidDel="00000000" w:rsidR="00000000" w:rsidRPr="00000000">
          <w:rPr>
            <w:sz w:val="20"/>
            <w:szCs w:val="20"/>
            <w:vertAlign w:val="baseline"/>
            <w:rtl w:val="0"/>
          </w:rPr>
          <w:t xml:space="preserve">‘Edward Lee Elmore’.</w:t>
        </w:r>
      </w:hyperlink>
      <w:r w:rsidDel="00000000" w:rsidR="00000000" w:rsidRPr="00000000">
        <w:rPr>
          <w:rtl w:val="0"/>
        </w:rPr>
      </w:r>
    </w:p>
  </w:footnote>
  <w:footnote w:id="19">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8">
        <w:r w:rsidDel="00000000" w:rsidR="00000000" w:rsidRPr="00000000">
          <w:rPr>
            <w:sz w:val="20"/>
            <w:szCs w:val="20"/>
            <w:vertAlign w:val="baseline"/>
            <w:rtl w:val="0"/>
          </w:rPr>
          <w:t xml:space="preserve">Maurice Possley, ‘Lewis Fogle - National Registry of Exonerations’, 2015 &lt;https://www.law.umich.edu/special/exoneration/Pages/casedetail.aspx?caseid=4756&gt; [accessed 14 May 2020].</w:t>
        </w:r>
      </w:hyperlink>
      <w:r w:rsidDel="00000000" w:rsidR="00000000" w:rsidRPr="00000000">
        <w:rPr>
          <w:rtl w:val="0"/>
        </w:rPr>
      </w:r>
    </w:p>
  </w:footnote>
  <w:footnote w:id="20">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9">
        <w:r w:rsidDel="00000000" w:rsidR="00000000" w:rsidRPr="00000000">
          <w:rPr>
            <w:sz w:val="20"/>
            <w:szCs w:val="20"/>
            <w:vertAlign w:val="baseline"/>
            <w:rtl w:val="0"/>
          </w:rPr>
          <w:t xml:space="preserve">Maurice Possley.</w:t>
        </w:r>
      </w:hyperlink>
      <w:r w:rsidDel="00000000" w:rsidR="00000000" w:rsidRPr="00000000">
        <w:rPr>
          <w:rtl w:val="0"/>
        </w:rPr>
      </w:r>
    </w:p>
  </w:footnote>
  <w:footnote w:id="21">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0">
        <w:r w:rsidDel="00000000" w:rsidR="00000000" w:rsidRPr="00000000">
          <w:rPr>
            <w:sz w:val="20"/>
            <w:szCs w:val="20"/>
            <w:vertAlign w:val="baseline"/>
            <w:rtl w:val="0"/>
          </w:rPr>
          <w:t xml:space="preserve">Maurice Possley.</w:t>
        </w:r>
      </w:hyperlink>
      <w:r w:rsidDel="00000000" w:rsidR="00000000" w:rsidRPr="00000000">
        <w:rPr>
          <w:rtl w:val="0"/>
        </w:rPr>
      </w:r>
    </w:p>
  </w:footnote>
  <w:footnote w:id="22">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1">
        <w:r w:rsidDel="00000000" w:rsidR="00000000" w:rsidRPr="00000000">
          <w:rPr>
            <w:sz w:val="20"/>
            <w:szCs w:val="20"/>
            <w:vertAlign w:val="baseline"/>
            <w:rtl w:val="0"/>
          </w:rPr>
          <w:t xml:space="preserve">Maurice Possley.</w:t>
        </w:r>
      </w:hyperlink>
      <w:r w:rsidDel="00000000" w:rsidR="00000000" w:rsidRPr="00000000">
        <w:rPr>
          <w:rtl w:val="0"/>
        </w:rPr>
      </w:r>
    </w:p>
  </w:footnote>
  <w:footnote w:id="23">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2">
        <w:r w:rsidDel="00000000" w:rsidR="00000000" w:rsidRPr="00000000">
          <w:rPr>
            <w:sz w:val="20"/>
            <w:szCs w:val="20"/>
            <w:vertAlign w:val="baseline"/>
            <w:rtl w:val="0"/>
          </w:rPr>
          <w:t xml:space="preserve">Maurice Possley.</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zotero.org/google-docs/?oVnBT1" TargetMode="External"/><Relationship Id="rId22" Type="http://schemas.openxmlformats.org/officeDocument/2006/relationships/hyperlink" Target="https://www.zotero.org/google-docs/?oVnBT1" TargetMode="External"/><Relationship Id="rId21" Type="http://schemas.openxmlformats.org/officeDocument/2006/relationships/hyperlink" Target="https://www.zotero.org/google-docs/?oVnBT1" TargetMode="External"/><Relationship Id="rId24" Type="http://schemas.openxmlformats.org/officeDocument/2006/relationships/hyperlink" Target="https://www.zotero.org/google-docs/?oVnBT1" TargetMode="External"/><Relationship Id="rId23" Type="http://schemas.openxmlformats.org/officeDocument/2006/relationships/hyperlink" Target="https://www.zotero.org/google-docs/?oVnBT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26" Type="http://schemas.openxmlformats.org/officeDocument/2006/relationships/hyperlink" Target="https://www.zotero.org/google-docs/?oVnBT1" TargetMode="External"/><Relationship Id="rId25" Type="http://schemas.openxmlformats.org/officeDocument/2006/relationships/hyperlink" Target="https://www.zotero.org/google-docs/?oVnBT1" TargetMode="External"/><Relationship Id="rId28" Type="http://schemas.openxmlformats.org/officeDocument/2006/relationships/hyperlink" Target="https://www.zotero.org/google-docs/?oVnBT1" TargetMode="External"/><Relationship Id="rId27" Type="http://schemas.openxmlformats.org/officeDocument/2006/relationships/hyperlink" Target="https://www.zotero.org/google-docs/?oVnBT1"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zotero.org/google-docs/?oVnBT1" TargetMode="External"/><Relationship Id="rId7" Type="http://schemas.openxmlformats.org/officeDocument/2006/relationships/image" Target="media/image3.png"/><Relationship Id="rId8" Type="http://schemas.openxmlformats.org/officeDocument/2006/relationships/image" Target="media/image1.png"/><Relationship Id="rId31" Type="http://schemas.openxmlformats.org/officeDocument/2006/relationships/hyperlink" Target="https://www.zotero.org/google-docs/?oVnBT1" TargetMode="External"/><Relationship Id="rId30" Type="http://schemas.openxmlformats.org/officeDocument/2006/relationships/hyperlink" Target="https://www.zotero.org/google-docs/?oVnBT1" TargetMode="External"/><Relationship Id="rId11" Type="http://schemas.openxmlformats.org/officeDocument/2006/relationships/image" Target="media/image6.png"/><Relationship Id="rId33" Type="http://schemas.openxmlformats.org/officeDocument/2006/relationships/hyperlink" Target="https://www.zotero.org/google-docs/?oVnBT1" TargetMode="External"/><Relationship Id="rId10" Type="http://schemas.openxmlformats.org/officeDocument/2006/relationships/image" Target="media/image4.png"/><Relationship Id="rId32" Type="http://schemas.openxmlformats.org/officeDocument/2006/relationships/hyperlink" Target="https://www.zotero.org/google-docs/?oVnBT1" TargetMode="External"/><Relationship Id="rId13" Type="http://schemas.openxmlformats.org/officeDocument/2006/relationships/hyperlink" Target="https://www.zotero.org/google-docs/?oVnBT1" TargetMode="External"/><Relationship Id="rId35" Type="http://schemas.openxmlformats.org/officeDocument/2006/relationships/hyperlink" Target="https://www.zotero.org/google-docs/?oVnBT1" TargetMode="External"/><Relationship Id="rId12" Type="http://schemas.openxmlformats.org/officeDocument/2006/relationships/image" Target="media/image5.png"/><Relationship Id="rId34" Type="http://schemas.openxmlformats.org/officeDocument/2006/relationships/hyperlink" Target="https://www.zotero.org/google-docs/?oVnBT1" TargetMode="External"/><Relationship Id="rId15" Type="http://schemas.openxmlformats.org/officeDocument/2006/relationships/hyperlink" Target="https://www.zotero.org/google-docs/?oVnBT1" TargetMode="External"/><Relationship Id="rId37" Type="http://schemas.openxmlformats.org/officeDocument/2006/relationships/hyperlink" Target="https://www.zotero.org/google-docs/?oVnBT1" TargetMode="External"/><Relationship Id="rId14" Type="http://schemas.openxmlformats.org/officeDocument/2006/relationships/hyperlink" Target="https://www.zotero.org/google-docs/?oVnBT1" TargetMode="External"/><Relationship Id="rId36" Type="http://schemas.openxmlformats.org/officeDocument/2006/relationships/hyperlink" Target="https://www.zotero.org/google-docs/?oVnBT1" TargetMode="External"/><Relationship Id="rId17" Type="http://schemas.openxmlformats.org/officeDocument/2006/relationships/hyperlink" Target="https://www.zotero.org/google-docs/?oVnBT1" TargetMode="External"/><Relationship Id="rId16" Type="http://schemas.openxmlformats.org/officeDocument/2006/relationships/hyperlink" Target="https://www.zotero.org/google-docs/?oVnBT1" TargetMode="External"/><Relationship Id="rId38" Type="http://schemas.openxmlformats.org/officeDocument/2006/relationships/hyperlink" Target="https://www.zotero.org/google-docs/?oVnBT1" TargetMode="External"/><Relationship Id="rId19" Type="http://schemas.openxmlformats.org/officeDocument/2006/relationships/hyperlink" Target="https://www.zotero.org/google-docs/?oVnBT1" TargetMode="External"/><Relationship Id="rId18" Type="http://schemas.openxmlformats.org/officeDocument/2006/relationships/hyperlink" Target="https://www.zotero.org/google-docs/?oVnBT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_rels/footnotes.xml.rels><?xml version="1.0" encoding="UTF-8" standalone="yes"?><Relationships xmlns="http://schemas.openxmlformats.org/package/2006/relationships"><Relationship Id="rId40" Type="http://schemas.openxmlformats.org/officeDocument/2006/relationships/hyperlink" Target="https://www.zotero.org/google-docs/?Aqasdz" TargetMode="External"/><Relationship Id="rId20" Type="http://schemas.openxmlformats.org/officeDocument/2006/relationships/hyperlink" Target="https://www.zotero.org/google-docs/?EbkdAP" TargetMode="External"/><Relationship Id="rId42" Type="http://schemas.openxmlformats.org/officeDocument/2006/relationships/hyperlink" Target="https://www.zotero.org/google-docs/?Xybh9q" TargetMode="External"/><Relationship Id="rId41" Type="http://schemas.openxmlformats.org/officeDocument/2006/relationships/hyperlink" Target="https://www.zotero.org/google-docs/?jHkqHw" TargetMode="External"/><Relationship Id="rId22" Type="http://schemas.openxmlformats.org/officeDocument/2006/relationships/hyperlink" Target="https://www.zotero.org/google-docs/?EbkdAP" TargetMode="External"/><Relationship Id="rId21" Type="http://schemas.openxmlformats.org/officeDocument/2006/relationships/hyperlink" Target="https://www.zotero.org/google-docs/?EbkdAP" TargetMode="External"/><Relationship Id="rId24" Type="http://schemas.openxmlformats.org/officeDocument/2006/relationships/hyperlink" Target="https://www.zotero.org/google-docs/?ffFqqH" TargetMode="External"/><Relationship Id="rId23" Type="http://schemas.openxmlformats.org/officeDocument/2006/relationships/hyperlink" Target="https://www.zotero.org/google-docs/?6G2IDU" TargetMode="External"/><Relationship Id="rId1" Type="http://schemas.openxmlformats.org/officeDocument/2006/relationships/hyperlink" Target="https://www.zotero.org/google-docs/?gLBpjo" TargetMode="External"/><Relationship Id="rId2" Type="http://schemas.openxmlformats.org/officeDocument/2006/relationships/hyperlink" Target="https://www.zotero.org/google-docs/?gLBpjo" TargetMode="External"/><Relationship Id="rId3" Type="http://schemas.openxmlformats.org/officeDocument/2006/relationships/hyperlink" Target="https://www.zotero.org/google-docs/?gLBpjo" TargetMode="External"/><Relationship Id="rId4" Type="http://schemas.openxmlformats.org/officeDocument/2006/relationships/hyperlink" Target="https://www.zotero.org/google-docs/?uUTpJz" TargetMode="External"/><Relationship Id="rId9" Type="http://schemas.openxmlformats.org/officeDocument/2006/relationships/hyperlink" Target="https://www.zotero.org/google-docs/?6Vy1CR" TargetMode="External"/><Relationship Id="rId26" Type="http://schemas.openxmlformats.org/officeDocument/2006/relationships/hyperlink" Target="https://www.zotero.org/google-docs/?y101Ll" TargetMode="External"/><Relationship Id="rId25" Type="http://schemas.openxmlformats.org/officeDocument/2006/relationships/hyperlink" Target="https://www.zotero.org/google-docs/?c4Nn0d" TargetMode="External"/><Relationship Id="rId28" Type="http://schemas.openxmlformats.org/officeDocument/2006/relationships/hyperlink" Target="https://www.zotero.org/google-docs/?RI7DO2" TargetMode="External"/><Relationship Id="rId27" Type="http://schemas.openxmlformats.org/officeDocument/2006/relationships/hyperlink" Target="https://www.zotero.org/google-docs/?8cLmg3" TargetMode="External"/><Relationship Id="rId5" Type="http://schemas.openxmlformats.org/officeDocument/2006/relationships/hyperlink" Target="https://www.zotero.org/google-docs/?A80Xd1" TargetMode="External"/><Relationship Id="rId6" Type="http://schemas.openxmlformats.org/officeDocument/2006/relationships/hyperlink" Target="https://www.zotero.org/google-docs/?A80Xd1" TargetMode="External"/><Relationship Id="rId29" Type="http://schemas.openxmlformats.org/officeDocument/2006/relationships/hyperlink" Target="https://www.zotero.org/google-docs/?59IWmH" TargetMode="External"/><Relationship Id="rId7" Type="http://schemas.openxmlformats.org/officeDocument/2006/relationships/hyperlink" Target="https://www.zotero.org/google-docs/?A80Xd1" TargetMode="External"/><Relationship Id="rId8" Type="http://schemas.openxmlformats.org/officeDocument/2006/relationships/hyperlink" Target="https://www.zotero.org/google-docs/?FkATKI" TargetMode="External"/><Relationship Id="rId31" Type="http://schemas.openxmlformats.org/officeDocument/2006/relationships/hyperlink" Target="https://www.zotero.org/google-docs/?59IWmH" TargetMode="External"/><Relationship Id="rId30" Type="http://schemas.openxmlformats.org/officeDocument/2006/relationships/hyperlink" Target="https://www.zotero.org/google-docs/?59IWmH" TargetMode="External"/><Relationship Id="rId11" Type="http://schemas.openxmlformats.org/officeDocument/2006/relationships/hyperlink" Target="https://www.zotero.org/google-docs/?6Vy1CR" TargetMode="External"/><Relationship Id="rId33" Type="http://schemas.openxmlformats.org/officeDocument/2006/relationships/hyperlink" Target="https://www.zotero.org/google-docs/?XJex8f" TargetMode="External"/><Relationship Id="rId10" Type="http://schemas.openxmlformats.org/officeDocument/2006/relationships/hyperlink" Target="https://www.zotero.org/google-docs/?6Vy1CR" TargetMode="External"/><Relationship Id="rId32" Type="http://schemas.openxmlformats.org/officeDocument/2006/relationships/hyperlink" Target="https://www.zotero.org/google-docs/?8SDRZg" TargetMode="External"/><Relationship Id="rId13" Type="http://schemas.openxmlformats.org/officeDocument/2006/relationships/hyperlink" Target="https://www.zotero.org/google-docs/?24COrb" TargetMode="External"/><Relationship Id="rId35" Type="http://schemas.openxmlformats.org/officeDocument/2006/relationships/hyperlink" Target="https://www.zotero.org/google-docs/?BCtzjY" TargetMode="External"/><Relationship Id="rId12" Type="http://schemas.openxmlformats.org/officeDocument/2006/relationships/hyperlink" Target="https://www.zotero.org/google-docs/?SzSmth" TargetMode="External"/><Relationship Id="rId34" Type="http://schemas.openxmlformats.org/officeDocument/2006/relationships/hyperlink" Target="https://www.zotero.org/google-docs/?BCtzjY" TargetMode="External"/><Relationship Id="rId15" Type="http://schemas.openxmlformats.org/officeDocument/2006/relationships/hyperlink" Target="https://www.zotero.org/google-docs/?Mk0iI5" TargetMode="External"/><Relationship Id="rId37" Type="http://schemas.openxmlformats.org/officeDocument/2006/relationships/hyperlink" Target="https://www.zotero.org/google-docs/?pUOYLS" TargetMode="External"/><Relationship Id="rId14" Type="http://schemas.openxmlformats.org/officeDocument/2006/relationships/hyperlink" Target="https://www.zotero.org/google-docs/?3j3ge4" TargetMode="External"/><Relationship Id="rId36" Type="http://schemas.openxmlformats.org/officeDocument/2006/relationships/hyperlink" Target="https://www.zotero.org/google-docs/?BCtzjY" TargetMode="External"/><Relationship Id="rId17" Type="http://schemas.openxmlformats.org/officeDocument/2006/relationships/hyperlink" Target="https://www.zotero.org/google-docs/?sZXQoQ" TargetMode="External"/><Relationship Id="rId39" Type="http://schemas.openxmlformats.org/officeDocument/2006/relationships/hyperlink" Target="https://www.zotero.org/google-docs/?0M6jz1" TargetMode="External"/><Relationship Id="rId16" Type="http://schemas.openxmlformats.org/officeDocument/2006/relationships/hyperlink" Target="https://www.zotero.org/google-docs/?w6pFOF" TargetMode="External"/><Relationship Id="rId38" Type="http://schemas.openxmlformats.org/officeDocument/2006/relationships/hyperlink" Target="https://www.zotero.org/google-docs/?D0J5hm" TargetMode="External"/><Relationship Id="rId19" Type="http://schemas.openxmlformats.org/officeDocument/2006/relationships/hyperlink" Target="https://www.zotero.org/google-docs/?sZXQoQ" TargetMode="External"/><Relationship Id="rId18" Type="http://schemas.openxmlformats.org/officeDocument/2006/relationships/hyperlink" Target="https://www.zotero.org/google-docs/?sZXQ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