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E0F9B" w:rsidRPr="00451B51" w:rsidRDefault="007E0F9B" w:rsidP="007E0F9B">
      <w:pPr>
        <w:jc w:val="center"/>
        <w:rPr>
          <w:rFonts w:ascii="Arial" w:hAnsi="Arial" w:cs="Arial"/>
          <w:b/>
          <w:sz w:val="48"/>
          <w:szCs w:val="48"/>
        </w:rPr>
      </w:pPr>
      <w:r w:rsidRPr="00451B51">
        <w:rPr>
          <w:rFonts w:ascii="Arial" w:hAnsi="Arial" w:cs="Arial"/>
          <w:b/>
          <w:sz w:val="48"/>
          <w:szCs w:val="48"/>
        </w:rPr>
        <w:t>An Assignment</w:t>
      </w:r>
    </w:p>
    <w:p w:rsidR="007E0F9B" w:rsidRPr="00451B51" w:rsidRDefault="007E0F9B" w:rsidP="007E0F9B">
      <w:pPr>
        <w:jc w:val="center"/>
        <w:rPr>
          <w:rFonts w:ascii="Arial" w:hAnsi="Arial" w:cs="Arial"/>
          <w:b/>
          <w:sz w:val="48"/>
          <w:szCs w:val="48"/>
        </w:rPr>
      </w:pPr>
      <w:r w:rsidRPr="00451B51">
        <w:rPr>
          <w:rFonts w:ascii="Arial" w:hAnsi="Arial" w:cs="Arial"/>
          <w:b/>
          <w:sz w:val="48"/>
          <w:szCs w:val="48"/>
        </w:rPr>
        <w:t>On</w:t>
      </w:r>
    </w:p>
    <w:p w:rsidR="007E0F9B" w:rsidRPr="007E0F9B" w:rsidRDefault="007E0F9B" w:rsidP="007E0F9B">
      <w:pPr>
        <w:jc w:val="center"/>
        <w:rPr>
          <w:rFonts w:ascii="Arial" w:hAnsi="Arial" w:cs="Arial"/>
          <w:b/>
          <w:sz w:val="48"/>
          <w:szCs w:val="48"/>
        </w:rPr>
      </w:pPr>
      <w:r w:rsidRPr="007E0F9B">
        <w:rPr>
          <w:rFonts w:ascii="Arial" w:hAnsi="Arial" w:cs="Arial"/>
          <w:b/>
          <w:bCs/>
          <w:sz w:val="48"/>
          <w:szCs w:val="48"/>
        </w:rPr>
        <w:t>Introduction to Public Health</w:t>
      </w:r>
    </w:p>
    <w:p w:rsidR="007E0F9B" w:rsidRPr="00451B51" w:rsidRDefault="007E0F9B" w:rsidP="007E0F9B">
      <w:pPr>
        <w:rPr>
          <w:rFonts w:ascii="Arial" w:hAnsi="Arial" w:cs="Arial"/>
          <w:b/>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r>
        <w:rPr>
          <w:rFonts w:ascii="Arial" w:hAnsi="Arial" w:cs="Arial"/>
          <w:b/>
          <w:sz w:val="32"/>
          <w:szCs w:val="32"/>
        </w:rPr>
        <w:t>Module Code: LCHS4004</w:t>
      </w:r>
    </w:p>
    <w:p w:rsidR="007E0F9B" w:rsidRPr="00451B51" w:rsidRDefault="007E0F9B" w:rsidP="007E0F9B">
      <w:pPr>
        <w:rPr>
          <w:rFonts w:ascii="Arial" w:hAnsi="Arial" w:cs="Arial"/>
          <w:b/>
          <w:sz w:val="32"/>
          <w:szCs w:val="32"/>
        </w:rPr>
      </w:pPr>
      <w:r w:rsidRPr="00451B51">
        <w:rPr>
          <w:rFonts w:ascii="Arial" w:hAnsi="Arial" w:cs="Arial"/>
          <w:b/>
          <w:sz w:val="32"/>
          <w:szCs w:val="32"/>
        </w:rPr>
        <w:t xml:space="preserve">Assignment </w:t>
      </w:r>
      <w:r w:rsidRPr="007E0F9B">
        <w:rPr>
          <w:rFonts w:ascii="Arial" w:hAnsi="Arial" w:cs="Arial"/>
          <w:b/>
          <w:sz w:val="32"/>
          <w:szCs w:val="32"/>
        </w:rPr>
        <w:t>title: Incidence of disease in communities.</w:t>
      </w: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rPr>
          <w:rFonts w:ascii="Arial" w:hAnsi="Arial" w:cs="Arial"/>
          <w:b/>
          <w:sz w:val="32"/>
          <w:szCs w:val="32"/>
        </w:rPr>
      </w:pPr>
    </w:p>
    <w:p w:rsidR="007E0F9B" w:rsidRPr="00451B51" w:rsidRDefault="007E0F9B" w:rsidP="007E0F9B">
      <w:pPr>
        <w:spacing w:line="360" w:lineRule="auto"/>
        <w:rPr>
          <w:rFonts w:ascii="Arial" w:hAnsi="Arial" w:cs="Arial"/>
          <w:sz w:val="28"/>
          <w:szCs w:val="28"/>
        </w:rPr>
      </w:pPr>
      <w:r w:rsidRPr="00451B51">
        <w:rPr>
          <w:rFonts w:ascii="Arial" w:hAnsi="Arial" w:cs="Arial"/>
          <w:sz w:val="28"/>
          <w:szCs w:val="28"/>
        </w:rPr>
        <w:t>Submitted by,</w:t>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r>
      <w:r w:rsidRPr="00451B51">
        <w:rPr>
          <w:rFonts w:ascii="Arial" w:hAnsi="Arial" w:cs="Arial"/>
          <w:sz w:val="28"/>
          <w:szCs w:val="28"/>
        </w:rPr>
        <w:tab/>
        <w:t xml:space="preserve">Submitted to, </w:t>
      </w:r>
    </w:p>
    <w:p w:rsidR="007E0F9B" w:rsidRPr="00451B51" w:rsidRDefault="007E0F9B" w:rsidP="007E0F9B">
      <w:pPr>
        <w:spacing w:line="360" w:lineRule="auto"/>
        <w:rPr>
          <w:rFonts w:ascii="Arial" w:hAnsi="Arial" w:cs="Arial"/>
          <w:b/>
          <w:sz w:val="26"/>
          <w:szCs w:val="26"/>
        </w:rPr>
      </w:pPr>
      <w:r w:rsidRPr="00451B51">
        <w:rPr>
          <w:rFonts w:ascii="Arial" w:hAnsi="Arial" w:cs="Arial"/>
          <w:b/>
          <w:sz w:val="26"/>
          <w:szCs w:val="26"/>
        </w:rPr>
        <w:t>Sumi Teresa Ascension</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6"/>
          <w:szCs w:val="26"/>
        </w:rPr>
        <w:t>Dr Fahad Khan</w:t>
      </w:r>
    </w:p>
    <w:p w:rsidR="007E0F9B" w:rsidRPr="00451B51" w:rsidRDefault="007E0F9B" w:rsidP="007E0F9B">
      <w:pPr>
        <w:spacing w:line="360" w:lineRule="auto"/>
        <w:rPr>
          <w:rFonts w:ascii="Arial" w:hAnsi="Arial" w:cs="Arial"/>
          <w:b/>
          <w:sz w:val="26"/>
          <w:szCs w:val="26"/>
        </w:rPr>
      </w:pPr>
      <w:r w:rsidRPr="00451B51">
        <w:rPr>
          <w:rFonts w:ascii="Arial" w:hAnsi="Arial" w:cs="Arial"/>
          <w:sz w:val="26"/>
          <w:szCs w:val="26"/>
        </w:rPr>
        <w:t>Student ID:</w:t>
      </w:r>
      <w:r w:rsidRPr="00451B51">
        <w:rPr>
          <w:rFonts w:ascii="Arial" w:hAnsi="Arial" w:cs="Arial"/>
          <w:b/>
          <w:sz w:val="26"/>
          <w:szCs w:val="26"/>
        </w:rPr>
        <w:t xml:space="preserve"> 2130237</w:t>
      </w:r>
    </w:p>
    <w:p w:rsidR="007E0F9B" w:rsidRPr="00451B51" w:rsidRDefault="007E0F9B" w:rsidP="007E0F9B">
      <w:pPr>
        <w:rPr>
          <w:rFonts w:ascii="Arial" w:hAnsi="Arial" w:cs="Arial"/>
          <w:b/>
          <w:sz w:val="28"/>
          <w:szCs w:val="28"/>
        </w:rPr>
      </w:pPr>
    </w:p>
    <w:p w:rsidR="007E0F9B" w:rsidRPr="00922BA5" w:rsidRDefault="007E0F9B" w:rsidP="007E0F9B">
      <w:pPr>
        <w:rPr>
          <w:b/>
        </w:rPr>
      </w:pPr>
    </w:p>
    <w:p w:rsidR="007E0F9B" w:rsidRPr="00922BA5" w:rsidRDefault="007E0F9B" w:rsidP="007E0F9B">
      <w:pPr>
        <w:rPr>
          <w:b/>
        </w:rPr>
      </w:pPr>
    </w:p>
    <w:p w:rsidR="007E0F9B" w:rsidRDefault="007E0F9B" w:rsidP="007E0F9B">
      <w:pPr>
        <w:spacing w:line="360" w:lineRule="auto"/>
        <w:jc w:val="center"/>
        <w:rPr>
          <w:rFonts w:ascii="Arial" w:hAnsi="Arial" w:cs="Arial"/>
          <w:b/>
        </w:rPr>
      </w:pPr>
    </w:p>
    <w:p w:rsidR="007E0F9B" w:rsidRPr="00451B51" w:rsidRDefault="007E0F9B" w:rsidP="007E0F9B">
      <w:pPr>
        <w:spacing w:line="360" w:lineRule="auto"/>
        <w:jc w:val="center"/>
        <w:rPr>
          <w:rFonts w:ascii="Arial" w:hAnsi="Arial" w:cs="Arial"/>
          <w:b/>
        </w:rPr>
      </w:pPr>
      <w:r w:rsidRPr="00451B51">
        <w:rPr>
          <w:rFonts w:ascii="Arial" w:hAnsi="Arial" w:cs="Arial"/>
          <w:b/>
        </w:rPr>
        <w:lastRenderedPageBreak/>
        <w:t>Table of content</w:t>
      </w:r>
    </w:p>
    <w:tbl>
      <w:tblPr>
        <w:tblStyle w:val="TableGrid"/>
        <w:tblW w:w="0" w:type="auto"/>
        <w:jc w:val="center"/>
        <w:tblLook w:val="04A0" w:firstRow="1" w:lastRow="0" w:firstColumn="1" w:lastColumn="0" w:noHBand="0" w:noVBand="1"/>
      </w:tblPr>
      <w:tblGrid>
        <w:gridCol w:w="5495"/>
        <w:gridCol w:w="2094"/>
      </w:tblGrid>
      <w:tr w:rsidR="007E0F9B" w:rsidTr="00454BCC">
        <w:trPr>
          <w:trHeight w:val="818"/>
          <w:jc w:val="center"/>
        </w:trPr>
        <w:tc>
          <w:tcPr>
            <w:tcW w:w="5495" w:type="dxa"/>
          </w:tcPr>
          <w:p w:rsidR="007E0F9B" w:rsidRDefault="007E0F9B" w:rsidP="00454BCC">
            <w:pPr>
              <w:spacing w:line="360" w:lineRule="auto"/>
              <w:jc w:val="center"/>
              <w:rPr>
                <w:rFonts w:ascii="Arial" w:hAnsi="Arial" w:cs="Arial"/>
              </w:rPr>
            </w:pPr>
            <w:r>
              <w:rPr>
                <w:rFonts w:ascii="Arial" w:hAnsi="Arial" w:cs="Arial"/>
              </w:rPr>
              <w:t>Topic</w:t>
            </w:r>
          </w:p>
        </w:tc>
        <w:tc>
          <w:tcPr>
            <w:tcW w:w="2094" w:type="dxa"/>
          </w:tcPr>
          <w:p w:rsidR="007E0F9B" w:rsidRDefault="007E0F9B" w:rsidP="00454BCC">
            <w:pPr>
              <w:spacing w:line="360" w:lineRule="auto"/>
              <w:jc w:val="center"/>
              <w:rPr>
                <w:rFonts w:ascii="Arial" w:hAnsi="Arial" w:cs="Arial"/>
              </w:rPr>
            </w:pPr>
            <w:r>
              <w:rPr>
                <w:rFonts w:ascii="Arial" w:hAnsi="Arial" w:cs="Arial"/>
              </w:rPr>
              <w:t>Page no.</w:t>
            </w:r>
          </w:p>
        </w:tc>
      </w:tr>
      <w:tr w:rsidR="007E0F9B" w:rsidTr="00454BCC">
        <w:trPr>
          <w:trHeight w:val="818"/>
          <w:jc w:val="center"/>
        </w:trPr>
        <w:tc>
          <w:tcPr>
            <w:tcW w:w="5495" w:type="dxa"/>
          </w:tcPr>
          <w:p w:rsidR="007E0F9B" w:rsidRDefault="007E0F9B" w:rsidP="00454BCC">
            <w:pPr>
              <w:spacing w:line="360" w:lineRule="auto"/>
              <w:jc w:val="center"/>
              <w:rPr>
                <w:rFonts w:ascii="Arial" w:hAnsi="Arial" w:cs="Arial"/>
              </w:rPr>
            </w:pPr>
            <w:r>
              <w:rPr>
                <w:rFonts w:ascii="Arial" w:hAnsi="Arial" w:cs="Arial"/>
              </w:rPr>
              <w:t>Introduction</w:t>
            </w:r>
          </w:p>
        </w:tc>
        <w:tc>
          <w:tcPr>
            <w:tcW w:w="2094" w:type="dxa"/>
          </w:tcPr>
          <w:p w:rsidR="007E0F9B" w:rsidRDefault="007E0F9B" w:rsidP="00454BCC">
            <w:pPr>
              <w:spacing w:line="360" w:lineRule="auto"/>
              <w:jc w:val="center"/>
              <w:rPr>
                <w:rFonts w:ascii="Arial" w:hAnsi="Arial" w:cs="Arial"/>
              </w:rPr>
            </w:pPr>
            <w:r>
              <w:rPr>
                <w:rFonts w:ascii="Arial" w:hAnsi="Arial" w:cs="Arial"/>
              </w:rPr>
              <w:t>3</w:t>
            </w:r>
          </w:p>
        </w:tc>
      </w:tr>
      <w:tr w:rsidR="007E0F9B" w:rsidTr="00454BCC">
        <w:trPr>
          <w:trHeight w:val="818"/>
          <w:jc w:val="center"/>
        </w:trPr>
        <w:tc>
          <w:tcPr>
            <w:tcW w:w="5495" w:type="dxa"/>
          </w:tcPr>
          <w:p w:rsidR="007E0F9B" w:rsidRDefault="007E0F9B" w:rsidP="00454BCC">
            <w:pPr>
              <w:spacing w:line="360" w:lineRule="auto"/>
              <w:jc w:val="center"/>
              <w:rPr>
                <w:rFonts w:ascii="Arial" w:hAnsi="Arial" w:cs="Arial"/>
              </w:rPr>
            </w:pPr>
            <w:r>
              <w:rPr>
                <w:rFonts w:ascii="Arial" w:hAnsi="Arial" w:cs="Arial"/>
              </w:rPr>
              <w:t>Measuring</w:t>
            </w:r>
          </w:p>
        </w:tc>
        <w:tc>
          <w:tcPr>
            <w:tcW w:w="2094" w:type="dxa"/>
          </w:tcPr>
          <w:p w:rsidR="007E0F9B" w:rsidRDefault="00B627D1" w:rsidP="00454BCC">
            <w:pPr>
              <w:spacing w:line="360" w:lineRule="auto"/>
              <w:jc w:val="center"/>
              <w:rPr>
                <w:rFonts w:ascii="Arial" w:hAnsi="Arial" w:cs="Arial"/>
              </w:rPr>
            </w:pPr>
            <w:r>
              <w:rPr>
                <w:rFonts w:ascii="Arial" w:hAnsi="Arial" w:cs="Arial"/>
              </w:rPr>
              <w:t>4</w:t>
            </w:r>
          </w:p>
        </w:tc>
      </w:tr>
      <w:tr w:rsidR="007E0F9B" w:rsidTr="00454BCC">
        <w:trPr>
          <w:trHeight w:val="784"/>
          <w:jc w:val="center"/>
        </w:trPr>
        <w:tc>
          <w:tcPr>
            <w:tcW w:w="5495" w:type="dxa"/>
          </w:tcPr>
          <w:p w:rsidR="007E0F9B" w:rsidRDefault="007E0F9B" w:rsidP="00454BCC">
            <w:pPr>
              <w:spacing w:line="360" w:lineRule="auto"/>
              <w:jc w:val="center"/>
              <w:rPr>
                <w:rFonts w:ascii="Arial" w:hAnsi="Arial" w:cs="Arial"/>
              </w:rPr>
            </w:pPr>
            <w:r>
              <w:rPr>
                <w:rFonts w:ascii="Arial" w:hAnsi="Arial" w:cs="Arial"/>
              </w:rPr>
              <w:t>Monitoring</w:t>
            </w:r>
          </w:p>
        </w:tc>
        <w:tc>
          <w:tcPr>
            <w:tcW w:w="2094" w:type="dxa"/>
          </w:tcPr>
          <w:p w:rsidR="007E0F9B" w:rsidRDefault="00B627D1" w:rsidP="00454BCC">
            <w:pPr>
              <w:spacing w:line="360" w:lineRule="auto"/>
              <w:jc w:val="center"/>
              <w:rPr>
                <w:rFonts w:ascii="Arial" w:hAnsi="Arial" w:cs="Arial"/>
              </w:rPr>
            </w:pPr>
            <w:r>
              <w:rPr>
                <w:rFonts w:ascii="Arial" w:hAnsi="Arial" w:cs="Arial"/>
              </w:rPr>
              <w:t>4</w:t>
            </w:r>
          </w:p>
        </w:tc>
      </w:tr>
      <w:tr w:rsidR="007E0F9B" w:rsidTr="00454BCC">
        <w:trPr>
          <w:trHeight w:val="818"/>
          <w:jc w:val="center"/>
        </w:trPr>
        <w:tc>
          <w:tcPr>
            <w:tcW w:w="5495" w:type="dxa"/>
          </w:tcPr>
          <w:p w:rsidR="007E0F9B" w:rsidRDefault="007E0F9B" w:rsidP="00454BCC">
            <w:pPr>
              <w:spacing w:line="360" w:lineRule="auto"/>
              <w:jc w:val="center"/>
              <w:rPr>
                <w:rFonts w:ascii="Arial" w:hAnsi="Arial" w:cs="Arial"/>
              </w:rPr>
            </w:pPr>
            <w:r>
              <w:rPr>
                <w:rFonts w:ascii="Arial" w:hAnsi="Arial" w:cs="Arial"/>
              </w:rPr>
              <w:t>Controlling</w:t>
            </w:r>
          </w:p>
        </w:tc>
        <w:tc>
          <w:tcPr>
            <w:tcW w:w="2094" w:type="dxa"/>
          </w:tcPr>
          <w:p w:rsidR="007E0F9B" w:rsidRDefault="00B627D1" w:rsidP="00454BCC">
            <w:pPr>
              <w:spacing w:line="360" w:lineRule="auto"/>
              <w:jc w:val="center"/>
              <w:rPr>
                <w:rFonts w:ascii="Arial" w:hAnsi="Arial" w:cs="Arial"/>
              </w:rPr>
            </w:pPr>
            <w:r>
              <w:rPr>
                <w:rFonts w:ascii="Arial" w:hAnsi="Arial" w:cs="Arial"/>
              </w:rPr>
              <w:t>5</w:t>
            </w:r>
          </w:p>
        </w:tc>
      </w:tr>
      <w:tr w:rsidR="007E0F9B" w:rsidTr="00454BCC">
        <w:trPr>
          <w:trHeight w:val="818"/>
          <w:jc w:val="center"/>
        </w:trPr>
        <w:tc>
          <w:tcPr>
            <w:tcW w:w="5495" w:type="dxa"/>
          </w:tcPr>
          <w:p w:rsidR="007E0F9B" w:rsidRDefault="007E0F9B" w:rsidP="00454BCC">
            <w:pPr>
              <w:spacing w:line="360" w:lineRule="auto"/>
              <w:jc w:val="center"/>
              <w:rPr>
                <w:rFonts w:ascii="Arial" w:hAnsi="Arial" w:cs="Arial"/>
              </w:rPr>
            </w:pPr>
            <w:r>
              <w:rPr>
                <w:rFonts w:ascii="Arial" w:hAnsi="Arial" w:cs="Arial"/>
              </w:rPr>
              <w:t>Conclusion</w:t>
            </w:r>
          </w:p>
        </w:tc>
        <w:tc>
          <w:tcPr>
            <w:tcW w:w="2094" w:type="dxa"/>
          </w:tcPr>
          <w:p w:rsidR="007E0F9B" w:rsidRDefault="007E0F9B" w:rsidP="00454BCC">
            <w:pPr>
              <w:spacing w:line="360" w:lineRule="auto"/>
              <w:jc w:val="center"/>
              <w:rPr>
                <w:rFonts w:ascii="Arial" w:hAnsi="Arial" w:cs="Arial"/>
              </w:rPr>
            </w:pPr>
            <w:r>
              <w:rPr>
                <w:rFonts w:ascii="Arial" w:hAnsi="Arial" w:cs="Arial"/>
              </w:rPr>
              <w:t>6</w:t>
            </w:r>
          </w:p>
        </w:tc>
      </w:tr>
      <w:tr w:rsidR="007E0F9B" w:rsidTr="00454BCC">
        <w:trPr>
          <w:trHeight w:val="851"/>
          <w:jc w:val="center"/>
        </w:trPr>
        <w:tc>
          <w:tcPr>
            <w:tcW w:w="5495" w:type="dxa"/>
          </w:tcPr>
          <w:p w:rsidR="007E0F9B" w:rsidRDefault="007E0F9B" w:rsidP="00454BCC">
            <w:pPr>
              <w:spacing w:line="360" w:lineRule="auto"/>
              <w:jc w:val="center"/>
              <w:rPr>
                <w:rFonts w:ascii="Arial" w:hAnsi="Arial" w:cs="Arial"/>
              </w:rPr>
            </w:pPr>
            <w:r>
              <w:rPr>
                <w:rFonts w:ascii="Arial" w:hAnsi="Arial" w:cs="Arial"/>
              </w:rPr>
              <w:t>References</w:t>
            </w:r>
          </w:p>
        </w:tc>
        <w:tc>
          <w:tcPr>
            <w:tcW w:w="2094" w:type="dxa"/>
          </w:tcPr>
          <w:p w:rsidR="007E0F9B" w:rsidRDefault="00B627D1" w:rsidP="00454BCC">
            <w:pPr>
              <w:spacing w:line="360" w:lineRule="auto"/>
              <w:jc w:val="center"/>
              <w:rPr>
                <w:rFonts w:ascii="Arial" w:hAnsi="Arial" w:cs="Arial"/>
              </w:rPr>
            </w:pPr>
            <w:r>
              <w:rPr>
                <w:rFonts w:ascii="Arial" w:hAnsi="Arial" w:cs="Arial"/>
              </w:rPr>
              <w:t>6</w:t>
            </w:r>
          </w:p>
        </w:tc>
      </w:tr>
    </w:tbl>
    <w:p w:rsidR="007E0F9B" w:rsidRDefault="007E0F9B" w:rsidP="007E0F9B">
      <w:pPr>
        <w:spacing w:line="360" w:lineRule="auto"/>
        <w:jc w:val="center"/>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7E0F9B" w:rsidRDefault="007E0F9B" w:rsidP="007E0F9B">
      <w:pPr>
        <w:spacing w:line="360" w:lineRule="auto"/>
        <w:jc w:val="both"/>
        <w:rPr>
          <w:rFonts w:ascii="Arial" w:hAnsi="Arial" w:cs="Arial"/>
        </w:rPr>
      </w:pPr>
    </w:p>
    <w:p w:rsidR="00B627D1" w:rsidRDefault="00B627D1" w:rsidP="007E0F9B">
      <w:pPr>
        <w:spacing w:line="360" w:lineRule="auto"/>
        <w:jc w:val="both"/>
        <w:rPr>
          <w:rFonts w:ascii="Arial" w:hAnsi="Arial" w:cs="Arial"/>
        </w:rPr>
      </w:pPr>
    </w:p>
    <w:p w:rsidR="00B627D1" w:rsidRPr="00B627D1" w:rsidRDefault="00B627D1" w:rsidP="007E0F9B">
      <w:pPr>
        <w:spacing w:line="360" w:lineRule="auto"/>
        <w:jc w:val="both"/>
        <w:rPr>
          <w:rFonts w:ascii="Arial" w:hAnsi="Arial" w:cs="Arial"/>
          <w:b/>
        </w:rPr>
      </w:pPr>
      <w:r w:rsidRPr="00B627D1">
        <w:rPr>
          <w:rFonts w:ascii="Arial" w:hAnsi="Arial" w:cs="Arial"/>
          <w:b/>
        </w:rPr>
        <w:lastRenderedPageBreak/>
        <w:t>Introduction:</w:t>
      </w:r>
    </w:p>
    <w:p w:rsidR="003622FD" w:rsidRPr="00EB178D" w:rsidRDefault="003622FD" w:rsidP="007E0F9B">
      <w:pPr>
        <w:spacing w:line="360" w:lineRule="auto"/>
        <w:jc w:val="both"/>
        <w:rPr>
          <w:rFonts w:ascii="Arial" w:hAnsi="Arial" w:cs="Arial"/>
        </w:rPr>
      </w:pPr>
      <w:r w:rsidRPr="00EB178D">
        <w:rPr>
          <w:rFonts w:ascii="Arial" w:hAnsi="Arial" w:cs="Arial"/>
        </w:rPr>
        <w:t xml:space="preserve">According to Seventer and Hochberg (2017), infectious disease is a condition brought on by a pathogenic organism (or its poisonous byproduct) and spreads to susceptible hosts by way of diseased people, animals, or physical objects. </w:t>
      </w:r>
    </w:p>
    <w:p w:rsidR="003622FD" w:rsidRPr="00EB178D" w:rsidRDefault="003622FD" w:rsidP="007E0F9B">
      <w:pPr>
        <w:spacing w:line="360" w:lineRule="auto"/>
        <w:jc w:val="both"/>
        <w:rPr>
          <w:rFonts w:ascii="Arial" w:hAnsi="Arial" w:cs="Arial"/>
          <w:bCs/>
        </w:rPr>
      </w:pPr>
      <w:r w:rsidRPr="00EB178D">
        <w:rPr>
          <w:rFonts w:ascii="Arial" w:hAnsi="Arial" w:cs="Arial"/>
        </w:rPr>
        <w:t xml:space="preserve">Feigin </w:t>
      </w:r>
      <w:r w:rsidRPr="00EB178D">
        <w:rPr>
          <w:rFonts w:ascii="Arial" w:hAnsi="Arial" w:cs="Arial"/>
          <w:i/>
          <w:iCs/>
        </w:rPr>
        <w:t>et al (</w:t>
      </w:r>
      <w:r w:rsidRPr="00EB178D">
        <w:rPr>
          <w:rFonts w:ascii="Arial" w:hAnsi="Arial" w:cs="Arial"/>
        </w:rPr>
        <w:t>2020) says i</w:t>
      </w:r>
      <w:r w:rsidRPr="00EB178D">
        <w:rPr>
          <w:rFonts w:ascii="Arial" w:hAnsi="Arial" w:cs="Arial"/>
          <w:bCs/>
        </w:rPr>
        <w:t>nfectious diseases are conditions brought on by a substance, frequently a kind of pathogenic bacterium, which harms a people’s health.</w:t>
      </w:r>
    </w:p>
    <w:p w:rsidR="003622FD" w:rsidRPr="00EB178D" w:rsidRDefault="003622FD" w:rsidP="007E0F9B">
      <w:pPr>
        <w:spacing w:line="360" w:lineRule="auto"/>
        <w:jc w:val="both"/>
        <w:rPr>
          <w:rFonts w:ascii="Arial" w:hAnsi="Arial" w:cs="Arial"/>
          <w:bCs/>
        </w:rPr>
      </w:pPr>
      <w:r w:rsidRPr="00EB178D">
        <w:rPr>
          <w:rFonts w:ascii="Arial" w:hAnsi="Arial" w:cs="Arial"/>
          <w:bCs/>
        </w:rPr>
        <w:t>According to Snieszko's (1974) epidemiological triangle, a combination of agent (pathogen), host, and environmental conditions leads to an infectious disease.</w:t>
      </w:r>
    </w:p>
    <w:p w:rsidR="003622FD" w:rsidRPr="00EB178D" w:rsidRDefault="003622FD" w:rsidP="007E0F9B">
      <w:pPr>
        <w:spacing w:line="360" w:lineRule="auto"/>
        <w:ind w:left="360"/>
        <w:jc w:val="both"/>
        <w:rPr>
          <w:rFonts w:ascii="Arial" w:hAnsi="Arial" w:cs="Arial"/>
        </w:rPr>
      </w:pPr>
      <w:r w:rsidRPr="00EB178D">
        <w:rPr>
          <w:rFonts w:ascii="Arial" w:hAnsi="Arial" w:cs="Arial"/>
          <w:noProof/>
          <w:lang w:eastAsia="en-GB"/>
        </w:rPr>
        <w:drawing>
          <wp:anchor distT="0" distB="0" distL="114300" distR="114300" simplePos="0" relativeHeight="251659264" behindDoc="1" locked="0" layoutInCell="1" allowOverlap="1" wp14:anchorId="312E183D" wp14:editId="5064A01F">
            <wp:simplePos x="0" y="0"/>
            <wp:positionH relativeFrom="column">
              <wp:posOffset>228600</wp:posOffset>
            </wp:positionH>
            <wp:positionV relativeFrom="paragraph">
              <wp:posOffset>-635</wp:posOffset>
            </wp:positionV>
            <wp:extent cx="5731510" cy="4163060"/>
            <wp:effectExtent l="0" t="0" r="2540" b="8890"/>
            <wp:wrapTight wrapText="bothSides">
              <wp:wrapPolygon edited="0">
                <wp:start x="0" y="0"/>
                <wp:lineTo x="0" y="21547"/>
                <wp:lineTo x="21538" y="21547"/>
                <wp:lineTo x="21538" y="0"/>
                <wp:lineTo x="0" y="0"/>
              </wp:wrapPolygon>
            </wp:wrapTight>
            <wp:docPr id="1" name="Picture 1" descr="C:\Users\SumiHenry\Downloads\Epidemiologi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miHenry\Downloads\Epidemiologist.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1630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622FD" w:rsidRPr="00EB178D" w:rsidRDefault="003622FD" w:rsidP="007E0F9B">
      <w:pPr>
        <w:spacing w:line="360" w:lineRule="auto"/>
        <w:jc w:val="both"/>
        <w:rPr>
          <w:rFonts w:ascii="Arial" w:hAnsi="Arial" w:cs="Arial"/>
          <w:bCs/>
        </w:rPr>
      </w:pPr>
      <w:r w:rsidRPr="00EB178D">
        <w:rPr>
          <w:rFonts w:ascii="Arial" w:hAnsi="Arial" w:cs="Arial"/>
          <w:bCs/>
        </w:rPr>
        <w:t>Diarrheal diseases, HIV/AIDS, tuberculosis (TB), the Ebola virus, hepatitis B, and coronavirus are just a few of the infectious diseases that can be caused by bacteria, viruses, fungi, or living parasites.</w:t>
      </w:r>
    </w:p>
    <w:p w:rsidR="00A20D8E" w:rsidRDefault="00A20D8E" w:rsidP="007E0F9B">
      <w:pPr>
        <w:autoSpaceDE w:val="0"/>
        <w:autoSpaceDN w:val="0"/>
        <w:adjustRightInd w:val="0"/>
        <w:spacing w:after="0" w:line="360" w:lineRule="auto"/>
        <w:jc w:val="both"/>
        <w:rPr>
          <w:rFonts w:ascii="Arial" w:hAnsi="Arial" w:cs="Arial"/>
          <w:bCs/>
        </w:rPr>
      </w:pPr>
      <w:r>
        <w:rPr>
          <w:noProof/>
          <w:lang w:eastAsia="en-GB"/>
        </w:rPr>
        <mc:AlternateContent>
          <mc:Choice Requires="wps">
            <w:drawing>
              <wp:anchor distT="0" distB="0" distL="114300" distR="114300" simplePos="0" relativeHeight="251664384" behindDoc="0" locked="0" layoutInCell="1" allowOverlap="1" wp14:anchorId="3F5F956F" wp14:editId="50F4AACD">
                <wp:simplePos x="0" y="0"/>
                <wp:positionH relativeFrom="column">
                  <wp:posOffset>2543175</wp:posOffset>
                </wp:positionH>
                <wp:positionV relativeFrom="paragraph">
                  <wp:posOffset>2144395</wp:posOffset>
                </wp:positionV>
                <wp:extent cx="319087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190875" cy="635"/>
                        </a:xfrm>
                        <a:prstGeom prst="rect">
                          <a:avLst/>
                        </a:prstGeom>
                        <a:solidFill>
                          <a:prstClr val="white"/>
                        </a:solidFill>
                        <a:ln>
                          <a:noFill/>
                        </a:ln>
                        <a:effectLst/>
                      </wps:spPr>
                      <wps:txbx>
                        <w:txbxContent>
                          <w:p w:rsidR="00A20D8E" w:rsidRPr="00A20D8E" w:rsidRDefault="00A20D8E" w:rsidP="00A20D8E">
                            <w:pPr>
                              <w:pStyle w:val="Caption"/>
                              <w:ind w:left="720" w:firstLine="720"/>
                              <w:rPr>
                                <w:rFonts w:ascii="Arial" w:hAnsi="Arial" w:cs="Arial"/>
                                <w:noProof/>
                                <w:color w:val="auto"/>
                              </w:rPr>
                            </w:pPr>
                            <w:r w:rsidRPr="00A20D8E">
                              <w:rPr>
                                <w:rFonts w:ascii="Arial" w:hAnsi="Arial" w:cs="Arial"/>
                                <w:color w:val="auto"/>
                              </w:rPr>
                              <w:t>Figure: Means of transmission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200.25pt;margin-top:168.85pt;width:251.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" stroked="f">
                <v:textbox style="mso-fit-shape-to-text:t" inset="0,0,0,0">
                  <w:txbxContent>
                    <w:p w:rsidR="00A20D8E" w:rsidRPr="00A20D8E" w:rsidRDefault="00A20D8E" w:rsidP="00A20D8E">
                      <w:pPr>
                        <w:pStyle w:val="Caption"/>
                        <w:ind w:left="720" w:firstLine="720"/>
                        <w:rPr>
                          <w:rFonts w:ascii="Arial" w:hAnsi="Arial" w:cs="Arial"/>
                          <w:noProof/>
                          <w:color w:val="auto"/>
                        </w:rPr>
                      </w:pPr>
                      <w:r w:rsidRPr="00A20D8E">
                        <w:rPr>
                          <w:rFonts w:ascii="Arial" w:hAnsi="Arial" w:cs="Arial"/>
                          <w:color w:val="auto"/>
                        </w:rPr>
                        <w:t>Figure: Means of transmission</w:t>
                      </w:r>
                    </w:p>
                  </w:txbxContent>
                </v:textbox>
                <w10:wrap type="tight"/>
              </v:shape>
            </w:pict>
          </mc:Fallback>
        </mc:AlternateContent>
      </w:r>
      <w:r w:rsidRPr="00EB178D">
        <w:rPr>
          <w:rFonts w:ascii="Arial" w:hAnsi="Arial" w:cs="Arial"/>
          <w:noProof/>
          <w:lang w:eastAsia="en-GB"/>
        </w:rPr>
        <w:drawing>
          <wp:anchor distT="0" distB="0" distL="114300" distR="114300" simplePos="0" relativeHeight="251662336" behindDoc="1" locked="0" layoutInCell="1" allowOverlap="1" wp14:anchorId="55494E64" wp14:editId="78513CF3">
            <wp:simplePos x="0" y="0"/>
            <wp:positionH relativeFrom="column">
              <wp:posOffset>2543175</wp:posOffset>
            </wp:positionH>
            <wp:positionV relativeFrom="paragraph">
              <wp:posOffset>0</wp:posOffset>
            </wp:positionV>
            <wp:extent cx="3190875" cy="2087245"/>
            <wp:effectExtent l="0" t="0" r="9525" b="8255"/>
            <wp:wrapTight wrapText="bothSides">
              <wp:wrapPolygon edited="0">
                <wp:start x="0" y="0"/>
                <wp:lineTo x="0" y="21488"/>
                <wp:lineTo x="21536" y="21488"/>
                <wp:lineTo x="21536" y="0"/>
                <wp:lineTo x="0" y="0"/>
              </wp:wrapPolygon>
            </wp:wrapTight>
            <wp:docPr id="5" name="Picture 4">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1594D6C9-D634-4F45-8139-ACF4C6A398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1594D6C9-D634-4F45-8139-ACF4C6A3987B}"/>
                        </a:ext>
                      </a:extLst>
                    </pic:cNvPr>
                    <pic:cNvPicPr>
                      <a:picLocks noChangeAspect="1"/>
                    </pic:cNvPicPr>
                  </pic:nvPicPr>
                  <pic:blipFill rotWithShape="1">
                    <a:blip r:embed="rId8">
                      <a:extLst>
                        <a:ext uri="{28A0092B-C50C-407E-A947-70E740481C1C}">
                          <a14:useLocalDpi xmlns:a14="http://schemas.microsoft.com/office/drawing/2010/main" val="0"/>
                        </a:ext>
                      </a:extLst>
                    </a:blip>
                    <a:srcRect l="48425" t="43769" r="24013" b="14232"/>
                    <a:stretch/>
                  </pic:blipFill>
                  <pic:spPr>
                    <a:xfrm>
                      <a:off x="0" y="0"/>
                      <a:ext cx="3190875" cy="2087245"/>
                    </a:xfrm>
                    <a:prstGeom prst="rect">
                      <a:avLst/>
                    </a:prstGeom>
                  </pic:spPr>
                </pic:pic>
              </a:graphicData>
            </a:graphic>
            <wp14:sizeRelH relativeFrom="page">
              <wp14:pctWidth>0</wp14:pctWidth>
            </wp14:sizeRelH>
            <wp14:sizeRelV relativeFrom="page">
              <wp14:pctHeight>0</wp14:pctHeight>
            </wp14:sizeRelV>
          </wp:anchor>
        </w:drawing>
      </w:r>
    </w:p>
    <w:p w:rsidR="003622FD" w:rsidRPr="00EB178D" w:rsidRDefault="003622FD" w:rsidP="007E0F9B">
      <w:pPr>
        <w:autoSpaceDE w:val="0"/>
        <w:autoSpaceDN w:val="0"/>
        <w:adjustRightInd w:val="0"/>
        <w:spacing w:after="0" w:line="360" w:lineRule="auto"/>
        <w:jc w:val="both"/>
        <w:rPr>
          <w:rFonts w:ascii="Arial" w:hAnsi="Arial" w:cs="Arial"/>
          <w:bCs/>
        </w:rPr>
      </w:pPr>
      <w:r w:rsidRPr="00EB178D">
        <w:rPr>
          <w:rFonts w:ascii="Arial" w:hAnsi="Arial" w:cs="Arial"/>
          <w:bCs/>
        </w:rPr>
        <w:t xml:space="preserve">The outbreak of </w:t>
      </w:r>
      <w:r w:rsidRPr="00A20D8E">
        <w:rPr>
          <w:rFonts w:ascii="Arial" w:hAnsi="Arial" w:cs="Arial"/>
          <w:b/>
          <w:bCs/>
        </w:rPr>
        <w:t>Tuberculosis</w:t>
      </w:r>
      <w:r w:rsidRPr="00EB178D">
        <w:rPr>
          <w:rFonts w:ascii="Arial" w:hAnsi="Arial" w:cs="Arial"/>
          <w:bCs/>
        </w:rPr>
        <w:t xml:space="preserve"> in the UK will be discussed in this paper. </w:t>
      </w:r>
    </w:p>
    <w:p w:rsidR="003622FD" w:rsidRPr="00EB178D" w:rsidRDefault="003622FD" w:rsidP="007E0F9B">
      <w:pPr>
        <w:autoSpaceDE w:val="0"/>
        <w:autoSpaceDN w:val="0"/>
        <w:adjustRightInd w:val="0"/>
        <w:spacing w:after="0" w:line="360" w:lineRule="auto"/>
        <w:jc w:val="both"/>
        <w:rPr>
          <w:rFonts w:ascii="Arial" w:hAnsi="Arial" w:cs="Arial"/>
        </w:rPr>
      </w:pPr>
      <w:r w:rsidRPr="00EB178D">
        <w:rPr>
          <w:rFonts w:ascii="Arial" w:hAnsi="Arial" w:cs="Arial"/>
          <w:bCs/>
        </w:rPr>
        <w:t>“</w:t>
      </w:r>
      <w:r w:rsidRPr="00EB178D">
        <w:rPr>
          <w:rFonts w:ascii="Arial" w:hAnsi="Arial" w:cs="Arial"/>
        </w:rPr>
        <w:t xml:space="preserve">Tuberculosis (TB) is an infectious disease caused by a bacterium, </w:t>
      </w:r>
      <w:r w:rsidRPr="00EB178D">
        <w:rPr>
          <w:rFonts w:ascii="Arial" w:hAnsi="Arial" w:cs="Arial"/>
        </w:rPr>
        <w:lastRenderedPageBreak/>
        <w:t xml:space="preserve">Mycobacterium tuberculosis”. (CDCP, 2016) </w:t>
      </w:r>
    </w:p>
    <w:p w:rsidR="001A28BA" w:rsidRDefault="001A28BA" w:rsidP="001A28BA">
      <w:pPr>
        <w:spacing w:line="360" w:lineRule="auto"/>
        <w:jc w:val="both"/>
        <w:rPr>
          <w:rFonts w:ascii="Arial" w:hAnsi="Arial" w:cs="Arial"/>
        </w:rPr>
      </w:pPr>
      <w:r w:rsidRPr="001A28BA">
        <w:rPr>
          <w:rFonts w:ascii="Arial" w:hAnsi="Arial" w:cs="Arial"/>
        </w:rPr>
        <w:t xml:space="preserve">The germs that cause tuberculosis (TB) could be disseminated by inhaling small droplets from someone who is coughing or sneezing while </w:t>
      </w:r>
      <w:r>
        <w:rPr>
          <w:rFonts w:ascii="Arial" w:hAnsi="Arial" w:cs="Arial"/>
        </w:rPr>
        <w:t xml:space="preserve">infected. </w:t>
      </w:r>
      <w:r w:rsidRPr="001A28BA">
        <w:rPr>
          <w:rFonts w:ascii="Arial" w:hAnsi="Arial" w:cs="Arial"/>
        </w:rPr>
        <w:t>Although it can affect any part of the body, including the stomach (abdomen), organs, bones, and neurological system, it typically affects the lungs.</w:t>
      </w:r>
      <w:r>
        <w:rPr>
          <w:rFonts w:ascii="Arial" w:hAnsi="Arial" w:cs="Arial"/>
        </w:rPr>
        <w:t xml:space="preserve"> </w:t>
      </w:r>
      <w:r w:rsidR="003622FD" w:rsidRPr="00EB178D">
        <w:rPr>
          <w:rFonts w:ascii="Arial" w:hAnsi="Arial" w:cs="Arial"/>
        </w:rPr>
        <w:t xml:space="preserve">Most often, pulmonary TB germs develop in the lungs. </w:t>
      </w:r>
      <w:r w:rsidRPr="001A28BA">
        <w:rPr>
          <w:rFonts w:ascii="Arial" w:hAnsi="Arial" w:cs="Arial"/>
        </w:rPr>
        <w:t>In addition to a persistent cough that lasts for more than three weeks and frequently produces phlegm, which may be bloody and result in weight loss, night swea</w:t>
      </w:r>
      <w:r w:rsidR="00736319">
        <w:rPr>
          <w:rFonts w:ascii="Arial" w:hAnsi="Arial" w:cs="Arial"/>
        </w:rPr>
        <w:t>ts, a rise in body temperature</w:t>
      </w:r>
      <w:r w:rsidRPr="001A28BA">
        <w:rPr>
          <w:rFonts w:ascii="Arial" w:hAnsi="Arial" w:cs="Arial"/>
        </w:rPr>
        <w:t>, a los</w:t>
      </w:r>
      <w:r>
        <w:rPr>
          <w:rFonts w:ascii="Arial" w:hAnsi="Arial" w:cs="Arial"/>
        </w:rPr>
        <w:t>s of appetite, and neck swells</w:t>
      </w:r>
      <w:r w:rsidR="00736319">
        <w:rPr>
          <w:rFonts w:ascii="Arial" w:hAnsi="Arial" w:cs="Arial"/>
        </w:rPr>
        <w:t xml:space="preserve"> is the common </w:t>
      </w:r>
      <w:r w:rsidRPr="001A28BA">
        <w:rPr>
          <w:rFonts w:ascii="Arial" w:hAnsi="Arial" w:cs="Arial"/>
        </w:rPr>
        <w:t>TB symptoms</w:t>
      </w:r>
      <w:r w:rsidR="00736319">
        <w:rPr>
          <w:rFonts w:ascii="Arial" w:hAnsi="Arial" w:cs="Arial"/>
        </w:rPr>
        <w:t xml:space="preserve"> which</w:t>
      </w:r>
      <w:r w:rsidRPr="001A28BA">
        <w:rPr>
          <w:rFonts w:ascii="Arial" w:hAnsi="Arial" w:cs="Arial"/>
        </w:rPr>
        <w:t xml:space="preserve"> also include</w:t>
      </w:r>
      <w:r w:rsidR="00736319">
        <w:rPr>
          <w:rFonts w:ascii="Arial" w:hAnsi="Arial" w:cs="Arial"/>
        </w:rPr>
        <w:t>s</w:t>
      </w:r>
      <w:r w:rsidRPr="001A28BA">
        <w:rPr>
          <w:rFonts w:ascii="Arial" w:hAnsi="Arial" w:cs="Arial"/>
        </w:rPr>
        <w:t xml:space="preserve"> tiredness.</w:t>
      </w:r>
    </w:p>
    <w:p w:rsidR="003622FD" w:rsidRPr="00EB178D" w:rsidRDefault="00A20D8E" w:rsidP="001A28BA">
      <w:pPr>
        <w:spacing w:line="360" w:lineRule="auto"/>
        <w:jc w:val="both"/>
        <w:rPr>
          <w:rFonts w:ascii="Arial" w:hAnsi="Arial" w:cs="Arial"/>
          <w:b/>
          <w:bCs/>
        </w:rPr>
      </w:pPr>
      <w:r>
        <w:rPr>
          <w:rFonts w:ascii="Arial" w:hAnsi="Arial" w:cs="Arial"/>
          <w:b/>
          <w:bCs/>
        </w:rPr>
        <w:t>Measuring:</w:t>
      </w:r>
    </w:p>
    <w:p w:rsidR="003622FD" w:rsidRPr="00EB178D" w:rsidRDefault="003622FD" w:rsidP="007E0F9B">
      <w:pPr>
        <w:pStyle w:val="Default"/>
        <w:spacing w:line="360" w:lineRule="auto"/>
        <w:jc w:val="both"/>
        <w:rPr>
          <w:rFonts w:ascii="Arial" w:hAnsi="Arial" w:cs="Arial"/>
          <w:color w:val="auto"/>
          <w:sz w:val="22"/>
          <w:szCs w:val="22"/>
        </w:rPr>
      </w:pPr>
      <w:r w:rsidRPr="00EB178D">
        <w:rPr>
          <w:rFonts w:ascii="Arial" w:hAnsi="Arial" w:cs="Arial"/>
          <w:color w:val="auto"/>
          <w:sz w:val="22"/>
          <w:szCs w:val="22"/>
        </w:rPr>
        <w:t>Mortality and morbidity are the two methods used most frequently to measure the global burden of disease and evaluate public health. TB is being measured in the UK by the national system for data reporting and surveillance.</w:t>
      </w:r>
    </w:p>
    <w:p w:rsidR="003622FD" w:rsidRPr="00EB178D" w:rsidRDefault="003622FD" w:rsidP="007E0F9B">
      <w:pPr>
        <w:pStyle w:val="Default"/>
        <w:spacing w:line="360" w:lineRule="auto"/>
        <w:jc w:val="both"/>
        <w:rPr>
          <w:rFonts w:ascii="Arial" w:hAnsi="Arial" w:cs="Arial"/>
          <w:color w:val="auto"/>
          <w:sz w:val="22"/>
          <w:szCs w:val="22"/>
        </w:rPr>
      </w:pPr>
      <w:r w:rsidRPr="00EB178D">
        <w:rPr>
          <w:rFonts w:ascii="Arial" w:hAnsi="Arial" w:cs="Arial"/>
          <w:noProof/>
          <w:color w:val="auto"/>
          <w:sz w:val="22"/>
          <w:szCs w:val="22"/>
          <w:lang w:eastAsia="en-GB"/>
        </w:rPr>
        <w:drawing>
          <wp:inline distT="0" distB="0" distL="0" distR="0" wp14:anchorId="5F9C2253" wp14:editId="03DDA126">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622FD" w:rsidRPr="00EB178D" w:rsidRDefault="003622FD" w:rsidP="007E0F9B">
      <w:pPr>
        <w:pStyle w:val="Default"/>
        <w:spacing w:line="360" w:lineRule="auto"/>
        <w:jc w:val="both"/>
        <w:rPr>
          <w:rFonts w:ascii="Arial" w:hAnsi="Arial" w:cs="Arial"/>
          <w:color w:val="auto"/>
          <w:sz w:val="22"/>
          <w:szCs w:val="22"/>
        </w:rPr>
      </w:pPr>
      <w:r w:rsidRPr="00EB178D">
        <w:rPr>
          <w:rFonts w:ascii="Arial" w:hAnsi="Arial" w:cs="Arial"/>
          <w:color w:val="auto"/>
          <w:sz w:val="22"/>
          <w:szCs w:val="22"/>
        </w:rPr>
        <w:t xml:space="preserve">According to estimates from the World Health Organization (WHO), there were 10.4 million new cases of TB worldwide in 2016 and 5664 of the cases were in England which dropped to 4655 in 2018 which is due to the decrease of non-UK cases. Screening a population is in use to identify the people in risk for TB. People in the UK who are at a greater risk of contracting TB are being screened, according to the National Institute for Health and Care Excellence (NICE). </w:t>
      </w:r>
    </w:p>
    <w:p w:rsidR="003622FD" w:rsidRPr="00EB178D" w:rsidRDefault="003622FD" w:rsidP="007E0F9B">
      <w:pPr>
        <w:pStyle w:val="Default"/>
        <w:spacing w:line="360" w:lineRule="auto"/>
        <w:jc w:val="both"/>
        <w:rPr>
          <w:rFonts w:ascii="Arial" w:hAnsi="Arial" w:cs="Arial"/>
          <w:color w:val="auto"/>
          <w:sz w:val="22"/>
          <w:szCs w:val="22"/>
        </w:rPr>
      </w:pPr>
    </w:p>
    <w:p w:rsidR="003622FD" w:rsidRPr="00EB178D" w:rsidRDefault="003622FD" w:rsidP="007E0F9B">
      <w:pPr>
        <w:pStyle w:val="Default"/>
        <w:spacing w:line="360" w:lineRule="auto"/>
        <w:jc w:val="both"/>
        <w:rPr>
          <w:rFonts w:ascii="Arial" w:hAnsi="Arial" w:cs="Arial"/>
          <w:b/>
          <w:color w:val="auto"/>
          <w:sz w:val="22"/>
          <w:szCs w:val="22"/>
        </w:rPr>
      </w:pPr>
      <w:r w:rsidRPr="00EB178D">
        <w:rPr>
          <w:rFonts w:ascii="Arial" w:hAnsi="Arial" w:cs="Arial"/>
          <w:b/>
          <w:color w:val="auto"/>
          <w:sz w:val="22"/>
          <w:szCs w:val="22"/>
        </w:rPr>
        <w:t xml:space="preserve">Monitoring: </w:t>
      </w:r>
    </w:p>
    <w:p w:rsidR="003622FD" w:rsidRPr="00A20D8E" w:rsidRDefault="003622FD" w:rsidP="007E0F9B">
      <w:pPr>
        <w:pStyle w:val="Default"/>
        <w:spacing w:line="360" w:lineRule="auto"/>
        <w:jc w:val="both"/>
        <w:rPr>
          <w:rFonts w:ascii="Arial" w:hAnsi="Arial" w:cs="Arial"/>
          <w:color w:val="auto"/>
          <w:sz w:val="22"/>
          <w:szCs w:val="22"/>
        </w:rPr>
      </w:pPr>
      <w:r w:rsidRPr="00EB178D">
        <w:rPr>
          <w:rFonts w:ascii="Arial" w:hAnsi="Arial" w:cs="Arial"/>
          <w:color w:val="auto"/>
          <w:sz w:val="22"/>
          <w:szCs w:val="22"/>
        </w:rPr>
        <w:t>Age, gender, socioeconomic factors, and medication</w:t>
      </w:r>
      <w:r w:rsidR="00B247B1" w:rsidRPr="00EB178D">
        <w:rPr>
          <w:rFonts w:ascii="Arial" w:hAnsi="Arial" w:cs="Arial"/>
          <w:color w:val="auto"/>
          <w:sz w:val="22"/>
          <w:szCs w:val="22"/>
        </w:rPr>
        <w:t xml:space="preserve"> or drugs</w:t>
      </w:r>
      <w:r w:rsidRPr="00EB178D">
        <w:rPr>
          <w:rFonts w:ascii="Arial" w:hAnsi="Arial" w:cs="Arial"/>
          <w:color w:val="auto"/>
          <w:sz w:val="22"/>
          <w:szCs w:val="22"/>
        </w:rPr>
        <w:t xml:space="preserve"> usage are used to screen for tuberculosis. ACF (active case finding) is used in locating and treating the patients who don’t </w:t>
      </w:r>
      <w:r w:rsidRPr="00EB178D">
        <w:rPr>
          <w:rFonts w:ascii="Arial" w:hAnsi="Arial" w:cs="Arial"/>
          <w:color w:val="auto"/>
          <w:sz w:val="22"/>
          <w:szCs w:val="22"/>
        </w:rPr>
        <w:lastRenderedPageBreak/>
        <w:t xml:space="preserve">have any TB symptom using the X-ray. ACF is applied to drug and alcohol users, the homeless, inmates, and immigrants at high risk for TB to monitor the disease. </w:t>
      </w:r>
      <w:r w:rsidR="00C93392" w:rsidRPr="00C93392">
        <w:rPr>
          <w:rFonts w:ascii="Arial" w:hAnsi="Arial" w:cs="Arial"/>
          <w:color w:val="auto"/>
          <w:sz w:val="22"/>
          <w:szCs w:val="22"/>
        </w:rPr>
        <w:t>To give local expertise on the essential TB monitoring indicators for the Collaborative TB Strategy, Public Health England developed the TB Strategy Monitoring Indicators tool.</w:t>
      </w:r>
      <w:r w:rsidR="00C93392">
        <w:rPr>
          <w:rFonts w:ascii="Arial" w:hAnsi="Arial" w:cs="Arial"/>
          <w:color w:val="auto"/>
          <w:sz w:val="22"/>
          <w:szCs w:val="22"/>
        </w:rPr>
        <w:t xml:space="preserve"> </w:t>
      </w:r>
      <w:r w:rsidR="00E07E8C" w:rsidRPr="00EB178D">
        <w:rPr>
          <w:rFonts w:ascii="Arial" w:hAnsi="Arial" w:cs="Arial"/>
          <w:color w:val="auto"/>
          <w:sz w:val="22"/>
          <w:szCs w:val="22"/>
        </w:rPr>
        <w:t xml:space="preserve">This method enables the creation of a map to track TB cases in England so that the government may take the necessary preventative measures. It also allows for trends, suppression, benchmarks, comparison of areas, profiles, and indicators. For certain high-risk categories, screening is advised in the UK by NICE. These individuals include those who are closely associated with TB patients, healthcare professionals, patients who are immunosuppressed (like those with HIV, diabetics), and immigrants from nations where TB is prevalent. </w:t>
      </w:r>
      <w:r w:rsidR="006F11A0" w:rsidRPr="00EB178D">
        <w:rPr>
          <w:rFonts w:ascii="Arial" w:hAnsi="Arial" w:cs="Arial"/>
          <w:color w:val="auto"/>
          <w:sz w:val="22"/>
          <w:szCs w:val="22"/>
        </w:rPr>
        <w:t>Tuberculin skin test (TST)</w:t>
      </w:r>
      <w:r w:rsidR="00166350" w:rsidRPr="00EB178D">
        <w:rPr>
          <w:rFonts w:ascii="Arial" w:hAnsi="Arial" w:cs="Arial"/>
          <w:color w:val="auto"/>
          <w:sz w:val="22"/>
          <w:szCs w:val="22"/>
        </w:rPr>
        <w:t xml:space="preserve"> and </w:t>
      </w:r>
      <w:r w:rsidR="006F11A0" w:rsidRPr="00EB178D">
        <w:rPr>
          <w:rFonts w:ascii="Arial" w:hAnsi="Arial" w:cs="Arial"/>
          <w:color w:val="auto"/>
          <w:sz w:val="22"/>
          <w:szCs w:val="22"/>
        </w:rPr>
        <w:t>interferon gamma release assay (IGRA)</w:t>
      </w:r>
      <w:r w:rsidR="00166350" w:rsidRPr="00EB178D">
        <w:rPr>
          <w:rFonts w:ascii="Arial" w:hAnsi="Arial" w:cs="Arial"/>
          <w:color w:val="auto"/>
          <w:sz w:val="22"/>
          <w:szCs w:val="22"/>
        </w:rPr>
        <w:t xml:space="preserve"> is in place to screen LTBI (Latent TB Infection) in England too. </w:t>
      </w:r>
      <w:r w:rsidR="00AA5E7E" w:rsidRPr="00EB178D">
        <w:rPr>
          <w:rFonts w:ascii="Arial" w:hAnsi="Arial" w:cs="Arial"/>
          <w:color w:val="auto"/>
          <w:sz w:val="22"/>
          <w:szCs w:val="22"/>
        </w:rPr>
        <w:t>A comprehensive LTBI testing and treatment for the immigrants from a high risk countries is a key strategy of intervention of monitoring TB cases for England for 2021 to 2026.</w:t>
      </w:r>
      <w:r w:rsidR="00A20D8E">
        <w:rPr>
          <w:rFonts w:ascii="Arial" w:hAnsi="Arial" w:cs="Arial"/>
          <w:color w:val="auto"/>
          <w:sz w:val="22"/>
          <w:szCs w:val="22"/>
        </w:rPr>
        <w:t xml:space="preserve"> </w:t>
      </w:r>
      <w:r w:rsidR="00A20D8E">
        <w:rPr>
          <w:noProof/>
          <w:lang w:eastAsia="en-GB"/>
        </w:rPr>
        <mc:AlternateContent>
          <mc:Choice Requires="wps">
            <w:drawing>
              <wp:anchor distT="0" distB="0" distL="114300" distR="114300" simplePos="0" relativeHeight="251666432" behindDoc="0" locked="0" layoutInCell="1" allowOverlap="1" wp14:anchorId="687BDDDC" wp14:editId="72FB1D75">
                <wp:simplePos x="0" y="0"/>
                <wp:positionH relativeFrom="column">
                  <wp:posOffset>-82550</wp:posOffset>
                </wp:positionH>
                <wp:positionV relativeFrom="paragraph">
                  <wp:posOffset>3438525</wp:posOffset>
                </wp:positionV>
                <wp:extent cx="672846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6728460" cy="635"/>
                        </a:xfrm>
                        <a:prstGeom prst="rect">
                          <a:avLst/>
                        </a:prstGeom>
                        <a:solidFill>
                          <a:prstClr val="white"/>
                        </a:solidFill>
                        <a:ln>
                          <a:noFill/>
                        </a:ln>
                        <a:effectLst/>
                      </wps:spPr>
                      <wps:txbx>
                        <w:txbxContent>
                          <w:p w:rsidR="00A20D8E" w:rsidRPr="00A20D8E" w:rsidRDefault="00A20D8E" w:rsidP="00A20D8E">
                            <w:pPr>
                              <w:pStyle w:val="Caption"/>
                              <w:ind w:left="720" w:firstLine="720"/>
                              <w:rPr>
                                <w:rFonts w:ascii="Arial" w:hAnsi="Arial" w:cs="Arial"/>
                              </w:rPr>
                            </w:pPr>
                            <w:r w:rsidRPr="00A20D8E">
                              <w:rPr>
                                <w:rFonts w:ascii="Arial" w:hAnsi="Arial" w:cs="Arial"/>
                                <w:color w:val="auto"/>
                              </w:rPr>
                              <w:t>Figure: Observed and projected rate of TB notifications, UK, 2010 to 2035 (based on 2019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6" o:spid="_x0000_s1027" type="#_x0000_t202" style="position:absolute;left:0;text-align:left;margin-left:-6.5pt;margin-top:270.75pt;width:529.8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" stroked="f">
                <v:textbox style="mso-fit-shape-to-text:t" inset="0,0,0,0">
                  <w:txbxContent>
                    <w:p w:rsidR="00A20D8E" w:rsidRPr="00A20D8E" w:rsidRDefault="00A20D8E" w:rsidP="00A20D8E">
                      <w:pPr>
                        <w:pStyle w:val="Caption"/>
                        <w:ind w:left="720" w:firstLine="720"/>
                        <w:rPr>
                          <w:rFonts w:ascii="Arial" w:hAnsi="Arial" w:cs="Arial"/>
                        </w:rPr>
                      </w:pPr>
                      <w:r w:rsidRPr="00A20D8E">
                        <w:rPr>
                          <w:rFonts w:ascii="Arial" w:hAnsi="Arial" w:cs="Arial"/>
                          <w:color w:val="auto"/>
                        </w:rPr>
                        <w:t>Figure: Observed and projected rate of TB notifications, UK, 2010 to 2035 (based on 2019 data)</w:t>
                      </w:r>
                    </w:p>
                  </w:txbxContent>
                </v:textbox>
                <w10:wrap type="tight"/>
              </v:shape>
            </w:pict>
          </mc:Fallback>
        </mc:AlternateContent>
      </w:r>
      <w:r w:rsidR="00A20D8E" w:rsidRPr="00EB178D">
        <w:rPr>
          <w:rFonts w:ascii="Arial" w:hAnsi="Arial" w:cs="Arial"/>
          <w:noProof/>
          <w:sz w:val="22"/>
          <w:szCs w:val="22"/>
          <w:lang w:eastAsia="en-GB"/>
        </w:rPr>
        <w:drawing>
          <wp:anchor distT="0" distB="0" distL="114300" distR="114300" simplePos="0" relativeHeight="251661312" behindDoc="1" locked="0" layoutInCell="1" allowOverlap="1" wp14:anchorId="26A5F7DC" wp14:editId="48226B0B">
            <wp:simplePos x="0" y="0"/>
            <wp:positionH relativeFrom="column">
              <wp:posOffset>-47625</wp:posOffset>
            </wp:positionH>
            <wp:positionV relativeFrom="paragraph">
              <wp:posOffset>152400</wp:posOffset>
            </wp:positionV>
            <wp:extent cx="6728460" cy="3228975"/>
            <wp:effectExtent l="0" t="0" r="0" b="9525"/>
            <wp:wrapTight wrapText="bothSides">
              <wp:wrapPolygon edited="0">
                <wp:start x="0" y="0"/>
                <wp:lineTo x="0" y="21536"/>
                <wp:lineTo x="21527" y="21536"/>
                <wp:lineTo x="2152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728460" cy="3228975"/>
                    </a:xfrm>
                    <a:prstGeom prst="rect">
                      <a:avLst/>
                    </a:prstGeom>
                    <a:noFill/>
                    <a:ln>
                      <a:noFill/>
                    </a:ln>
                  </pic:spPr>
                </pic:pic>
              </a:graphicData>
            </a:graphic>
            <wp14:sizeRelH relativeFrom="page">
              <wp14:pctWidth>0</wp14:pctWidth>
            </wp14:sizeRelH>
            <wp14:sizeRelV relativeFrom="page">
              <wp14:pctHeight>0</wp14:pctHeight>
            </wp14:sizeRelV>
          </wp:anchor>
        </w:drawing>
      </w:r>
      <w:r w:rsidR="00AA5E7E" w:rsidRPr="00EB178D">
        <w:rPr>
          <w:rFonts w:ascii="Arial" w:hAnsi="Arial" w:cs="Arial"/>
          <w:color w:val="auto"/>
          <w:sz w:val="22"/>
          <w:szCs w:val="22"/>
        </w:rPr>
        <w:t xml:space="preserve"> </w:t>
      </w:r>
    </w:p>
    <w:p w:rsidR="00A20D8E" w:rsidRDefault="00A20D8E" w:rsidP="007E0F9B">
      <w:pPr>
        <w:spacing w:line="360" w:lineRule="auto"/>
        <w:jc w:val="both"/>
        <w:rPr>
          <w:rFonts w:ascii="Arial" w:hAnsi="Arial" w:cs="Arial"/>
          <w:b/>
        </w:rPr>
      </w:pPr>
    </w:p>
    <w:p w:rsidR="003622FD" w:rsidRPr="00A20D8E" w:rsidRDefault="007B6AB7" w:rsidP="007E0F9B">
      <w:pPr>
        <w:spacing w:line="360" w:lineRule="auto"/>
        <w:jc w:val="both"/>
        <w:rPr>
          <w:rFonts w:ascii="Arial" w:hAnsi="Arial" w:cs="Arial"/>
          <w:b/>
        </w:rPr>
      </w:pPr>
      <w:r w:rsidRPr="00A20D8E">
        <w:rPr>
          <w:rFonts w:ascii="Arial" w:hAnsi="Arial" w:cs="Arial"/>
          <w:b/>
        </w:rPr>
        <w:t xml:space="preserve">Controlling: </w:t>
      </w:r>
      <w:bookmarkStart w:id="0" w:name="_GoBack"/>
      <w:bookmarkEnd w:id="0"/>
    </w:p>
    <w:p w:rsidR="00A11016" w:rsidRDefault="00EB178D" w:rsidP="007E0F9B">
      <w:pPr>
        <w:spacing w:line="360" w:lineRule="auto"/>
        <w:jc w:val="both"/>
        <w:rPr>
          <w:rFonts w:ascii="Arial" w:hAnsi="Arial" w:cs="Arial"/>
        </w:rPr>
      </w:pPr>
      <w:r w:rsidRPr="00EB178D">
        <w:rPr>
          <w:rFonts w:ascii="Arial" w:hAnsi="Arial" w:cs="Arial"/>
        </w:rPr>
        <w:t xml:space="preserve">Early diagnosis (particularly of contagious cases) and successful completion of treatment are crucial for TB prevention because they prevent disease spread to others. </w:t>
      </w:r>
      <w:r w:rsidR="00A07A0E" w:rsidRPr="00A07A0E">
        <w:rPr>
          <w:rFonts w:ascii="Arial" w:hAnsi="Arial" w:cs="Arial"/>
        </w:rPr>
        <w:t xml:space="preserve">A full course of appropriate treatment must be finished in order to prevent the patient's condition from getting worse, the establishment of drug-resistant TB, and to reduce the danger of transmission and </w:t>
      </w:r>
      <w:r w:rsidR="00A07A0E" w:rsidRPr="00A07A0E">
        <w:rPr>
          <w:rFonts w:ascii="Arial" w:hAnsi="Arial" w:cs="Arial"/>
        </w:rPr>
        <w:lastRenderedPageBreak/>
        <w:t>avoidable fatality.</w:t>
      </w:r>
      <w:r w:rsidR="00A07A0E">
        <w:rPr>
          <w:rFonts w:ascii="Arial" w:hAnsi="Arial" w:cs="Arial"/>
        </w:rPr>
        <w:t xml:space="preserve"> </w:t>
      </w:r>
      <w:r w:rsidR="00A07A0E" w:rsidRPr="00A07A0E">
        <w:rPr>
          <w:rFonts w:ascii="Arial" w:hAnsi="Arial" w:cs="Arial"/>
        </w:rPr>
        <w:t xml:space="preserve">Other strategies to aid in TB control include providing preventative care to those with latent TB infection and identifying patients through contact screening </w:t>
      </w:r>
      <w:r w:rsidR="00A07A0E">
        <w:rPr>
          <w:rFonts w:ascii="Arial" w:hAnsi="Arial" w:cs="Arial"/>
        </w:rPr>
        <w:t>who have recently contracted TB</w:t>
      </w:r>
      <w:r w:rsidRPr="00EB178D">
        <w:rPr>
          <w:rFonts w:ascii="Arial" w:hAnsi="Arial" w:cs="Arial"/>
        </w:rPr>
        <w:t>.</w:t>
      </w:r>
      <w:r>
        <w:rPr>
          <w:rFonts w:ascii="Arial" w:hAnsi="Arial" w:cs="Arial"/>
        </w:rPr>
        <w:t xml:space="preserve"> UK pre-entry screening programme and post entry LTBI testing are in place to control the rapid TB infection. BCG vaccination has been introduced by NHS for the new-born babies and people under 35 years old who are at high risk </w:t>
      </w:r>
      <w:r w:rsidR="00793F24">
        <w:rPr>
          <w:rFonts w:ascii="Arial" w:hAnsi="Arial" w:cs="Arial"/>
        </w:rPr>
        <w:t>of infection</w:t>
      </w:r>
      <w:r>
        <w:rPr>
          <w:rFonts w:ascii="Arial" w:hAnsi="Arial" w:cs="Arial"/>
        </w:rPr>
        <w:t>. Chest X-ray for pulmonary TB and CT</w:t>
      </w:r>
      <w:r w:rsidR="00793F24">
        <w:rPr>
          <w:rFonts w:ascii="Arial" w:hAnsi="Arial" w:cs="Arial"/>
        </w:rPr>
        <w:t xml:space="preserve"> scan, MRI, urine test and skintest is using to screen for Extra-pulmonary and Latent TB infection. </w:t>
      </w:r>
      <w:r w:rsidR="00A11016">
        <w:rPr>
          <w:rFonts w:ascii="Arial" w:hAnsi="Arial" w:cs="Arial"/>
        </w:rPr>
        <w:t>2</w:t>
      </w:r>
      <w:r w:rsidR="00032580">
        <w:rPr>
          <w:rFonts w:ascii="Arial" w:hAnsi="Arial" w:cs="Arial"/>
        </w:rPr>
        <w:t xml:space="preserve"> </w:t>
      </w:r>
      <w:r w:rsidR="00A11016">
        <w:rPr>
          <w:rFonts w:ascii="Arial" w:hAnsi="Arial" w:cs="Arial"/>
        </w:rPr>
        <w:t>months to 6 months antibiotics course of treatment is prescribed for the infected people depending on the pulmonary or extra-pulmonary infection</w:t>
      </w:r>
      <w:r w:rsidR="00066807">
        <w:rPr>
          <w:rFonts w:ascii="Arial" w:hAnsi="Arial" w:cs="Arial"/>
        </w:rPr>
        <w:t xml:space="preserve"> and 9-24months for multidrug resistant</w:t>
      </w:r>
      <w:r w:rsidR="00A11016">
        <w:rPr>
          <w:rFonts w:ascii="Arial" w:hAnsi="Arial" w:cs="Arial"/>
        </w:rPr>
        <w:t xml:space="preserve">. </w:t>
      </w:r>
      <w:r w:rsidR="00DB6588">
        <w:rPr>
          <w:rFonts w:ascii="Arial" w:hAnsi="Arial" w:cs="Arial"/>
        </w:rPr>
        <w:t xml:space="preserve">There are some restrictions to prevent the spread of infection if someone is diagnosed with TB. Some of those are as follows: </w:t>
      </w:r>
      <w:r w:rsidR="00791720">
        <w:rPr>
          <w:rFonts w:ascii="Arial" w:hAnsi="Arial" w:cs="Arial"/>
        </w:rPr>
        <w:t xml:space="preserve">the infected person should be isolated until the treatment is complete and the TB test is negative, keeping the mouth covered when sneezing or coughing ideally with disposable tissue and dispose the used tissue in a sealed bag, avoiding sleeping with anyone until safe to do so and opening the windows to ensure of having some decent fresh air supply. </w:t>
      </w:r>
      <w:r w:rsidR="00AC62F2" w:rsidRPr="00AC62F2">
        <w:rPr>
          <w:rFonts w:ascii="Arial" w:hAnsi="Arial" w:cs="Arial"/>
        </w:rPr>
        <w:t xml:space="preserve">By keeping an eye out for cases, keeping high-risk individuals informed of the symptoms and the necessary steps to take, referring suspected cases for quick assessment and treatment, supporting patients throughout their treatment, and identifying and referring those who are eligible for the BCG vaccine, TB </w:t>
      </w:r>
      <w:r w:rsidR="00AC62F2">
        <w:rPr>
          <w:rFonts w:ascii="Arial" w:hAnsi="Arial" w:cs="Arial"/>
        </w:rPr>
        <w:t>is being</w:t>
      </w:r>
      <w:r w:rsidR="00AC62F2" w:rsidRPr="00AC62F2">
        <w:rPr>
          <w:rFonts w:ascii="Arial" w:hAnsi="Arial" w:cs="Arial"/>
        </w:rPr>
        <w:t xml:space="preserve"> prevented</w:t>
      </w:r>
      <w:r w:rsidR="00AC62F2">
        <w:rPr>
          <w:rFonts w:ascii="Arial" w:hAnsi="Arial" w:cs="Arial"/>
        </w:rPr>
        <w:t xml:space="preserve"> in UK</w:t>
      </w:r>
      <w:r w:rsidR="00AC62F2" w:rsidRPr="00AC62F2">
        <w:rPr>
          <w:rFonts w:ascii="Arial" w:hAnsi="Arial" w:cs="Arial"/>
        </w:rPr>
        <w:t>.</w:t>
      </w:r>
      <w:r w:rsidR="00032580">
        <w:rPr>
          <w:rFonts w:ascii="Arial" w:hAnsi="Arial" w:cs="Arial"/>
        </w:rPr>
        <w:t xml:space="preserve"> </w:t>
      </w:r>
    </w:p>
    <w:p w:rsidR="00032580" w:rsidRPr="00A20D8E" w:rsidRDefault="00032580" w:rsidP="007E0F9B">
      <w:pPr>
        <w:spacing w:line="360" w:lineRule="auto"/>
        <w:jc w:val="both"/>
        <w:rPr>
          <w:rFonts w:ascii="Arial" w:hAnsi="Arial" w:cs="Arial"/>
          <w:b/>
        </w:rPr>
      </w:pPr>
      <w:r w:rsidRPr="00A20D8E">
        <w:rPr>
          <w:rFonts w:ascii="Arial" w:hAnsi="Arial" w:cs="Arial"/>
          <w:b/>
        </w:rPr>
        <w:t>Conclusion:</w:t>
      </w:r>
      <w:r w:rsidR="00D53B3F" w:rsidRPr="00A20D8E">
        <w:rPr>
          <w:rFonts w:ascii="Arial" w:hAnsi="Arial" w:cs="Arial"/>
          <w:b/>
        </w:rPr>
        <w:t xml:space="preserve"> </w:t>
      </w:r>
    </w:p>
    <w:p w:rsidR="00A11016" w:rsidRDefault="001C4CEB" w:rsidP="007E0F9B">
      <w:pPr>
        <w:spacing w:line="360" w:lineRule="auto"/>
        <w:jc w:val="both"/>
        <w:rPr>
          <w:rFonts w:ascii="Arial" w:hAnsi="Arial" w:cs="Arial"/>
        </w:rPr>
      </w:pPr>
      <w:r w:rsidRPr="001C4CEB">
        <w:rPr>
          <w:rFonts w:ascii="Arial" w:hAnsi="Arial" w:cs="Arial"/>
        </w:rPr>
        <w:t>Regarding the case study of Mr. Patel, the first pri</w:t>
      </w:r>
      <w:r>
        <w:rPr>
          <w:rFonts w:ascii="Arial" w:hAnsi="Arial" w:cs="Arial"/>
        </w:rPr>
        <w:t>ority should be testing his flat</w:t>
      </w:r>
      <w:r w:rsidRPr="001C4CEB">
        <w:rPr>
          <w:rFonts w:ascii="Arial" w:hAnsi="Arial" w:cs="Arial"/>
        </w:rPr>
        <w:t>mates for TB infection and giving them the required instructions to isolate or treat them as well as additional testing of people they have been in contact with to prevent the epidemic.</w:t>
      </w:r>
      <w:r>
        <w:rPr>
          <w:rFonts w:ascii="Arial" w:hAnsi="Arial" w:cs="Arial"/>
        </w:rPr>
        <w:t xml:space="preserve"> </w:t>
      </w:r>
      <w:r w:rsidR="008D5A08" w:rsidRPr="008D5A08">
        <w:rPr>
          <w:rFonts w:ascii="Arial" w:hAnsi="Arial" w:cs="Arial"/>
        </w:rPr>
        <w:t>According to the UKHSA's (UK Health Security Agency) TB action plan, preventing and detecting TB, managing the disease and workforce, and recovering from Covid-19 have been prioritised actions to prevent and monitor TB.</w:t>
      </w:r>
      <w:r>
        <w:rPr>
          <w:rFonts w:ascii="Arial" w:hAnsi="Arial" w:cs="Arial"/>
        </w:rPr>
        <w:t xml:space="preserve"> </w:t>
      </w:r>
      <w:r w:rsidR="003D6F8F" w:rsidRPr="003D6F8F">
        <w:rPr>
          <w:rFonts w:ascii="Arial" w:hAnsi="Arial" w:cs="Arial"/>
        </w:rPr>
        <w:t>Although local health and wellbeing departments collaborate to prevent and control TB, it is still important to periodically monitor the disease and analyse surveillance data to help the authority develop better strategies and make better decisions to stop any future outbreaks.</w:t>
      </w:r>
    </w:p>
    <w:p w:rsidR="007B6AB7" w:rsidRPr="007B6AB7" w:rsidRDefault="007B6AB7" w:rsidP="007E0F9B">
      <w:pPr>
        <w:autoSpaceDE w:val="0"/>
        <w:autoSpaceDN w:val="0"/>
        <w:adjustRightInd w:val="0"/>
        <w:spacing w:after="0" w:line="360" w:lineRule="auto"/>
        <w:jc w:val="both"/>
        <w:rPr>
          <w:rFonts w:ascii="Arial" w:hAnsi="Arial" w:cs="Arial"/>
        </w:rPr>
      </w:pPr>
      <w:r w:rsidRPr="007B6AB7">
        <w:rPr>
          <w:rFonts w:ascii="Arial" w:hAnsi="Arial" w:cs="Arial"/>
        </w:rPr>
        <w:t xml:space="preserve"> </w:t>
      </w:r>
    </w:p>
    <w:p w:rsidR="007F2F67" w:rsidRPr="003738FC" w:rsidRDefault="007F2F67" w:rsidP="007E0F9B">
      <w:pPr>
        <w:spacing w:line="360" w:lineRule="auto"/>
        <w:jc w:val="both"/>
        <w:rPr>
          <w:rFonts w:ascii="Arial" w:hAnsi="Arial" w:cs="Arial"/>
          <w:b/>
        </w:rPr>
      </w:pPr>
      <w:r w:rsidRPr="003738FC">
        <w:rPr>
          <w:rFonts w:ascii="Arial" w:hAnsi="Arial" w:cs="Arial"/>
          <w:b/>
        </w:rPr>
        <w:t>References:</w:t>
      </w:r>
    </w:p>
    <w:p w:rsidR="007F2F67" w:rsidRPr="007E0F9B" w:rsidRDefault="007F2F67" w:rsidP="007E0F9B">
      <w:pPr>
        <w:spacing w:line="360" w:lineRule="auto"/>
        <w:jc w:val="both"/>
        <w:rPr>
          <w:rFonts w:ascii="Arial" w:hAnsi="Arial" w:cs="Arial"/>
        </w:rPr>
      </w:pPr>
      <w:r w:rsidRPr="007E0F9B">
        <w:rPr>
          <w:rFonts w:ascii="Arial" w:hAnsi="Arial" w:cs="Arial"/>
          <w:i/>
        </w:rPr>
        <w:t>Basic TB Facts.</w:t>
      </w:r>
      <w:r w:rsidRPr="007E0F9B">
        <w:rPr>
          <w:rFonts w:ascii="Arial" w:hAnsi="Arial" w:cs="Arial"/>
        </w:rPr>
        <w:t xml:space="preserve"> Available at: </w:t>
      </w:r>
      <w:hyperlink r:id="rId11" w:anchor=":~:text=Tuberculosis%20(TB)%20is%20caused%20by,with%20TB%20bacteria%20becomes%20sick" w:history="1">
        <w:r w:rsidRPr="007E0F9B">
          <w:rPr>
            <w:rStyle w:val="Hyperlink"/>
            <w:rFonts w:ascii="Arial" w:hAnsi="Arial" w:cs="Arial"/>
            <w:color w:val="auto"/>
            <w:u w:val="none"/>
          </w:rPr>
          <w:t>https://www.cdc.gov/tb/topic/basics/default.htm#:~:text=Tuberculosis%20(TB)%20is%20caused%20by,with%20TB%20bacteria%20becomes%20sick</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spacing w:line="360" w:lineRule="auto"/>
        <w:jc w:val="both"/>
        <w:rPr>
          <w:rFonts w:ascii="Arial" w:hAnsi="Arial" w:cs="Arial"/>
        </w:rPr>
      </w:pPr>
      <w:r w:rsidRPr="007E0F9B">
        <w:rPr>
          <w:rFonts w:ascii="Arial" w:hAnsi="Arial" w:cs="Arial"/>
        </w:rPr>
        <w:lastRenderedPageBreak/>
        <w:t xml:space="preserve">Centre for Disease control (2012) </w:t>
      </w:r>
      <w:r w:rsidRPr="007E0F9B">
        <w:rPr>
          <w:rFonts w:ascii="Arial" w:hAnsi="Arial" w:cs="Arial"/>
          <w:i/>
          <w:iCs/>
        </w:rPr>
        <w:t xml:space="preserve">Introduction to Epidemiology: </w:t>
      </w:r>
      <w:r w:rsidRPr="007E0F9B">
        <w:rPr>
          <w:rFonts w:ascii="Arial" w:hAnsi="Arial" w:cs="Arial"/>
        </w:rPr>
        <w:t xml:space="preserve">Concepts of Disease Occurrence.  Available at: </w:t>
      </w:r>
      <w:hyperlink r:id="rId12" w:history="1">
        <w:r w:rsidRPr="007E0F9B">
          <w:rPr>
            <w:rStyle w:val="Hyperlink"/>
            <w:rFonts w:ascii="Arial" w:hAnsi="Arial" w:cs="Arial"/>
            <w:color w:val="auto"/>
            <w:u w:val="none"/>
          </w:rPr>
          <w:t>https://www.cdc.gov/csels/dsepd/ss1978/Lesson1/Section1.html#_ref1</w:t>
        </w:r>
      </w:hyperlink>
      <w:r w:rsidRPr="007E0F9B">
        <w:rPr>
          <w:rFonts w:ascii="Arial" w:hAnsi="Arial" w:cs="Arial"/>
        </w:rPr>
        <w:t>.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spacing w:line="360" w:lineRule="auto"/>
        <w:jc w:val="both"/>
        <w:rPr>
          <w:rFonts w:ascii="Arial" w:hAnsi="Arial" w:cs="Arial"/>
        </w:rPr>
      </w:pPr>
      <w:r w:rsidRPr="007E0F9B">
        <w:rPr>
          <w:rFonts w:ascii="Arial" w:hAnsi="Arial" w:cs="Arial"/>
          <w:i/>
        </w:rPr>
        <w:t>Epidemiology</w:t>
      </w:r>
      <w:r w:rsidRPr="007E0F9B">
        <w:rPr>
          <w:rFonts w:ascii="Arial" w:hAnsi="Arial" w:cs="Arial"/>
        </w:rPr>
        <w:t xml:space="preserve">. Available at: </w:t>
      </w:r>
      <w:hyperlink r:id="rId13" w:history="1">
        <w:r w:rsidRPr="007E0F9B">
          <w:rPr>
            <w:rStyle w:val="Hyperlink"/>
            <w:rFonts w:ascii="Arial" w:hAnsi="Arial" w:cs="Arial"/>
            <w:color w:val="auto"/>
            <w:u w:val="none"/>
          </w:rPr>
          <w:t>https://www.nitha.com/epidemiology/</w:t>
        </w:r>
      </w:hyperlink>
      <w:r w:rsidRPr="007E0F9B">
        <w:rPr>
          <w:rStyle w:val="Hyperlink"/>
          <w:rFonts w:ascii="Arial" w:hAnsi="Arial" w:cs="Arial"/>
          <w:color w:val="auto"/>
          <w:u w:val="none"/>
        </w:rPr>
        <w:t xml:space="preserve"> </w:t>
      </w:r>
      <w:r w:rsidRPr="007E0F9B">
        <w:rPr>
          <w:rFonts w:ascii="Arial" w:hAnsi="Arial" w:cs="Arial"/>
        </w:rPr>
        <w:t>(Accessed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spacing w:line="360" w:lineRule="auto"/>
        <w:jc w:val="both"/>
        <w:rPr>
          <w:rFonts w:ascii="Arial" w:hAnsi="Arial" w:cs="Arial"/>
        </w:rPr>
      </w:pPr>
      <w:r w:rsidRPr="007E0F9B">
        <w:rPr>
          <w:rFonts w:ascii="Arial" w:hAnsi="Arial" w:cs="Arial"/>
          <w:i/>
        </w:rPr>
        <w:t xml:space="preserve">Encyclopedia of Public Health. </w:t>
      </w:r>
      <w:r w:rsidRPr="007E0F9B">
        <w:rPr>
          <w:rFonts w:ascii="Arial" w:hAnsi="Arial" w:cs="Arial"/>
        </w:rPr>
        <w:t>2</w:t>
      </w:r>
      <w:r w:rsidRPr="007E0F9B">
        <w:rPr>
          <w:rFonts w:ascii="Arial" w:hAnsi="Arial" w:cs="Arial"/>
          <w:vertAlign w:val="superscript"/>
        </w:rPr>
        <w:t>nd</w:t>
      </w:r>
      <w:r w:rsidRPr="007E0F9B">
        <w:rPr>
          <w:rFonts w:ascii="Arial" w:hAnsi="Arial" w:cs="Arial"/>
        </w:rPr>
        <w:t xml:space="preserve"> edn. Academic Press, Pp. 22-39. Available at </w:t>
      </w:r>
      <w:hyperlink r:id="rId14" w:history="1">
        <w:r w:rsidRPr="007E0F9B">
          <w:rPr>
            <w:rStyle w:val="Hyperlink"/>
            <w:rFonts w:ascii="Arial" w:hAnsi="Arial" w:cs="Arial"/>
            <w:color w:val="auto"/>
            <w:u w:val="none"/>
          </w:rPr>
          <w:t>https://www.sciencedirect.com/science/article/pii/B9780128036785005166#cebib0010</w:t>
        </w:r>
      </w:hyperlink>
      <w:r w:rsidRPr="007E0F9B">
        <w:rPr>
          <w:rStyle w:val="Hyperlink"/>
          <w:rFonts w:ascii="Arial" w:hAnsi="Arial" w:cs="Arial"/>
          <w:color w:val="auto"/>
          <w:u w:val="none"/>
        </w:rPr>
        <w:t xml:space="preserve"> </w:t>
      </w:r>
      <w:r w:rsidRPr="007E0F9B">
        <w:rPr>
          <w:rFonts w:ascii="Arial" w:hAnsi="Arial" w:cs="Arial"/>
        </w:rPr>
        <w:t>(accessed on 21</w:t>
      </w:r>
      <w:r w:rsidRPr="007E0F9B">
        <w:rPr>
          <w:rFonts w:ascii="Arial" w:hAnsi="Arial" w:cs="Arial"/>
          <w:vertAlign w:val="superscript"/>
        </w:rPr>
        <w:t>st</w:t>
      </w:r>
      <w:r w:rsidRPr="007E0F9B">
        <w:rPr>
          <w:rFonts w:ascii="Arial" w:hAnsi="Arial" w:cs="Arial"/>
        </w:rPr>
        <w:t xml:space="preserve"> October 2022). </w:t>
      </w:r>
    </w:p>
    <w:p w:rsidR="007F2F67" w:rsidRPr="007E0F9B" w:rsidRDefault="007F2F67" w:rsidP="007E0F9B">
      <w:pPr>
        <w:spacing w:line="360" w:lineRule="auto"/>
        <w:jc w:val="both"/>
        <w:rPr>
          <w:rFonts w:ascii="Arial" w:hAnsi="Arial" w:cs="Arial"/>
        </w:rPr>
      </w:pPr>
      <w:r w:rsidRPr="007E0F9B">
        <w:rPr>
          <w:rFonts w:ascii="Arial" w:hAnsi="Arial" w:cs="Arial"/>
        </w:rPr>
        <w:t xml:space="preserve">Feigin, R. D., Garg, R., and Christie, A. B., (2020) </w:t>
      </w:r>
      <w:r w:rsidRPr="007E0F9B">
        <w:rPr>
          <w:rFonts w:ascii="Arial" w:hAnsi="Arial" w:cs="Arial"/>
          <w:i/>
        </w:rPr>
        <w:t xml:space="preserve">Infectious disease. Encyclopedia Britannica. </w:t>
      </w:r>
      <w:r w:rsidRPr="007E0F9B">
        <w:rPr>
          <w:rFonts w:ascii="Arial" w:hAnsi="Arial" w:cs="Arial"/>
        </w:rPr>
        <w:t xml:space="preserve">Available at </w:t>
      </w:r>
      <w:hyperlink r:id="rId15" w:history="1">
        <w:r w:rsidRPr="007E0F9B">
          <w:rPr>
            <w:rStyle w:val="Hyperlink"/>
            <w:rFonts w:ascii="Arial" w:hAnsi="Arial" w:cs="Arial"/>
            <w:color w:val="auto"/>
            <w:u w:val="none"/>
          </w:rPr>
          <w:t>https://www.britannica.com/science/infectious-disease</w:t>
        </w:r>
      </w:hyperlink>
      <w:r w:rsidRPr="007E0F9B">
        <w:rPr>
          <w:rFonts w:ascii="Arial" w:hAnsi="Arial" w:cs="Arial"/>
        </w:rPr>
        <w:t xml:space="preserve"> (accessed on 20th October 2022).</w:t>
      </w:r>
    </w:p>
    <w:p w:rsidR="007F2F67" w:rsidRPr="007E0F9B" w:rsidRDefault="007F2F67" w:rsidP="007E0F9B">
      <w:pPr>
        <w:spacing w:line="360" w:lineRule="auto"/>
        <w:jc w:val="both"/>
        <w:rPr>
          <w:rFonts w:ascii="Arial" w:hAnsi="Arial" w:cs="Arial"/>
        </w:rPr>
      </w:pPr>
      <w:r w:rsidRPr="007E0F9B">
        <w:rPr>
          <w:rFonts w:ascii="Arial" w:hAnsi="Arial" w:cs="Arial"/>
        </w:rPr>
        <w:t xml:space="preserve">Kotra L. P., (2007) </w:t>
      </w:r>
      <w:r w:rsidRPr="007E0F9B">
        <w:rPr>
          <w:rFonts w:ascii="Arial" w:hAnsi="Arial" w:cs="Arial"/>
          <w:i/>
        </w:rPr>
        <w:t>Infectious Diseases.</w:t>
      </w:r>
      <w:r w:rsidRPr="007E0F9B">
        <w:rPr>
          <w:rFonts w:ascii="Arial" w:hAnsi="Arial" w:cs="Arial"/>
        </w:rPr>
        <w:t xml:space="preserve"> University of Toronto: Canada, Elsevier Inc. </w:t>
      </w:r>
    </w:p>
    <w:p w:rsidR="007F2F67" w:rsidRPr="007E0F9B" w:rsidRDefault="007F2F67" w:rsidP="007E0F9B">
      <w:pPr>
        <w:shd w:val="clear" w:color="auto" w:fill="FFFFFF"/>
        <w:spacing w:line="360" w:lineRule="auto"/>
        <w:ind w:right="150"/>
        <w:jc w:val="both"/>
        <w:rPr>
          <w:rFonts w:ascii="Arial" w:eastAsia="Times New Roman" w:hAnsi="Arial" w:cs="Arial"/>
          <w:lang w:eastAsia="en-GB"/>
        </w:rPr>
      </w:pPr>
      <w:r w:rsidRPr="007E0F9B">
        <w:rPr>
          <w:rFonts w:ascii="Arial" w:hAnsi="Arial" w:cs="Arial"/>
          <w:shd w:val="clear" w:color="auto" w:fill="FFFFFF"/>
        </w:rPr>
        <w:t>Nandhini, M.,  Karunagari K., (2017) Sustainable Development Goals</w:t>
      </w:r>
      <w:r w:rsidRPr="007E0F9B">
        <w:rPr>
          <w:rFonts w:ascii="Arial" w:hAnsi="Arial" w:cs="Arial"/>
          <w:i/>
          <w:shd w:val="clear" w:color="auto" w:fill="FFFFFF"/>
        </w:rPr>
        <w:t xml:space="preserve">- Post-2015 End Tuberculosis Strategy, </w:t>
      </w:r>
      <w:r w:rsidRPr="007E0F9B">
        <w:rPr>
          <w:rFonts w:ascii="Arial" w:hAnsi="Arial" w:cs="Arial"/>
          <w:shd w:val="clear" w:color="auto" w:fill="FFFFFF"/>
        </w:rPr>
        <w:t xml:space="preserve">10 (3), pp.31-34. </w:t>
      </w:r>
      <w:r w:rsidRPr="007E0F9B">
        <w:rPr>
          <w:rStyle w:val="absch"/>
          <w:rFonts w:ascii="Arial" w:hAnsi="Arial" w:cs="Arial"/>
          <w:b/>
          <w:bCs/>
          <w:shd w:val="clear" w:color="auto" w:fill="FFFFFF"/>
        </w:rPr>
        <w:t>DOI:</w:t>
      </w:r>
      <w:r w:rsidRPr="007E0F9B">
        <w:rPr>
          <w:rFonts w:ascii="Arial" w:hAnsi="Arial" w:cs="Arial"/>
          <w:shd w:val="clear" w:color="auto" w:fill="FFFFFF"/>
        </w:rPr>
        <w:t> 10.5005/pjn-10-3-31</w:t>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rPr>
        <w:t xml:space="preserve">NICE (2016), </w:t>
      </w:r>
      <w:r w:rsidRPr="007E0F9B">
        <w:rPr>
          <w:rFonts w:ascii="Arial" w:hAnsi="Arial" w:cs="Arial"/>
          <w:i/>
        </w:rPr>
        <w:t>Tuberculosis guidance.</w:t>
      </w:r>
      <w:r w:rsidRPr="007E0F9B">
        <w:rPr>
          <w:rFonts w:ascii="Arial" w:hAnsi="Arial" w:cs="Arial"/>
        </w:rPr>
        <w:t xml:space="preserve"> Available at: </w:t>
      </w:r>
      <w:hyperlink r:id="rId16" w:history="1">
        <w:r w:rsidRPr="007E0F9B">
          <w:rPr>
            <w:rStyle w:val="Hyperlink"/>
            <w:rFonts w:ascii="Arial" w:hAnsi="Arial" w:cs="Arial"/>
            <w:color w:val="auto"/>
            <w:u w:val="none"/>
          </w:rPr>
          <w:t>www.nice.org.uk/guidance/ng33</w:t>
        </w:r>
      </w:hyperlink>
      <w:r w:rsidRPr="007E0F9B">
        <w:rPr>
          <w:rStyle w:val="Hyperlink"/>
          <w:rFonts w:ascii="Arial" w:hAnsi="Arial" w:cs="Arial"/>
          <w:color w:val="auto"/>
          <w:u w:val="none"/>
        </w:rPr>
        <w:t xml:space="preserve"> </w:t>
      </w:r>
      <w:r w:rsidRPr="007E0F9B">
        <w:rPr>
          <w:rFonts w:ascii="Arial" w:hAnsi="Arial" w:cs="Arial"/>
        </w:rPr>
        <w:t>(Accessed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spacing w:line="360" w:lineRule="auto"/>
        <w:jc w:val="both"/>
        <w:rPr>
          <w:rFonts w:ascii="Arial" w:hAnsi="Arial" w:cs="Arial"/>
        </w:rPr>
      </w:pPr>
      <w:r w:rsidRPr="007E0F9B">
        <w:rPr>
          <w:rFonts w:ascii="Arial" w:hAnsi="Arial" w:cs="Arial"/>
          <w:bCs/>
        </w:rPr>
        <w:t xml:space="preserve">Overview, </w:t>
      </w:r>
      <w:r w:rsidRPr="007E0F9B">
        <w:rPr>
          <w:rFonts w:ascii="Arial" w:hAnsi="Arial" w:cs="Arial"/>
          <w:bCs/>
          <w:i/>
        </w:rPr>
        <w:t>Tuberculosis</w:t>
      </w:r>
      <w:r w:rsidRPr="007E0F9B">
        <w:rPr>
          <w:rFonts w:ascii="Arial" w:hAnsi="Arial" w:cs="Arial"/>
          <w:bCs/>
        </w:rPr>
        <w:t xml:space="preserve">. Available at: www.nhs.uk/conditions/ tuberculosis-tb/ </w:t>
      </w:r>
      <w:r w:rsidRPr="007E0F9B">
        <w:rPr>
          <w:rFonts w:ascii="Arial" w:hAnsi="Arial" w:cs="Arial"/>
        </w:rPr>
        <w:t>(Accessed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rPr>
        <w:t xml:space="preserve">Public Health England (2019). </w:t>
      </w:r>
      <w:r w:rsidRPr="007E0F9B">
        <w:rPr>
          <w:rFonts w:ascii="Arial" w:hAnsi="Arial" w:cs="Arial"/>
          <w:i/>
        </w:rPr>
        <w:t xml:space="preserve">Latent TB infection (LTBI): testing and treatment. </w:t>
      </w:r>
      <w:r w:rsidRPr="007E0F9B">
        <w:rPr>
          <w:rFonts w:ascii="Arial" w:hAnsi="Arial" w:cs="Arial"/>
        </w:rPr>
        <w:t xml:space="preserve">Available at: </w:t>
      </w:r>
      <w:hyperlink r:id="rId17" w:history="1">
        <w:r w:rsidRPr="007E0F9B">
          <w:rPr>
            <w:rStyle w:val="Hyperlink"/>
            <w:rFonts w:ascii="Arial" w:hAnsi="Arial" w:cs="Arial"/>
            <w:color w:val="auto"/>
            <w:u w:val="none"/>
          </w:rPr>
          <w:t>https://www.gov.uk/government/publications/latent-tb-infection-ltbi-testing-and-treatment</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rPr>
        <w:t xml:space="preserve">Public Health England (2017), </w:t>
      </w:r>
      <w:r w:rsidRPr="007E0F9B">
        <w:rPr>
          <w:rFonts w:ascii="Arial" w:hAnsi="Arial" w:cs="Arial"/>
          <w:i/>
        </w:rPr>
        <w:t>Tackling TB in under-served populations: a resource for TBCBs and their partners</w:t>
      </w:r>
      <w:r w:rsidRPr="007E0F9B">
        <w:rPr>
          <w:rFonts w:ascii="Arial" w:hAnsi="Arial" w:cs="Arial"/>
        </w:rPr>
        <w:t xml:space="preserve">. Available at: </w:t>
      </w:r>
      <w:hyperlink r:id="rId18" w:history="1">
        <w:r w:rsidRPr="007E0F9B">
          <w:rPr>
            <w:rStyle w:val="Hyperlink"/>
            <w:rFonts w:ascii="Arial" w:hAnsi="Arial" w:cs="Arial"/>
            <w:color w:val="auto"/>
            <w:u w:val="none"/>
          </w:rPr>
          <w:t>www.gov.uk/government/publications/tackling-tuberculosis-in-under-served-populations</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autoSpaceDE w:val="0"/>
        <w:autoSpaceDN w:val="0"/>
        <w:adjustRightInd w:val="0"/>
        <w:spacing w:line="360" w:lineRule="auto"/>
        <w:jc w:val="both"/>
        <w:rPr>
          <w:rFonts w:ascii="Arial" w:hAnsi="Arial" w:cs="Arial"/>
          <w:i/>
        </w:rPr>
      </w:pPr>
      <w:r w:rsidRPr="007E0F9B">
        <w:rPr>
          <w:rFonts w:ascii="Arial" w:hAnsi="Arial" w:cs="Arial"/>
        </w:rPr>
        <w:t xml:space="preserve">Public Health England and NHS England (2015), </w:t>
      </w:r>
      <w:r w:rsidRPr="007E0F9B">
        <w:rPr>
          <w:rFonts w:ascii="Arial" w:hAnsi="Arial" w:cs="Arial"/>
          <w:i/>
        </w:rPr>
        <w:t>Collaborative Tuberculosis Strategy</w:t>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i/>
        </w:rPr>
        <w:t>for England: 2015 to 2020</w:t>
      </w:r>
      <w:r w:rsidRPr="007E0F9B">
        <w:rPr>
          <w:rFonts w:ascii="Arial" w:hAnsi="Arial" w:cs="Arial"/>
        </w:rPr>
        <w:t xml:space="preserve">. Available at: </w:t>
      </w:r>
      <w:hyperlink r:id="rId19" w:history="1">
        <w:r w:rsidRPr="007E0F9B">
          <w:rPr>
            <w:rStyle w:val="Hyperlink"/>
            <w:rFonts w:ascii="Arial" w:hAnsi="Arial" w:cs="Arial"/>
            <w:color w:val="auto"/>
            <w:u w:val="none"/>
          </w:rPr>
          <w:t>www.gov.uk/government/publications/collaborative-tuberculosis-strategy-for-england</w:t>
        </w:r>
      </w:hyperlink>
      <w:r w:rsidRPr="007E0F9B">
        <w:rPr>
          <w:rStyle w:val="Hyperlink"/>
          <w:rFonts w:ascii="Arial" w:hAnsi="Arial" w:cs="Arial"/>
          <w:color w:val="auto"/>
          <w:u w:val="none"/>
        </w:rPr>
        <w:t xml:space="preserve"> </w:t>
      </w:r>
      <w:r w:rsidRPr="007E0F9B">
        <w:rPr>
          <w:rFonts w:ascii="Arial" w:hAnsi="Arial" w:cs="Arial"/>
        </w:rPr>
        <w:t>(Accessed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spacing w:line="360" w:lineRule="auto"/>
        <w:jc w:val="both"/>
        <w:rPr>
          <w:rFonts w:ascii="Arial" w:hAnsi="Arial" w:cs="Arial"/>
        </w:rPr>
      </w:pPr>
      <w:r w:rsidRPr="007E0F9B">
        <w:rPr>
          <w:rFonts w:ascii="Arial" w:hAnsi="Arial" w:cs="Arial"/>
        </w:rPr>
        <w:lastRenderedPageBreak/>
        <w:t xml:space="preserve">Public Health England (2017), </w:t>
      </w:r>
      <w:r w:rsidRPr="007E0F9B">
        <w:rPr>
          <w:rFonts w:ascii="Arial" w:hAnsi="Arial" w:cs="Arial"/>
          <w:i/>
        </w:rPr>
        <w:t>Tuberculosis in England</w:t>
      </w:r>
      <w:r w:rsidRPr="007E0F9B">
        <w:rPr>
          <w:rFonts w:ascii="Arial" w:hAnsi="Arial" w:cs="Arial"/>
        </w:rPr>
        <w:t xml:space="preserve">. Available at </w:t>
      </w:r>
      <w:hyperlink r:id="rId20" w:history="1">
        <w:r w:rsidRPr="007E0F9B">
          <w:rPr>
            <w:rStyle w:val="Hyperlink"/>
            <w:rFonts w:ascii="Arial" w:hAnsi="Arial" w:cs="Arial"/>
            <w:color w:val="auto"/>
            <w:u w:val="none"/>
          </w:rPr>
          <w:t>https://www.england.nhs.uk/tuberculosis-programme/tuberculosis-tb-collaborative-strategy-for-england/</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r w:rsidRPr="007E0F9B">
        <w:rPr>
          <w:rFonts w:ascii="Arial" w:hAnsi="Arial" w:cs="Arial"/>
        </w:rPr>
        <w:tab/>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rPr>
        <w:t xml:space="preserve">Public Health England (2019). </w:t>
      </w:r>
      <w:r w:rsidRPr="007E0F9B">
        <w:rPr>
          <w:rFonts w:ascii="Arial" w:hAnsi="Arial" w:cs="Arial"/>
          <w:i/>
        </w:rPr>
        <w:t>UK pre-entry tuberculosis screening report 2019.</w:t>
      </w:r>
      <w:r w:rsidRPr="007E0F9B">
        <w:rPr>
          <w:rFonts w:ascii="Arial" w:hAnsi="Arial" w:cs="Arial"/>
        </w:rPr>
        <w:t xml:space="preserve"> Available at: </w:t>
      </w:r>
      <w:hyperlink r:id="rId21" w:history="1">
        <w:r w:rsidRPr="007E0F9B">
          <w:rPr>
            <w:rStyle w:val="Hyperlink"/>
            <w:rFonts w:ascii="Arial" w:hAnsi="Arial" w:cs="Arial"/>
            <w:color w:val="auto"/>
            <w:u w:val="none"/>
          </w:rPr>
          <w:t>https://www.gov.uk/government/publications/tuberculosis-pre-entry-screening-in-the-uk</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i/>
        </w:rPr>
        <w:t>Tuberculosis annual report</w:t>
      </w:r>
      <w:r w:rsidRPr="007E0F9B">
        <w:rPr>
          <w:rFonts w:ascii="Arial" w:hAnsi="Arial" w:cs="Arial"/>
        </w:rPr>
        <w:t xml:space="preserve">. Available at: </w:t>
      </w:r>
      <w:hyperlink r:id="rId22" w:history="1">
        <w:r w:rsidRPr="007E0F9B">
          <w:rPr>
            <w:rStyle w:val="Hyperlink"/>
            <w:rFonts w:ascii="Arial" w:hAnsi="Arial" w:cs="Arial"/>
            <w:color w:val="auto"/>
            <w:u w:val="none"/>
          </w:rPr>
          <w:t>www.gov.uk/government/publications/tuberculosis-in-england-annual-report</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pStyle w:val="Heading1"/>
        <w:shd w:val="clear" w:color="auto" w:fill="FFFFFF"/>
        <w:spacing w:before="0" w:beforeAutospacing="0" w:after="45" w:afterAutospacing="0" w:line="360" w:lineRule="auto"/>
        <w:jc w:val="both"/>
        <w:rPr>
          <w:rFonts w:ascii="Arial" w:hAnsi="Arial" w:cs="Arial"/>
          <w:b w:val="0"/>
          <w:sz w:val="22"/>
          <w:szCs w:val="22"/>
        </w:rPr>
      </w:pPr>
      <w:r w:rsidRPr="007E0F9B">
        <w:rPr>
          <w:rFonts w:ascii="Arial" w:hAnsi="Arial" w:cs="Arial"/>
          <w:b w:val="0"/>
          <w:sz w:val="22"/>
          <w:szCs w:val="22"/>
        </w:rPr>
        <w:t xml:space="preserve">TB Strategy Monitoring Indicators. Available at: </w:t>
      </w:r>
      <w:hyperlink r:id="rId23" w:history="1">
        <w:r w:rsidRPr="007E0F9B">
          <w:rPr>
            <w:rStyle w:val="Hyperlink"/>
            <w:rFonts w:ascii="Arial" w:hAnsi="Arial" w:cs="Arial"/>
            <w:b w:val="0"/>
            <w:color w:val="auto"/>
            <w:sz w:val="22"/>
            <w:szCs w:val="22"/>
            <w:u w:val="none"/>
          </w:rPr>
          <w:t>https://fingertips.phe.org.uk/profile/tb-monitoring</w:t>
        </w:r>
      </w:hyperlink>
      <w:r w:rsidRPr="007E0F9B">
        <w:rPr>
          <w:rFonts w:ascii="Arial" w:hAnsi="Arial" w:cs="Arial"/>
          <w:b w:val="0"/>
          <w:sz w:val="22"/>
          <w:szCs w:val="22"/>
        </w:rPr>
        <w:t xml:space="preserve"> (Accessed on 20</w:t>
      </w:r>
      <w:r w:rsidRPr="007E0F9B">
        <w:rPr>
          <w:rFonts w:ascii="Arial" w:hAnsi="Arial" w:cs="Arial"/>
          <w:b w:val="0"/>
          <w:sz w:val="22"/>
          <w:szCs w:val="22"/>
          <w:vertAlign w:val="superscript"/>
        </w:rPr>
        <w:t>th</w:t>
      </w:r>
      <w:r w:rsidRPr="007E0F9B">
        <w:rPr>
          <w:rFonts w:ascii="Arial" w:hAnsi="Arial" w:cs="Arial"/>
          <w:b w:val="0"/>
          <w:sz w:val="22"/>
          <w:szCs w:val="22"/>
        </w:rPr>
        <w:t xml:space="preserve"> October 2022)</w:t>
      </w:r>
    </w:p>
    <w:p w:rsidR="007F2F67" w:rsidRPr="007E0F9B" w:rsidRDefault="007F2F67" w:rsidP="007E0F9B">
      <w:pPr>
        <w:pStyle w:val="Heading1"/>
        <w:shd w:val="clear" w:color="auto" w:fill="FFFFFF"/>
        <w:spacing w:before="0" w:beforeAutospacing="0" w:after="45" w:afterAutospacing="0" w:line="360" w:lineRule="auto"/>
        <w:jc w:val="both"/>
        <w:rPr>
          <w:rFonts w:ascii="Arial" w:hAnsi="Arial" w:cs="Arial"/>
          <w:b w:val="0"/>
          <w:sz w:val="22"/>
          <w:szCs w:val="22"/>
        </w:rPr>
      </w:pP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rPr>
        <w:t xml:space="preserve">UKHSA (2021). </w:t>
      </w:r>
      <w:r w:rsidRPr="007E0F9B">
        <w:rPr>
          <w:rFonts w:ascii="Arial" w:hAnsi="Arial" w:cs="Arial"/>
          <w:i/>
        </w:rPr>
        <w:t>Tuberculosis Action Plan for England 2021 to 2016.</w:t>
      </w:r>
      <w:r w:rsidRPr="007E0F9B">
        <w:rPr>
          <w:rFonts w:ascii="Arial" w:hAnsi="Arial" w:cs="Arial"/>
        </w:rPr>
        <w:t xml:space="preserve"> Available at: </w:t>
      </w:r>
      <w:hyperlink r:id="rId24" w:history="1">
        <w:r w:rsidRPr="007E0F9B">
          <w:rPr>
            <w:rStyle w:val="Hyperlink"/>
            <w:rFonts w:ascii="Arial" w:hAnsi="Arial" w:cs="Arial"/>
            <w:color w:val="auto"/>
            <w:u w:val="none"/>
          </w:rPr>
          <w:t>https://www.gov.uk/government/publications/tuberculosis-tb-action-plan-for-england</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autoSpaceDE w:val="0"/>
        <w:autoSpaceDN w:val="0"/>
        <w:adjustRightInd w:val="0"/>
        <w:spacing w:line="360" w:lineRule="auto"/>
        <w:jc w:val="both"/>
        <w:rPr>
          <w:rFonts w:ascii="Arial" w:hAnsi="Arial" w:cs="Arial"/>
          <w:i/>
        </w:rPr>
      </w:pPr>
      <w:r w:rsidRPr="007E0F9B">
        <w:rPr>
          <w:rFonts w:ascii="Arial" w:hAnsi="Arial" w:cs="Arial"/>
        </w:rPr>
        <w:t>van Seventer J.M., Natasha S. Hochberg N.S., (2017</w:t>
      </w:r>
      <w:r w:rsidRPr="007E0F9B">
        <w:rPr>
          <w:rFonts w:ascii="Arial" w:hAnsi="Arial" w:cs="Arial"/>
          <w:i/>
        </w:rPr>
        <w:t>) Principles of Infectious Diseases: Transmission, Diagnosis, Prevention, and Control, International</w:t>
      </w:r>
    </w:p>
    <w:p w:rsidR="007F2F67" w:rsidRPr="007E0F9B" w:rsidRDefault="007F2F67" w:rsidP="007E0F9B">
      <w:pPr>
        <w:autoSpaceDE w:val="0"/>
        <w:autoSpaceDN w:val="0"/>
        <w:adjustRightInd w:val="0"/>
        <w:spacing w:line="360" w:lineRule="auto"/>
        <w:jc w:val="both"/>
        <w:rPr>
          <w:rFonts w:ascii="Arial" w:hAnsi="Arial" w:cs="Arial"/>
        </w:rPr>
      </w:pPr>
      <w:r w:rsidRPr="007E0F9B">
        <w:rPr>
          <w:rFonts w:ascii="Arial" w:hAnsi="Arial" w:cs="Arial"/>
        </w:rPr>
        <w:t xml:space="preserve">World Health Organization (2020). </w:t>
      </w:r>
      <w:r w:rsidRPr="007E0F9B">
        <w:rPr>
          <w:rFonts w:ascii="Arial" w:hAnsi="Arial" w:cs="Arial"/>
          <w:i/>
        </w:rPr>
        <w:t>Global tuberculosis report 2020 Geneva.</w:t>
      </w:r>
      <w:r w:rsidRPr="007E0F9B">
        <w:rPr>
          <w:rFonts w:ascii="Arial" w:hAnsi="Arial" w:cs="Arial"/>
        </w:rPr>
        <w:t xml:space="preserve"> Available at: </w:t>
      </w:r>
      <w:hyperlink r:id="rId25" w:history="1">
        <w:r w:rsidRPr="007E0F9B">
          <w:rPr>
            <w:rStyle w:val="Hyperlink"/>
            <w:rFonts w:ascii="Arial" w:hAnsi="Arial" w:cs="Arial"/>
            <w:color w:val="auto"/>
            <w:u w:val="none"/>
          </w:rPr>
          <w:t>https://www.who.int/news/item/14-10-2020-who-global-tb-progress-at-risk</w:t>
        </w:r>
      </w:hyperlink>
      <w:r w:rsidRPr="007E0F9B">
        <w:rPr>
          <w:rFonts w:ascii="Arial" w:hAnsi="Arial" w:cs="Arial"/>
        </w:rPr>
        <w:t xml:space="preserve"> (Accessed on 20</w:t>
      </w:r>
      <w:r w:rsidRPr="007E0F9B">
        <w:rPr>
          <w:rFonts w:ascii="Arial" w:hAnsi="Arial" w:cs="Arial"/>
          <w:vertAlign w:val="superscript"/>
        </w:rPr>
        <w:t>th</w:t>
      </w:r>
      <w:r w:rsidRPr="007E0F9B">
        <w:rPr>
          <w:rFonts w:ascii="Arial" w:hAnsi="Arial" w:cs="Arial"/>
        </w:rPr>
        <w:t xml:space="preserve"> October 2022)</w:t>
      </w:r>
    </w:p>
    <w:p w:rsidR="007F2F67" w:rsidRPr="007E0F9B" w:rsidRDefault="007F2F67" w:rsidP="007E0F9B">
      <w:pPr>
        <w:shd w:val="clear" w:color="auto" w:fill="FFFFFF"/>
        <w:autoSpaceDE w:val="0"/>
        <w:autoSpaceDN w:val="0"/>
        <w:adjustRightInd w:val="0"/>
        <w:spacing w:line="360" w:lineRule="auto"/>
        <w:ind w:right="150"/>
        <w:jc w:val="both"/>
        <w:rPr>
          <w:rFonts w:ascii="Arial" w:hAnsi="Arial" w:cs="Arial"/>
        </w:rPr>
      </w:pPr>
      <w:r w:rsidRPr="007E0F9B">
        <w:rPr>
          <w:rFonts w:ascii="Arial" w:hAnsi="Arial" w:cs="Arial"/>
        </w:rPr>
        <w:t xml:space="preserve">World Health Organization (2014). </w:t>
      </w:r>
      <w:r w:rsidRPr="007E0F9B">
        <w:rPr>
          <w:rFonts w:ascii="Arial" w:hAnsi="Arial" w:cs="Arial"/>
          <w:i/>
        </w:rPr>
        <w:t>The End TB Strategy WHO. Documentation for World Health Assembly.</w:t>
      </w:r>
      <w:r w:rsidRPr="007E0F9B">
        <w:rPr>
          <w:rFonts w:ascii="Arial" w:hAnsi="Arial" w:cs="Arial"/>
        </w:rPr>
        <w:t xml:space="preserve"> Available at: http://apps.who.int/gb/ebwha/pdf_files/WHA67/A67_11-en.pdf (Accessed on 20</w:t>
      </w:r>
      <w:r w:rsidRPr="007E0F9B">
        <w:rPr>
          <w:rFonts w:ascii="Arial" w:hAnsi="Arial" w:cs="Arial"/>
          <w:vertAlign w:val="superscript"/>
        </w:rPr>
        <w:t>th</w:t>
      </w:r>
      <w:r w:rsidRPr="007E0F9B">
        <w:rPr>
          <w:rFonts w:ascii="Arial" w:hAnsi="Arial" w:cs="Arial"/>
        </w:rPr>
        <w:t xml:space="preserve"> October 2022) </w:t>
      </w:r>
    </w:p>
    <w:p w:rsidR="007F2F67" w:rsidRPr="007E0F9B" w:rsidRDefault="007F2F67" w:rsidP="007E0F9B">
      <w:pPr>
        <w:shd w:val="clear" w:color="auto" w:fill="FFFFFF"/>
        <w:autoSpaceDE w:val="0"/>
        <w:autoSpaceDN w:val="0"/>
        <w:adjustRightInd w:val="0"/>
        <w:spacing w:line="360" w:lineRule="auto"/>
        <w:ind w:right="150"/>
        <w:jc w:val="both"/>
        <w:rPr>
          <w:rFonts w:ascii="Arial" w:hAnsi="Arial" w:cs="Arial"/>
        </w:rPr>
      </w:pPr>
      <w:r w:rsidRPr="007E0F9B">
        <w:rPr>
          <w:rFonts w:ascii="Arial" w:hAnsi="Arial" w:cs="Arial"/>
        </w:rPr>
        <w:t xml:space="preserve">WHO. </w:t>
      </w:r>
      <w:r w:rsidRPr="007E0F9B">
        <w:rPr>
          <w:rFonts w:ascii="Arial" w:hAnsi="Arial" w:cs="Arial"/>
          <w:i/>
        </w:rPr>
        <w:t>Global tuberculosis control: WHO report 2016 (WHO/HTM/TB/</w:t>
      </w:r>
      <w:r w:rsidRPr="007E0F9B">
        <w:rPr>
          <w:rFonts w:ascii="Arial" w:hAnsi="Arial" w:cs="Arial"/>
        </w:rPr>
        <w:t xml:space="preserve">. Available at: </w:t>
      </w:r>
      <w:hyperlink r:id="rId26" w:history="1">
        <w:r w:rsidRPr="007E0F9B">
          <w:rPr>
            <w:rStyle w:val="Hyperlink"/>
            <w:rFonts w:ascii="Arial" w:eastAsia="Times New Roman" w:hAnsi="Arial" w:cs="Arial"/>
            <w:color w:val="auto"/>
            <w:u w:val="none"/>
            <w:lang w:eastAsia="en-GB"/>
          </w:rPr>
          <w:t>https://www.who.int/teams/global-tuberculosis-programme/tb-reports</w:t>
        </w:r>
      </w:hyperlink>
      <w:r w:rsidRPr="007E0F9B">
        <w:rPr>
          <w:rFonts w:ascii="Arial" w:hAnsi="Arial" w:cs="Arial"/>
        </w:rPr>
        <w:t xml:space="preserve"> (Accessed 18 September, 2016)</w:t>
      </w:r>
    </w:p>
    <w:p w:rsidR="007F2F67" w:rsidRPr="007E0F9B" w:rsidRDefault="007F2F67" w:rsidP="007E0F9B">
      <w:pPr>
        <w:spacing w:line="360" w:lineRule="auto"/>
        <w:jc w:val="both"/>
        <w:rPr>
          <w:rFonts w:ascii="Arial" w:hAnsi="Arial" w:cs="Arial"/>
        </w:rPr>
      </w:pPr>
      <w:r w:rsidRPr="007E0F9B">
        <w:rPr>
          <w:rFonts w:ascii="Arial" w:hAnsi="Arial" w:cs="Arial"/>
        </w:rPr>
        <w:t xml:space="preserve">World Health Organisation (2022) </w:t>
      </w:r>
      <w:r w:rsidRPr="007E0F9B">
        <w:rPr>
          <w:rFonts w:ascii="Arial" w:hAnsi="Arial" w:cs="Arial"/>
          <w:i/>
        </w:rPr>
        <w:t>Infectious Diseases</w:t>
      </w:r>
      <w:r w:rsidRPr="007E0F9B">
        <w:rPr>
          <w:rFonts w:ascii="Arial" w:hAnsi="Arial" w:cs="Arial"/>
        </w:rPr>
        <w:t xml:space="preserve">. Available at: </w:t>
      </w:r>
      <w:hyperlink r:id="rId27" w:history="1">
        <w:r w:rsidRPr="007E0F9B">
          <w:rPr>
            <w:rStyle w:val="Hyperlink"/>
            <w:rFonts w:ascii="Arial" w:hAnsi="Arial" w:cs="Arial"/>
            <w:color w:val="auto"/>
            <w:u w:val="none"/>
          </w:rPr>
          <w:t>https://www.who.int/</w:t>
        </w:r>
      </w:hyperlink>
      <w:r w:rsidRPr="007E0F9B">
        <w:rPr>
          <w:rFonts w:ascii="Arial" w:hAnsi="Arial" w:cs="Arial"/>
        </w:rPr>
        <w:t xml:space="preserve"> (accessed on 21</w:t>
      </w:r>
      <w:r w:rsidRPr="007E0F9B">
        <w:rPr>
          <w:rFonts w:ascii="Arial" w:hAnsi="Arial" w:cs="Arial"/>
          <w:vertAlign w:val="superscript"/>
        </w:rPr>
        <w:t>st</w:t>
      </w:r>
      <w:r w:rsidRPr="007E0F9B">
        <w:rPr>
          <w:rFonts w:ascii="Arial" w:hAnsi="Arial" w:cs="Arial"/>
        </w:rPr>
        <w:t xml:space="preserve"> October 2022)</w:t>
      </w:r>
    </w:p>
    <w:p w:rsidR="0044733C" w:rsidRPr="0044733C" w:rsidRDefault="0044733C" w:rsidP="007E0F9B">
      <w:pPr>
        <w:autoSpaceDE w:val="0"/>
        <w:autoSpaceDN w:val="0"/>
        <w:adjustRightInd w:val="0"/>
        <w:spacing w:after="0" w:line="360" w:lineRule="auto"/>
        <w:jc w:val="both"/>
        <w:rPr>
          <w:rFonts w:ascii="Arial" w:hAnsi="Arial" w:cs="Arial"/>
        </w:rPr>
      </w:pPr>
    </w:p>
    <w:p w:rsidR="0044733C" w:rsidRPr="007E0F9B" w:rsidRDefault="0044733C" w:rsidP="007E0F9B">
      <w:pPr>
        <w:spacing w:line="360" w:lineRule="auto"/>
        <w:jc w:val="both"/>
        <w:rPr>
          <w:rFonts w:ascii="Arial" w:hAnsi="Arial" w:cs="Arial"/>
        </w:rPr>
      </w:pPr>
    </w:p>
    <w:sectPr w:rsidR="0044733C" w:rsidRPr="007E0F9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A7BD5" w:rsidRDefault="004A7BD5" w:rsidP="00B627D1">
      <w:pPr>
        <w:spacing w:after="0" w:line="240" w:lineRule="auto"/>
      </w:pPr>
      <w:r>
        <w:separator/>
      </w:r>
    </w:p>
  </w:endnote>
  <w:endnote w:type="continuationSeparator" w:id="0">
    <w:p w:rsidR="004A7BD5" w:rsidRDefault="004A7BD5" w:rsidP="00B62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6950791"/>
      <w:docPartObj>
        <w:docPartGallery w:val="Page Numbers (Bottom of Page)"/>
        <w:docPartUnique/>
      </w:docPartObj>
    </w:sdtPr>
    <w:sdtEndPr>
      <w:rPr>
        <w:noProof/>
      </w:rPr>
    </w:sdtEndPr>
    <w:sdtContent>
      <w:p w:rsidR="00B627D1" w:rsidRDefault="00B627D1">
        <w:pPr>
          <w:pStyle w:val="Footer"/>
          <w:jc w:val="center"/>
        </w:pPr>
        <w:r>
          <w:fldChar w:fldCharType="begin"/>
        </w:r>
        <w:r>
          <w:instrText xml:space="preserve"> PAGE   \* MERGEFORMAT </w:instrText>
        </w:r>
        <w:r>
          <w:fldChar w:fldCharType="separate"/>
        </w:r>
        <w:r w:rsidR="00C93392">
          <w:rPr>
            <w:noProof/>
          </w:rPr>
          <w:t>1</w:t>
        </w:r>
        <w:r>
          <w:rPr>
            <w:noProof/>
          </w:rPr>
          <w:fldChar w:fldCharType="end"/>
        </w:r>
      </w:p>
    </w:sdtContent>
  </w:sdt>
  <w:p w:rsidR="00B627D1" w:rsidRDefault="00B627D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A7BD5" w:rsidRDefault="004A7BD5" w:rsidP="00B627D1">
      <w:pPr>
        <w:spacing w:after="0" w:line="240" w:lineRule="auto"/>
      </w:pPr>
      <w:r>
        <w:separator/>
      </w:r>
    </w:p>
  </w:footnote>
  <w:footnote w:type="continuationSeparator" w:id="0">
    <w:p w:rsidR="004A7BD5" w:rsidRDefault="004A7BD5" w:rsidP="00B627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22FD"/>
    <w:rsid w:val="00032580"/>
    <w:rsid w:val="00066807"/>
    <w:rsid w:val="00135C47"/>
    <w:rsid w:val="00166350"/>
    <w:rsid w:val="001A28BA"/>
    <w:rsid w:val="001C4CEB"/>
    <w:rsid w:val="003622FD"/>
    <w:rsid w:val="003D6F8F"/>
    <w:rsid w:val="0044733C"/>
    <w:rsid w:val="004A7BD5"/>
    <w:rsid w:val="006F11A0"/>
    <w:rsid w:val="00720D17"/>
    <w:rsid w:val="00736319"/>
    <w:rsid w:val="00791720"/>
    <w:rsid w:val="00793F24"/>
    <w:rsid w:val="007B6AB7"/>
    <w:rsid w:val="007E0F9B"/>
    <w:rsid w:val="007F2F67"/>
    <w:rsid w:val="008208F7"/>
    <w:rsid w:val="008A5B90"/>
    <w:rsid w:val="008D51C2"/>
    <w:rsid w:val="008D5A08"/>
    <w:rsid w:val="009B65B5"/>
    <w:rsid w:val="00A07A0E"/>
    <w:rsid w:val="00A10BAB"/>
    <w:rsid w:val="00A11016"/>
    <w:rsid w:val="00A20D8E"/>
    <w:rsid w:val="00AA5E7E"/>
    <w:rsid w:val="00AC62F2"/>
    <w:rsid w:val="00AE1A3F"/>
    <w:rsid w:val="00B247B1"/>
    <w:rsid w:val="00B527F7"/>
    <w:rsid w:val="00B627D1"/>
    <w:rsid w:val="00BE576C"/>
    <w:rsid w:val="00C93392"/>
    <w:rsid w:val="00D53B3F"/>
    <w:rsid w:val="00DB6588"/>
    <w:rsid w:val="00E07E8C"/>
    <w:rsid w:val="00E47189"/>
    <w:rsid w:val="00EB1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22FD"/>
  </w:style>
  <w:style w:type="paragraph" w:styleId="Heading1">
    <w:name w:val="heading 1"/>
    <w:basedOn w:val="Normal"/>
    <w:link w:val="Heading1Char"/>
    <w:uiPriority w:val="9"/>
    <w:qFormat/>
    <w:rsid w:val="007F2F6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622FD"/>
    <w:pPr>
      <w:autoSpaceDE w:val="0"/>
      <w:autoSpaceDN w:val="0"/>
      <w:adjustRightInd w:val="0"/>
      <w:spacing w:after="0" w:line="240" w:lineRule="auto"/>
    </w:pPr>
    <w:rPr>
      <w:rFonts w:ascii="Segoe UI" w:hAnsi="Segoe UI" w:cs="Segoe UI"/>
      <w:color w:val="000000"/>
      <w:sz w:val="24"/>
      <w:szCs w:val="24"/>
    </w:rPr>
  </w:style>
  <w:style w:type="paragraph" w:styleId="BalloonText">
    <w:name w:val="Balloon Text"/>
    <w:basedOn w:val="Normal"/>
    <w:link w:val="BalloonTextChar"/>
    <w:uiPriority w:val="99"/>
    <w:semiHidden/>
    <w:unhideWhenUsed/>
    <w:rsid w:val="003622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2FD"/>
    <w:rPr>
      <w:rFonts w:ascii="Tahoma" w:hAnsi="Tahoma" w:cs="Tahoma"/>
      <w:sz w:val="16"/>
      <w:szCs w:val="16"/>
    </w:rPr>
  </w:style>
  <w:style w:type="character" w:styleId="Hyperlink">
    <w:name w:val="Hyperlink"/>
    <w:basedOn w:val="DefaultParagraphFont"/>
    <w:uiPriority w:val="99"/>
    <w:unhideWhenUsed/>
    <w:rsid w:val="0044733C"/>
    <w:rPr>
      <w:color w:val="0000FF" w:themeColor="hyperlink"/>
      <w:u w:val="single"/>
    </w:rPr>
  </w:style>
  <w:style w:type="paragraph" w:styleId="Caption">
    <w:name w:val="caption"/>
    <w:basedOn w:val="Normal"/>
    <w:next w:val="Normal"/>
    <w:uiPriority w:val="35"/>
    <w:unhideWhenUsed/>
    <w:qFormat/>
    <w:rsid w:val="00A20D8E"/>
    <w:pPr>
      <w:spacing w:line="240" w:lineRule="auto"/>
    </w:pPr>
    <w:rPr>
      <w:b/>
      <w:bCs/>
      <w:color w:val="4F81BD" w:themeColor="accent1"/>
      <w:sz w:val="18"/>
      <w:szCs w:val="18"/>
    </w:rPr>
  </w:style>
  <w:style w:type="paragraph" w:styleId="ListParagraph">
    <w:name w:val="List Paragraph"/>
    <w:basedOn w:val="Normal"/>
    <w:uiPriority w:val="34"/>
    <w:qFormat/>
    <w:rsid w:val="007F2F67"/>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absch">
    <w:name w:val="absch"/>
    <w:basedOn w:val="DefaultParagraphFont"/>
    <w:rsid w:val="007F2F67"/>
  </w:style>
  <w:style w:type="character" w:customStyle="1" w:styleId="Heading1Char">
    <w:name w:val="Heading 1 Char"/>
    <w:basedOn w:val="DefaultParagraphFont"/>
    <w:link w:val="Heading1"/>
    <w:uiPriority w:val="9"/>
    <w:rsid w:val="007F2F67"/>
    <w:rPr>
      <w:rFonts w:ascii="Times New Roman" w:eastAsia="Times New Roman" w:hAnsi="Times New Roman" w:cs="Times New Roman"/>
      <w:b/>
      <w:bCs/>
      <w:kern w:val="36"/>
      <w:sz w:val="48"/>
      <w:szCs w:val="48"/>
      <w:lang w:eastAsia="en-GB"/>
    </w:rPr>
  </w:style>
  <w:style w:type="table" w:styleId="TableGrid">
    <w:name w:val="Table Grid"/>
    <w:basedOn w:val="TableNormal"/>
    <w:uiPriority w:val="59"/>
    <w:rsid w:val="007E0F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2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7D1"/>
  </w:style>
  <w:style w:type="paragraph" w:styleId="Footer">
    <w:name w:val="footer"/>
    <w:basedOn w:val="Normal"/>
    <w:link w:val="FooterChar"/>
    <w:uiPriority w:val="99"/>
    <w:unhideWhenUsed/>
    <w:rsid w:val="00B62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7D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22FD"/>
  </w:style>
  <w:style w:type="paragraph" w:styleId="Heading1">
    <w:name w:val="heading 1"/>
    <w:basedOn w:val="Normal"/>
    <w:link w:val="Heading1Char"/>
    <w:uiPriority w:val="9"/>
    <w:qFormat/>
    <w:rsid w:val="007F2F6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622FD"/>
    <w:pPr>
      <w:autoSpaceDE w:val="0"/>
      <w:autoSpaceDN w:val="0"/>
      <w:adjustRightInd w:val="0"/>
      <w:spacing w:after="0" w:line="240" w:lineRule="auto"/>
    </w:pPr>
    <w:rPr>
      <w:rFonts w:ascii="Segoe UI" w:hAnsi="Segoe UI" w:cs="Segoe UI"/>
      <w:color w:val="000000"/>
      <w:sz w:val="24"/>
      <w:szCs w:val="24"/>
    </w:rPr>
  </w:style>
  <w:style w:type="paragraph" w:styleId="BalloonText">
    <w:name w:val="Balloon Text"/>
    <w:basedOn w:val="Normal"/>
    <w:link w:val="BalloonTextChar"/>
    <w:uiPriority w:val="99"/>
    <w:semiHidden/>
    <w:unhideWhenUsed/>
    <w:rsid w:val="003622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2FD"/>
    <w:rPr>
      <w:rFonts w:ascii="Tahoma" w:hAnsi="Tahoma" w:cs="Tahoma"/>
      <w:sz w:val="16"/>
      <w:szCs w:val="16"/>
    </w:rPr>
  </w:style>
  <w:style w:type="character" w:styleId="Hyperlink">
    <w:name w:val="Hyperlink"/>
    <w:basedOn w:val="DefaultParagraphFont"/>
    <w:uiPriority w:val="99"/>
    <w:unhideWhenUsed/>
    <w:rsid w:val="0044733C"/>
    <w:rPr>
      <w:color w:val="0000FF" w:themeColor="hyperlink"/>
      <w:u w:val="single"/>
    </w:rPr>
  </w:style>
  <w:style w:type="paragraph" w:styleId="Caption">
    <w:name w:val="caption"/>
    <w:basedOn w:val="Normal"/>
    <w:next w:val="Normal"/>
    <w:uiPriority w:val="35"/>
    <w:unhideWhenUsed/>
    <w:qFormat/>
    <w:rsid w:val="00A20D8E"/>
    <w:pPr>
      <w:spacing w:line="240" w:lineRule="auto"/>
    </w:pPr>
    <w:rPr>
      <w:b/>
      <w:bCs/>
      <w:color w:val="4F81BD" w:themeColor="accent1"/>
      <w:sz w:val="18"/>
      <w:szCs w:val="18"/>
    </w:rPr>
  </w:style>
  <w:style w:type="paragraph" w:styleId="ListParagraph">
    <w:name w:val="List Paragraph"/>
    <w:basedOn w:val="Normal"/>
    <w:uiPriority w:val="34"/>
    <w:qFormat/>
    <w:rsid w:val="007F2F67"/>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absch">
    <w:name w:val="absch"/>
    <w:basedOn w:val="DefaultParagraphFont"/>
    <w:rsid w:val="007F2F67"/>
  </w:style>
  <w:style w:type="character" w:customStyle="1" w:styleId="Heading1Char">
    <w:name w:val="Heading 1 Char"/>
    <w:basedOn w:val="DefaultParagraphFont"/>
    <w:link w:val="Heading1"/>
    <w:uiPriority w:val="9"/>
    <w:rsid w:val="007F2F67"/>
    <w:rPr>
      <w:rFonts w:ascii="Times New Roman" w:eastAsia="Times New Roman" w:hAnsi="Times New Roman" w:cs="Times New Roman"/>
      <w:b/>
      <w:bCs/>
      <w:kern w:val="36"/>
      <w:sz w:val="48"/>
      <w:szCs w:val="48"/>
      <w:lang w:eastAsia="en-GB"/>
    </w:rPr>
  </w:style>
  <w:style w:type="table" w:styleId="TableGrid">
    <w:name w:val="Table Grid"/>
    <w:basedOn w:val="TableNormal"/>
    <w:uiPriority w:val="59"/>
    <w:rsid w:val="007E0F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27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27D1"/>
  </w:style>
  <w:style w:type="paragraph" w:styleId="Footer">
    <w:name w:val="footer"/>
    <w:basedOn w:val="Normal"/>
    <w:link w:val="FooterChar"/>
    <w:uiPriority w:val="99"/>
    <w:unhideWhenUsed/>
    <w:rsid w:val="00B627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8919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itha.com/epidemiology/" TargetMode="External"/><Relationship Id="rId18" Type="http://schemas.openxmlformats.org/officeDocument/2006/relationships/hyperlink" Target="http://www.gov.uk/government/publications/tackling-tuberculosis-in-under-served-populations" TargetMode="External"/><Relationship Id="rId26" Type="http://schemas.openxmlformats.org/officeDocument/2006/relationships/hyperlink" Target="https://www.who.int/teams/global-tuberculosis-programme/tb-reports" TargetMode="External"/><Relationship Id="rId3" Type="http://schemas.openxmlformats.org/officeDocument/2006/relationships/settings" Target="settings.xml"/><Relationship Id="rId21" Type="http://schemas.openxmlformats.org/officeDocument/2006/relationships/hyperlink" Target="https://www.gov.uk/government/publications/tuberculosis-pre-entry-screening-in-the-uk" TargetMode="External"/><Relationship Id="rId7" Type="http://schemas.openxmlformats.org/officeDocument/2006/relationships/image" Target="media/image1.jpeg"/><Relationship Id="rId12" Type="http://schemas.openxmlformats.org/officeDocument/2006/relationships/hyperlink" Target="https://www.cdc.gov/csels/dsepd/ss1978/Lesson1/Section1.html" TargetMode="External"/><Relationship Id="rId17" Type="http://schemas.openxmlformats.org/officeDocument/2006/relationships/hyperlink" Target="https://www.gov.uk/government/publications/latent-tb-infection-ltbi-testing-and-treatment" TargetMode="External"/><Relationship Id="rId25" Type="http://schemas.openxmlformats.org/officeDocument/2006/relationships/hyperlink" Target="https://www.who.int/news/item/14-10-2020-who-global-tb-progress-at-risk" TargetMode="External"/><Relationship Id="rId2" Type="http://schemas.microsoft.com/office/2007/relationships/stylesWithEffects" Target="stylesWithEffects.xml"/><Relationship Id="rId16" Type="http://schemas.openxmlformats.org/officeDocument/2006/relationships/hyperlink" Target="http://www.nice.org.uk/guidance/ng33" TargetMode="External"/><Relationship Id="rId20" Type="http://schemas.openxmlformats.org/officeDocument/2006/relationships/hyperlink" Target="https://www.england.nhs.uk/tuberculosis-programme/tuberculosis-tb-collaborative-strategy-for-england/"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cdc.gov/tb/topic/basics/default.htm" TargetMode="External"/><Relationship Id="rId24" Type="http://schemas.openxmlformats.org/officeDocument/2006/relationships/hyperlink" Target="https://www.gov.uk/government/publications/tuberculosis-tb-action-plan-for-england" TargetMode="External"/><Relationship Id="rId5" Type="http://schemas.openxmlformats.org/officeDocument/2006/relationships/footnotes" Target="footnotes.xml"/><Relationship Id="rId15" Type="http://schemas.openxmlformats.org/officeDocument/2006/relationships/hyperlink" Target="https://www.britannica.com/science/infectious-disease" TargetMode="External"/><Relationship Id="rId23" Type="http://schemas.openxmlformats.org/officeDocument/2006/relationships/hyperlink" Target="https://fingertips.phe.org.uk/profile/tb-monitoring" TargetMode="External"/><Relationship Id="rId28" Type="http://schemas.openxmlformats.org/officeDocument/2006/relationships/footer" Target="footer1.xml"/><Relationship Id="rId10" Type="http://schemas.openxmlformats.org/officeDocument/2006/relationships/image" Target="media/image3.emf"/><Relationship Id="rId19" Type="http://schemas.openxmlformats.org/officeDocument/2006/relationships/hyperlink" Target="http://www.gov.uk/government/publications/collaborative-tuberculosis-strategy-for-england"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www.sciencedirect.com/science/article/pii/B9780128036785005166" TargetMode="External"/><Relationship Id="rId22" Type="http://schemas.openxmlformats.org/officeDocument/2006/relationships/hyperlink" Target="http://www.gov.uk/government/publications/tuberculosis-in-england-annual-report" TargetMode="External"/><Relationship Id="rId27" Type="http://schemas.openxmlformats.org/officeDocument/2006/relationships/hyperlink" Target="https://www.who.int/"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TB cases in England</c:v>
                </c:pt>
              </c:strCache>
            </c:strRef>
          </c:tx>
          <c:dLbls>
            <c:showLegendKey val="0"/>
            <c:showVal val="1"/>
            <c:showCatName val="0"/>
            <c:showSerName val="0"/>
            <c:showPercent val="0"/>
            <c:showBubbleSize val="0"/>
            <c:showLeaderLines val="1"/>
          </c:dLbls>
          <c:cat>
            <c:numRef>
              <c:f>Sheet1!$A$2:$A$3</c:f>
              <c:numCache>
                <c:formatCode>General</c:formatCode>
                <c:ptCount val="2"/>
                <c:pt idx="0">
                  <c:v>2011</c:v>
                </c:pt>
                <c:pt idx="1">
                  <c:v>2016</c:v>
                </c:pt>
              </c:numCache>
            </c:numRef>
          </c:cat>
          <c:val>
            <c:numRef>
              <c:f>Sheet1!$B$2:$B$3</c:f>
              <c:numCache>
                <c:formatCode>General</c:formatCode>
                <c:ptCount val="2"/>
                <c:pt idx="0">
                  <c:v>8280</c:v>
                </c:pt>
                <c:pt idx="1">
                  <c:v>5664</c:v>
                </c:pt>
              </c:numCache>
            </c:numRef>
          </c:val>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547</TotalTime>
  <Pages>8</Pages>
  <Words>1807</Words>
  <Characters>10302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SumiHenry</dc:creator>
  <cp:keywords/>
  <dc:description/>
  <cp:lastModifiedBy>SumiHenry</cp:lastModifiedBy>
  <cp:revision>33</cp:revision>
  <dcterms:created xsi:type="dcterms:W3CDTF">2022-10-25T22:40:00Z</dcterms:created>
  <dcterms:modified xsi:type="dcterms:W3CDTF">2022-10-28T00:03:00Z</dcterms:modified>
</cp:coreProperties>
</file>