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629"/>
        <w:gridCol w:w="1237"/>
        <w:gridCol w:w="468"/>
        <w:gridCol w:w="1443"/>
        <w:gridCol w:w="66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6629"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b/>
                <w:bCs/>
                <w:sz w:val="28"/>
                <w:szCs w:val="24"/>
              </w:rPr>
            </w:pPr>
            <w:r>
              <w:rPr>
                <w:b/>
                <w:bCs/>
                <w:sz w:val="28"/>
                <w:szCs w:val="24"/>
              </w:rPr>
              <w:t>Component One: Student Journal (learning log) 750 words +/- 10%</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237" w:type="dxa"/>
            <w:tcBorders>
              <w:top w:val="single" w:color="auto" w:sz="4" w:space="0"/>
              <w:left w:val="single" w:color="auto" w:sz="4" w:space="0"/>
              <w:bottom w:val="nil"/>
              <w:right w:val="nil"/>
            </w:tcBorders>
            <w:shd w:val="clear" w:color="auto" w:fill="auto"/>
            <w:vAlign w:val="center"/>
          </w:tcPr>
          <w:p>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Student No:</w:t>
            </w:r>
          </w:p>
        </w:tc>
        <w:tc>
          <w:tcPr>
            <w:tcW w:w="1911" w:type="dxa"/>
            <w:gridSpan w:val="2"/>
            <w:tcBorders>
              <w:top w:val="single"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hint="default" w:ascii="Arial" w:hAnsi="Arial"/>
                <w:sz w:val="32"/>
                <w:szCs w:val="32"/>
              </w:rPr>
              <w:t>2244690</w:t>
            </w:r>
            <w:bookmarkStart w:id="14" w:name="_GoBack"/>
            <w:bookmarkEnd w:id="14"/>
          </w:p>
        </w:tc>
        <w:tc>
          <w:tcPr>
            <w:tcW w:w="662" w:type="dxa"/>
            <w:tcBorders>
              <w:top w:val="single" w:color="auto" w:sz="4" w:space="0"/>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p>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ascii="Arial" w:hAnsi="Arial" w:cs="Arial"/>
                <w:b/>
                <w:sz w:val="24"/>
              </w:rPr>
              <w:t>Operating</w:t>
            </w:r>
            <w:r>
              <w:rPr>
                <w:rFonts w:ascii="Arial" w:hAnsi="Arial" w:cs="Arial"/>
                <w:b/>
                <w:spacing w:val="-4"/>
                <w:sz w:val="24"/>
              </w:rPr>
              <w:t xml:space="preserve"> </w:t>
            </w:r>
            <w:r>
              <w:rPr>
                <w:rFonts w:ascii="Arial" w:hAnsi="Arial" w:cs="Arial"/>
                <w:b/>
                <w:sz w:val="24"/>
              </w:rPr>
              <w:t>Hotel</w:t>
            </w:r>
            <w:r>
              <w:rPr>
                <w:rFonts w:ascii="Arial" w:hAnsi="Arial" w:cs="Arial"/>
                <w:b/>
                <w:spacing w:val="-3"/>
                <w:sz w:val="24"/>
              </w:rPr>
              <w:t xml:space="preserve"> </w:t>
            </w:r>
            <w:r>
              <w:rPr>
                <w:rFonts w:ascii="Arial" w:hAnsi="Arial" w:cs="Arial"/>
                <w:b/>
                <w:spacing w:val="-2"/>
                <w:sz w:val="24"/>
              </w:rPr>
              <w:t>Facilities</w:t>
            </w:r>
          </w:p>
        </w:tc>
        <w:tc>
          <w:tcPr>
            <w:tcW w:w="662"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Code:</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ascii="Arial" w:hAnsi="Arial" w:cs="Arial"/>
                <w:b/>
                <w:spacing w:val="-2"/>
              </w:rPr>
              <w:t>BMIH4006</w:t>
            </w:r>
          </w:p>
        </w:tc>
        <w:tc>
          <w:tcPr>
            <w:tcW w:w="662"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6629"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hint="default" w:ascii="Arial" w:hAnsi="Arial"/>
                <w:sz w:val="32"/>
                <w:szCs w:val="32"/>
              </w:rPr>
              <w:t>Natalie Brailsford</w:t>
            </w:r>
          </w:p>
        </w:tc>
        <w:tc>
          <w:tcPr>
            <w:tcW w:w="662"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6629" w:type="dxa"/>
            <w:vMerge w:val="continue"/>
            <w:tcBorders>
              <w:left w:val="single" w:color="auto" w:sz="4" w:space="0"/>
              <w:bottom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vAlign w:val="center"/>
          </w:tcPr>
          <w:p>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439"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pStyle w:val="3"/>
            </w:pPr>
            <w:bookmarkStart w:id="0" w:name="_Toc157008892"/>
            <w:r>
              <w:t>Introduction:</w:t>
            </w:r>
            <w:bookmarkEnd w:id="0"/>
          </w:p>
          <w:p>
            <w:pPr>
              <w:pStyle w:val="8"/>
              <w:spacing w:before="0" w:beforeAutospacing="0" w:after="0" w:afterAutospacing="0" w:line="360" w:lineRule="auto"/>
              <w:jc w:val="both"/>
              <w:rPr>
                <w:rFonts w:ascii="Arial" w:hAnsi="Arial" w:cs="Arial"/>
              </w:rPr>
            </w:pPr>
            <w:r>
              <w:rPr>
                <w:rFonts w:ascii="Arial" w:hAnsi="Arial" w:cs="Arial"/>
                <w:color w:val="000000"/>
              </w:rPr>
              <w:t xml:space="preserve">Starting my housekeeping career at the Colchester A12 Premier Inn under the guidance of a specific group lead with the aid of Mircia Leva, provided an enlightening and transformative experience. My task with a range of responsibilities, from preservation to ensuring that the rooms are cleaned, this placement allowed me to immerse myself in the intricacies of keeping with the cleanliness and orderliness of a crowded hotel. To evaluate this journey, I will use the Gibbs Model of Reflection to identify my emotions and the impact of this overall placement journey. </w:t>
            </w:r>
          </w:p>
          <w:p>
            <w:pPr>
              <w:pStyle w:val="3"/>
            </w:pPr>
            <w:bookmarkStart w:id="1" w:name="_Toc157008893"/>
            <w:r>
              <w:t>Initial Impressions:</w:t>
            </w:r>
            <w:bookmarkEnd w:id="1"/>
          </w:p>
          <w:p>
            <w:pPr>
              <w:pStyle w:val="8"/>
              <w:spacing w:before="0" w:beforeAutospacing="0" w:after="0" w:afterAutospacing="0" w:line="360" w:lineRule="auto"/>
              <w:jc w:val="both"/>
              <w:rPr>
                <w:rFonts w:ascii="Arial" w:hAnsi="Arial" w:cs="Arial"/>
              </w:rPr>
            </w:pPr>
            <w:r>
              <w:rPr>
                <w:rFonts w:ascii="Arial" w:hAnsi="Arial" w:cs="Arial"/>
                <w:color w:val="000000"/>
              </w:rPr>
              <w:t>The beginning days of the placement have been a combination of excitement and nervous anticipation (</w:t>
            </w:r>
            <w:r>
              <w:rPr>
                <w:rFonts w:ascii="Arial" w:hAnsi="Arial" w:cs="Arial"/>
              </w:rPr>
              <w:t>Bridger 2018</w:t>
            </w:r>
            <w:r>
              <w:rPr>
                <w:rFonts w:ascii="Arial" w:hAnsi="Arial" w:cs="Arial"/>
                <w:color w:val="000000"/>
              </w:rPr>
              <w:t>). The Colchester A12 Premier Inn is recognized for its impeccable hospitality and set high requirements which I was anxious to align. Working with Miricia Leva and her numerous groups strengthened my experience of responsibility as I identified the crucial role housekeeping played in creating the overall visitor experience. </w:t>
            </w:r>
          </w:p>
          <w:p>
            <w:pPr>
              <w:pStyle w:val="3"/>
            </w:pPr>
            <w:bookmarkStart w:id="2" w:name="_Toc157008894"/>
            <w:r>
              <w:t>Feelings and Adaptation:</w:t>
            </w:r>
            <w:bookmarkEnd w:id="2"/>
          </w:p>
          <w:p>
            <w:pPr>
              <w:pStyle w:val="8"/>
              <w:spacing w:before="0" w:beforeAutospacing="0" w:after="0" w:afterAutospacing="0" w:line="360" w:lineRule="auto"/>
              <w:jc w:val="both"/>
              <w:rPr>
                <w:rFonts w:ascii="Arial" w:hAnsi="Arial" w:cs="Arial"/>
              </w:rPr>
            </w:pPr>
            <w:r>
              <w:rPr>
                <w:rFonts w:ascii="Arial" w:hAnsi="Arial" w:cs="Arial"/>
                <w:color w:val="000000"/>
              </w:rPr>
              <w:t>Feelings throughout the beginning were a rollercoaster of feelings. The rapidly growing environment demanded crucial attention to detail, and I could sense the burden of my position in ensuring guest satisfaction (Cottrell 2019). However, as I steadily became tailored to the routine, an experience of accomplishment and satisfaction started to blossom. The meticulous task involved in maintaining the pristine aspects of the hotel rooms translated into developing self-confidence in my capacity to contribute positively to the given order. </w:t>
            </w:r>
          </w:p>
          <w:p>
            <w:pPr>
              <w:pStyle w:val="3"/>
            </w:pPr>
            <w:bookmarkStart w:id="3" w:name="_Toc157008895"/>
            <w:r>
              <w:t>Evaluation of Experience:</w:t>
            </w:r>
            <w:bookmarkEnd w:id="3"/>
          </w:p>
          <w:p>
            <w:pPr>
              <w:pStyle w:val="8"/>
              <w:spacing w:before="0" w:beforeAutospacing="0" w:after="0" w:afterAutospacing="0" w:line="360" w:lineRule="auto"/>
              <w:jc w:val="both"/>
              <w:rPr>
                <w:rFonts w:ascii="Arial" w:hAnsi="Arial" w:cs="Arial"/>
              </w:rPr>
            </w:pPr>
            <w:r>
              <w:rPr>
                <w:rFonts w:ascii="Arial" w:hAnsi="Arial" w:cs="Arial"/>
                <w:color w:val="000000"/>
              </w:rPr>
              <w:t>In analyzing the entire experience, the positives and challenges described my journey. On the effective aspect, the placement provides a deeper knowledge of the professionalism required in housekeeping and the delight received from supporting a welcoming atmosphere for visitors (Leiter and Bakker 2010). Mircia Leva’s management played an important role in fostering a sense of teamwork and togetherness within the department. This collectively contributes to creating a positive and inspiring work environment. </w:t>
            </w:r>
          </w:p>
          <w:p>
            <w:pPr>
              <w:pStyle w:val="3"/>
            </w:pPr>
            <w:bookmarkStart w:id="4" w:name="_Toc157008896"/>
            <w:r>
              <w:t>Challenges and Learnings:</w:t>
            </w:r>
            <w:bookmarkEnd w:id="4"/>
          </w:p>
          <w:p>
            <w:pPr>
              <w:pStyle w:val="8"/>
              <w:spacing w:before="0" w:beforeAutospacing="0" w:after="0" w:afterAutospacing="0" w:line="360" w:lineRule="auto"/>
              <w:jc w:val="both"/>
              <w:rPr>
                <w:rFonts w:ascii="Arial" w:hAnsi="Arial" w:cs="Arial"/>
              </w:rPr>
            </w:pPr>
            <w:r>
              <w:rPr>
                <w:rFonts w:ascii="Arial" w:hAnsi="Arial" w:cs="Arial"/>
                <w:color w:val="000000"/>
              </w:rPr>
              <w:t>The challenging situations were not unusual. Align with the fast-forward environment of the work at Colchester A12 Premier Inn turned into an important studying environment. Meeting the high requirements set with the aid of the hotel demanded not only attention to detail as well as time management to satisfy sharp deadlines (Cook 2020). With the regular float of visitors adding extra complexity, our crew needed to control seamlessly to ensure the hotel’s reputation for excellence remained unclean. The vital event at the time of the appointment highlights the importance of flexibility and active problem-solving. In unpredictable room environments, I learned challenges not as obstacles but as possibilities for private and professional growth. This insight refined my perspective and instilled in my knowledge. The potential to navigate the dynamic and unpredictable nature of the hospitality enterprise. </w:t>
            </w:r>
          </w:p>
          <w:p>
            <w:pPr>
              <w:pStyle w:val="3"/>
            </w:pPr>
            <w:bookmarkStart w:id="5" w:name="_Toc157008897"/>
            <w:r>
              <w:t>Areas for Improvement:</w:t>
            </w:r>
            <w:bookmarkEnd w:id="5"/>
          </w:p>
          <w:p>
            <w:pPr>
              <w:pStyle w:val="8"/>
              <w:spacing w:before="0" w:beforeAutospacing="0" w:after="0" w:afterAutospacing="0" w:line="360" w:lineRule="auto"/>
              <w:jc w:val="both"/>
              <w:rPr>
                <w:rFonts w:ascii="Arial" w:hAnsi="Arial" w:cs="Arial"/>
              </w:rPr>
            </w:pPr>
            <w:r>
              <w:rPr>
                <w:rFonts w:ascii="Arial" w:hAnsi="Arial" w:cs="Arial"/>
                <w:color w:val="000000"/>
              </w:rPr>
              <w:t>Reflecting on the experience. I acknowledge areas for development in my overall performance during the placement. Enhancing my time management capabilities would have undoubtedly accelerated ordinary efficiency and decreased stress in meeting deadlines (Zimmerman et al. 2023). Proactive communication inside the group must further minimize challenges, fostering a greater cohesive and streamlined workflow. </w:t>
            </w:r>
          </w:p>
          <w:p>
            <w:pPr>
              <w:pStyle w:val="3"/>
            </w:pPr>
            <w:bookmarkStart w:id="6" w:name="_Toc157008898"/>
            <w:r>
              <w:t>Conclusion:</w:t>
            </w:r>
            <w:bookmarkEnd w:id="6"/>
          </w:p>
          <w:p>
            <w:pPr>
              <w:pStyle w:val="8"/>
              <w:spacing w:before="0" w:beforeAutospacing="0" w:after="0" w:afterAutospacing="0" w:line="360" w:lineRule="auto"/>
              <w:jc w:val="both"/>
              <w:rPr>
                <w:rFonts w:ascii="Arial" w:hAnsi="Arial" w:cs="Arial"/>
              </w:rPr>
            </w:pPr>
            <w:r>
              <w:rPr>
                <w:rFonts w:ascii="Arial" w:hAnsi="Arial" w:cs="Arial"/>
                <w:color w:val="000000"/>
              </w:rPr>
              <w:t>In conclusion, my housekeeping career at the Colchester A12 Premier Inn, under the guidance of Mircia Leval and the dedicated group, was an adventure of gathering knowledge and my professional growth. The mixture of excitement, challenges, and a sense of fulfillment an indelible mark on my understanding of the hospitality industry. As I carry forward the abilities and insights I have gained, I am grateful for the possibility to make contributions to the fulfillment of this kind of prestigious industry and continue my pursuit of excellence in the field of hospitality. </w:t>
            </w:r>
          </w:p>
          <w:p>
            <w:pPr>
              <w:pStyle w:val="3"/>
            </w:pPr>
            <w:bookmarkStart w:id="7" w:name="_Toc157008899"/>
            <w:r>
              <w:t>Action Plan:</w:t>
            </w:r>
            <w:bookmarkEnd w:id="7"/>
          </w:p>
          <w:p>
            <w:pPr>
              <w:pStyle w:val="8"/>
              <w:spacing w:before="0" w:beforeAutospacing="0" w:after="0" w:afterAutospacing="0" w:line="360" w:lineRule="auto"/>
              <w:jc w:val="both"/>
              <w:rPr>
                <w:rFonts w:ascii="Arial" w:hAnsi="Arial" w:cs="Arial"/>
              </w:rPr>
            </w:pPr>
            <w:r>
              <w:rPr>
                <w:rFonts w:ascii="Arial" w:hAnsi="Arial" w:cs="Arial"/>
                <w:color w:val="000000"/>
              </w:rPr>
              <w:t>In expecting future demanding situations, I plan to regulate timelines by setting practical goals, prioritizing powerful partnerships with the crew members, and promoting insight-sharing and feedback. Consistent gathering of knowledge is a crucial part of my approach to destiny plans (Jiang and Raza 2023). This experience enhanced my expertise in the vital function housekeeping plays in visitors' overall experience, emphasized attention to detail and collaborative teamwork, and reshaped my angle in the hospitality sector. During this placement on housekeeping, I learned verbal exchange, flexibility, and a dedication to non-stop development, which reinforced my willpower to excel in hospitality (Morgan et al. 2022). I have personally experienced my resilience and high-quality mindset, which emphasized the interconnectedness of duties in ensuring visitors' overall experiences. </w:t>
            </w:r>
          </w:p>
          <w:tbl>
            <w:tblPr>
              <w:tblStyle w:val="15"/>
              <w:tblpPr w:leftFromText="180" w:rightFromText="180" w:vertAnchor="page" w:horzAnchor="margin" w:tblpY="4131"/>
              <w:tblW w:w="0" w:type="auto"/>
              <w:tblInd w:w="0" w:type="dxa"/>
              <w:tblBorders>
                <w:top w:val="single" w:color="C8C8C8" w:themeColor="accent3" w:themeTint="99" w:sz="2" w:space="0"/>
                <w:left w:val="none" w:color="auto" w:sz="0" w:space="0"/>
                <w:bottom w:val="single" w:color="C8C8C8" w:themeColor="accent3" w:themeTint="99" w:sz="2" w:space="0"/>
                <w:right w:val="none" w:color="auto" w:sz="0" w:space="0"/>
                <w:insideH w:val="single" w:color="C8C8C8" w:themeColor="accent3" w:themeTint="99" w:sz="2" w:space="0"/>
                <w:insideV w:val="single" w:color="C8C8C8" w:themeColor="accent3" w:themeTint="99" w:sz="2" w:space="0"/>
              </w:tblBorders>
              <w:tblLayout w:type="autofit"/>
              <w:tblCellMar>
                <w:top w:w="0" w:type="dxa"/>
                <w:left w:w="108" w:type="dxa"/>
                <w:bottom w:w="0" w:type="dxa"/>
                <w:right w:w="108" w:type="dxa"/>
              </w:tblCellMar>
            </w:tblPr>
            <w:tblGrid>
              <w:gridCol w:w="543"/>
              <w:gridCol w:w="3535"/>
              <w:gridCol w:w="4279"/>
            </w:tblGrid>
            <w:tr>
              <w:tblPrEx>
                <w:tblBorders>
                  <w:top w:val="single" w:color="C8C8C8" w:themeColor="accent3" w:themeTint="99" w:sz="2" w:space="0"/>
                  <w:left w:val="none" w:color="auto" w:sz="0" w:space="0"/>
                  <w:bottom w:val="single" w:color="C8C8C8" w:themeColor="accent3" w:themeTint="99" w:sz="2" w:space="0"/>
                  <w:right w:val="none" w:color="auto" w:sz="0" w:space="0"/>
                  <w:insideH w:val="single" w:color="C8C8C8" w:themeColor="accent3" w:themeTint="99" w:sz="2" w:space="0"/>
                  <w:insideV w:val="single" w:color="C8C8C8" w:themeColor="accent3" w:themeTint="99" w:sz="2" w:space="0"/>
                </w:tblBorders>
                <w:tblCellMar>
                  <w:top w:w="0" w:type="dxa"/>
                  <w:left w:w="108" w:type="dxa"/>
                  <w:bottom w:w="0" w:type="dxa"/>
                  <w:right w:w="108" w:type="dxa"/>
                </w:tblCellMar>
              </w:tblPrEx>
              <w:trPr>
                <w:trHeight w:val="93" w:hRule="atLeast"/>
              </w:trPr>
              <w:tc>
                <w:tcPr>
                  <w:tcW w:w="543" w:type="dxa"/>
                  <w:tcBorders>
                    <w:top w:val="nil"/>
                    <w:left w:val="single" w:color="auto" w:sz="4" w:space="0"/>
                    <w:bottom w:val="single" w:color="auto" w:sz="4" w:space="0"/>
                    <w:right w:val="nil"/>
                    <w:insideV w:val="nil"/>
                  </w:tcBorders>
                  <w:shd w:val="clear" w:color="auto" w:fill="FFFFFF" w:themeFill="background1"/>
                </w:tcPr>
                <w:p>
                  <w:pPr>
                    <w:spacing w:after="160" w:line="240" w:lineRule="auto"/>
                    <w:jc w:val="both"/>
                    <w:rPr>
                      <w:rFonts w:ascii="Arial" w:hAnsi="Arial" w:cs="Arial"/>
                      <w:b/>
                      <w:bCs/>
                      <w:sz w:val="24"/>
                      <w:szCs w:val="24"/>
                    </w:rPr>
                  </w:pPr>
                  <w:r>
                    <w:rPr>
                      <w:rFonts w:ascii="Arial" w:hAnsi="Arial" w:cs="Arial"/>
                      <w:b/>
                      <w:bCs/>
                      <w:sz w:val="24"/>
                      <w:szCs w:val="24"/>
                    </w:rPr>
                    <w:t>No</w:t>
                  </w:r>
                </w:p>
              </w:tc>
              <w:tc>
                <w:tcPr>
                  <w:tcW w:w="3535" w:type="dxa"/>
                  <w:tcBorders>
                    <w:top w:val="nil"/>
                    <w:bottom w:val="single" w:color="auto" w:sz="4" w:space="0"/>
                    <w:right w:val="nil"/>
                    <w:insideV w:val="nil"/>
                  </w:tcBorders>
                  <w:shd w:val="clear" w:color="auto" w:fill="FFFFFF" w:themeFill="background1"/>
                </w:tcPr>
                <w:p>
                  <w:pPr>
                    <w:spacing w:after="160" w:line="240" w:lineRule="auto"/>
                    <w:jc w:val="both"/>
                    <w:rPr>
                      <w:rFonts w:ascii="Arial" w:hAnsi="Arial" w:cs="Arial"/>
                      <w:b/>
                      <w:bCs/>
                      <w:sz w:val="24"/>
                      <w:szCs w:val="24"/>
                    </w:rPr>
                  </w:pPr>
                  <w:r>
                    <w:rPr>
                      <w:rFonts w:ascii="Arial" w:hAnsi="Arial" w:cs="Arial"/>
                      <w:b/>
                      <w:bCs/>
                      <w:sz w:val="24"/>
                      <w:szCs w:val="24"/>
                    </w:rPr>
                    <w:t>Task</w:t>
                  </w:r>
                </w:p>
              </w:tc>
              <w:tc>
                <w:tcPr>
                  <w:tcW w:w="4279" w:type="dxa"/>
                  <w:tcBorders>
                    <w:top w:val="nil"/>
                    <w:bottom w:val="single" w:color="auto" w:sz="4" w:space="0"/>
                    <w:insideV w:val="nil"/>
                  </w:tcBorders>
                  <w:shd w:val="clear" w:color="auto" w:fill="FFFFFF" w:themeFill="background1"/>
                </w:tcPr>
                <w:p>
                  <w:pPr>
                    <w:spacing w:after="160" w:line="240" w:lineRule="auto"/>
                    <w:jc w:val="both"/>
                    <w:rPr>
                      <w:rFonts w:ascii="Arial" w:hAnsi="Arial" w:cs="Arial"/>
                      <w:b/>
                      <w:bCs/>
                      <w:sz w:val="24"/>
                      <w:szCs w:val="24"/>
                    </w:rPr>
                  </w:pPr>
                  <w:r>
                    <w:rPr>
                      <w:rFonts w:ascii="Arial" w:hAnsi="Arial" w:cs="Arial"/>
                      <w:b/>
                      <w:bCs/>
                      <w:sz w:val="24"/>
                      <w:szCs w:val="24"/>
                    </w:rPr>
                    <w:t>Action</w:t>
                  </w:r>
                </w:p>
              </w:tc>
            </w:tr>
            <w:tr>
              <w:tblPrEx>
                <w:tblBorders>
                  <w:top w:val="single" w:color="C8C8C8" w:themeColor="accent3" w:themeTint="99" w:sz="2" w:space="0"/>
                  <w:left w:val="none" w:color="auto" w:sz="0" w:space="0"/>
                  <w:bottom w:val="single" w:color="C8C8C8" w:themeColor="accent3" w:themeTint="99" w:sz="2" w:space="0"/>
                  <w:right w:val="none" w:color="auto" w:sz="0" w:space="0"/>
                  <w:insideH w:val="single" w:color="C8C8C8" w:themeColor="accent3" w:themeTint="99" w:sz="2" w:space="0"/>
                  <w:insideV w:val="single" w:color="C8C8C8" w:themeColor="accent3" w:themeTint="99" w:sz="2" w:space="0"/>
                </w:tblBorders>
                <w:tblCellMar>
                  <w:top w:w="0" w:type="dxa"/>
                  <w:left w:w="108" w:type="dxa"/>
                  <w:bottom w:w="0" w:type="dxa"/>
                  <w:right w:w="108" w:type="dxa"/>
                </w:tblCellMar>
              </w:tblPrEx>
              <w:trPr>
                <w:trHeight w:val="93" w:hRule="atLeast"/>
              </w:trPr>
              <w:tc>
                <w:tcPr>
                  <w:tcW w:w="543" w:type="dxa"/>
                  <w:tcBorders>
                    <w:top w:val="single" w:color="auto" w:sz="4" w:space="0"/>
                  </w:tcBorders>
                  <w:shd w:val="clear" w:color="auto" w:fill="ECECEC" w:themeFill="accent3" w:themeFillTint="33"/>
                </w:tcPr>
                <w:p>
                  <w:pPr>
                    <w:spacing w:after="160" w:line="240" w:lineRule="auto"/>
                    <w:jc w:val="both"/>
                    <w:rPr>
                      <w:rFonts w:ascii="Arial" w:hAnsi="Arial" w:cs="Arial"/>
                      <w:b/>
                      <w:bCs/>
                      <w:sz w:val="24"/>
                      <w:szCs w:val="24"/>
                    </w:rPr>
                  </w:pPr>
                  <w:r>
                    <w:rPr>
                      <w:rFonts w:ascii="Arial" w:hAnsi="Arial" w:cs="Arial"/>
                      <w:b/>
                      <w:bCs/>
                      <w:sz w:val="24"/>
                      <w:szCs w:val="24"/>
                    </w:rPr>
                    <w:t>1.</w:t>
                  </w:r>
                </w:p>
              </w:tc>
              <w:tc>
                <w:tcPr>
                  <w:tcW w:w="3535" w:type="dxa"/>
                  <w:tcBorders>
                    <w:top w:val="single" w:color="auto" w:sz="4" w:space="0"/>
                  </w:tcBorders>
                  <w:shd w:val="clear" w:color="auto" w:fill="ECECEC" w:themeFill="accent3" w:themeFillTint="33"/>
                </w:tcPr>
                <w:p>
                  <w:pPr>
                    <w:spacing w:after="160" w:line="240" w:lineRule="auto"/>
                    <w:jc w:val="both"/>
                    <w:rPr>
                      <w:rFonts w:ascii="Arial" w:hAnsi="Arial" w:cs="Arial"/>
                      <w:sz w:val="24"/>
                      <w:szCs w:val="24"/>
                    </w:rPr>
                  </w:pPr>
                  <w:r>
                    <w:rPr>
                      <w:rFonts w:ascii="Arial" w:hAnsi="Arial" w:cs="Arial"/>
                      <w:sz w:val="24"/>
                      <w:szCs w:val="24"/>
                    </w:rPr>
                    <w:t>Time Management Workshops</w:t>
                  </w:r>
                </w:p>
              </w:tc>
              <w:tc>
                <w:tcPr>
                  <w:tcW w:w="4279" w:type="dxa"/>
                  <w:tcBorders>
                    <w:top w:val="single" w:color="auto" w:sz="4" w:space="0"/>
                  </w:tcBorders>
                  <w:shd w:val="clear" w:color="auto" w:fill="ECECEC" w:themeFill="accent3" w:themeFillTint="33"/>
                </w:tcPr>
                <w:p>
                  <w:pPr>
                    <w:numPr>
                      <w:ilvl w:val="0"/>
                      <w:numId w:val="1"/>
                    </w:numPr>
                    <w:spacing w:after="160" w:line="240" w:lineRule="auto"/>
                    <w:jc w:val="both"/>
                    <w:rPr>
                      <w:rFonts w:ascii="Arial" w:hAnsi="Arial" w:cs="Arial"/>
                      <w:sz w:val="24"/>
                      <w:szCs w:val="24"/>
                    </w:rPr>
                  </w:pPr>
                  <w:r>
                    <w:rPr>
                      <w:rFonts w:ascii="Arial" w:hAnsi="Arial" w:cs="Arial"/>
                      <w:sz w:val="24"/>
                      <w:szCs w:val="24"/>
                    </w:rPr>
                    <w:t>Engage in workshops to refine time management skills</w:t>
                  </w:r>
                </w:p>
                <w:p>
                  <w:pPr>
                    <w:numPr>
                      <w:ilvl w:val="0"/>
                      <w:numId w:val="1"/>
                    </w:numPr>
                    <w:spacing w:after="160" w:line="240" w:lineRule="auto"/>
                    <w:jc w:val="both"/>
                    <w:rPr>
                      <w:rFonts w:ascii="Arial" w:hAnsi="Arial" w:cs="Arial"/>
                      <w:sz w:val="24"/>
                      <w:szCs w:val="24"/>
                    </w:rPr>
                  </w:pPr>
                  <w:r>
                    <w:rPr>
                      <w:rFonts w:ascii="Arial" w:hAnsi="Arial" w:cs="Arial"/>
                      <w:sz w:val="24"/>
                      <w:szCs w:val="24"/>
                    </w:rPr>
                    <w:t>Establish realistic goals and prioritize tasks efficiently</w:t>
                  </w:r>
                </w:p>
              </w:tc>
            </w:tr>
            <w:tr>
              <w:tblPrEx>
                <w:tblBorders>
                  <w:top w:val="single" w:color="C8C8C8" w:themeColor="accent3" w:themeTint="99" w:sz="2" w:space="0"/>
                  <w:left w:val="none" w:color="auto" w:sz="0" w:space="0"/>
                  <w:bottom w:val="single" w:color="C8C8C8" w:themeColor="accent3" w:themeTint="99" w:sz="2" w:space="0"/>
                  <w:right w:val="none" w:color="auto" w:sz="0" w:space="0"/>
                  <w:insideH w:val="single" w:color="C8C8C8" w:themeColor="accent3" w:themeTint="99" w:sz="2" w:space="0"/>
                  <w:insideV w:val="single" w:color="C8C8C8" w:themeColor="accent3" w:themeTint="99" w:sz="2" w:space="0"/>
                </w:tblBorders>
                <w:tblCellMar>
                  <w:top w:w="0" w:type="dxa"/>
                  <w:left w:w="108" w:type="dxa"/>
                  <w:bottom w:w="0" w:type="dxa"/>
                  <w:right w:w="108" w:type="dxa"/>
                </w:tblCellMar>
              </w:tblPrEx>
              <w:trPr>
                <w:trHeight w:val="1477" w:hRule="atLeast"/>
              </w:trPr>
              <w:tc>
                <w:tcPr>
                  <w:tcW w:w="543" w:type="dxa"/>
                </w:tcPr>
                <w:p>
                  <w:pPr>
                    <w:spacing w:after="160" w:line="240" w:lineRule="auto"/>
                    <w:jc w:val="both"/>
                    <w:rPr>
                      <w:rFonts w:ascii="Arial" w:hAnsi="Arial" w:cs="Arial"/>
                      <w:b/>
                      <w:bCs/>
                      <w:sz w:val="24"/>
                      <w:szCs w:val="24"/>
                    </w:rPr>
                  </w:pPr>
                  <w:r>
                    <w:rPr>
                      <w:rFonts w:ascii="Arial" w:hAnsi="Arial" w:cs="Arial"/>
                      <w:b/>
                      <w:bCs/>
                      <w:sz w:val="24"/>
                      <w:szCs w:val="24"/>
                    </w:rPr>
                    <w:t>2.</w:t>
                  </w:r>
                </w:p>
              </w:tc>
              <w:tc>
                <w:tcPr>
                  <w:tcW w:w="3535" w:type="dxa"/>
                </w:tcPr>
                <w:p>
                  <w:pPr>
                    <w:spacing w:after="160" w:line="240" w:lineRule="auto"/>
                    <w:jc w:val="both"/>
                    <w:rPr>
                      <w:rFonts w:ascii="Arial" w:hAnsi="Arial" w:cs="Arial"/>
                      <w:sz w:val="24"/>
                      <w:szCs w:val="24"/>
                    </w:rPr>
                  </w:pPr>
                  <w:r>
                    <w:rPr>
                      <w:rFonts w:ascii="Arial" w:hAnsi="Arial" w:cs="Arial"/>
                      <w:sz w:val="24"/>
                      <w:szCs w:val="24"/>
                    </w:rPr>
                    <w:t>Open Communication within the Team</w:t>
                  </w:r>
                </w:p>
              </w:tc>
              <w:tc>
                <w:tcPr>
                  <w:tcW w:w="4279" w:type="dxa"/>
                </w:tcPr>
                <w:p>
                  <w:pPr>
                    <w:numPr>
                      <w:ilvl w:val="0"/>
                      <w:numId w:val="2"/>
                    </w:numPr>
                    <w:spacing w:after="160" w:line="240" w:lineRule="auto"/>
                    <w:jc w:val="both"/>
                    <w:rPr>
                      <w:rFonts w:ascii="Arial" w:hAnsi="Arial" w:cs="Arial"/>
                      <w:sz w:val="24"/>
                      <w:szCs w:val="24"/>
                    </w:rPr>
                  </w:pPr>
                  <w:r>
                    <w:rPr>
                      <w:rFonts w:ascii="Arial" w:hAnsi="Arial" w:cs="Arial"/>
                      <w:sz w:val="24"/>
                      <w:szCs w:val="24"/>
                    </w:rPr>
                    <w:t>Conduct regular team meetings to foster open communication</w:t>
                  </w:r>
                </w:p>
                <w:p>
                  <w:pPr>
                    <w:numPr>
                      <w:ilvl w:val="0"/>
                      <w:numId w:val="2"/>
                    </w:numPr>
                    <w:spacing w:after="160" w:line="240" w:lineRule="auto"/>
                    <w:jc w:val="both"/>
                    <w:rPr>
                      <w:rFonts w:ascii="Arial" w:hAnsi="Arial" w:cs="Arial"/>
                      <w:sz w:val="24"/>
                      <w:szCs w:val="24"/>
                    </w:rPr>
                  </w:pPr>
                  <w:r>
                    <w:rPr>
                      <w:rFonts w:ascii="Arial" w:hAnsi="Arial" w:cs="Arial"/>
                      <w:sz w:val="24"/>
                      <w:szCs w:val="24"/>
                    </w:rPr>
                    <w:t>Encourage team members to share insights and provide feedback (Adams et al. 2021).</w:t>
                  </w:r>
                </w:p>
              </w:tc>
            </w:tr>
            <w:tr>
              <w:tblPrEx>
                <w:tblBorders>
                  <w:top w:val="single" w:color="C8C8C8" w:themeColor="accent3" w:themeTint="99" w:sz="2" w:space="0"/>
                  <w:left w:val="none" w:color="auto" w:sz="0" w:space="0"/>
                  <w:bottom w:val="single" w:color="C8C8C8" w:themeColor="accent3" w:themeTint="99" w:sz="2" w:space="0"/>
                  <w:right w:val="none" w:color="auto" w:sz="0" w:space="0"/>
                  <w:insideH w:val="single" w:color="C8C8C8" w:themeColor="accent3" w:themeTint="99" w:sz="2" w:space="0"/>
                  <w:insideV w:val="single" w:color="C8C8C8" w:themeColor="accent3" w:themeTint="99" w:sz="2" w:space="0"/>
                </w:tblBorders>
                <w:tblCellMar>
                  <w:top w:w="0" w:type="dxa"/>
                  <w:left w:w="108" w:type="dxa"/>
                  <w:bottom w:w="0" w:type="dxa"/>
                  <w:right w:w="108" w:type="dxa"/>
                </w:tblCellMar>
              </w:tblPrEx>
              <w:trPr>
                <w:trHeight w:val="93" w:hRule="atLeast"/>
              </w:trPr>
              <w:tc>
                <w:tcPr>
                  <w:tcW w:w="543" w:type="dxa"/>
                  <w:shd w:val="clear" w:color="auto" w:fill="ECECEC" w:themeFill="accent3" w:themeFillTint="33"/>
                </w:tcPr>
                <w:p>
                  <w:pPr>
                    <w:spacing w:after="160" w:line="240" w:lineRule="auto"/>
                    <w:jc w:val="both"/>
                    <w:rPr>
                      <w:rFonts w:ascii="Arial" w:hAnsi="Arial" w:cs="Arial"/>
                      <w:b/>
                      <w:bCs/>
                      <w:sz w:val="24"/>
                      <w:szCs w:val="24"/>
                    </w:rPr>
                  </w:pPr>
                  <w:r>
                    <w:rPr>
                      <w:rFonts w:ascii="Arial" w:hAnsi="Arial" w:cs="Arial"/>
                      <w:b/>
                      <w:bCs/>
                      <w:sz w:val="24"/>
                      <w:szCs w:val="24"/>
                    </w:rPr>
                    <w:t>3.</w:t>
                  </w:r>
                </w:p>
              </w:tc>
              <w:tc>
                <w:tcPr>
                  <w:tcW w:w="3535" w:type="dxa"/>
                  <w:shd w:val="clear" w:color="auto" w:fill="ECECEC" w:themeFill="accent3" w:themeFillTint="33"/>
                </w:tcPr>
                <w:p>
                  <w:pPr>
                    <w:spacing w:after="160" w:line="240" w:lineRule="auto"/>
                    <w:jc w:val="both"/>
                    <w:rPr>
                      <w:rFonts w:ascii="Arial" w:hAnsi="Arial" w:cs="Arial"/>
                      <w:sz w:val="24"/>
                      <w:szCs w:val="24"/>
                    </w:rPr>
                  </w:pPr>
                  <w:r>
                    <w:rPr>
                      <w:rFonts w:ascii="Arial" w:hAnsi="Arial" w:cs="Arial"/>
                      <w:sz w:val="24"/>
                      <w:szCs w:val="24"/>
                    </w:rPr>
                    <w:t>Mentorship from Experienced Professionals</w:t>
                  </w:r>
                </w:p>
              </w:tc>
              <w:tc>
                <w:tcPr>
                  <w:tcW w:w="4279" w:type="dxa"/>
                  <w:shd w:val="clear" w:color="auto" w:fill="ECECEC" w:themeFill="accent3" w:themeFillTint="33"/>
                </w:tcPr>
                <w:p>
                  <w:pPr>
                    <w:numPr>
                      <w:ilvl w:val="0"/>
                      <w:numId w:val="3"/>
                    </w:numPr>
                    <w:spacing w:after="0" w:line="240" w:lineRule="auto"/>
                    <w:jc w:val="both"/>
                    <w:rPr>
                      <w:rFonts w:ascii="Arial" w:hAnsi="Arial" w:cs="Arial"/>
                      <w:sz w:val="24"/>
                      <w:szCs w:val="24"/>
                    </w:rPr>
                  </w:pPr>
                  <w:r>
                    <w:rPr>
                      <w:rFonts w:ascii="Arial" w:hAnsi="Arial" w:cs="Arial"/>
                      <w:sz w:val="24"/>
                      <w:szCs w:val="24"/>
                    </w:rPr>
                    <w:t>Seek mentorship from seasoned housekeeping professionals</w:t>
                  </w:r>
                </w:p>
                <w:p>
                  <w:pPr>
                    <w:numPr>
                      <w:ilvl w:val="0"/>
                      <w:numId w:val="3"/>
                    </w:numPr>
                    <w:spacing w:after="160" w:line="240" w:lineRule="auto"/>
                    <w:jc w:val="both"/>
                    <w:rPr>
                      <w:rFonts w:ascii="Arial" w:hAnsi="Arial" w:cs="Arial"/>
                      <w:sz w:val="24"/>
                      <w:szCs w:val="24"/>
                    </w:rPr>
                  </w:pPr>
                  <w:r>
                    <w:rPr>
                      <w:rFonts w:ascii="Arial" w:hAnsi="Arial" w:cs="Arial"/>
                      <w:sz w:val="24"/>
                      <w:szCs w:val="24"/>
                    </w:rPr>
                    <w:t>Gain valuable insights, guidance, and industry-specific knowledge</w:t>
                  </w:r>
                </w:p>
              </w:tc>
            </w:tr>
            <w:tr>
              <w:tblPrEx>
                <w:tblBorders>
                  <w:top w:val="single" w:color="C8C8C8" w:themeColor="accent3" w:themeTint="99" w:sz="2" w:space="0"/>
                  <w:left w:val="none" w:color="auto" w:sz="0" w:space="0"/>
                  <w:bottom w:val="single" w:color="C8C8C8" w:themeColor="accent3" w:themeTint="99" w:sz="2" w:space="0"/>
                  <w:right w:val="none" w:color="auto" w:sz="0" w:space="0"/>
                  <w:insideH w:val="single" w:color="C8C8C8" w:themeColor="accent3" w:themeTint="99" w:sz="2" w:space="0"/>
                  <w:insideV w:val="single" w:color="C8C8C8" w:themeColor="accent3" w:themeTint="99" w:sz="2" w:space="0"/>
                </w:tblBorders>
                <w:tblCellMar>
                  <w:top w:w="0" w:type="dxa"/>
                  <w:left w:w="108" w:type="dxa"/>
                  <w:bottom w:w="0" w:type="dxa"/>
                  <w:right w:w="108" w:type="dxa"/>
                </w:tblCellMar>
              </w:tblPrEx>
              <w:trPr>
                <w:trHeight w:val="93" w:hRule="atLeast"/>
              </w:trPr>
              <w:tc>
                <w:tcPr>
                  <w:tcW w:w="543" w:type="dxa"/>
                </w:tcPr>
                <w:p>
                  <w:pPr>
                    <w:spacing w:after="160" w:line="240" w:lineRule="auto"/>
                    <w:jc w:val="both"/>
                    <w:rPr>
                      <w:rFonts w:ascii="Arial" w:hAnsi="Arial" w:cs="Arial"/>
                      <w:b/>
                      <w:bCs/>
                      <w:sz w:val="24"/>
                      <w:szCs w:val="24"/>
                    </w:rPr>
                  </w:pPr>
                  <w:r>
                    <w:rPr>
                      <w:rFonts w:ascii="Arial" w:hAnsi="Arial" w:cs="Arial"/>
                      <w:b/>
                      <w:bCs/>
                      <w:sz w:val="24"/>
                      <w:szCs w:val="24"/>
                    </w:rPr>
                    <w:t>4.</w:t>
                  </w:r>
                </w:p>
              </w:tc>
              <w:tc>
                <w:tcPr>
                  <w:tcW w:w="3535" w:type="dxa"/>
                </w:tcPr>
                <w:p>
                  <w:pPr>
                    <w:spacing w:after="160" w:line="240" w:lineRule="auto"/>
                    <w:jc w:val="both"/>
                    <w:rPr>
                      <w:rFonts w:ascii="Arial" w:hAnsi="Arial" w:cs="Arial"/>
                      <w:sz w:val="24"/>
                      <w:szCs w:val="24"/>
                    </w:rPr>
                  </w:pPr>
                  <w:r>
                    <w:rPr>
                      <w:rFonts w:ascii="Arial" w:hAnsi="Arial" w:cs="Arial"/>
                      <w:sz w:val="24"/>
                      <w:szCs w:val="24"/>
                    </w:rPr>
                    <w:t>Continuous Learning on Industry Trends</w:t>
                  </w:r>
                </w:p>
              </w:tc>
              <w:tc>
                <w:tcPr>
                  <w:tcW w:w="4279" w:type="dxa"/>
                </w:tcPr>
                <w:p>
                  <w:pPr>
                    <w:numPr>
                      <w:ilvl w:val="0"/>
                      <w:numId w:val="4"/>
                    </w:numPr>
                    <w:spacing w:after="0" w:line="240" w:lineRule="auto"/>
                    <w:jc w:val="both"/>
                    <w:rPr>
                      <w:rFonts w:ascii="Arial" w:hAnsi="Arial" w:cs="Arial"/>
                      <w:sz w:val="24"/>
                      <w:szCs w:val="24"/>
                    </w:rPr>
                  </w:pPr>
                  <w:r>
                    <w:rPr>
                      <w:rFonts w:ascii="Arial" w:hAnsi="Arial" w:cs="Arial"/>
                      <w:sz w:val="24"/>
                      <w:szCs w:val="24"/>
                    </w:rPr>
                    <w:t>Stay updated on industry trends and best practices</w:t>
                  </w:r>
                </w:p>
                <w:p>
                  <w:pPr>
                    <w:numPr>
                      <w:ilvl w:val="0"/>
                      <w:numId w:val="4"/>
                    </w:numPr>
                    <w:spacing w:after="160" w:line="240" w:lineRule="auto"/>
                    <w:jc w:val="both"/>
                    <w:rPr>
                      <w:rFonts w:ascii="Arial" w:hAnsi="Arial" w:cs="Arial"/>
                      <w:sz w:val="24"/>
                      <w:szCs w:val="24"/>
                    </w:rPr>
                  </w:pPr>
                  <w:r>
                    <w:rPr>
                      <w:rFonts w:ascii="Arial" w:hAnsi="Arial" w:cs="Arial"/>
                      <w:sz w:val="24"/>
                      <w:szCs w:val="24"/>
                    </w:rPr>
                    <w:t>Attend relevant seminars and participate in professional development opportunities (Aldahiri et al. 2021).</w:t>
                  </w:r>
                </w:p>
              </w:tc>
            </w:tr>
          </w:tbl>
          <w:p>
            <w:pPr>
              <w:pStyle w:val="3"/>
            </w:pPr>
            <w:bookmarkStart w:id="8" w:name="_Toc157008900"/>
            <w:r>
              <w:t>Action Plan for Future Improvement</w:t>
            </w:r>
            <w:bookmarkEnd w:id="8"/>
          </w:p>
          <w:p>
            <w:pPr>
              <w:spacing w:line="360" w:lineRule="auto"/>
              <w:jc w:val="both"/>
              <w:rPr>
                <w:rFonts w:ascii="Arial" w:hAnsi="Arial" w:cs="Arial"/>
                <w:sz w:val="24"/>
                <w:szCs w:val="24"/>
              </w:rPr>
            </w:pPr>
            <w:r>
              <w:rPr>
                <w:rFonts w:ascii="Arial" w:hAnsi="Arial" w:cs="Arial"/>
                <w:sz w:val="24"/>
                <w:szCs w:val="24"/>
              </w:rPr>
              <w:t>The Gibbs Model of Reflection has furnished a systematic assessment of my home care state of affairs (Adeani et al. 2020). This action plan has a speciality of improving time management, improving team conversation, looking for mentoring, and ongoing learning, placing the level for continued increase in my hospitality career.</w:t>
            </w: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ind w:left="-829"/>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
      <w:pPr>
        <w:sectPr>
          <w:pgSz w:w="11906" w:h="16838"/>
          <w:pgMar w:top="720" w:right="720" w:bottom="720" w:left="720" w:header="709" w:footer="709" w:gutter="0"/>
          <w:cols w:space="708" w:num="1"/>
          <w:docGrid w:linePitch="360" w:charSpace="0"/>
        </w:sectPr>
      </w:pPr>
    </w:p>
    <w:p>
      <w:pPr>
        <w:widowControl w:val="0"/>
        <w:autoSpaceDE w:val="0"/>
        <w:autoSpaceDN w:val="0"/>
        <w:spacing w:after="0" w:line="240" w:lineRule="auto"/>
        <w:rPr>
          <w:rFonts w:eastAsia="Times New Roman" w:asciiTheme="minorBidi" w:hAnsiTheme="minorBidi"/>
          <w:color w:val="000000"/>
          <w:sz w:val="28"/>
          <w:szCs w:val="28"/>
          <w:shd w:val="clear" w:color="auto" w:fill="FFFFFF"/>
          <w:lang w:val="en-US"/>
        </w:rPr>
      </w:pPr>
      <w:r>
        <w:rPr>
          <w:rFonts w:asciiTheme="minorBidi" w:hAnsiTheme="minorBidi"/>
          <w:b/>
          <w:bCs/>
          <w:sz w:val="28"/>
          <w:szCs w:val="24"/>
        </w:rPr>
        <w:t>Component Two:</w:t>
      </w:r>
      <w:r>
        <w:rPr>
          <w:rFonts w:asciiTheme="minorHAnsi" w:hAnsiTheme="minorHAnsi"/>
          <w:lang w:eastAsia="en-GB"/>
        </w:rPr>
        <w:t xml:space="preserve"> </w:t>
      </w:r>
      <w:r>
        <w:rPr>
          <w:rFonts w:eastAsia="Carlito" w:asciiTheme="minorBidi" w:hAnsiTheme="minorBidi"/>
          <w:b/>
          <w:bCs/>
          <w:color w:val="000000"/>
          <w:sz w:val="28"/>
          <w:szCs w:val="28"/>
          <w:lang w:val="en-US"/>
        </w:rPr>
        <w:t xml:space="preserve">Health and Safety Guide </w:t>
      </w:r>
    </w:p>
    <w:p>
      <w:pPr>
        <w:rPr>
          <w:rFonts w:asciiTheme="minorBidi" w:hAnsiTheme="minorBidi"/>
          <w:b/>
          <w:bCs/>
          <w:sz w:val="22"/>
        </w:rPr>
      </w:pPr>
      <w:r>
        <w:rPr>
          <w:rFonts w:eastAsia="Carlito" w:asciiTheme="minorBidi" w:hAnsiTheme="minorBidi"/>
          <w:b/>
          <w:color w:val="auto"/>
          <w:sz w:val="22"/>
          <w:lang w:val="en-US"/>
        </w:rPr>
        <w:t>Contribution to Overall Module Assessment: 25%</w:t>
      </w:r>
    </w:p>
    <w:p>
      <w:pPr>
        <w:widowControl w:val="0"/>
        <w:autoSpaceDE w:val="0"/>
        <w:autoSpaceDN w:val="0"/>
        <w:spacing w:after="0" w:line="240" w:lineRule="auto"/>
        <w:jc w:val="center"/>
        <w:rPr>
          <w:rFonts w:eastAsia="Times New Roman" w:asciiTheme="minorBidi" w:hAnsiTheme="minorBidi"/>
          <w:color w:val="000000"/>
          <w:sz w:val="28"/>
          <w:szCs w:val="28"/>
          <w:shd w:val="clear" w:color="auto" w:fill="FFFFFF"/>
          <w:lang w:val="en-US"/>
        </w:rPr>
      </w:pPr>
    </w:p>
    <w:p>
      <w:pPr>
        <w:rPr>
          <w:b/>
          <w:bCs/>
        </w:rPr>
      </w:pPr>
    </w:p>
    <w:p>
      <w:pPr>
        <w:spacing w:line="360" w:lineRule="auto"/>
        <w:jc w:val="both"/>
        <w:rPr>
          <w:rFonts w:ascii="Arial" w:hAnsi="Arial" w:cs="Arial"/>
          <w:sz w:val="24"/>
          <w:szCs w:val="24"/>
        </w:rPr>
      </w:pPr>
      <w:r>
        <w:rPr>
          <w:rFonts w:ascii="Arial" w:hAnsi="Arial" w:cs="Arial"/>
          <w:sz w:val="24"/>
          <w:szCs w:val="24"/>
        </w:rPr>
        <w:t>At Colchester A12 Premier Inn, the protection and well-being of our team are important aspects of our dedication to excellence. Recognizing the significance of health and protection practices during room cleaning, I have created a dedicated guild to provide clear and realistic steering designed especially for my cleaning responsibilities area. I am committed to maintaining the highest requirements of hospitality, ensuring a safe and stable environment for my team members is paramount.</w:t>
      </w:r>
    </w:p>
    <w:p>
      <w:pPr>
        <w:pStyle w:val="3"/>
      </w:pPr>
      <w:bookmarkStart w:id="9" w:name="_Toc157008902"/>
      <w:r>
        <w:t>Precautions:</w:t>
      </w:r>
      <w:bookmarkEnd w:id="9"/>
    </w:p>
    <w:p>
      <w:pPr>
        <w:spacing w:line="360" w:lineRule="auto"/>
        <w:jc w:val="both"/>
        <w:rPr>
          <w:rFonts w:ascii="Arial" w:hAnsi="Arial" w:cs="Arial"/>
          <w:sz w:val="24"/>
          <w:szCs w:val="24"/>
        </w:rPr>
      </w:pPr>
      <w:r>
        <w:rPr>
          <w:rFonts w:ascii="Arial" w:hAnsi="Arial" w:cs="Arial"/>
          <w:sz w:val="24"/>
          <w:szCs w:val="24"/>
        </w:rPr>
        <w:t>Personal Protective Equipment (PPF) is the primary line of protection for our housekeeping crew (Leitz et al. 2020). Each team member must put on assigned PPE such as gloves and appropriate footwear to defend in opposition to possible chemical falls. It is crucial to understand the potential risks associated with chemical exposure. We actively emphasize the importance of reading and following packaging commands. Chemicals need to be used in well-ventilated regions and stored away from guest areas to save from accidental exposure. Lifting and wearing heavy objects carries potential hazards. </w:t>
      </w:r>
    </w:p>
    <w:p>
      <w:pPr>
        <w:pStyle w:val="3"/>
      </w:pPr>
      <w:bookmarkStart w:id="10" w:name="_Toc157008903"/>
      <w:r>
        <w:t>Procedures:</w:t>
      </w:r>
      <w:bookmarkEnd w:id="10"/>
    </w:p>
    <w:p>
      <w:pPr>
        <w:spacing w:line="360" w:lineRule="auto"/>
        <w:jc w:val="both"/>
        <w:rPr>
          <w:rFonts w:ascii="Arial" w:hAnsi="Arial" w:cs="Arial"/>
          <w:sz w:val="24"/>
          <w:szCs w:val="24"/>
        </w:rPr>
      </w:pPr>
      <w:r>
        <w:rPr>
          <w:rFonts w:ascii="Arial" w:hAnsi="Arial" w:cs="Arial"/>
          <w:sz w:val="24"/>
          <w:szCs w:val="24"/>
        </w:rPr>
        <w:t>Room entry protocols at Colchester A12 Premier Inn prioritize protection and respect. Knocking and asking before coming into the guest room ensures visitors' privacy, and from a reception perspective, it makes the seamless of the cleaning process. This cleaning process reduces slips and falls, enhancing performance. Maintain a clean environment by focusing on the most touchable points to maintain a hygienic environment (Hossain 2023). Bathroom hygiene emphasizes proper ventilation and disinfection, it helps to maintain secure and clean surroundings. This process demonstrates my team's dedication to visitor protection and well-being at every step. </w:t>
      </w:r>
    </w:p>
    <w:p>
      <w:pPr>
        <w:pStyle w:val="3"/>
      </w:pPr>
      <w:bookmarkStart w:id="11" w:name="_Toc157008904"/>
      <w:r>
        <w:t>Equipment:</w:t>
      </w:r>
      <w:bookmarkEnd w:id="11"/>
    </w:p>
    <w:p>
      <w:pPr>
        <w:spacing w:line="360" w:lineRule="auto"/>
        <w:jc w:val="both"/>
        <w:rPr>
          <w:rFonts w:ascii="Arial" w:hAnsi="Arial" w:cs="Arial"/>
          <w:sz w:val="24"/>
          <w:szCs w:val="24"/>
        </w:rPr>
      </w:pPr>
      <w:r>
        <w:rPr>
          <w:rFonts w:ascii="Arial" w:hAnsi="Arial" w:cs="Arial"/>
          <w:sz w:val="24"/>
          <w:szCs w:val="24"/>
        </w:rPr>
        <w:t>Proper use and renovation of devices are crucial elements of my team's health and safety pointers. Cleaning carts should be set up to avoid faults and regular checks on wheels and brakes ensure their proper function. The key to indoor cleaning is to in-depth analysis of the power cord for any vacuum cleaner damage, and regularly empty vacuum bottles to ensure certain right operation (Rué 2023). Objectives need to be provided with cleaning solutions sorts are appropriate and consistent with the producers’ comments, the spray bottle ought to be clearly categorised to save from wrong uses.   </w:t>
      </w:r>
    </w:p>
    <w:p>
      <w:pPr>
        <w:pStyle w:val="3"/>
      </w:pPr>
      <w:bookmarkStart w:id="12" w:name="_Toc157008905"/>
      <w:r>
        <w:t>Hazard Mitigation:</w:t>
      </w:r>
      <w:bookmarkEnd w:id="12"/>
    </w:p>
    <w:p>
      <w:pPr>
        <w:spacing w:line="360" w:lineRule="auto"/>
        <w:jc w:val="both"/>
        <w:rPr>
          <w:rFonts w:ascii="Arial" w:hAnsi="Arial" w:cs="Arial"/>
          <w:sz w:val="24"/>
          <w:szCs w:val="24"/>
        </w:rPr>
      </w:pPr>
      <w:r>
        <w:rPr>
          <w:rFonts w:ascii="Arial" w:hAnsi="Arial" w:cs="Arial"/>
          <w:sz w:val="24"/>
          <w:szCs w:val="24"/>
        </w:rPr>
        <w:t>Practical mitigation solutions were protected in team guild to specifically identify potential hygiene hazards. Rapidly spreading and cleaning wet regions reduces the risk of slips and falls by implementing warning symptoms. Proper use of PPE and adherence to chemical handling protocols lessen the hazard of chemical exposure (Papadopoli et al. 2020). The risk associated with lifting can be minimized by encouraging teamwork and using equipment. </w:t>
      </w:r>
    </w:p>
    <w:p>
      <w:pPr>
        <w:pStyle w:val="3"/>
      </w:pPr>
      <w:bookmarkStart w:id="13" w:name="_Toc157008906"/>
      <w:r>
        <w:t>Conclusion:</w:t>
      </w:r>
      <w:bookmarkEnd w:id="13"/>
    </w:p>
    <w:p>
      <w:pPr>
        <w:spacing w:line="360" w:lineRule="auto"/>
        <w:jc w:val="both"/>
        <w:rPr>
          <w:rFonts w:ascii="Arial" w:hAnsi="Arial" w:cs="Arial"/>
          <w:sz w:val="24"/>
          <w:szCs w:val="24"/>
        </w:rPr>
      </w:pPr>
      <w:r>
        <w:rPr>
          <w:rFonts w:ascii="Arial" w:hAnsi="Arial" w:cs="Arial"/>
          <w:sz w:val="24"/>
          <w:szCs w:val="24"/>
        </w:rPr>
        <w:t xml:space="preserve">In summary, the Colchester A12 Premier Inn housekeeping health and safety guide is evidence of my team's dedication to the well-being of my crew members. Following those guidelines is not always the most effective obligation but also a shared aim to encourage a culture of protection within housekeeping responsibilities. While maintaining this to strive for hospitality excellence, ensuring a secure and stable environment is a crucial part of this housekeeping journey. My dedication to these techniques performs a crucial role in developing a work environment in which each team member feels secure and valued. </w:t>
      </w:r>
    </w:p>
    <w:p>
      <w:pPr>
        <w:rPr>
          <w:b/>
          <w:bCs/>
        </w:rPr>
        <w:sectPr>
          <w:pgSz w:w="16838" w:h="11906" w:orient="landscape"/>
          <w:pgMar w:top="1440" w:right="1077" w:bottom="1440" w:left="1077" w:header="709" w:footer="709" w:gutter="0"/>
          <w:cols w:space="708" w:num="1"/>
          <w:docGrid w:linePitch="360" w:charSpace="0"/>
        </w:sectPr>
      </w:pPr>
    </w:p>
    <w:p/>
    <w:p>
      <w:pPr>
        <w:pStyle w:val="2"/>
        <w:pBdr>
          <w:top w:val="single" w:color="auto" w:sz="4" w:space="1"/>
          <w:left w:val="single" w:color="auto" w:sz="4" w:space="4"/>
          <w:bottom w:val="single" w:color="auto" w:sz="4" w:space="1"/>
          <w:right w:val="single" w:color="auto" w:sz="4" w:space="4"/>
          <w:between w:val="single" w:color="auto" w:sz="4" w:space="1"/>
        </w:pBdr>
        <w:jc w:val="both"/>
        <w:rPr>
          <w:b/>
          <w:bCs/>
          <w:color w:val="auto"/>
        </w:rPr>
      </w:pPr>
      <w:r>
        <w:rPr>
          <w:b/>
          <w:bCs/>
          <w:color w:val="auto"/>
        </w:rPr>
        <w:t xml:space="preserve">Reference List </w:t>
      </w:r>
    </w:p>
    <w:p>
      <w:pPr>
        <w:spacing w:line="360" w:lineRule="auto"/>
        <w:jc w:val="both"/>
        <w:rPr>
          <w:rFonts w:ascii="Arial" w:hAnsi="Arial" w:cs="Arial"/>
          <w:sz w:val="24"/>
          <w:szCs w:val="24"/>
        </w:rPr>
      </w:pPr>
      <w:r>
        <w:rPr>
          <w:rFonts w:ascii="Arial" w:hAnsi="Arial" w:cs="Arial"/>
          <w:sz w:val="24"/>
          <w:szCs w:val="24"/>
        </w:rPr>
        <w:t xml:space="preserve">Adams, S., Beatty, M., Moore, C., Desai, A., Bartlett, L., Culbert, E., Cohen, E., Stinson, J. and Orkin, J., 2021. Perspectives on team communication challenges in caring for children with medical complexity. </w:t>
      </w:r>
      <w:r>
        <w:rPr>
          <w:rFonts w:ascii="Arial" w:hAnsi="Arial" w:cs="Arial"/>
          <w:i/>
          <w:iCs/>
          <w:sz w:val="24"/>
          <w:szCs w:val="24"/>
        </w:rPr>
        <w:t>BMC health services research</w:t>
      </w:r>
      <w:r>
        <w:rPr>
          <w:rFonts w:ascii="Arial" w:hAnsi="Arial" w:cs="Arial"/>
          <w:sz w:val="24"/>
          <w:szCs w:val="24"/>
        </w:rPr>
        <w:t xml:space="preserve">, </w:t>
      </w:r>
      <w:r>
        <w:rPr>
          <w:rFonts w:ascii="Arial" w:hAnsi="Arial" w:cs="Arial"/>
          <w:i/>
          <w:iCs/>
          <w:sz w:val="24"/>
          <w:szCs w:val="24"/>
        </w:rPr>
        <w:t>21</w:t>
      </w:r>
      <w:r>
        <w:rPr>
          <w:rFonts w:ascii="Arial" w:hAnsi="Arial" w:cs="Arial"/>
          <w:sz w:val="24"/>
          <w:szCs w:val="24"/>
        </w:rPr>
        <w:t>, pp.1-14.</w:t>
      </w:r>
    </w:p>
    <w:p>
      <w:pPr>
        <w:spacing w:line="360" w:lineRule="auto"/>
        <w:jc w:val="both"/>
        <w:rPr>
          <w:rFonts w:ascii="Arial" w:hAnsi="Arial" w:cs="Arial"/>
          <w:sz w:val="24"/>
          <w:szCs w:val="24"/>
        </w:rPr>
      </w:pPr>
      <w:r>
        <w:rPr>
          <w:rFonts w:ascii="Arial" w:hAnsi="Arial" w:cs="Arial"/>
          <w:sz w:val="24"/>
          <w:szCs w:val="24"/>
        </w:rPr>
        <w:t xml:space="preserve">Adeani, I.S., Febriani, R.B. and Syafryadin, S., 2020. Using GIBBS’reflective cycle in making reflections of literary analysis. </w:t>
      </w:r>
      <w:r>
        <w:rPr>
          <w:rFonts w:ascii="Arial" w:hAnsi="Arial" w:cs="Arial"/>
          <w:i/>
          <w:iCs/>
          <w:sz w:val="24"/>
          <w:szCs w:val="24"/>
        </w:rPr>
        <w:t>Indonesian EFL Journal</w:t>
      </w:r>
      <w:r>
        <w:rPr>
          <w:rFonts w:ascii="Arial" w:hAnsi="Arial" w:cs="Arial"/>
          <w:sz w:val="24"/>
          <w:szCs w:val="24"/>
        </w:rPr>
        <w:t xml:space="preserve">, </w:t>
      </w:r>
      <w:r>
        <w:rPr>
          <w:rFonts w:ascii="Arial" w:hAnsi="Arial" w:cs="Arial"/>
          <w:i/>
          <w:iCs/>
          <w:sz w:val="24"/>
          <w:szCs w:val="24"/>
        </w:rPr>
        <w:t>6</w:t>
      </w:r>
      <w:r>
        <w:rPr>
          <w:rFonts w:ascii="Arial" w:hAnsi="Arial" w:cs="Arial"/>
          <w:sz w:val="24"/>
          <w:szCs w:val="24"/>
        </w:rPr>
        <w:t>(2), pp.139-148.</w:t>
      </w:r>
    </w:p>
    <w:p>
      <w:pPr>
        <w:spacing w:line="360" w:lineRule="auto"/>
        <w:jc w:val="both"/>
        <w:rPr>
          <w:rFonts w:ascii="Arial" w:hAnsi="Arial" w:cs="Arial"/>
          <w:sz w:val="24"/>
          <w:szCs w:val="24"/>
        </w:rPr>
      </w:pPr>
      <w:r>
        <w:rPr>
          <w:rFonts w:ascii="Arial" w:hAnsi="Arial" w:cs="Arial"/>
          <w:sz w:val="24"/>
          <w:szCs w:val="24"/>
        </w:rPr>
        <w:t xml:space="preserve">Aldahiri, A., Alrashed, B. and Hussain, W., 2021. Trends in using IoT with machine learning in health prediction system. </w:t>
      </w:r>
      <w:r>
        <w:rPr>
          <w:rFonts w:ascii="Arial" w:hAnsi="Arial" w:cs="Arial"/>
          <w:i/>
          <w:iCs/>
          <w:sz w:val="24"/>
          <w:szCs w:val="24"/>
        </w:rPr>
        <w:t>Forecasting</w:t>
      </w:r>
      <w:r>
        <w:rPr>
          <w:rFonts w:ascii="Arial" w:hAnsi="Arial" w:cs="Arial"/>
          <w:sz w:val="24"/>
          <w:szCs w:val="24"/>
        </w:rPr>
        <w:t xml:space="preserve">, </w:t>
      </w:r>
      <w:r>
        <w:rPr>
          <w:rFonts w:ascii="Arial" w:hAnsi="Arial" w:cs="Arial"/>
          <w:i/>
          <w:iCs/>
          <w:sz w:val="24"/>
          <w:szCs w:val="24"/>
        </w:rPr>
        <w:t>3</w:t>
      </w:r>
      <w:r>
        <w:rPr>
          <w:rFonts w:ascii="Arial" w:hAnsi="Arial" w:cs="Arial"/>
          <w:sz w:val="24"/>
          <w:szCs w:val="24"/>
        </w:rPr>
        <w:t>(1), pp.181-206.</w:t>
      </w:r>
    </w:p>
    <w:p>
      <w:pPr>
        <w:spacing w:line="360" w:lineRule="auto"/>
        <w:jc w:val="both"/>
        <w:rPr>
          <w:rFonts w:ascii="Arial" w:hAnsi="Arial" w:cs="Arial"/>
          <w:sz w:val="24"/>
          <w:szCs w:val="24"/>
        </w:rPr>
      </w:pPr>
      <w:r>
        <w:rPr>
          <w:rFonts w:ascii="Arial" w:hAnsi="Arial" w:cs="Arial"/>
          <w:sz w:val="24"/>
          <w:szCs w:val="24"/>
        </w:rPr>
        <w:t>Bridger, E. (2018) Employee engagement: a practical introduction. 2nd ed. HR Fundamentals. London: CIPD and Kogan Page.</w:t>
      </w:r>
    </w:p>
    <w:p>
      <w:pPr>
        <w:spacing w:line="360" w:lineRule="auto"/>
        <w:jc w:val="both"/>
        <w:rPr>
          <w:rFonts w:ascii="Arial" w:hAnsi="Arial" w:cs="Arial"/>
          <w:sz w:val="24"/>
          <w:szCs w:val="24"/>
        </w:rPr>
      </w:pPr>
      <w:r>
        <w:rPr>
          <w:rFonts w:ascii="Arial" w:hAnsi="Arial" w:cs="Arial"/>
          <w:sz w:val="24"/>
          <w:szCs w:val="24"/>
        </w:rPr>
        <w:t>Cook, D., 2020. The freedom trap: digital nomads and the use of disciplining practices to manage work/leisure boundaries. Information Technology &amp; Tourism, 22(3), pp.355-390.</w:t>
      </w:r>
    </w:p>
    <w:p>
      <w:pPr>
        <w:spacing w:line="360" w:lineRule="auto"/>
        <w:jc w:val="both"/>
        <w:rPr>
          <w:rFonts w:ascii="Arial" w:hAnsi="Arial" w:cs="Arial"/>
          <w:sz w:val="24"/>
          <w:szCs w:val="24"/>
        </w:rPr>
      </w:pPr>
      <w:r>
        <w:rPr>
          <w:rFonts w:ascii="Arial" w:hAnsi="Arial" w:cs="Arial"/>
          <w:sz w:val="24"/>
          <w:szCs w:val="24"/>
        </w:rPr>
        <w:t>Cottrell, S. (2019) The Study Skills Handbook. 5th ed. London: Red Globe Press.</w:t>
      </w:r>
    </w:p>
    <w:p>
      <w:pPr>
        <w:spacing w:line="360" w:lineRule="auto"/>
        <w:jc w:val="both"/>
        <w:rPr>
          <w:rFonts w:ascii="Arial" w:hAnsi="Arial" w:cs="Arial"/>
          <w:sz w:val="24"/>
          <w:szCs w:val="24"/>
        </w:rPr>
      </w:pPr>
      <w:r>
        <w:rPr>
          <w:rFonts w:ascii="Arial" w:hAnsi="Arial" w:cs="Arial"/>
          <w:sz w:val="24"/>
          <w:szCs w:val="24"/>
        </w:rPr>
        <w:t>Hossain, M., 2023. The impact of hygiene practices in the management of restaurants and hotels.</w:t>
      </w:r>
    </w:p>
    <w:p>
      <w:pPr>
        <w:spacing w:line="360" w:lineRule="auto"/>
        <w:jc w:val="both"/>
        <w:rPr>
          <w:rFonts w:ascii="Arial" w:hAnsi="Arial" w:cs="Arial"/>
          <w:sz w:val="24"/>
          <w:szCs w:val="24"/>
        </w:rPr>
      </w:pPr>
      <w:r>
        <w:rPr>
          <w:rFonts w:ascii="Arial" w:hAnsi="Arial" w:cs="Arial"/>
          <w:sz w:val="24"/>
          <w:szCs w:val="24"/>
        </w:rPr>
        <w:t xml:space="preserve">Jiang, B. and Raza, M.Y., 2023. Research on China's renewable energy policies under the dual carbon goals: A political discourse analysis. </w:t>
      </w:r>
      <w:r>
        <w:rPr>
          <w:rFonts w:ascii="Arial" w:hAnsi="Arial" w:cs="Arial"/>
          <w:i/>
          <w:iCs/>
          <w:sz w:val="24"/>
          <w:szCs w:val="24"/>
        </w:rPr>
        <w:t>Energy Strategy Reviews</w:t>
      </w:r>
      <w:r>
        <w:rPr>
          <w:rFonts w:ascii="Arial" w:hAnsi="Arial" w:cs="Arial"/>
          <w:sz w:val="24"/>
          <w:szCs w:val="24"/>
        </w:rPr>
        <w:t xml:space="preserve">, </w:t>
      </w:r>
      <w:r>
        <w:rPr>
          <w:rFonts w:ascii="Arial" w:hAnsi="Arial" w:cs="Arial"/>
          <w:i/>
          <w:iCs/>
          <w:sz w:val="24"/>
          <w:szCs w:val="24"/>
        </w:rPr>
        <w:t>48</w:t>
      </w:r>
      <w:r>
        <w:rPr>
          <w:rFonts w:ascii="Arial" w:hAnsi="Arial" w:cs="Arial"/>
          <w:sz w:val="24"/>
          <w:szCs w:val="24"/>
        </w:rPr>
        <w:t>, p.101118.</w:t>
      </w:r>
    </w:p>
    <w:p>
      <w:pPr>
        <w:spacing w:line="360" w:lineRule="auto"/>
        <w:jc w:val="both"/>
        <w:rPr>
          <w:rFonts w:ascii="Arial" w:hAnsi="Arial" w:cs="Arial"/>
          <w:sz w:val="24"/>
          <w:szCs w:val="24"/>
        </w:rPr>
      </w:pPr>
      <w:r>
        <w:rPr>
          <w:rFonts w:ascii="Arial" w:hAnsi="Arial" w:cs="Arial"/>
          <w:sz w:val="24"/>
          <w:szCs w:val="24"/>
        </w:rPr>
        <w:t>Leiter, M. P. and Bakker, A. B. (2010) Work Engagement : A Handbook of Essential Theory and Research. Hove [England]: Psychology Press.</w:t>
      </w:r>
    </w:p>
    <w:p>
      <w:pPr>
        <w:spacing w:line="360" w:lineRule="auto"/>
        <w:jc w:val="both"/>
        <w:rPr>
          <w:rFonts w:ascii="Arial" w:hAnsi="Arial" w:cs="Arial"/>
          <w:sz w:val="24"/>
          <w:szCs w:val="24"/>
        </w:rPr>
      </w:pPr>
      <w:r>
        <w:rPr>
          <w:rFonts w:ascii="Arial" w:hAnsi="Arial" w:cs="Arial"/>
          <w:sz w:val="24"/>
          <w:szCs w:val="24"/>
        </w:rPr>
        <w:t xml:space="preserve">Leitz, A., Cannella, M.S., Jenkins, C., Tomlin, D.J., Smudde, T.D., Anderson, S.W. and McLean, C.H., 2020. Propellant Loading, Pre-Flight Testing, and Launch Integration of the Green Propellant Infusion Mission. In </w:t>
      </w:r>
      <w:r>
        <w:rPr>
          <w:rFonts w:ascii="Arial" w:hAnsi="Arial" w:cs="Arial"/>
          <w:i/>
          <w:iCs/>
          <w:sz w:val="24"/>
          <w:szCs w:val="24"/>
        </w:rPr>
        <w:t>AIAA Propulsion and Energy 2020 Forum</w:t>
      </w:r>
      <w:r>
        <w:rPr>
          <w:rFonts w:ascii="Arial" w:hAnsi="Arial" w:cs="Arial"/>
          <w:sz w:val="24"/>
          <w:szCs w:val="24"/>
        </w:rPr>
        <w:t xml:space="preserve"> (p. 3811).</w:t>
      </w:r>
    </w:p>
    <w:p>
      <w:pPr>
        <w:spacing w:line="360" w:lineRule="auto"/>
        <w:jc w:val="both"/>
        <w:rPr>
          <w:rFonts w:ascii="Arial" w:hAnsi="Arial" w:cs="Arial"/>
          <w:sz w:val="24"/>
          <w:szCs w:val="24"/>
        </w:rPr>
      </w:pPr>
      <w:r>
        <w:rPr>
          <w:rFonts w:ascii="Arial" w:hAnsi="Arial" w:cs="Arial"/>
          <w:sz w:val="24"/>
          <w:szCs w:val="24"/>
        </w:rPr>
        <w:t xml:space="preserve">Morgan, K., Bryant, A.S. and Edwards, L.C., 2022. Appreciative inquiry as a methodological approach to collaboration between different sporting organisations in Wales to promote physical literacy. </w:t>
      </w:r>
      <w:r>
        <w:rPr>
          <w:rFonts w:ascii="Arial" w:hAnsi="Arial" w:cs="Arial"/>
          <w:i/>
          <w:iCs/>
          <w:sz w:val="24"/>
          <w:szCs w:val="24"/>
        </w:rPr>
        <w:t>Sport, Education and Society</w:t>
      </w:r>
      <w:r>
        <w:rPr>
          <w:rFonts w:ascii="Arial" w:hAnsi="Arial" w:cs="Arial"/>
          <w:sz w:val="24"/>
          <w:szCs w:val="24"/>
        </w:rPr>
        <w:t xml:space="preserve">, </w:t>
      </w:r>
      <w:r>
        <w:rPr>
          <w:rFonts w:ascii="Arial" w:hAnsi="Arial" w:cs="Arial"/>
          <w:i/>
          <w:iCs/>
          <w:sz w:val="24"/>
          <w:szCs w:val="24"/>
        </w:rPr>
        <w:t>27</w:t>
      </w:r>
      <w:r>
        <w:rPr>
          <w:rFonts w:ascii="Arial" w:hAnsi="Arial" w:cs="Arial"/>
          <w:sz w:val="24"/>
          <w:szCs w:val="24"/>
        </w:rPr>
        <w:t>(1), pp.27-40.</w:t>
      </w:r>
    </w:p>
    <w:p>
      <w:pPr>
        <w:spacing w:line="360" w:lineRule="auto"/>
        <w:jc w:val="both"/>
        <w:rPr>
          <w:rFonts w:ascii="Arial" w:hAnsi="Arial" w:cs="Arial"/>
          <w:sz w:val="24"/>
          <w:szCs w:val="24"/>
        </w:rPr>
      </w:pPr>
      <w:r>
        <w:rPr>
          <w:rFonts w:ascii="Arial" w:hAnsi="Arial" w:cs="Arial"/>
          <w:sz w:val="24"/>
          <w:szCs w:val="24"/>
        </w:rPr>
        <w:t>Mullins, L. and Dossor, P. (2013) Hospitality Management and Organisational Behaviour. 5th ed. Harlow: Pearson.</w:t>
      </w:r>
    </w:p>
    <w:p>
      <w:pPr>
        <w:spacing w:line="360" w:lineRule="auto"/>
        <w:jc w:val="both"/>
        <w:rPr>
          <w:rFonts w:ascii="Arial" w:hAnsi="Arial" w:cs="Arial"/>
          <w:sz w:val="24"/>
          <w:szCs w:val="24"/>
        </w:rPr>
      </w:pPr>
      <w:r>
        <w:rPr>
          <w:rFonts w:ascii="Arial" w:hAnsi="Arial" w:cs="Arial"/>
          <w:sz w:val="24"/>
          <w:szCs w:val="24"/>
        </w:rPr>
        <w:t xml:space="preserve">Papadopoli, R., Nobile, C.G.A., Trovato, A., Pileggi, C. and Pavia, M., 2020. Chemical risk and safety awareness, perception, and practices among research laboratories workers in Italy. </w:t>
      </w:r>
      <w:r>
        <w:rPr>
          <w:rFonts w:ascii="Arial" w:hAnsi="Arial" w:cs="Arial"/>
          <w:i/>
          <w:iCs/>
          <w:sz w:val="24"/>
          <w:szCs w:val="24"/>
        </w:rPr>
        <w:t>Journal of occupational medicine and toxicology</w:t>
      </w:r>
      <w:r>
        <w:rPr>
          <w:rFonts w:ascii="Arial" w:hAnsi="Arial" w:cs="Arial"/>
          <w:sz w:val="24"/>
          <w:szCs w:val="24"/>
        </w:rPr>
        <w:t xml:space="preserve">, </w:t>
      </w:r>
      <w:r>
        <w:rPr>
          <w:rFonts w:ascii="Arial" w:hAnsi="Arial" w:cs="Arial"/>
          <w:i/>
          <w:iCs/>
          <w:sz w:val="24"/>
          <w:szCs w:val="24"/>
        </w:rPr>
        <w:t>15</w:t>
      </w:r>
      <w:r>
        <w:rPr>
          <w:rFonts w:ascii="Arial" w:hAnsi="Arial" w:cs="Arial"/>
          <w:sz w:val="24"/>
          <w:szCs w:val="24"/>
        </w:rPr>
        <w:t>(1), pp.1-11.</w:t>
      </w:r>
    </w:p>
    <w:p>
      <w:pPr>
        <w:spacing w:line="360" w:lineRule="auto"/>
        <w:jc w:val="both"/>
        <w:rPr>
          <w:rFonts w:ascii="Arial" w:hAnsi="Arial" w:cs="Arial"/>
          <w:sz w:val="24"/>
          <w:szCs w:val="24"/>
        </w:rPr>
      </w:pPr>
      <w:r>
        <w:rPr>
          <w:rFonts w:ascii="Arial" w:hAnsi="Arial" w:cs="Arial"/>
          <w:sz w:val="24"/>
          <w:szCs w:val="24"/>
        </w:rPr>
        <w:t>Quick, L. (2020) Managing Events. Real Challenges, Real Outcomes. London: SAGE Publications Ltd.</w:t>
      </w:r>
    </w:p>
    <w:p>
      <w:pPr>
        <w:spacing w:line="360" w:lineRule="auto"/>
        <w:jc w:val="both"/>
        <w:rPr>
          <w:rFonts w:ascii="Arial" w:hAnsi="Arial" w:cs="Arial"/>
          <w:sz w:val="24"/>
          <w:szCs w:val="24"/>
        </w:rPr>
      </w:pPr>
      <w:r>
        <w:rPr>
          <w:rFonts w:ascii="Arial" w:hAnsi="Arial" w:cs="Arial"/>
          <w:sz w:val="24"/>
          <w:szCs w:val="24"/>
        </w:rPr>
        <w:t>Raghubalan, G. and Raghubalan, S. (2016) Hotel Housekeeping - Operations And Management. 3rd ed. India: Oxford University Press.</w:t>
      </w:r>
    </w:p>
    <w:p>
      <w:pPr>
        <w:spacing w:line="360" w:lineRule="auto"/>
        <w:jc w:val="both"/>
        <w:rPr>
          <w:rFonts w:ascii="Arial" w:hAnsi="Arial" w:cs="Arial"/>
          <w:sz w:val="24"/>
          <w:szCs w:val="24"/>
        </w:rPr>
      </w:pPr>
      <w:r>
        <w:rPr>
          <w:rFonts w:ascii="Arial" w:hAnsi="Arial" w:cs="Arial"/>
          <w:sz w:val="24"/>
          <w:szCs w:val="24"/>
        </w:rPr>
        <w:t>Rué, A., 2023. Design and Automation: Vacuum transport system for the eye drop medicine filling process.</w:t>
      </w:r>
    </w:p>
    <w:p>
      <w:pPr>
        <w:spacing w:line="360" w:lineRule="auto"/>
        <w:jc w:val="both"/>
        <w:rPr>
          <w:rFonts w:ascii="Arial" w:hAnsi="Arial" w:cs="Arial"/>
          <w:sz w:val="24"/>
          <w:szCs w:val="24"/>
        </w:rPr>
      </w:pPr>
      <w:r>
        <w:rPr>
          <w:rFonts w:ascii="Arial" w:hAnsi="Arial" w:cs="Arial"/>
          <w:sz w:val="24"/>
          <w:szCs w:val="24"/>
        </w:rPr>
        <w:t xml:space="preserve">Zimmerman, B.J., Greenberg, D. and Weinstein, C.E., 2023. Self-regulating academic study time: A strategy approach. In </w:t>
      </w:r>
      <w:r>
        <w:rPr>
          <w:rFonts w:ascii="Arial" w:hAnsi="Arial" w:cs="Arial"/>
          <w:i/>
          <w:iCs/>
          <w:sz w:val="24"/>
          <w:szCs w:val="24"/>
        </w:rPr>
        <w:t>Self-regulation of learning and performance</w:t>
      </w:r>
      <w:r>
        <w:rPr>
          <w:rFonts w:ascii="Arial" w:hAnsi="Arial" w:cs="Arial"/>
          <w:sz w:val="24"/>
          <w:szCs w:val="24"/>
        </w:rPr>
        <w:t xml:space="preserve"> (pp. 181-199). Routledge.</w:t>
      </w:r>
    </w:p>
    <w:p/>
    <w:p/>
    <w:p/>
    <w:p>
      <w:pPr>
        <w:rPr>
          <w:b/>
          <w:bCs/>
        </w:rPr>
      </w:pPr>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rlito">
    <w:altName w:val="Calibri"/>
    <w:panose1 w:val="00000000000000000000"/>
    <w:charset w:val="00"/>
    <w:family w:val="swiss"/>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240709C"/>
    <w:multiLevelType w:val="multilevel"/>
    <w:tmpl w:val="3240709C"/>
    <w:lvl w:ilvl="0" w:tentative="0">
      <w:start w:val="1"/>
      <w:numFmt w:val="bullet"/>
      <w:lvlText w:val=""/>
      <w:lvlJc w:val="left"/>
      <w:pPr>
        <w:ind w:left="720" w:hanging="360"/>
      </w:pPr>
      <w:rPr>
        <w:rFonts w:hint="default" w:ascii="Symbol"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4F24523D"/>
    <w:multiLevelType w:val="multilevel"/>
    <w:tmpl w:val="4F24523D"/>
    <w:lvl w:ilvl="0" w:tentative="0">
      <w:start w:val="1"/>
      <w:numFmt w:val="bullet"/>
      <w:lvlText w:val=""/>
      <w:lvlJc w:val="left"/>
      <w:pPr>
        <w:ind w:left="720" w:hanging="360"/>
      </w:pPr>
      <w:rPr>
        <w:rFonts w:hint="default" w:ascii="Symbol"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695E7BED"/>
    <w:multiLevelType w:val="multilevel"/>
    <w:tmpl w:val="695E7BED"/>
    <w:lvl w:ilvl="0" w:tentative="0">
      <w:start w:val="1"/>
      <w:numFmt w:val="bullet"/>
      <w:lvlText w:val=""/>
      <w:lvlJc w:val="left"/>
      <w:pPr>
        <w:ind w:left="720" w:hanging="360"/>
      </w:pPr>
      <w:rPr>
        <w:rFonts w:hint="default" w:ascii="Symbol"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71291245"/>
    <w:multiLevelType w:val="multilevel"/>
    <w:tmpl w:val="71291245"/>
    <w:lvl w:ilvl="0" w:tentative="0">
      <w:start w:val="1"/>
      <w:numFmt w:val="bullet"/>
      <w:lvlText w:val=""/>
      <w:lvlJc w:val="left"/>
      <w:pPr>
        <w:ind w:left="720" w:hanging="360"/>
      </w:pPr>
      <w:rPr>
        <w:rFonts w:hint="default" w:ascii="Symbol"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137075"/>
    <w:rsid w:val="001749FD"/>
    <w:rsid w:val="00330917"/>
    <w:rsid w:val="00343A05"/>
    <w:rsid w:val="003508D9"/>
    <w:rsid w:val="00357851"/>
    <w:rsid w:val="0045538B"/>
    <w:rsid w:val="004D0F63"/>
    <w:rsid w:val="00592A7E"/>
    <w:rsid w:val="005F689A"/>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E90A87"/>
    <w:rsid w:val="00F03E94"/>
    <w:rsid w:val="00FA176D"/>
    <w:rsid w:val="00FF51C8"/>
    <w:rsid w:val="485270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unhideWhenUsed/>
    <w:qFormat/>
    <w:uiPriority w:val="9"/>
    <w:pPr>
      <w:keepNext/>
      <w:keepLines/>
      <w:spacing w:before="40" w:after="0" w:line="360" w:lineRule="auto"/>
      <w:jc w:val="both"/>
      <w:outlineLvl w:val="1"/>
    </w:pPr>
    <w:rPr>
      <w:rFonts w:ascii="Arial" w:hAnsi="Arial" w:eastAsiaTheme="majorEastAsia" w:cstheme="majorBidi"/>
      <w:b/>
      <w:color w:val="000000" w:themeColor="text1"/>
      <w:sz w:val="24"/>
      <w:szCs w:val="26"/>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3"/>
    <w:unhideWhenUsed/>
    <w:qFormat/>
    <w:uiPriority w:val="99"/>
    <w:pPr>
      <w:tabs>
        <w:tab w:val="center" w:pos="4513"/>
        <w:tab w:val="right" w:pos="9026"/>
      </w:tabs>
      <w:spacing w:after="0" w:line="240" w:lineRule="auto"/>
    </w:pPr>
  </w:style>
  <w:style w:type="paragraph" w:styleId="7">
    <w:name w:val="header"/>
    <w:basedOn w:val="1"/>
    <w:link w:val="12"/>
    <w:unhideWhenUsed/>
    <w:qFormat/>
    <w:uiPriority w:val="99"/>
    <w:pPr>
      <w:tabs>
        <w:tab w:val="center" w:pos="4513"/>
        <w:tab w:val="right" w:pos="9026"/>
      </w:tabs>
      <w:spacing w:after="0" w:line="240" w:lineRule="auto"/>
    </w:pPr>
  </w:style>
  <w:style w:type="paragraph" w:styleId="8">
    <w:name w:val="Normal (Web)"/>
    <w:basedOn w:val="1"/>
    <w:unhideWhenUsed/>
    <w:uiPriority w:val="99"/>
    <w:pPr>
      <w:spacing w:before="100" w:beforeAutospacing="1" w:after="100" w:afterAutospacing="1" w:line="240" w:lineRule="auto"/>
    </w:pPr>
    <w:rPr>
      <w:rFonts w:ascii="Times New Roman" w:hAnsi="Times New Roman" w:eastAsia="Times New Roman" w:cs="Times New Roman"/>
      <w:kern w:val="0"/>
      <w:sz w:val="24"/>
      <w:szCs w:val="24"/>
      <w:lang w:eastAsia="en-IN"/>
      <w14:ligatures w14:val="none"/>
    </w:rPr>
  </w:style>
  <w:style w:type="table" w:styleId="9">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List Paragraph"/>
    <w:basedOn w:val="1"/>
    <w:qFormat/>
    <w:uiPriority w:val="34"/>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11">
    <w:name w:val="fluidplugincopy"/>
    <w:basedOn w:val="4"/>
    <w:qFormat/>
    <w:uiPriority w:val="0"/>
  </w:style>
  <w:style w:type="character" w:customStyle="1" w:styleId="12">
    <w:name w:val="Header Char"/>
    <w:basedOn w:val="4"/>
    <w:link w:val="7"/>
    <w:qFormat/>
    <w:uiPriority w:val="99"/>
  </w:style>
  <w:style w:type="character" w:customStyle="1" w:styleId="13">
    <w:name w:val="Footer Char"/>
    <w:basedOn w:val="4"/>
    <w:link w:val="6"/>
    <w:qFormat/>
    <w:uiPriority w:val="99"/>
  </w:style>
  <w:style w:type="character" w:customStyle="1" w:styleId="14">
    <w:name w:val="Heading 1 Char"/>
    <w:basedOn w:val="4"/>
    <w:link w:val="2"/>
    <w:qFormat/>
    <w:uiPriority w:val="9"/>
    <w:rPr>
      <w:rFonts w:asciiTheme="majorHAnsi" w:hAnsiTheme="majorHAnsi" w:eastAsiaTheme="majorEastAsia" w:cstheme="majorBidi"/>
      <w:color w:val="2F5597" w:themeColor="accent1" w:themeShade="BF"/>
      <w:sz w:val="32"/>
      <w:szCs w:val="32"/>
    </w:rPr>
  </w:style>
  <w:style w:type="table" w:customStyle="1" w:styleId="15">
    <w:name w:val="Grid Table 2 Accent 3"/>
    <w:basedOn w:val="5"/>
    <w:uiPriority w:val="47"/>
    <w:pPr>
      <w:spacing w:after="0" w:line="240" w:lineRule="auto"/>
    </w:pPr>
    <w:tblPr>
      <w:tblBorders>
        <w:top w:val="single" w:color="C8C8C8" w:themeColor="accent3" w:themeTint="99" w:sz="2" w:space="0"/>
        <w:bottom w:val="single" w:color="C8C8C8" w:themeColor="accent3" w:themeTint="99" w:sz="2" w:space="0"/>
        <w:insideH w:val="single" w:color="C8C8C8" w:themeColor="accent3" w:themeTint="99" w:sz="2" w:space="0"/>
        <w:insideV w:val="single" w:color="C8C8C8" w:themeColor="accent3" w:themeTint="99" w:sz="2" w:space="0"/>
      </w:tblBorders>
    </w:tblPr>
    <w:tblStylePr w:type="firstRow">
      <w:rPr>
        <w:b/>
        <w:bCs/>
      </w:rPr>
      <w:tcPr>
        <w:tcBorders>
          <w:top w:val="nil"/>
          <w:bottom w:val="single" w:color="C8C8C8" w:themeColor="accent3" w:themeTint="99" w:sz="12" w:space="0"/>
          <w:insideH w:val="nil"/>
          <w:insideV w:val="nil"/>
        </w:tcBorders>
        <w:shd w:val="clear" w:color="auto" w:fill="FFFFFF" w:themeFill="background1"/>
      </w:tcPr>
    </w:tblStylePr>
    <w:tblStylePr w:type="lastRow">
      <w:rPr>
        <w:b/>
        <w:bCs/>
      </w:rPr>
      <w:tcPr>
        <w:tcBorders>
          <w:top w:val="double" w:color="C8C8C8"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CECEC" w:themeFill="accent3" w:themeFillTint="33"/>
      </w:tcPr>
    </w:tblStylePr>
    <w:tblStylePr w:type="band1Horz">
      <w:tcPr>
        <w:shd w:val="clear" w:color="auto" w:fill="ECECEC" w:themeFill="accent3" w:themeFillTint="33"/>
      </w:tcPr>
    </w:tblStyle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54</Words>
  <Characters>308</Characters>
  <Lines>2</Lines>
  <Paragraphs>1</Paragraphs>
  <TotalTime>0</TotalTime>
  <ScaleCrop>false</ScaleCrop>
  <LinksUpToDate>false</LinksUpToDate>
  <CharactersWithSpaces>361</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2023-09-26T14:36:00Z</dcterms:created>
  <dc:creator>Laurence Blake</dc:creator>
  <cp:lastModifiedBy>i study</cp:lastModifiedBy>
  <dcterms:modified xsi:type="dcterms:W3CDTF">2024-02-02T13:49:49Z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4753D0F62B3644E6A64A629008F9E3BB_12</vt:lpwstr>
  </property>
</Properties>
</file>