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81654" w14:textId="77777777" w:rsidR="004A6949" w:rsidRDefault="004A6949" w:rsidP="004A6949">
      <w:pPr>
        <w:jc w:val="center"/>
      </w:pPr>
    </w:p>
    <w:p w14:paraId="6FCD89C4" w14:textId="77777777" w:rsidR="004A6949" w:rsidRDefault="004A6949" w:rsidP="004A6949">
      <w:pPr>
        <w:jc w:val="center"/>
      </w:pPr>
    </w:p>
    <w:p w14:paraId="7FCD61B7" w14:textId="77777777" w:rsidR="004A6949" w:rsidRDefault="004A6949" w:rsidP="004A6949">
      <w:pPr>
        <w:jc w:val="center"/>
      </w:pPr>
    </w:p>
    <w:p w14:paraId="48FACB48" w14:textId="77777777" w:rsidR="004A6949" w:rsidRDefault="004A6949" w:rsidP="004A6949">
      <w:pPr>
        <w:jc w:val="center"/>
      </w:pPr>
      <w:r>
        <w:t xml:space="preserve">An Examination of the Representation of Aphrodite’s </w:t>
      </w:r>
    </w:p>
    <w:p w14:paraId="7543BE32" w14:textId="77777777" w:rsidR="004A6949" w:rsidRDefault="004A6949" w:rsidP="004A6949">
      <w:pPr>
        <w:jc w:val="center"/>
      </w:pPr>
      <w:r>
        <w:t xml:space="preserve">Sexuality and Femininity in Homer’s </w:t>
      </w:r>
      <w:r>
        <w:rPr>
          <w:i/>
        </w:rPr>
        <w:t>Iliad,</w:t>
      </w:r>
    </w:p>
    <w:p w14:paraId="31861E56" w14:textId="77777777" w:rsidR="004A6949" w:rsidRDefault="004A6949" w:rsidP="004A6949">
      <w:pPr>
        <w:jc w:val="center"/>
        <w:rPr>
          <w:i/>
        </w:rPr>
      </w:pPr>
      <w:r>
        <w:t xml:space="preserve">Hesiod’s </w:t>
      </w:r>
      <w:r>
        <w:rPr>
          <w:i/>
        </w:rPr>
        <w:t xml:space="preserve">Theogony, </w:t>
      </w:r>
      <w:r>
        <w:t xml:space="preserve">The </w:t>
      </w:r>
      <w:r>
        <w:rPr>
          <w:i/>
        </w:rPr>
        <w:t xml:space="preserve">Homeric Hymns, </w:t>
      </w:r>
      <w:r>
        <w:t xml:space="preserve">and Euripides’ </w:t>
      </w:r>
      <w:r>
        <w:rPr>
          <w:i/>
        </w:rPr>
        <w:t>Hippolytus.</w:t>
      </w:r>
    </w:p>
    <w:p w14:paraId="0E21CBD9" w14:textId="77777777" w:rsidR="004A6949" w:rsidRDefault="004A6949" w:rsidP="004A6949">
      <w:pPr>
        <w:jc w:val="center"/>
      </w:pPr>
    </w:p>
    <w:p w14:paraId="30EFD25E" w14:textId="77777777" w:rsidR="004A6949" w:rsidRDefault="004A6949" w:rsidP="004A6949">
      <w:pPr>
        <w:jc w:val="center"/>
      </w:pPr>
    </w:p>
    <w:p w14:paraId="7FC4ACB0" w14:textId="77777777" w:rsidR="004A6949" w:rsidRDefault="004A6949" w:rsidP="004A6949">
      <w:pPr>
        <w:jc w:val="center"/>
      </w:pPr>
      <w:r>
        <w:t>‘A dissertation submitted to the</w:t>
      </w:r>
    </w:p>
    <w:p w14:paraId="46A7A1C0" w14:textId="77777777" w:rsidR="004A6949" w:rsidRDefault="004A6949" w:rsidP="004A6949">
      <w:pPr>
        <w:jc w:val="center"/>
      </w:pPr>
      <w:r>
        <w:t>University of Wales Trinity Saint David</w:t>
      </w:r>
    </w:p>
    <w:p w14:paraId="647C34D7" w14:textId="0AB6FD36" w:rsidR="004A6949" w:rsidRDefault="004A6949" w:rsidP="004A6949">
      <w:pPr>
        <w:jc w:val="center"/>
      </w:pPr>
      <w:r>
        <w:t>in</w:t>
      </w:r>
      <w:r w:rsidR="00152D9B">
        <w:t xml:space="preserve"> partial</w:t>
      </w:r>
      <w:r>
        <w:t xml:space="preserve"> fulfilment of the requirements for</w:t>
      </w:r>
    </w:p>
    <w:p w14:paraId="1B15BA12" w14:textId="1BA4D8EA" w:rsidR="008A49F0" w:rsidRDefault="003B0FCF" w:rsidP="004A6949">
      <w:pPr>
        <w:jc w:val="center"/>
      </w:pPr>
      <w:r>
        <w:t>a B.A.</w:t>
      </w:r>
      <w:r w:rsidR="00152D9B">
        <w:t xml:space="preserve"> (Hons.)</w:t>
      </w:r>
      <w:r>
        <w:t xml:space="preserve"> in Classical Civilisation</w:t>
      </w:r>
      <w:r w:rsidR="008A49F0">
        <w:t>’</w:t>
      </w:r>
    </w:p>
    <w:p w14:paraId="514C5388" w14:textId="77777777" w:rsidR="008A49F0" w:rsidRDefault="008A49F0" w:rsidP="004A6949">
      <w:pPr>
        <w:jc w:val="center"/>
      </w:pPr>
    </w:p>
    <w:p w14:paraId="02BF7E4D" w14:textId="77777777" w:rsidR="008A49F0" w:rsidRDefault="008A49F0" w:rsidP="004A6949">
      <w:pPr>
        <w:jc w:val="center"/>
      </w:pPr>
    </w:p>
    <w:p w14:paraId="3BB0BF1B" w14:textId="77777777" w:rsidR="008A49F0" w:rsidRDefault="008A49F0" w:rsidP="004A6949">
      <w:pPr>
        <w:jc w:val="center"/>
      </w:pPr>
      <w:r>
        <w:t>2018</w:t>
      </w:r>
    </w:p>
    <w:p w14:paraId="4D3E036B" w14:textId="77777777" w:rsidR="008A49F0" w:rsidRDefault="008A49F0" w:rsidP="004A6949">
      <w:pPr>
        <w:jc w:val="center"/>
      </w:pPr>
    </w:p>
    <w:p w14:paraId="681F780A" w14:textId="77777777" w:rsidR="008A49F0" w:rsidRDefault="008A49F0" w:rsidP="004A6949">
      <w:pPr>
        <w:jc w:val="center"/>
      </w:pPr>
    </w:p>
    <w:p w14:paraId="16C40A84" w14:textId="77777777" w:rsidR="008A49F0" w:rsidRDefault="008A49F0" w:rsidP="004A6949">
      <w:pPr>
        <w:jc w:val="center"/>
      </w:pPr>
    </w:p>
    <w:p w14:paraId="288E5168" w14:textId="77777777" w:rsidR="004904E3" w:rsidRDefault="008A49F0" w:rsidP="004A6949">
      <w:pPr>
        <w:jc w:val="center"/>
      </w:pPr>
      <w:r>
        <w:t>Betsy Woodhouse</w:t>
      </w:r>
    </w:p>
    <w:p w14:paraId="3A62CC3D" w14:textId="77777777" w:rsidR="005B1B53" w:rsidRDefault="004904E3" w:rsidP="004A6949">
      <w:pPr>
        <w:jc w:val="center"/>
      </w:pPr>
      <w:r>
        <w:t>1500268</w:t>
      </w:r>
    </w:p>
    <w:p w14:paraId="319EA72A" w14:textId="77777777" w:rsidR="005B1B53" w:rsidRDefault="005B1B53">
      <w:r>
        <w:br w:type="page"/>
      </w:r>
    </w:p>
    <w:p w14:paraId="23F9F871" w14:textId="77777777" w:rsidR="005B1B53" w:rsidRDefault="005B1B53" w:rsidP="004A6949">
      <w:pPr>
        <w:jc w:val="center"/>
        <w:sectPr w:rsidR="005B1B53" w:rsidSect="005B1B53">
          <w:footerReference w:type="default" r:id="rId8"/>
          <w:pgSz w:w="11906" w:h="16838" w:code="9"/>
          <w:pgMar w:top="1440" w:right="1440" w:bottom="1440" w:left="1440" w:header="709" w:footer="709" w:gutter="0"/>
          <w:pgNumType w:start="1"/>
          <w:cols w:space="708"/>
          <w:titlePg/>
          <w:docGrid w:linePitch="360"/>
        </w:sectPr>
      </w:pPr>
    </w:p>
    <w:p w14:paraId="2EBB3A87" w14:textId="39217AD7" w:rsidR="005B1B53" w:rsidRPr="00CF3778" w:rsidRDefault="005B1B53" w:rsidP="005B1B53">
      <w:pPr>
        <w:pStyle w:val="Heading1"/>
        <w:rPr>
          <w:rFonts w:ascii="Times New Roman" w:hAnsi="Times New Roman" w:cs="Times New Roman"/>
          <w:color w:val="auto"/>
        </w:rPr>
      </w:pPr>
      <w:bookmarkStart w:id="0" w:name="_Toc513681255"/>
      <w:r w:rsidRPr="00CF3778">
        <w:rPr>
          <w:rFonts w:ascii="Times New Roman" w:hAnsi="Times New Roman" w:cs="Times New Roman"/>
          <w:color w:val="auto"/>
        </w:rPr>
        <w:lastRenderedPageBreak/>
        <w:t>Preface</w:t>
      </w:r>
      <w:bookmarkEnd w:id="0"/>
    </w:p>
    <w:p w14:paraId="54724B5E" w14:textId="77777777" w:rsidR="00CF3778" w:rsidRPr="00CF3778" w:rsidRDefault="00CF3778" w:rsidP="00CF3778"/>
    <w:p w14:paraId="0E68DB00" w14:textId="4A9DE315" w:rsidR="005B1B53" w:rsidRDefault="005B1B53" w:rsidP="005B1B53">
      <w:pPr>
        <w:spacing w:line="480" w:lineRule="auto"/>
      </w:pPr>
      <w:r>
        <w:t xml:space="preserve">This dissertation took a long time to come to fruition, and I would like to thank the University of Wales Trinity Saint David’s department of Classics – in particular, Kyle Erickson, </w:t>
      </w:r>
      <w:proofErr w:type="spellStart"/>
      <w:r>
        <w:t>Errietta</w:t>
      </w:r>
      <w:proofErr w:type="spellEnd"/>
      <w:r>
        <w:t xml:space="preserve"> </w:t>
      </w:r>
      <w:proofErr w:type="spellStart"/>
      <w:r>
        <w:t>Bissa</w:t>
      </w:r>
      <w:proofErr w:type="spellEnd"/>
      <w:r>
        <w:t>, Chris Fleming, and Fiona Mitchell for their endless knowledge, support, patience, and encouragement.</w:t>
      </w:r>
    </w:p>
    <w:p w14:paraId="261D6ED4" w14:textId="155037E0" w:rsidR="00A06A6B" w:rsidRDefault="00A06A6B" w:rsidP="005B1B53">
      <w:pPr>
        <w:spacing w:line="480" w:lineRule="auto"/>
      </w:pPr>
      <w:r>
        <w:t>I would like to acknowledge the Time’s Up movement of 2018, and the hundreds of victims who stepped forward this year to bring the discussion of abuse and sexuality to the attention of the media. The movement played a part in inspiring this academic analysis of sexuality and femininity and the important need to prove that these things are not inherent flaws of character or an invitation for abuse.</w:t>
      </w:r>
    </w:p>
    <w:p w14:paraId="67A6586D" w14:textId="77777777" w:rsidR="005B1B53" w:rsidRDefault="005B1B53" w:rsidP="005B1B53">
      <w:pPr>
        <w:spacing w:line="480" w:lineRule="auto"/>
      </w:pPr>
      <w:r>
        <w:t>A big thank you must go to my parents, Andrew and Karen, for listening to me in my regular (and sometimes sustained) moments of self-doubt, and for believing in me when I absolutely did not believe in myself.</w:t>
      </w:r>
    </w:p>
    <w:p w14:paraId="11317A8F" w14:textId="666CB1CC" w:rsidR="00DB1749" w:rsidRDefault="005B1B53" w:rsidP="005B1B53">
      <w:pPr>
        <w:spacing w:line="480" w:lineRule="auto"/>
      </w:pPr>
      <w:r>
        <w:t>I would also like to thank my girlfriend Alex and my best friend Sam, for keeping me sane and encouraging me to take breaks when I probably (definitely) did not need them</w:t>
      </w:r>
      <w:r w:rsidR="00A47471">
        <w:t>, as well as Frances</w:t>
      </w:r>
      <w:r w:rsidR="00AF1471">
        <w:t>,</w:t>
      </w:r>
      <w:r w:rsidR="00A47471">
        <w:t xml:space="preserve"> who proved herself to be the most multi-talented, pragmatic, and grownup housemate I could ever have asked for</w:t>
      </w:r>
      <w:r>
        <w:t xml:space="preserve"> – cheers guys.</w:t>
      </w:r>
    </w:p>
    <w:p w14:paraId="281002A1" w14:textId="11EE0B24" w:rsidR="005B1B53" w:rsidRDefault="005B1B53" w:rsidP="005B1B53">
      <w:pPr>
        <w:spacing w:line="480" w:lineRule="auto"/>
      </w:pPr>
      <w:r>
        <w:t xml:space="preserve">And finally, thanks to Frank Turner, for releasing the most unapologetically cheerful, optimistic, and triumphant album I have ever heard </w:t>
      </w:r>
      <w:r w:rsidR="00B36FC5">
        <w:t xml:space="preserve">just </w:t>
      </w:r>
      <w:r>
        <w:t>a few days before the deadline.</w:t>
      </w:r>
    </w:p>
    <w:p w14:paraId="0941A38C" w14:textId="77777777" w:rsidR="005B1B53" w:rsidRDefault="005B1B53" w:rsidP="005B1B53">
      <w:pPr>
        <w:spacing w:line="480" w:lineRule="auto"/>
      </w:pPr>
    </w:p>
    <w:p w14:paraId="362BE928" w14:textId="77777777" w:rsidR="005B1B53" w:rsidRDefault="005B1B53" w:rsidP="005B1B53">
      <w:pPr>
        <w:spacing w:line="480" w:lineRule="auto"/>
      </w:pPr>
      <w:r>
        <w:t>It really does take a village.</w:t>
      </w:r>
    </w:p>
    <w:p w14:paraId="150E7885" w14:textId="77777777" w:rsidR="005B1B53" w:rsidRDefault="005B1B53" w:rsidP="005B1B53"/>
    <w:p w14:paraId="02A2E77F" w14:textId="69344380" w:rsidR="003E63AC" w:rsidRPr="005B1B53" w:rsidRDefault="003E63AC" w:rsidP="005B1B53">
      <w:pPr>
        <w:rPr>
          <w:lang w:val="en-US"/>
        </w:rPr>
      </w:pPr>
      <w:r w:rsidRPr="005B1B53">
        <w:br w:type="page"/>
      </w:r>
    </w:p>
    <w:sdt>
      <w:sdtPr>
        <w:rPr>
          <w:rFonts w:ascii="Times New Roman" w:eastAsiaTheme="minorHAnsi" w:hAnsi="Times New Roman" w:cs="Times New Roman"/>
          <w:color w:val="auto"/>
          <w:sz w:val="24"/>
          <w:szCs w:val="24"/>
          <w:lang w:val="en-GB"/>
        </w:rPr>
        <w:id w:val="1581649118"/>
        <w:docPartObj>
          <w:docPartGallery w:val="Table of Contents"/>
          <w:docPartUnique/>
        </w:docPartObj>
      </w:sdtPr>
      <w:sdtEndPr>
        <w:rPr>
          <w:b/>
          <w:bCs/>
          <w:noProof/>
        </w:rPr>
      </w:sdtEndPr>
      <w:sdtContent>
        <w:p w14:paraId="1DDBB6C9" w14:textId="71591C63" w:rsidR="00873C1F" w:rsidRDefault="00873C1F">
          <w:pPr>
            <w:pStyle w:val="TOCHeading"/>
            <w:rPr>
              <w:rFonts w:ascii="Times New Roman" w:hAnsi="Times New Roman" w:cs="Times New Roman"/>
              <w:color w:val="auto"/>
            </w:rPr>
          </w:pPr>
          <w:r w:rsidRPr="00873C1F">
            <w:rPr>
              <w:rFonts w:ascii="Times New Roman" w:hAnsi="Times New Roman" w:cs="Times New Roman"/>
              <w:color w:val="auto"/>
            </w:rPr>
            <w:t>Contents</w:t>
          </w:r>
        </w:p>
        <w:p w14:paraId="14BF47B8" w14:textId="77777777" w:rsidR="00873C1F" w:rsidRPr="00873C1F" w:rsidRDefault="00873C1F" w:rsidP="00873C1F">
          <w:pPr>
            <w:rPr>
              <w:lang w:val="en-US"/>
            </w:rPr>
          </w:pPr>
        </w:p>
        <w:p w14:paraId="7C5B3508" w14:textId="167FEEE2" w:rsidR="00A06A6B" w:rsidRDefault="00873C1F">
          <w:pPr>
            <w:pStyle w:val="TOC1"/>
            <w:tabs>
              <w:tab w:val="right" w:leader="dot" w:pos="9016"/>
            </w:tabs>
            <w:rPr>
              <w:rFonts w:asciiTheme="minorHAnsi" w:eastAsiaTheme="minorEastAsia" w:hAnsiTheme="minorHAnsi" w:cstheme="minorBidi"/>
              <w:noProof/>
              <w:sz w:val="22"/>
              <w:szCs w:val="22"/>
              <w:lang w:eastAsia="en-GB"/>
            </w:rPr>
          </w:pPr>
          <w:r w:rsidRPr="00873C1F">
            <w:fldChar w:fldCharType="begin"/>
          </w:r>
          <w:r w:rsidRPr="00873C1F">
            <w:instrText xml:space="preserve"> TOC \o "1-3" \h \z \u </w:instrText>
          </w:r>
          <w:r w:rsidRPr="00873C1F">
            <w:fldChar w:fldCharType="separate"/>
          </w:r>
          <w:hyperlink w:anchor="_Toc513681255" w:history="1">
            <w:r w:rsidR="00A06A6B" w:rsidRPr="00E51A63">
              <w:rPr>
                <w:rStyle w:val="Hyperlink"/>
                <w:noProof/>
              </w:rPr>
              <w:t>Preface</w:t>
            </w:r>
            <w:r w:rsidR="00A06A6B">
              <w:rPr>
                <w:noProof/>
                <w:webHidden/>
              </w:rPr>
              <w:tab/>
            </w:r>
            <w:r w:rsidR="00A06A6B">
              <w:rPr>
                <w:noProof/>
                <w:webHidden/>
              </w:rPr>
              <w:fldChar w:fldCharType="begin"/>
            </w:r>
            <w:r w:rsidR="00A06A6B">
              <w:rPr>
                <w:noProof/>
                <w:webHidden/>
              </w:rPr>
              <w:instrText xml:space="preserve"> PAGEREF _Toc513681255 \h </w:instrText>
            </w:r>
            <w:r w:rsidR="00A06A6B">
              <w:rPr>
                <w:noProof/>
                <w:webHidden/>
              </w:rPr>
            </w:r>
            <w:r w:rsidR="00A06A6B">
              <w:rPr>
                <w:noProof/>
                <w:webHidden/>
              </w:rPr>
              <w:fldChar w:fldCharType="separate"/>
            </w:r>
            <w:r w:rsidR="003366F2">
              <w:rPr>
                <w:noProof/>
                <w:webHidden/>
              </w:rPr>
              <w:t>1</w:t>
            </w:r>
            <w:r w:rsidR="00A06A6B">
              <w:rPr>
                <w:noProof/>
                <w:webHidden/>
              </w:rPr>
              <w:fldChar w:fldCharType="end"/>
            </w:r>
          </w:hyperlink>
        </w:p>
        <w:p w14:paraId="520E8112" w14:textId="16B8280A" w:rsidR="00A06A6B" w:rsidRDefault="00B05211">
          <w:pPr>
            <w:pStyle w:val="TOC1"/>
            <w:tabs>
              <w:tab w:val="right" w:leader="dot" w:pos="9016"/>
            </w:tabs>
            <w:rPr>
              <w:rFonts w:asciiTheme="minorHAnsi" w:eastAsiaTheme="minorEastAsia" w:hAnsiTheme="minorHAnsi" w:cstheme="minorBidi"/>
              <w:noProof/>
              <w:sz w:val="22"/>
              <w:szCs w:val="22"/>
              <w:lang w:eastAsia="en-GB"/>
            </w:rPr>
          </w:pPr>
          <w:hyperlink w:anchor="_Toc513681256" w:history="1">
            <w:r w:rsidR="00A06A6B" w:rsidRPr="00E51A63">
              <w:rPr>
                <w:rStyle w:val="Hyperlink"/>
                <w:noProof/>
              </w:rPr>
              <w:t>Introduction</w:t>
            </w:r>
            <w:r w:rsidR="00A06A6B">
              <w:rPr>
                <w:noProof/>
                <w:webHidden/>
              </w:rPr>
              <w:tab/>
            </w:r>
            <w:r w:rsidR="00A06A6B">
              <w:rPr>
                <w:noProof/>
                <w:webHidden/>
              </w:rPr>
              <w:fldChar w:fldCharType="begin"/>
            </w:r>
            <w:r w:rsidR="00A06A6B">
              <w:rPr>
                <w:noProof/>
                <w:webHidden/>
              </w:rPr>
              <w:instrText xml:space="preserve"> PAGEREF _Toc513681256 \h </w:instrText>
            </w:r>
            <w:r w:rsidR="00A06A6B">
              <w:rPr>
                <w:noProof/>
                <w:webHidden/>
              </w:rPr>
            </w:r>
            <w:r w:rsidR="00A06A6B">
              <w:rPr>
                <w:noProof/>
                <w:webHidden/>
              </w:rPr>
              <w:fldChar w:fldCharType="separate"/>
            </w:r>
            <w:r w:rsidR="003366F2">
              <w:rPr>
                <w:noProof/>
                <w:webHidden/>
              </w:rPr>
              <w:t>3</w:t>
            </w:r>
            <w:r w:rsidR="00A06A6B">
              <w:rPr>
                <w:noProof/>
                <w:webHidden/>
              </w:rPr>
              <w:fldChar w:fldCharType="end"/>
            </w:r>
          </w:hyperlink>
        </w:p>
        <w:p w14:paraId="117A7179" w14:textId="314C576E" w:rsidR="00A06A6B" w:rsidRDefault="00B05211">
          <w:pPr>
            <w:pStyle w:val="TOC2"/>
            <w:tabs>
              <w:tab w:val="right" w:leader="dot" w:pos="9016"/>
            </w:tabs>
            <w:rPr>
              <w:rFonts w:asciiTheme="minorHAnsi" w:eastAsiaTheme="minorEastAsia" w:hAnsiTheme="minorHAnsi" w:cstheme="minorBidi"/>
              <w:noProof/>
              <w:sz w:val="22"/>
              <w:szCs w:val="22"/>
              <w:lang w:eastAsia="en-GB"/>
            </w:rPr>
          </w:pPr>
          <w:hyperlink w:anchor="_Toc513681257" w:history="1">
            <w:r w:rsidR="00A06A6B" w:rsidRPr="00E51A63">
              <w:rPr>
                <w:rStyle w:val="Hyperlink"/>
                <w:noProof/>
              </w:rPr>
              <w:t>Methodology</w:t>
            </w:r>
            <w:r w:rsidR="00A06A6B">
              <w:rPr>
                <w:noProof/>
                <w:webHidden/>
              </w:rPr>
              <w:tab/>
            </w:r>
            <w:r w:rsidR="00A06A6B">
              <w:rPr>
                <w:noProof/>
                <w:webHidden/>
              </w:rPr>
              <w:fldChar w:fldCharType="begin"/>
            </w:r>
            <w:r w:rsidR="00A06A6B">
              <w:rPr>
                <w:noProof/>
                <w:webHidden/>
              </w:rPr>
              <w:instrText xml:space="preserve"> PAGEREF _Toc513681257 \h </w:instrText>
            </w:r>
            <w:r w:rsidR="00A06A6B">
              <w:rPr>
                <w:noProof/>
                <w:webHidden/>
              </w:rPr>
            </w:r>
            <w:r w:rsidR="00A06A6B">
              <w:rPr>
                <w:noProof/>
                <w:webHidden/>
              </w:rPr>
              <w:fldChar w:fldCharType="separate"/>
            </w:r>
            <w:r w:rsidR="003366F2">
              <w:rPr>
                <w:noProof/>
                <w:webHidden/>
              </w:rPr>
              <w:t>5</w:t>
            </w:r>
            <w:r w:rsidR="00A06A6B">
              <w:rPr>
                <w:noProof/>
                <w:webHidden/>
              </w:rPr>
              <w:fldChar w:fldCharType="end"/>
            </w:r>
          </w:hyperlink>
        </w:p>
        <w:p w14:paraId="215FF1F2" w14:textId="45192E22" w:rsidR="00A06A6B" w:rsidRDefault="00B05211">
          <w:pPr>
            <w:pStyle w:val="TOC1"/>
            <w:tabs>
              <w:tab w:val="left" w:pos="440"/>
              <w:tab w:val="right" w:leader="dot" w:pos="9016"/>
            </w:tabs>
            <w:rPr>
              <w:rFonts w:asciiTheme="minorHAnsi" w:eastAsiaTheme="minorEastAsia" w:hAnsiTheme="minorHAnsi" w:cstheme="minorBidi"/>
              <w:noProof/>
              <w:sz w:val="22"/>
              <w:szCs w:val="22"/>
              <w:lang w:eastAsia="en-GB"/>
            </w:rPr>
          </w:pPr>
          <w:hyperlink w:anchor="_Toc513681258" w:history="1">
            <w:r w:rsidR="00A06A6B" w:rsidRPr="00E51A63">
              <w:rPr>
                <w:rStyle w:val="Hyperlink"/>
                <w:noProof/>
              </w:rPr>
              <w:t>I.</w:t>
            </w:r>
            <w:r w:rsidR="00A06A6B">
              <w:rPr>
                <w:rFonts w:asciiTheme="minorHAnsi" w:eastAsiaTheme="minorEastAsia" w:hAnsiTheme="minorHAnsi" w:cstheme="minorBidi"/>
                <w:noProof/>
                <w:sz w:val="22"/>
                <w:szCs w:val="22"/>
                <w:lang w:eastAsia="en-GB"/>
              </w:rPr>
              <w:tab/>
            </w:r>
            <w:r w:rsidR="00A06A6B" w:rsidRPr="00E51A63">
              <w:rPr>
                <w:rStyle w:val="Hyperlink"/>
                <w:noProof/>
              </w:rPr>
              <w:t xml:space="preserve">Aphrodite in Homer’s </w:t>
            </w:r>
            <w:r w:rsidR="00A06A6B" w:rsidRPr="00E51A63">
              <w:rPr>
                <w:rStyle w:val="Hyperlink"/>
                <w:i/>
                <w:noProof/>
              </w:rPr>
              <w:t>Iliad</w:t>
            </w:r>
            <w:r w:rsidR="00A06A6B">
              <w:rPr>
                <w:noProof/>
                <w:webHidden/>
              </w:rPr>
              <w:tab/>
            </w:r>
            <w:r w:rsidR="00A06A6B">
              <w:rPr>
                <w:noProof/>
                <w:webHidden/>
              </w:rPr>
              <w:fldChar w:fldCharType="begin"/>
            </w:r>
            <w:r w:rsidR="00A06A6B">
              <w:rPr>
                <w:noProof/>
                <w:webHidden/>
              </w:rPr>
              <w:instrText xml:space="preserve"> PAGEREF _Toc513681258 \h </w:instrText>
            </w:r>
            <w:r w:rsidR="00A06A6B">
              <w:rPr>
                <w:noProof/>
                <w:webHidden/>
              </w:rPr>
            </w:r>
            <w:r w:rsidR="00A06A6B">
              <w:rPr>
                <w:noProof/>
                <w:webHidden/>
              </w:rPr>
              <w:fldChar w:fldCharType="separate"/>
            </w:r>
            <w:r w:rsidR="003366F2">
              <w:rPr>
                <w:noProof/>
                <w:webHidden/>
              </w:rPr>
              <w:t>8</w:t>
            </w:r>
            <w:r w:rsidR="00A06A6B">
              <w:rPr>
                <w:noProof/>
                <w:webHidden/>
              </w:rPr>
              <w:fldChar w:fldCharType="end"/>
            </w:r>
          </w:hyperlink>
        </w:p>
        <w:p w14:paraId="78D19339" w14:textId="453D2618" w:rsidR="00A06A6B" w:rsidRDefault="00B05211">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513681259" w:history="1">
            <w:r w:rsidR="00A06A6B" w:rsidRPr="00E51A63">
              <w:rPr>
                <w:rStyle w:val="Hyperlink"/>
                <w:noProof/>
              </w:rPr>
              <w:t>II.</w:t>
            </w:r>
            <w:r w:rsidR="00A06A6B">
              <w:rPr>
                <w:rFonts w:asciiTheme="minorHAnsi" w:eastAsiaTheme="minorEastAsia" w:hAnsiTheme="minorHAnsi" w:cstheme="minorBidi"/>
                <w:noProof/>
                <w:sz w:val="22"/>
                <w:szCs w:val="22"/>
                <w:lang w:eastAsia="en-GB"/>
              </w:rPr>
              <w:tab/>
            </w:r>
            <w:r w:rsidR="00A06A6B" w:rsidRPr="00E51A63">
              <w:rPr>
                <w:rStyle w:val="Hyperlink"/>
                <w:noProof/>
              </w:rPr>
              <w:t xml:space="preserve">Aphrodite in Hesiod’s </w:t>
            </w:r>
            <w:r w:rsidR="00A06A6B" w:rsidRPr="00E51A63">
              <w:rPr>
                <w:rStyle w:val="Hyperlink"/>
                <w:i/>
                <w:noProof/>
              </w:rPr>
              <w:t>Theogony</w:t>
            </w:r>
            <w:r w:rsidR="00A06A6B">
              <w:rPr>
                <w:noProof/>
                <w:webHidden/>
              </w:rPr>
              <w:tab/>
            </w:r>
            <w:r w:rsidR="00A06A6B">
              <w:rPr>
                <w:noProof/>
                <w:webHidden/>
              </w:rPr>
              <w:fldChar w:fldCharType="begin"/>
            </w:r>
            <w:r w:rsidR="00A06A6B">
              <w:rPr>
                <w:noProof/>
                <w:webHidden/>
              </w:rPr>
              <w:instrText xml:space="preserve"> PAGEREF _Toc513681259 \h </w:instrText>
            </w:r>
            <w:r w:rsidR="00A06A6B">
              <w:rPr>
                <w:noProof/>
                <w:webHidden/>
              </w:rPr>
            </w:r>
            <w:r w:rsidR="00A06A6B">
              <w:rPr>
                <w:noProof/>
                <w:webHidden/>
              </w:rPr>
              <w:fldChar w:fldCharType="separate"/>
            </w:r>
            <w:r w:rsidR="003366F2">
              <w:rPr>
                <w:noProof/>
                <w:webHidden/>
              </w:rPr>
              <w:t>15</w:t>
            </w:r>
            <w:r w:rsidR="00A06A6B">
              <w:rPr>
                <w:noProof/>
                <w:webHidden/>
              </w:rPr>
              <w:fldChar w:fldCharType="end"/>
            </w:r>
          </w:hyperlink>
        </w:p>
        <w:p w14:paraId="1B09E865" w14:textId="3A721E25" w:rsidR="00A06A6B" w:rsidRDefault="00B05211">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513681260" w:history="1">
            <w:r w:rsidR="00A06A6B" w:rsidRPr="00E51A63">
              <w:rPr>
                <w:rStyle w:val="Hyperlink"/>
                <w:noProof/>
              </w:rPr>
              <w:t>III.</w:t>
            </w:r>
            <w:r w:rsidR="00A06A6B">
              <w:rPr>
                <w:rFonts w:asciiTheme="minorHAnsi" w:eastAsiaTheme="minorEastAsia" w:hAnsiTheme="minorHAnsi" w:cstheme="minorBidi"/>
                <w:noProof/>
                <w:sz w:val="22"/>
                <w:szCs w:val="22"/>
                <w:lang w:eastAsia="en-GB"/>
              </w:rPr>
              <w:tab/>
            </w:r>
            <w:r w:rsidR="00A06A6B" w:rsidRPr="00E51A63">
              <w:rPr>
                <w:rStyle w:val="Hyperlink"/>
                <w:noProof/>
              </w:rPr>
              <w:t xml:space="preserve">Aphrodite in the </w:t>
            </w:r>
            <w:r w:rsidR="00A06A6B" w:rsidRPr="00E51A63">
              <w:rPr>
                <w:rStyle w:val="Hyperlink"/>
                <w:i/>
                <w:noProof/>
              </w:rPr>
              <w:t>Homeric Hymns</w:t>
            </w:r>
            <w:r w:rsidR="00A06A6B">
              <w:rPr>
                <w:noProof/>
                <w:webHidden/>
              </w:rPr>
              <w:tab/>
            </w:r>
            <w:r w:rsidR="00A06A6B">
              <w:rPr>
                <w:noProof/>
                <w:webHidden/>
              </w:rPr>
              <w:fldChar w:fldCharType="begin"/>
            </w:r>
            <w:r w:rsidR="00A06A6B">
              <w:rPr>
                <w:noProof/>
                <w:webHidden/>
              </w:rPr>
              <w:instrText xml:space="preserve"> PAGEREF _Toc513681260 \h </w:instrText>
            </w:r>
            <w:r w:rsidR="00A06A6B">
              <w:rPr>
                <w:noProof/>
                <w:webHidden/>
              </w:rPr>
            </w:r>
            <w:r w:rsidR="00A06A6B">
              <w:rPr>
                <w:noProof/>
                <w:webHidden/>
              </w:rPr>
              <w:fldChar w:fldCharType="separate"/>
            </w:r>
            <w:r w:rsidR="003366F2">
              <w:rPr>
                <w:noProof/>
                <w:webHidden/>
              </w:rPr>
              <w:t>21</w:t>
            </w:r>
            <w:r w:rsidR="00A06A6B">
              <w:rPr>
                <w:noProof/>
                <w:webHidden/>
              </w:rPr>
              <w:fldChar w:fldCharType="end"/>
            </w:r>
          </w:hyperlink>
        </w:p>
        <w:p w14:paraId="662539BD" w14:textId="2DB8468B" w:rsidR="00A06A6B" w:rsidRDefault="00B05211">
          <w:pPr>
            <w:pStyle w:val="TOC1"/>
            <w:tabs>
              <w:tab w:val="left" w:pos="660"/>
              <w:tab w:val="right" w:leader="dot" w:pos="9016"/>
            </w:tabs>
            <w:rPr>
              <w:rFonts w:asciiTheme="minorHAnsi" w:eastAsiaTheme="minorEastAsia" w:hAnsiTheme="minorHAnsi" w:cstheme="minorBidi"/>
              <w:noProof/>
              <w:sz w:val="22"/>
              <w:szCs w:val="22"/>
              <w:lang w:eastAsia="en-GB"/>
            </w:rPr>
          </w:pPr>
          <w:hyperlink w:anchor="_Toc513681261" w:history="1">
            <w:r w:rsidR="00A06A6B" w:rsidRPr="00E51A63">
              <w:rPr>
                <w:rStyle w:val="Hyperlink"/>
                <w:noProof/>
              </w:rPr>
              <w:t>IV.</w:t>
            </w:r>
            <w:r w:rsidR="00A06A6B">
              <w:rPr>
                <w:rFonts w:asciiTheme="minorHAnsi" w:eastAsiaTheme="minorEastAsia" w:hAnsiTheme="minorHAnsi" w:cstheme="minorBidi"/>
                <w:noProof/>
                <w:sz w:val="22"/>
                <w:szCs w:val="22"/>
                <w:lang w:eastAsia="en-GB"/>
              </w:rPr>
              <w:tab/>
            </w:r>
            <w:r w:rsidR="00A06A6B" w:rsidRPr="00E51A63">
              <w:rPr>
                <w:rStyle w:val="Hyperlink"/>
                <w:noProof/>
              </w:rPr>
              <w:t xml:space="preserve">Aphrodite in Euripides’ </w:t>
            </w:r>
            <w:r w:rsidR="00A06A6B" w:rsidRPr="00E51A63">
              <w:rPr>
                <w:rStyle w:val="Hyperlink"/>
                <w:i/>
                <w:noProof/>
              </w:rPr>
              <w:t>Hippolytus</w:t>
            </w:r>
            <w:r w:rsidR="00A06A6B">
              <w:rPr>
                <w:noProof/>
                <w:webHidden/>
              </w:rPr>
              <w:tab/>
            </w:r>
            <w:r w:rsidR="00A06A6B">
              <w:rPr>
                <w:noProof/>
                <w:webHidden/>
              </w:rPr>
              <w:fldChar w:fldCharType="begin"/>
            </w:r>
            <w:r w:rsidR="00A06A6B">
              <w:rPr>
                <w:noProof/>
                <w:webHidden/>
              </w:rPr>
              <w:instrText xml:space="preserve"> PAGEREF _Toc513681261 \h </w:instrText>
            </w:r>
            <w:r w:rsidR="00A06A6B">
              <w:rPr>
                <w:noProof/>
                <w:webHidden/>
              </w:rPr>
            </w:r>
            <w:r w:rsidR="00A06A6B">
              <w:rPr>
                <w:noProof/>
                <w:webHidden/>
              </w:rPr>
              <w:fldChar w:fldCharType="separate"/>
            </w:r>
            <w:r w:rsidR="003366F2">
              <w:rPr>
                <w:noProof/>
                <w:webHidden/>
              </w:rPr>
              <w:t>27</w:t>
            </w:r>
            <w:r w:rsidR="00A06A6B">
              <w:rPr>
                <w:noProof/>
                <w:webHidden/>
              </w:rPr>
              <w:fldChar w:fldCharType="end"/>
            </w:r>
          </w:hyperlink>
        </w:p>
        <w:p w14:paraId="3D24F9B4" w14:textId="1D7C0F79" w:rsidR="00A06A6B" w:rsidRDefault="00B05211">
          <w:pPr>
            <w:pStyle w:val="TOC1"/>
            <w:tabs>
              <w:tab w:val="right" w:leader="dot" w:pos="9016"/>
            </w:tabs>
            <w:rPr>
              <w:rFonts w:asciiTheme="minorHAnsi" w:eastAsiaTheme="minorEastAsia" w:hAnsiTheme="minorHAnsi" w:cstheme="minorBidi"/>
              <w:noProof/>
              <w:sz w:val="22"/>
              <w:szCs w:val="22"/>
              <w:lang w:eastAsia="en-GB"/>
            </w:rPr>
          </w:pPr>
          <w:hyperlink w:anchor="_Toc513681262" w:history="1">
            <w:r w:rsidR="00A06A6B" w:rsidRPr="00E51A63">
              <w:rPr>
                <w:rStyle w:val="Hyperlink"/>
                <w:noProof/>
              </w:rPr>
              <w:t>Conclusion</w:t>
            </w:r>
            <w:r w:rsidR="00A06A6B">
              <w:rPr>
                <w:noProof/>
                <w:webHidden/>
              </w:rPr>
              <w:tab/>
            </w:r>
            <w:r w:rsidR="00A06A6B">
              <w:rPr>
                <w:noProof/>
                <w:webHidden/>
              </w:rPr>
              <w:fldChar w:fldCharType="begin"/>
            </w:r>
            <w:r w:rsidR="00A06A6B">
              <w:rPr>
                <w:noProof/>
                <w:webHidden/>
              </w:rPr>
              <w:instrText xml:space="preserve"> PAGEREF _Toc513681262 \h </w:instrText>
            </w:r>
            <w:r w:rsidR="00A06A6B">
              <w:rPr>
                <w:noProof/>
                <w:webHidden/>
              </w:rPr>
            </w:r>
            <w:r w:rsidR="00A06A6B">
              <w:rPr>
                <w:noProof/>
                <w:webHidden/>
              </w:rPr>
              <w:fldChar w:fldCharType="separate"/>
            </w:r>
            <w:r w:rsidR="003366F2">
              <w:rPr>
                <w:noProof/>
                <w:webHidden/>
              </w:rPr>
              <w:t>32</w:t>
            </w:r>
            <w:r w:rsidR="00A06A6B">
              <w:rPr>
                <w:noProof/>
                <w:webHidden/>
              </w:rPr>
              <w:fldChar w:fldCharType="end"/>
            </w:r>
          </w:hyperlink>
        </w:p>
        <w:p w14:paraId="4E8C3366" w14:textId="7B353048" w:rsidR="00A06A6B" w:rsidRDefault="00B05211">
          <w:pPr>
            <w:pStyle w:val="TOC1"/>
            <w:tabs>
              <w:tab w:val="right" w:leader="dot" w:pos="9016"/>
            </w:tabs>
            <w:rPr>
              <w:rFonts w:asciiTheme="minorHAnsi" w:eastAsiaTheme="minorEastAsia" w:hAnsiTheme="minorHAnsi" w:cstheme="minorBidi"/>
              <w:noProof/>
              <w:sz w:val="22"/>
              <w:szCs w:val="22"/>
              <w:lang w:eastAsia="en-GB"/>
            </w:rPr>
          </w:pPr>
          <w:hyperlink w:anchor="_Toc513681263" w:history="1">
            <w:r w:rsidR="00A06A6B" w:rsidRPr="00E51A63">
              <w:rPr>
                <w:rStyle w:val="Hyperlink"/>
                <w:noProof/>
              </w:rPr>
              <w:t>Bibliography</w:t>
            </w:r>
            <w:r w:rsidR="00A06A6B">
              <w:rPr>
                <w:noProof/>
                <w:webHidden/>
              </w:rPr>
              <w:tab/>
            </w:r>
            <w:r w:rsidR="00A06A6B">
              <w:rPr>
                <w:noProof/>
                <w:webHidden/>
              </w:rPr>
              <w:fldChar w:fldCharType="begin"/>
            </w:r>
            <w:r w:rsidR="00A06A6B">
              <w:rPr>
                <w:noProof/>
                <w:webHidden/>
              </w:rPr>
              <w:instrText xml:space="preserve"> PAGEREF _Toc513681263 \h </w:instrText>
            </w:r>
            <w:r w:rsidR="00A06A6B">
              <w:rPr>
                <w:noProof/>
                <w:webHidden/>
              </w:rPr>
            </w:r>
            <w:r w:rsidR="00A06A6B">
              <w:rPr>
                <w:noProof/>
                <w:webHidden/>
              </w:rPr>
              <w:fldChar w:fldCharType="separate"/>
            </w:r>
            <w:r w:rsidR="003366F2">
              <w:rPr>
                <w:noProof/>
                <w:webHidden/>
              </w:rPr>
              <w:t>33</w:t>
            </w:r>
            <w:r w:rsidR="00A06A6B">
              <w:rPr>
                <w:noProof/>
                <w:webHidden/>
              </w:rPr>
              <w:fldChar w:fldCharType="end"/>
            </w:r>
          </w:hyperlink>
        </w:p>
        <w:p w14:paraId="739CB50E" w14:textId="4A164261" w:rsidR="00A06A6B" w:rsidRDefault="00B05211">
          <w:pPr>
            <w:pStyle w:val="TOC2"/>
            <w:tabs>
              <w:tab w:val="right" w:leader="dot" w:pos="9016"/>
            </w:tabs>
            <w:rPr>
              <w:rFonts w:asciiTheme="minorHAnsi" w:eastAsiaTheme="minorEastAsia" w:hAnsiTheme="minorHAnsi" w:cstheme="minorBidi"/>
              <w:noProof/>
              <w:sz w:val="22"/>
              <w:szCs w:val="22"/>
              <w:lang w:eastAsia="en-GB"/>
            </w:rPr>
          </w:pPr>
          <w:hyperlink w:anchor="_Toc513681264" w:history="1">
            <w:r w:rsidR="00A06A6B" w:rsidRPr="00E51A63">
              <w:rPr>
                <w:rStyle w:val="Hyperlink"/>
                <w:noProof/>
              </w:rPr>
              <w:t>Ancient Sources</w:t>
            </w:r>
            <w:r w:rsidR="00A06A6B">
              <w:rPr>
                <w:noProof/>
                <w:webHidden/>
              </w:rPr>
              <w:tab/>
            </w:r>
            <w:r w:rsidR="00A06A6B">
              <w:rPr>
                <w:noProof/>
                <w:webHidden/>
              </w:rPr>
              <w:fldChar w:fldCharType="begin"/>
            </w:r>
            <w:r w:rsidR="00A06A6B">
              <w:rPr>
                <w:noProof/>
                <w:webHidden/>
              </w:rPr>
              <w:instrText xml:space="preserve"> PAGEREF _Toc513681264 \h </w:instrText>
            </w:r>
            <w:r w:rsidR="00A06A6B">
              <w:rPr>
                <w:noProof/>
                <w:webHidden/>
              </w:rPr>
            </w:r>
            <w:r w:rsidR="00A06A6B">
              <w:rPr>
                <w:noProof/>
                <w:webHidden/>
              </w:rPr>
              <w:fldChar w:fldCharType="separate"/>
            </w:r>
            <w:r w:rsidR="003366F2">
              <w:rPr>
                <w:noProof/>
                <w:webHidden/>
              </w:rPr>
              <w:t>33</w:t>
            </w:r>
            <w:r w:rsidR="00A06A6B">
              <w:rPr>
                <w:noProof/>
                <w:webHidden/>
              </w:rPr>
              <w:fldChar w:fldCharType="end"/>
            </w:r>
          </w:hyperlink>
        </w:p>
        <w:p w14:paraId="5DDAD498" w14:textId="5BAF4808" w:rsidR="00A06A6B" w:rsidRDefault="00B05211">
          <w:pPr>
            <w:pStyle w:val="TOC2"/>
            <w:tabs>
              <w:tab w:val="right" w:leader="dot" w:pos="9016"/>
            </w:tabs>
            <w:rPr>
              <w:rFonts w:asciiTheme="minorHAnsi" w:eastAsiaTheme="minorEastAsia" w:hAnsiTheme="minorHAnsi" w:cstheme="minorBidi"/>
              <w:noProof/>
              <w:sz w:val="22"/>
              <w:szCs w:val="22"/>
              <w:lang w:eastAsia="en-GB"/>
            </w:rPr>
          </w:pPr>
          <w:hyperlink w:anchor="_Toc513681265" w:history="1">
            <w:r w:rsidR="00A06A6B" w:rsidRPr="00E51A63">
              <w:rPr>
                <w:rStyle w:val="Hyperlink"/>
                <w:noProof/>
              </w:rPr>
              <w:t>Scholarship</w:t>
            </w:r>
            <w:r w:rsidR="00A06A6B">
              <w:rPr>
                <w:noProof/>
                <w:webHidden/>
              </w:rPr>
              <w:tab/>
            </w:r>
            <w:r w:rsidR="00A06A6B">
              <w:rPr>
                <w:noProof/>
                <w:webHidden/>
              </w:rPr>
              <w:fldChar w:fldCharType="begin"/>
            </w:r>
            <w:r w:rsidR="00A06A6B">
              <w:rPr>
                <w:noProof/>
                <w:webHidden/>
              </w:rPr>
              <w:instrText xml:space="preserve"> PAGEREF _Toc513681265 \h </w:instrText>
            </w:r>
            <w:r w:rsidR="00A06A6B">
              <w:rPr>
                <w:noProof/>
                <w:webHidden/>
              </w:rPr>
            </w:r>
            <w:r w:rsidR="00A06A6B">
              <w:rPr>
                <w:noProof/>
                <w:webHidden/>
              </w:rPr>
              <w:fldChar w:fldCharType="separate"/>
            </w:r>
            <w:r w:rsidR="003366F2">
              <w:rPr>
                <w:noProof/>
                <w:webHidden/>
              </w:rPr>
              <w:t>33</w:t>
            </w:r>
            <w:r w:rsidR="00A06A6B">
              <w:rPr>
                <w:noProof/>
                <w:webHidden/>
              </w:rPr>
              <w:fldChar w:fldCharType="end"/>
            </w:r>
          </w:hyperlink>
        </w:p>
        <w:p w14:paraId="10FFFA2A" w14:textId="5DDCD81A" w:rsidR="00873C1F" w:rsidRPr="00873C1F" w:rsidRDefault="00873C1F">
          <w:r w:rsidRPr="00873C1F">
            <w:rPr>
              <w:b/>
              <w:bCs/>
              <w:noProof/>
            </w:rPr>
            <w:fldChar w:fldCharType="end"/>
          </w:r>
        </w:p>
      </w:sdtContent>
    </w:sdt>
    <w:p w14:paraId="04860327" w14:textId="77777777" w:rsidR="00873C1F" w:rsidRPr="00873C1F" w:rsidRDefault="00873C1F">
      <w:pPr>
        <w:rPr>
          <w:rFonts w:eastAsiaTheme="majorEastAsia"/>
          <w:spacing w:val="-10"/>
          <w:kern w:val="28"/>
          <w:sz w:val="56"/>
          <w:szCs w:val="56"/>
        </w:rPr>
      </w:pPr>
      <w:r w:rsidRPr="00873C1F">
        <w:br w:type="page"/>
      </w:r>
    </w:p>
    <w:p w14:paraId="62096FFE" w14:textId="2070053F" w:rsidR="00873C1F" w:rsidRPr="00CF3778" w:rsidRDefault="00873C1F" w:rsidP="00873C1F">
      <w:pPr>
        <w:pStyle w:val="Heading1"/>
        <w:rPr>
          <w:rFonts w:ascii="Times New Roman" w:hAnsi="Times New Roman" w:cs="Times New Roman"/>
          <w:color w:val="auto"/>
        </w:rPr>
      </w:pPr>
      <w:bookmarkStart w:id="1" w:name="_Toc513681256"/>
      <w:r w:rsidRPr="00CF3778">
        <w:rPr>
          <w:rFonts w:ascii="Times New Roman" w:hAnsi="Times New Roman" w:cs="Times New Roman"/>
          <w:color w:val="auto"/>
        </w:rPr>
        <w:lastRenderedPageBreak/>
        <w:t>Introduction</w:t>
      </w:r>
      <w:bookmarkEnd w:id="1"/>
    </w:p>
    <w:p w14:paraId="380EAE85" w14:textId="77777777" w:rsidR="00A8081B" w:rsidRDefault="00A8081B"/>
    <w:p w14:paraId="3C677CAD" w14:textId="4A6C373A" w:rsidR="00A8081B" w:rsidRDefault="00426E95" w:rsidP="00B76A78">
      <w:pPr>
        <w:spacing w:line="480" w:lineRule="auto"/>
        <w:ind w:firstLine="720"/>
      </w:pPr>
      <w:r>
        <w:t>‘Powerful among mortals, glorious among the gods’,</w:t>
      </w:r>
      <w:r>
        <w:rPr>
          <w:rStyle w:val="FootnoteReference"/>
        </w:rPr>
        <w:footnoteReference w:id="1"/>
      </w:r>
      <w:r>
        <w:t xml:space="preserve"> </w:t>
      </w:r>
      <w:r w:rsidR="00A8081B">
        <w:t>Aphrodite</w:t>
      </w:r>
      <w:r>
        <w:t>:</w:t>
      </w:r>
      <w:r w:rsidR="00A8081B">
        <w:t xml:space="preserve"> a goddess central to the classical pantheons – Aphrodite in Greek</w:t>
      </w:r>
      <w:r w:rsidR="000675EE">
        <w:t xml:space="preserve"> mythology</w:t>
      </w:r>
      <w:r w:rsidR="00A8081B">
        <w:t>, Venus in Roman – a goddess well-known and easily recognised even to a twenty-first century audience,</w:t>
      </w:r>
      <w:r w:rsidR="00C54B61">
        <w:t xml:space="preserve"> the goddess who</w:t>
      </w:r>
      <w:r w:rsidR="00A8081B">
        <w:t xml:space="preserve"> ‘represents physical beauty, sexual love, and fertility’.</w:t>
      </w:r>
      <w:r w:rsidR="00A8081B">
        <w:rPr>
          <w:rStyle w:val="FootnoteReference"/>
        </w:rPr>
        <w:footnoteReference w:id="2"/>
      </w:r>
      <w:r w:rsidR="00A8081B">
        <w:t xml:space="preserve"> She is famously and stubbornly associated with these things, and has </w:t>
      </w:r>
      <w:r w:rsidR="001E54B6">
        <w:t xml:space="preserve">thus </w:t>
      </w:r>
      <w:r w:rsidR="00A8081B">
        <w:t>become the epitome of representation of femininity in its purest form: she is a</w:t>
      </w:r>
      <w:r w:rsidR="005802B0">
        <w:t xml:space="preserve"> </w:t>
      </w:r>
      <w:r w:rsidR="00A8081B">
        <w:t>woman who embodies</w:t>
      </w:r>
      <w:r w:rsidR="005802B0">
        <w:t xml:space="preserve"> </w:t>
      </w:r>
      <w:r w:rsidR="005802B0" w:rsidRPr="005802B0">
        <w:rPr>
          <w:i/>
        </w:rPr>
        <w:t>active</w:t>
      </w:r>
      <w:r w:rsidR="00A8081B" w:rsidRPr="005802B0">
        <w:rPr>
          <w:i/>
        </w:rPr>
        <w:t xml:space="preserve"> </w:t>
      </w:r>
      <w:r w:rsidR="00A8081B">
        <w:rPr>
          <w:i/>
        </w:rPr>
        <w:t>womanhood</w:t>
      </w:r>
      <w:r w:rsidR="00CA144F">
        <w:rPr>
          <w:i/>
        </w:rPr>
        <w:t xml:space="preserve">; </w:t>
      </w:r>
      <w:r w:rsidR="00CA144F">
        <w:t>beauty,</w:t>
      </w:r>
      <w:r w:rsidR="00A8081B">
        <w:rPr>
          <w:i/>
        </w:rPr>
        <w:t xml:space="preserve"> </w:t>
      </w:r>
      <w:r w:rsidR="00A8081B">
        <w:t>fertility</w:t>
      </w:r>
      <w:r w:rsidR="005802B0">
        <w:t>, motherhood, physical sexual love</w:t>
      </w:r>
      <w:r w:rsidR="00285783">
        <w:t>, and she is a goddess who uses her gifts, her powers,</w:t>
      </w:r>
      <w:r w:rsidR="001E54B6">
        <w:t xml:space="preserve"> and</w:t>
      </w:r>
      <w:r w:rsidR="00285783">
        <w:t xml:space="preserve"> her sexuality to manipulate situations, gods, and men to achieve her own means. Yet, despite her central role</w:t>
      </w:r>
      <w:r w:rsidR="00777321">
        <w:t xml:space="preserve">s </w:t>
      </w:r>
      <w:r w:rsidR="00CA144F">
        <w:t>in the</w:t>
      </w:r>
      <w:r w:rsidR="00777321">
        <w:t xml:space="preserve"> narratives</w:t>
      </w:r>
      <w:r w:rsidR="00285783">
        <w:t xml:space="preserve"> </w:t>
      </w:r>
      <w:r w:rsidR="00777321">
        <w:t>of</w:t>
      </w:r>
      <w:r w:rsidR="00285783">
        <w:t xml:space="preserve"> many of </w:t>
      </w:r>
      <w:r w:rsidR="00777321">
        <w:t>the best known ancient epics and plays, despite</w:t>
      </w:r>
      <w:r w:rsidR="00CA144F">
        <w:t xml:space="preserve"> arguably</w:t>
      </w:r>
      <w:r w:rsidR="00777321">
        <w:t xml:space="preserve"> </w:t>
      </w:r>
      <w:r w:rsidR="00CA144F">
        <w:t xml:space="preserve">being the driving force behind the </w:t>
      </w:r>
      <w:r w:rsidR="00CA144F">
        <w:rPr>
          <w:i/>
        </w:rPr>
        <w:t xml:space="preserve">Iliad, </w:t>
      </w:r>
      <w:r w:rsidR="009D1A14">
        <w:t xml:space="preserve">and </w:t>
      </w:r>
      <w:r w:rsidR="009D1A14">
        <w:rPr>
          <w:i/>
        </w:rPr>
        <w:t xml:space="preserve">Hippolytus, </w:t>
      </w:r>
      <w:r w:rsidR="009D1A14">
        <w:t xml:space="preserve">having three of the </w:t>
      </w:r>
      <w:r w:rsidR="009D1A14">
        <w:rPr>
          <w:i/>
        </w:rPr>
        <w:t xml:space="preserve">Homeric Hymns </w:t>
      </w:r>
      <w:r w:rsidR="009D1A14">
        <w:t xml:space="preserve">written to her, and being one of the main focuses in the </w:t>
      </w:r>
      <w:r w:rsidR="009D1A14">
        <w:rPr>
          <w:i/>
        </w:rPr>
        <w:t xml:space="preserve">Theogony, </w:t>
      </w:r>
      <w:r w:rsidR="009D1A14">
        <w:t xml:space="preserve">she tends to only be thought of in terms of her beauty and has become synonymous with the concept of </w:t>
      </w:r>
      <w:r w:rsidR="00DF56B4">
        <w:t xml:space="preserve">feminine </w:t>
      </w:r>
      <w:r w:rsidR="009D1A14">
        <w:t>submission.</w:t>
      </w:r>
      <w:r w:rsidR="001E54B6">
        <w:t xml:space="preserve"> </w:t>
      </w:r>
      <w:proofErr w:type="gramStart"/>
      <w:r w:rsidR="001E54B6">
        <w:t>All of</w:t>
      </w:r>
      <w:proofErr w:type="gramEnd"/>
      <w:r w:rsidR="001E54B6">
        <w:t xml:space="preserve"> these texts present a goddess who is terrifyingly powerful, </w:t>
      </w:r>
      <w:r w:rsidR="00A532D1">
        <w:t>and yet</w:t>
      </w:r>
      <w:r w:rsidR="001E54B6">
        <w:t xml:space="preserve"> she is hardly ever mentioned in the same breath and hardly ever treated with the same respect and reverence in </w:t>
      </w:r>
      <w:r w:rsidR="00DC1FDE">
        <w:t xml:space="preserve">ancient </w:t>
      </w:r>
      <w:r w:rsidR="001E54B6">
        <w:t>narratives as well as</w:t>
      </w:r>
      <w:r w:rsidR="00DC1FDE">
        <w:t xml:space="preserve"> in</w:t>
      </w:r>
      <w:r w:rsidR="001E54B6">
        <w:t xml:space="preserve"> modern scholar</w:t>
      </w:r>
      <w:r w:rsidR="004D63A9">
        <w:t>ly reception</w:t>
      </w:r>
      <w:r w:rsidR="001E54B6">
        <w:t xml:space="preserve"> as other goddesses such as Hera, Artemis, or Athena.</w:t>
      </w:r>
    </w:p>
    <w:p w14:paraId="2CBBAF65" w14:textId="720CBBAF" w:rsidR="009D1A14" w:rsidRPr="009D1A14" w:rsidRDefault="009D1A14" w:rsidP="00B76A78">
      <w:pPr>
        <w:spacing w:line="480" w:lineRule="auto"/>
      </w:pPr>
      <w:r>
        <w:t xml:space="preserve">This dissertation seeks to challenge the </w:t>
      </w:r>
      <w:r w:rsidR="00DC1FDE">
        <w:t>conception</w:t>
      </w:r>
      <w:r>
        <w:t xml:space="preserve"> that</w:t>
      </w:r>
      <w:r w:rsidR="001E54B6">
        <w:t xml:space="preserve"> displays of</w:t>
      </w:r>
      <w:r>
        <w:t xml:space="preserve"> femininity and overt sexuality </w:t>
      </w:r>
      <w:r w:rsidR="001E54B6">
        <w:t xml:space="preserve">are </w:t>
      </w:r>
      <w:r>
        <w:t>an intrinsic display of submission and weakness by examining Aphrodite’s role</w:t>
      </w:r>
      <w:r w:rsidR="001E54B6">
        <w:t>s</w:t>
      </w:r>
      <w:r>
        <w:t xml:space="preserve"> in the </w:t>
      </w:r>
      <w:r>
        <w:rPr>
          <w:i/>
        </w:rPr>
        <w:t xml:space="preserve">Iliad, </w:t>
      </w:r>
      <w:r>
        <w:t xml:space="preserve">the </w:t>
      </w:r>
      <w:r>
        <w:rPr>
          <w:i/>
        </w:rPr>
        <w:t xml:space="preserve">Homeric Hymns, </w:t>
      </w:r>
      <w:r>
        <w:t xml:space="preserve">the </w:t>
      </w:r>
      <w:r>
        <w:rPr>
          <w:i/>
        </w:rPr>
        <w:t xml:space="preserve">Theogony, </w:t>
      </w:r>
      <w:r>
        <w:t xml:space="preserve">and </w:t>
      </w:r>
      <w:r>
        <w:rPr>
          <w:i/>
        </w:rPr>
        <w:t xml:space="preserve">Hippolytus. </w:t>
      </w:r>
      <w:r>
        <w:t xml:space="preserve">It will attempt to suggest </w:t>
      </w:r>
      <w:r w:rsidR="001E54B6">
        <w:t>reasons that m</w:t>
      </w:r>
      <w:r w:rsidR="006B32CA">
        <w:t>ay</w:t>
      </w:r>
      <w:r w:rsidR="001E54B6">
        <w:t xml:space="preserve"> explain the contemporary understanding of femininity and </w:t>
      </w:r>
      <w:r w:rsidR="00B173D9">
        <w:t>weakness and</w:t>
      </w:r>
      <w:r w:rsidR="00AC5DE7">
        <w:t xml:space="preserve"> prove them to be false.</w:t>
      </w:r>
    </w:p>
    <w:p w14:paraId="634AE1BF" w14:textId="6EC09EAC" w:rsidR="00C003B9" w:rsidRDefault="00A8081B" w:rsidP="00B76A78">
      <w:pPr>
        <w:spacing w:line="480" w:lineRule="auto"/>
      </w:pPr>
      <w:r>
        <w:lastRenderedPageBreak/>
        <w:t>Weeks writes that ‘the word ‘sexuality’ itself had emerged in English early in the nineteenth century, meaning the quality of being sexual, that is, relating to being masculine or feminine’.</w:t>
      </w:r>
      <w:r>
        <w:rPr>
          <w:rStyle w:val="FootnoteReference"/>
        </w:rPr>
        <w:footnoteReference w:id="3"/>
      </w:r>
      <w:r>
        <w:t xml:space="preserve"> T</w:t>
      </w:r>
      <w:r w:rsidR="006B32CA">
        <w:t>he concept and definition of sexuality is ever shifting as it evolves with the culture</w:t>
      </w:r>
      <w:r w:rsidR="00DC1FDE">
        <w:t>s and contexts</w:t>
      </w:r>
      <w:r w:rsidR="006B32CA">
        <w:t xml:space="preserve"> it is used in, but </w:t>
      </w:r>
      <w:r w:rsidR="00DC1FDE">
        <w:t xml:space="preserve">Weeks’ definition </w:t>
      </w:r>
      <w:r>
        <w:t>is the understanding</w:t>
      </w:r>
      <w:r w:rsidR="00DC1FDE">
        <w:t xml:space="preserve"> of </w:t>
      </w:r>
      <w:r>
        <w:t>‘sexuality’ that this paper is buil</w:t>
      </w:r>
      <w:r w:rsidR="00285783">
        <w:t>t</w:t>
      </w:r>
      <w:r>
        <w:t xml:space="preserve"> around, unless stated otherwise.</w:t>
      </w:r>
      <w:r w:rsidR="006B32CA">
        <w:t xml:space="preserve"> Similarly, the concept of ‘femininity’ is also one that is ever evolving as binaries are being challenged and varying political/personal</w:t>
      </w:r>
      <w:r w:rsidR="00F55F9E">
        <w:t xml:space="preserve"> gender</w:t>
      </w:r>
      <w:r w:rsidR="006B32CA">
        <w:t xml:space="preserve"> identities are emerging. The idea of femininity is not now what it was one hundred years ago, and it was not then what it was during the time of Homer and his contemporaries. </w:t>
      </w:r>
      <w:proofErr w:type="gramStart"/>
      <w:r w:rsidR="006B32CA">
        <w:t>For the purpose of</w:t>
      </w:r>
      <w:proofErr w:type="gramEnd"/>
      <w:r w:rsidR="006B32CA">
        <w:t xml:space="preserve"> this paper, </w:t>
      </w:r>
      <w:r w:rsidR="000765E9">
        <w:t xml:space="preserve">the term ‘femininity’ will be used in relation to </w:t>
      </w:r>
      <w:r w:rsidR="000765E9" w:rsidRPr="005416E2">
        <w:rPr>
          <w:i/>
        </w:rPr>
        <w:t>biological</w:t>
      </w:r>
      <w:r w:rsidR="000765E9">
        <w:t xml:space="preserve"> ‘womanhood’ and the </w:t>
      </w:r>
      <w:r w:rsidR="005416E2">
        <w:t xml:space="preserve">specific </w:t>
      </w:r>
      <w:r w:rsidR="003E63AC">
        <w:t>cultural stigmas and boundaries that surrounded it.</w:t>
      </w:r>
    </w:p>
    <w:p w14:paraId="511495BC" w14:textId="604DE07F" w:rsidR="00A74672" w:rsidRDefault="00C003B9" w:rsidP="00B76A78">
      <w:pPr>
        <w:spacing w:line="480" w:lineRule="auto"/>
      </w:pPr>
      <w:r>
        <w:t>The power</w:t>
      </w:r>
      <w:r w:rsidR="00A74672">
        <w:t xml:space="preserve"> and influence</w:t>
      </w:r>
      <w:r>
        <w:t xml:space="preserve"> that Aphrodite’s sexuality, seduction, and femininity </w:t>
      </w:r>
      <w:r w:rsidR="00A74672">
        <w:t>allow</w:t>
      </w:r>
      <w:r>
        <w:t xml:space="preserve"> her </w:t>
      </w:r>
      <w:r w:rsidR="00A74672">
        <w:t xml:space="preserve">to wield </w:t>
      </w:r>
      <w:r>
        <w:t>‘lies in her frivolous, deceitful character’.</w:t>
      </w:r>
      <w:r>
        <w:rPr>
          <w:rStyle w:val="FootnoteReference"/>
        </w:rPr>
        <w:footnoteReference w:id="4"/>
      </w:r>
      <w:r>
        <w:t xml:space="preserve"> But as an audience, we tend to dismiss people who embody frivolity – </w:t>
      </w:r>
      <w:r w:rsidR="00D47DCB">
        <w:t xml:space="preserve">and use the term </w:t>
      </w:r>
      <w:r>
        <w:t>almost exclusive</w:t>
      </w:r>
      <w:r w:rsidR="00D47DCB">
        <w:t xml:space="preserve">ly </w:t>
      </w:r>
      <w:proofErr w:type="gramStart"/>
      <w:r w:rsidR="00D47DCB">
        <w:t>in regard</w:t>
      </w:r>
      <w:r>
        <w:t xml:space="preserve"> to</w:t>
      </w:r>
      <w:proofErr w:type="gramEnd"/>
      <w:r>
        <w:t xml:space="preserve"> females – and do not expect women described in such a way to have power of any kind of consequence. It could be argued that </w:t>
      </w:r>
      <w:r w:rsidR="00D47DCB">
        <w:t>Aphrodite’s</w:t>
      </w:r>
      <w:r>
        <w:t xml:space="preserve"> frivolous behaviour is </w:t>
      </w:r>
      <w:proofErr w:type="gramStart"/>
      <w:r>
        <w:t>actually what</w:t>
      </w:r>
      <w:proofErr w:type="gramEnd"/>
      <w:r>
        <w:t xml:space="preserve"> allows her to deceive </w:t>
      </w:r>
      <w:r w:rsidR="00D47DCB">
        <w:t>others</w:t>
      </w:r>
      <w:r>
        <w:t xml:space="preserve">; </w:t>
      </w:r>
      <w:r w:rsidR="00970211">
        <w:t>certainly,</w:t>
      </w:r>
      <w:r>
        <w:t xml:space="preserve"> she is easily</w:t>
      </w:r>
      <w:r w:rsidR="00D47DCB">
        <w:t xml:space="preserve"> and unfairly</w:t>
      </w:r>
      <w:r>
        <w:t xml:space="preserve"> dismissed as amoral and unworthy by the title character in Euripides’ </w:t>
      </w:r>
      <w:r>
        <w:rPr>
          <w:i/>
        </w:rPr>
        <w:t>Hippolytus</w:t>
      </w:r>
      <w:r w:rsidR="009E6E3F">
        <w:rPr>
          <w:i/>
        </w:rPr>
        <w:t xml:space="preserve">: </w:t>
      </w:r>
      <w:r w:rsidR="009E6E3F">
        <w:t>‘I have no liking for a god worshipped at night … your Aphrodite? No! To me she means nothing’,</w:t>
      </w:r>
      <w:r w:rsidR="009E6E3F">
        <w:rPr>
          <w:rStyle w:val="FootnoteReference"/>
        </w:rPr>
        <w:footnoteReference w:id="5"/>
      </w:r>
      <w:r>
        <w:rPr>
          <w:i/>
        </w:rPr>
        <w:t xml:space="preserve"> </w:t>
      </w:r>
      <w:r w:rsidR="00B41201">
        <w:t xml:space="preserve">who </w:t>
      </w:r>
      <w:r>
        <w:t xml:space="preserve">apparently did not expect there to be any ramifications for his </w:t>
      </w:r>
      <w:r w:rsidR="00DC1FDE">
        <w:t>blatant</w:t>
      </w:r>
      <w:r>
        <w:t xml:space="preserve"> disrespect and unkindness.</w:t>
      </w:r>
      <w:r w:rsidR="007971EB">
        <w:t xml:space="preserve"> But his blasé and dismissive attitude toward her and his refusal to respect her as he does his virgin goddess Artemis, </w:t>
      </w:r>
      <w:r w:rsidR="00DC1FDE">
        <w:t xml:space="preserve">is arguably </w:t>
      </w:r>
      <w:r w:rsidR="007971EB">
        <w:t>the main component in his ultimate death.</w:t>
      </w:r>
    </w:p>
    <w:p w14:paraId="49CDDB05" w14:textId="23D54EC8" w:rsidR="00E17FCB" w:rsidRDefault="00A74672" w:rsidP="00B76A78">
      <w:pPr>
        <w:spacing w:line="480" w:lineRule="auto"/>
      </w:pPr>
      <w:r>
        <w:lastRenderedPageBreak/>
        <w:t xml:space="preserve">This raises the question of virgin versus non-virgin goddesses, and again </w:t>
      </w:r>
      <w:proofErr w:type="gramStart"/>
      <w:r>
        <w:t>whether or not</w:t>
      </w:r>
      <w:proofErr w:type="gramEnd"/>
      <w:r>
        <w:t xml:space="preserve"> Aphrodite’s ‘promiscuity’ and beauty – the very essence of her autonomy and control, is actually the reason she is overlooked.</w:t>
      </w:r>
    </w:p>
    <w:p w14:paraId="49F4AC63" w14:textId="77777777" w:rsidR="00A74672" w:rsidRDefault="00A74672" w:rsidP="00B76A78">
      <w:pPr>
        <w:spacing w:line="480" w:lineRule="auto"/>
      </w:pPr>
    </w:p>
    <w:p w14:paraId="093413B8" w14:textId="50ED22F0" w:rsidR="00A74672" w:rsidRPr="00CF3778" w:rsidRDefault="00A74672" w:rsidP="00B76A78">
      <w:pPr>
        <w:pStyle w:val="Heading2"/>
        <w:spacing w:line="480" w:lineRule="auto"/>
        <w:rPr>
          <w:rFonts w:ascii="Times New Roman" w:hAnsi="Times New Roman" w:cs="Times New Roman"/>
          <w:color w:val="auto"/>
        </w:rPr>
      </w:pPr>
      <w:bookmarkStart w:id="2" w:name="_Toc513681257"/>
      <w:r w:rsidRPr="00CF3778">
        <w:rPr>
          <w:rFonts w:ascii="Times New Roman" w:hAnsi="Times New Roman" w:cs="Times New Roman"/>
          <w:color w:val="auto"/>
        </w:rPr>
        <w:t>Methodology</w:t>
      </w:r>
      <w:bookmarkEnd w:id="2"/>
    </w:p>
    <w:p w14:paraId="6C932517" w14:textId="0A7899C2" w:rsidR="0031235B" w:rsidRPr="00DC1FDE" w:rsidRDefault="007971EB" w:rsidP="00B76A78">
      <w:pPr>
        <w:spacing w:line="480" w:lineRule="auto"/>
        <w:ind w:firstLine="720"/>
      </w:pPr>
      <w:r>
        <w:t xml:space="preserve">Aphrodite is central to much of the narrative in the </w:t>
      </w:r>
      <w:r>
        <w:rPr>
          <w:i/>
        </w:rPr>
        <w:t xml:space="preserve">Iliad, </w:t>
      </w:r>
      <w:r>
        <w:t>and</w:t>
      </w:r>
      <w:r w:rsidR="00346E8C">
        <w:t xml:space="preserve"> in it</w:t>
      </w:r>
      <w:r>
        <w:t xml:space="preserve"> there is a very clear binary representing gods versus men, and war gods versus non-war gods, particularly there is a lot of internal fighting between Hera and Athena, </w:t>
      </w:r>
      <w:r w:rsidR="00DC1FDE">
        <w:t xml:space="preserve">versus </w:t>
      </w:r>
      <w:r>
        <w:t>Aphrodite.</w:t>
      </w:r>
      <w:r w:rsidR="00DC1FDE">
        <w:t xml:space="preserve"> Unlike Euripides’ </w:t>
      </w:r>
      <w:r w:rsidR="00DC1FDE">
        <w:rPr>
          <w:i/>
        </w:rPr>
        <w:t xml:space="preserve">Hippolytus, </w:t>
      </w:r>
      <w:r w:rsidR="00DC1FDE">
        <w:t xml:space="preserve">Aphrodite’s competition and mutual animosity with other goddesses in the </w:t>
      </w:r>
      <w:proofErr w:type="gramStart"/>
      <w:r w:rsidR="00DC1FDE">
        <w:rPr>
          <w:i/>
        </w:rPr>
        <w:t xml:space="preserve">Iliad </w:t>
      </w:r>
      <w:r w:rsidR="00DC1FDE">
        <w:t xml:space="preserve"> is</w:t>
      </w:r>
      <w:proofErr w:type="gramEnd"/>
      <w:r w:rsidR="00DC1FDE">
        <w:t xml:space="preserve"> not born from a virgin/non-virgin moral standpoint, but perhaps from a war</w:t>
      </w:r>
      <w:r w:rsidR="003C59D8">
        <w:t>/non-war deity, and political standpoint.</w:t>
      </w:r>
    </w:p>
    <w:p w14:paraId="389DBE1B" w14:textId="4330A3A5" w:rsidR="006A4F6F" w:rsidRDefault="007971EB" w:rsidP="0031235B">
      <w:pPr>
        <w:spacing w:line="480" w:lineRule="auto"/>
      </w:pPr>
      <w:r>
        <w:t>‘Warfare is not for you, child. Lend yourself to sighs of longing and the marriage bed. Let Ares and Athena deal with war’,</w:t>
      </w:r>
      <w:r>
        <w:rPr>
          <w:rStyle w:val="FootnoteReference"/>
        </w:rPr>
        <w:footnoteReference w:id="6"/>
      </w:r>
      <w:r w:rsidR="00346E8C">
        <w:t xml:space="preserve"> Aphrodite is told by Zeus after she is injured by Diomedes on the battlefield, further demonstrating that although she is the only god</w:t>
      </w:r>
      <w:r w:rsidR="00090340">
        <w:t>dess who gets physically involved in the battles</w:t>
      </w:r>
      <w:r w:rsidR="000A6143">
        <w:t xml:space="preserve"> for a variety of reasons</w:t>
      </w:r>
      <w:r w:rsidR="006A4F6F">
        <w:t>,</w:t>
      </w:r>
      <w:r w:rsidR="006A4F6F">
        <w:rPr>
          <w:rStyle w:val="FootnoteReference"/>
        </w:rPr>
        <w:footnoteReference w:id="7"/>
      </w:r>
      <w:r w:rsidR="006A4F6F">
        <w:t xml:space="preserve"> she is still seen </w:t>
      </w:r>
      <w:r w:rsidR="005D72C7">
        <w:t xml:space="preserve">in the epic </w:t>
      </w:r>
      <w:r w:rsidR="006A4F6F">
        <w:t>to be incapable of seeing to anything but ‘sighs of longing and the marriage bed’</w:t>
      </w:r>
      <w:r w:rsidR="005D72C7">
        <w:t xml:space="preserve">, whereas an audience today might see her in a different light: as a capable mother, a powerful woman who is willing to physically intervene in battles and risk harm to herself to </w:t>
      </w:r>
      <w:r w:rsidR="003C59D8">
        <w:t>contribute to the efforts to achieve</w:t>
      </w:r>
      <w:r w:rsidR="005D72C7">
        <w:t xml:space="preserve"> the results that she wants.</w:t>
      </w:r>
    </w:p>
    <w:p w14:paraId="01682B4B" w14:textId="7737A4E0" w:rsidR="00C83875" w:rsidRPr="008B645A" w:rsidRDefault="00C83875" w:rsidP="0031235B">
      <w:pPr>
        <w:spacing w:line="480" w:lineRule="auto"/>
      </w:pPr>
      <w:r w:rsidRPr="00C83875">
        <w:t xml:space="preserve">In the </w:t>
      </w:r>
      <w:r w:rsidRPr="00C83875">
        <w:rPr>
          <w:i/>
        </w:rPr>
        <w:t xml:space="preserve">Theogony, </w:t>
      </w:r>
      <w:r w:rsidRPr="00C83875">
        <w:t>the birth of Aphrodite is detailed</w:t>
      </w:r>
      <w:r w:rsidRPr="00C83875">
        <w:rPr>
          <w:rStyle w:val="FootnoteReference"/>
        </w:rPr>
        <w:footnoteReference w:id="8"/>
      </w:r>
      <w:r w:rsidRPr="00C83875">
        <w:t xml:space="preserve"> and </w:t>
      </w:r>
      <w:r w:rsidR="00E30962">
        <w:t>it</w:t>
      </w:r>
      <w:r w:rsidRPr="00C83875">
        <w:t xml:space="preserve"> is important to the subject and purpose of this paper to examine Hesiod’s version of the birth in the </w:t>
      </w:r>
      <w:r w:rsidRPr="00C83875">
        <w:rPr>
          <w:i/>
        </w:rPr>
        <w:t>Theogony</w:t>
      </w:r>
      <w:r w:rsidRPr="00C83875">
        <w:t>, in comparison to Aphrodite’s Iliadic parentage</w:t>
      </w:r>
      <w:r>
        <w:t xml:space="preserve">, and to examine the reasons for which Hesiod </w:t>
      </w:r>
      <w:r>
        <w:lastRenderedPageBreak/>
        <w:t>might have made these changes</w:t>
      </w:r>
      <w:r w:rsidRPr="00C83875">
        <w:t>. The fact that she is born from severed genitals and the sea foam</w:t>
      </w:r>
      <w:r>
        <w:t xml:space="preserve">, and that Hesiod spends so much time </w:t>
      </w:r>
      <w:proofErr w:type="gramStart"/>
      <w:r>
        <w:t xml:space="preserve">actually </w:t>
      </w:r>
      <w:r>
        <w:rPr>
          <w:i/>
        </w:rPr>
        <w:t>detailing</w:t>
      </w:r>
      <w:proofErr w:type="gramEnd"/>
      <w:r>
        <w:rPr>
          <w:i/>
        </w:rPr>
        <w:t xml:space="preserve"> </w:t>
      </w:r>
      <w:r>
        <w:t>her birth</w:t>
      </w:r>
      <w:r w:rsidRPr="00C83875">
        <w:t xml:space="preserve"> in the </w:t>
      </w:r>
      <w:r w:rsidRPr="00C83875">
        <w:rPr>
          <w:i/>
        </w:rPr>
        <w:t xml:space="preserve">Theogony </w:t>
      </w:r>
      <w:r w:rsidRPr="00C83875">
        <w:t>is</w:t>
      </w:r>
      <w:r>
        <w:t xml:space="preserve"> interesting, especially when considered that no other deity is given the same kind of lengthy, detailed discussion</w:t>
      </w:r>
      <w:r w:rsidR="008B645A">
        <w:t xml:space="preserve"> in the text</w:t>
      </w:r>
      <w:r>
        <w:t>. The importance placed upon and the changes made to the myth of her birth</w:t>
      </w:r>
      <w:r w:rsidR="00E30962">
        <w:t xml:space="preserve"> and the inclusion of genitals</w:t>
      </w:r>
      <w:r>
        <w:t xml:space="preserve"> is</w:t>
      </w:r>
      <w:r w:rsidRPr="00C83875">
        <w:t xml:space="preserve"> </w:t>
      </w:r>
      <w:r>
        <w:t>apt</w:t>
      </w:r>
      <w:r w:rsidR="008B645A">
        <w:t>, considering</w:t>
      </w:r>
      <w:r>
        <w:t xml:space="preserve"> her role as the goddess of love</w:t>
      </w:r>
      <w:r w:rsidR="008B645A">
        <w:t>,</w:t>
      </w:r>
      <w:r>
        <w:t xml:space="preserve"> and her</w:t>
      </w:r>
      <w:r w:rsidR="008B645A">
        <w:t xml:space="preserve"> extremely</w:t>
      </w:r>
      <w:r>
        <w:t xml:space="preserve"> close involvement in childbirth in the narrative</w:t>
      </w:r>
      <w:r w:rsidR="008B645A">
        <w:t>. This</w:t>
      </w:r>
      <w:r>
        <w:t xml:space="preserve"> role that she plays in childbirth </w:t>
      </w:r>
      <w:r w:rsidR="008B645A">
        <w:t xml:space="preserve">in the </w:t>
      </w:r>
      <w:r w:rsidR="008B645A">
        <w:rPr>
          <w:i/>
        </w:rPr>
        <w:t xml:space="preserve">Theogony </w:t>
      </w:r>
      <w:r w:rsidR="008B645A">
        <w:t xml:space="preserve">is arguably how her power of sexuality is manifested for display and discussion. The </w:t>
      </w:r>
      <w:r w:rsidR="008B645A">
        <w:rPr>
          <w:i/>
        </w:rPr>
        <w:t xml:space="preserve">Theogony </w:t>
      </w:r>
      <w:r w:rsidR="008B645A">
        <w:t>offers the audience a portrayal of Aphrodite and her relationship with sexuality and femininity in an entirely new light, and it is for these reasons it has been chosen for analysis in this paper.</w:t>
      </w:r>
    </w:p>
    <w:p w14:paraId="1E777E87" w14:textId="192DF0F4" w:rsidR="00C83875" w:rsidRPr="00C43329" w:rsidRDefault="005D72C7" w:rsidP="00B76A78">
      <w:pPr>
        <w:spacing w:line="480" w:lineRule="auto"/>
      </w:pPr>
      <w:r w:rsidRPr="00C43329">
        <w:t xml:space="preserve">The </w:t>
      </w:r>
      <w:r w:rsidRPr="00C43329">
        <w:rPr>
          <w:i/>
        </w:rPr>
        <w:t xml:space="preserve">Homeric Hymns, </w:t>
      </w:r>
      <w:r w:rsidRPr="00C43329">
        <w:t xml:space="preserve">while different in structure to the two epics examined here, are extremely helpful in providing information that demonstrates the ways in which Aphrodite </w:t>
      </w:r>
      <w:r w:rsidR="004904E3" w:rsidRPr="00C43329">
        <w:t>i</w:t>
      </w:r>
      <w:r w:rsidRPr="00C43329">
        <w:t>s perceived.</w:t>
      </w:r>
      <w:r w:rsidR="004904E3" w:rsidRPr="00C43329">
        <w:t xml:space="preserve"> For brevity and the opportunity for detail, only </w:t>
      </w:r>
      <w:r w:rsidR="004904E3" w:rsidRPr="00C43329">
        <w:rPr>
          <w:i/>
        </w:rPr>
        <w:t xml:space="preserve">Hymn 5 </w:t>
      </w:r>
      <w:r w:rsidR="004904E3" w:rsidRPr="00C43329">
        <w:t>will be discussed.</w:t>
      </w:r>
      <w:r w:rsidR="00C43329">
        <w:t xml:space="preserve"> It is the </w:t>
      </w:r>
      <w:r w:rsidR="00C43329">
        <w:rPr>
          <w:i/>
        </w:rPr>
        <w:t xml:space="preserve">Hymn </w:t>
      </w:r>
      <w:r w:rsidR="00C43329">
        <w:t xml:space="preserve">in which the usual dynamics between Aphrodite and her ‘victims’ </w:t>
      </w:r>
      <w:r w:rsidR="000C5911">
        <w:t xml:space="preserve">are reversed, and Zeus causes her to fall in love with a mortal man </w:t>
      </w:r>
      <w:proofErr w:type="gramStart"/>
      <w:r w:rsidR="000C5911">
        <w:t>in order to</w:t>
      </w:r>
      <w:proofErr w:type="gramEnd"/>
      <w:r w:rsidR="000C5911">
        <w:t xml:space="preserve"> </w:t>
      </w:r>
      <w:r w:rsidR="008151B1">
        <w:t xml:space="preserve">take away her ability to brag </w:t>
      </w:r>
      <w:r w:rsidR="000C5911">
        <w:t xml:space="preserve">that she is one of the only deities who is exempt from her own influence. The shift in dynamics throws her powers of seduction into a new and different </w:t>
      </w:r>
      <w:r w:rsidR="00970211">
        <w:t>light and</w:t>
      </w:r>
      <w:r w:rsidR="000C5911">
        <w:t xml:space="preserve"> allows us to examine it from a slightly different angle and question whether it becomes inherently different when a male is the one who is influencing and coercing a female into falling in love.</w:t>
      </w:r>
    </w:p>
    <w:p w14:paraId="0CD7B828" w14:textId="23B3B0CC" w:rsidR="005D72C7" w:rsidRPr="00011634" w:rsidRDefault="005D72C7" w:rsidP="00B76A78">
      <w:pPr>
        <w:spacing w:line="480" w:lineRule="auto"/>
      </w:pPr>
      <w:r w:rsidRPr="00011634">
        <w:t xml:space="preserve">Euripides’ version of Aphrodite in </w:t>
      </w:r>
      <w:r w:rsidRPr="00011634">
        <w:rPr>
          <w:i/>
        </w:rPr>
        <w:t xml:space="preserve">Hippolytus </w:t>
      </w:r>
      <w:r w:rsidRPr="00011634">
        <w:t>is perhaps the most interesting</w:t>
      </w:r>
      <w:r w:rsidR="00970211">
        <w:t xml:space="preserve"> out of the selection of texts</w:t>
      </w:r>
      <w:r w:rsidRPr="00011634">
        <w:t xml:space="preserve"> – she is </w:t>
      </w:r>
      <w:proofErr w:type="gramStart"/>
      <w:r w:rsidRPr="00011634">
        <w:t>absolutely integral</w:t>
      </w:r>
      <w:proofErr w:type="gramEnd"/>
      <w:r w:rsidRPr="00011634">
        <w:t xml:space="preserve"> to the plot and is almost an anti-woman, </w:t>
      </w:r>
      <w:r w:rsidR="00A74672" w:rsidRPr="00011634">
        <w:t xml:space="preserve">reacting harshly, deviously, and violently when she is </w:t>
      </w:r>
      <w:r w:rsidR="00970211" w:rsidRPr="00011634">
        <w:t>challenged,</w:t>
      </w:r>
      <w:r w:rsidR="00A74672" w:rsidRPr="00011634">
        <w:t xml:space="preserve"> and</w:t>
      </w:r>
      <w:r w:rsidR="00970211">
        <w:t xml:space="preserve"> when</w:t>
      </w:r>
      <w:r w:rsidR="00A74672" w:rsidRPr="00011634">
        <w:t xml:space="preserve"> her honour is questioned.</w:t>
      </w:r>
      <w:r w:rsidR="00970211">
        <w:t xml:space="preserve"> Here she displays traits that are essentially the opposite of what an audience expects of somebody who is supposed to embody</w:t>
      </w:r>
      <w:r w:rsidR="005920D3">
        <w:t xml:space="preserve"> ‘femininity’ in the sense of sensual love, seduction, and beauty.</w:t>
      </w:r>
    </w:p>
    <w:p w14:paraId="332EED1E" w14:textId="39E78C3B" w:rsidR="004904E3" w:rsidRDefault="009E3EE9" w:rsidP="00B76A78">
      <w:pPr>
        <w:spacing w:line="480" w:lineRule="auto"/>
      </w:pPr>
      <w:r>
        <w:lastRenderedPageBreak/>
        <w:t xml:space="preserve">Aphrodite is presented in many texts, but there is a surprising lack of scholarship to be found on her, especially on the way she wields her sexuality in much the same ways that Zeus wields his wrath, </w:t>
      </w:r>
      <w:proofErr w:type="gramStart"/>
      <w:r>
        <w:t>in an attempt to</w:t>
      </w:r>
      <w:proofErr w:type="gramEnd"/>
      <w:r>
        <w:t xml:space="preserve"> command the same level of respect that Artemis does, for example.</w:t>
      </w:r>
    </w:p>
    <w:p w14:paraId="02FB8496" w14:textId="38CD4AA3" w:rsidR="009E3EE9" w:rsidRPr="004904E3" w:rsidRDefault="009E3EE9" w:rsidP="00B76A78">
      <w:pPr>
        <w:spacing w:line="480" w:lineRule="auto"/>
      </w:pPr>
      <w:r>
        <w:t xml:space="preserve">It is the hope that this dissertation might illuminate the need for more </w:t>
      </w:r>
      <w:r w:rsidR="00173AF1">
        <w:t>analysis</w:t>
      </w:r>
      <w:r>
        <w:t xml:space="preserve"> on the goddess and encourage sorely needed discussion</w:t>
      </w:r>
      <w:r w:rsidR="00CA2295">
        <w:t xml:space="preserve"> about what the representation and reception of this overtly feminine character says about the people receiving it: ‘the fact that modern women are frustrated by being forced to choose between being an Athena – an intellectual, asexual career woman – or an Aphrodite – a frivolous sex object – or a respectable wife-mother like Hera shows that the Greek goddesses continue to be archetypes </w:t>
      </w:r>
      <w:r w:rsidR="00173AF1">
        <w:t>of human existence’.</w:t>
      </w:r>
      <w:r w:rsidR="00173AF1">
        <w:rPr>
          <w:rStyle w:val="FootnoteReference"/>
        </w:rPr>
        <w:footnoteReference w:id="9"/>
      </w:r>
    </w:p>
    <w:p w14:paraId="2AA22814" w14:textId="2FD5D01D" w:rsidR="00873C1F" w:rsidRPr="00C003B9" w:rsidRDefault="00873C1F" w:rsidP="00B76A78">
      <w:pPr>
        <w:spacing w:line="480" w:lineRule="auto"/>
      </w:pPr>
      <w:r w:rsidRPr="00873C1F">
        <w:br w:type="page"/>
      </w:r>
    </w:p>
    <w:p w14:paraId="47FC9E98" w14:textId="073421A1" w:rsidR="00873C1F" w:rsidRPr="00CF3778" w:rsidRDefault="00873C1F" w:rsidP="00A06A6B">
      <w:pPr>
        <w:pStyle w:val="Heading1"/>
        <w:numPr>
          <w:ilvl w:val="0"/>
          <w:numId w:val="6"/>
        </w:numPr>
        <w:rPr>
          <w:rFonts w:ascii="Times New Roman" w:hAnsi="Times New Roman" w:cs="Times New Roman"/>
          <w:i/>
          <w:color w:val="auto"/>
        </w:rPr>
      </w:pPr>
      <w:bookmarkStart w:id="3" w:name="_Toc513681258"/>
      <w:r w:rsidRPr="00CF3778">
        <w:rPr>
          <w:rFonts w:ascii="Times New Roman" w:hAnsi="Times New Roman" w:cs="Times New Roman"/>
          <w:color w:val="auto"/>
        </w:rPr>
        <w:lastRenderedPageBreak/>
        <w:t xml:space="preserve">Aphrodite in Homer’s </w:t>
      </w:r>
      <w:r w:rsidRPr="00CF3778">
        <w:rPr>
          <w:rFonts w:ascii="Times New Roman" w:hAnsi="Times New Roman" w:cs="Times New Roman"/>
          <w:i/>
          <w:color w:val="auto"/>
        </w:rPr>
        <w:t>Iliad</w:t>
      </w:r>
      <w:bookmarkEnd w:id="3"/>
    </w:p>
    <w:p w14:paraId="181F3AB0" w14:textId="77777777" w:rsidR="004A3961" w:rsidRDefault="004A3961"/>
    <w:p w14:paraId="0305B5FE" w14:textId="0F4F6FF4" w:rsidR="00424F61" w:rsidRDefault="00424F61" w:rsidP="00424F61">
      <w:pPr>
        <w:spacing w:line="480" w:lineRule="auto"/>
        <w:ind w:firstLine="720"/>
      </w:pPr>
      <w:r>
        <w:t xml:space="preserve">According to Brown, ‘our understanding of the relationship between </w:t>
      </w:r>
      <w:proofErr w:type="spellStart"/>
      <w:r>
        <w:t>erotics</w:t>
      </w:r>
      <w:proofErr w:type="spellEnd"/>
      <w:r>
        <w:t xml:space="preserve"> and economics in the Archaic Greek mind can be further enhanced by concentrating on the symbolic importance of gold, the prime indicator of the economic power, as the metal of Aphrodite, and hence the focus of sexual allure’.</w:t>
      </w:r>
      <w:r>
        <w:rPr>
          <w:rStyle w:val="FootnoteReference"/>
        </w:rPr>
        <w:footnoteReference w:id="10"/>
      </w:r>
      <w:r>
        <w:t xml:space="preserve"> Brown also believes that Homer gives ‘expression to a network of interrelated sexual and economic anxieties that seem to underlie a great deal of what the Archaic poets say about the female sex’,</w:t>
      </w:r>
      <w:r>
        <w:rPr>
          <w:rStyle w:val="FootnoteReference"/>
        </w:rPr>
        <w:footnoteReference w:id="11"/>
      </w:r>
      <w:r>
        <w:t xml:space="preserve"> and </w:t>
      </w:r>
      <w:r w:rsidR="00863FE8">
        <w:t xml:space="preserve">undoubtably </w:t>
      </w:r>
      <w:r>
        <w:t xml:space="preserve"> the best </w:t>
      </w:r>
      <w:r w:rsidR="008D7CB2">
        <w:t>figure</w:t>
      </w:r>
      <w:r>
        <w:t xml:space="preserve"> to look at in terms of representation of the female sex in Homer, is Aphrodite herself.</w:t>
      </w:r>
    </w:p>
    <w:p w14:paraId="0CC01B5A" w14:textId="77777777" w:rsidR="00863FE8" w:rsidRDefault="00855863" w:rsidP="00581E8E">
      <w:pPr>
        <w:spacing w:line="480" w:lineRule="auto"/>
      </w:pPr>
      <w:r>
        <w:t xml:space="preserve">Homer’s </w:t>
      </w:r>
      <w:r>
        <w:rPr>
          <w:i/>
        </w:rPr>
        <w:t xml:space="preserve">Iliad </w:t>
      </w:r>
      <w:r>
        <w:t>was written somewhere between 750 and 725 B.C.,</w:t>
      </w:r>
      <w:r>
        <w:rPr>
          <w:rStyle w:val="FootnoteReference"/>
        </w:rPr>
        <w:footnoteReference w:id="12"/>
      </w:r>
      <w:r>
        <w:t xml:space="preserve"> </w:t>
      </w:r>
      <w:r w:rsidR="0024047B">
        <w:t xml:space="preserve">and is the ‘tale of a few days’ fighting in the tenth year of the Trojan War, when the Greeks – Homer knew them as </w:t>
      </w:r>
      <w:proofErr w:type="spellStart"/>
      <w:r w:rsidR="0024047B">
        <w:t>Achaens</w:t>
      </w:r>
      <w:proofErr w:type="spellEnd"/>
      <w:r w:rsidR="0024047B">
        <w:t xml:space="preserve"> or Argives or </w:t>
      </w:r>
      <w:proofErr w:type="spellStart"/>
      <w:r w:rsidR="0024047B">
        <w:t>Danaans</w:t>
      </w:r>
      <w:proofErr w:type="spellEnd"/>
      <w:r w:rsidR="0024047B">
        <w:t xml:space="preserve"> – had sailed across the Aegean to win back Helen and humble the great fortress-city of King Priam’.</w:t>
      </w:r>
      <w:r w:rsidR="0024047B">
        <w:rPr>
          <w:rStyle w:val="FootnoteReference"/>
        </w:rPr>
        <w:footnoteReference w:id="13"/>
      </w:r>
    </w:p>
    <w:p w14:paraId="0D7F075F" w14:textId="77777777" w:rsidR="00863FE8" w:rsidRDefault="002A122D" w:rsidP="00581E8E">
      <w:pPr>
        <w:spacing w:line="480" w:lineRule="auto"/>
      </w:pPr>
      <w:r>
        <w:t xml:space="preserve">‘Outside of the text of the </w:t>
      </w:r>
      <w:r>
        <w:rPr>
          <w:i/>
        </w:rPr>
        <w:t xml:space="preserve">Iliad, </w:t>
      </w:r>
      <w:r>
        <w:t>stories are told which make Helen herself the gift of Aphrodite to Paris: The Judgment of Paris, as a result of which Aphrodite arranges for him to have Helen as his wife’</w:t>
      </w:r>
      <w:r>
        <w:rPr>
          <w:rStyle w:val="FootnoteReference"/>
        </w:rPr>
        <w:footnoteReference w:id="14"/>
      </w:r>
      <w:r>
        <w:t xml:space="preserve"> </w:t>
      </w:r>
      <w:r w:rsidR="00581E8E">
        <w:t>Since the narrative</w:t>
      </w:r>
      <w:r w:rsidR="00863FE8">
        <w:t xml:space="preserve"> of the </w:t>
      </w:r>
      <w:r w:rsidR="00863FE8">
        <w:rPr>
          <w:i/>
        </w:rPr>
        <w:t xml:space="preserve">Iliad </w:t>
      </w:r>
      <w:r w:rsidR="00581E8E">
        <w:t xml:space="preserve"> begins during the tenth year of the Trojan War, there is very scarce mention of Aphrodite’s involvement</w:t>
      </w:r>
      <w:r>
        <w:t xml:space="preserve"> in the Judgment of Paris and the subsequent break out of the wa</w:t>
      </w:r>
      <w:r w:rsidR="00581E8E">
        <w:t xml:space="preserve">r, except for a brief allusion in book twenty-four: ‘the day when </w:t>
      </w:r>
      <w:proofErr w:type="spellStart"/>
      <w:r w:rsidR="00581E8E">
        <w:t>Alexandrus</w:t>
      </w:r>
      <w:proofErr w:type="spellEnd"/>
      <w:r w:rsidR="00581E8E">
        <w:t xml:space="preserve"> made his mad choice and piqued two goddesses, visitors in his sheep-fold: for he praised a third, who offered ruinous lust’.</w:t>
      </w:r>
      <w:r w:rsidR="00581E8E">
        <w:rPr>
          <w:rStyle w:val="FootnoteReference"/>
        </w:rPr>
        <w:footnoteReference w:id="15"/>
      </w:r>
      <w:r w:rsidR="00581E8E">
        <w:t xml:space="preserve"> The goddess who he praised as </w:t>
      </w:r>
      <w:r w:rsidR="00581E8E">
        <w:lastRenderedPageBreak/>
        <w:t>the most beautiful was, of course, Aphrodite, and the two he provoked by making this decision were Hera and Athena</w:t>
      </w:r>
      <w:r w:rsidR="00C05EEF" w:rsidRPr="00C05EEF">
        <w:t>.</w:t>
      </w:r>
      <w:r w:rsidR="00C05EEF">
        <w:rPr>
          <w:rStyle w:val="FootnoteReference"/>
        </w:rPr>
        <w:footnoteReference w:id="16"/>
      </w:r>
    </w:p>
    <w:p w14:paraId="5FC16A5C" w14:textId="77777777" w:rsidR="00863FE8" w:rsidRDefault="00581E8E" w:rsidP="00581E8E">
      <w:pPr>
        <w:spacing w:line="480" w:lineRule="auto"/>
      </w:pPr>
      <w:r>
        <w:t xml:space="preserve">Although the consequences of </w:t>
      </w:r>
      <w:r w:rsidR="00863FE8">
        <w:t>Paris’</w:t>
      </w:r>
      <w:r>
        <w:t xml:space="preserve"> choice – especially the resulting animosity between Hera, Athena, and Aphrodite throughout the </w:t>
      </w:r>
      <w:r>
        <w:rPr>
          <w:i/>
        </w:rPr>
        <w:t>Iliad</w:t>
      </w:r>
      <w:r>
        <w:t xml:space="preserve"> – are clearly driving forces behind m</w:t>
      </w:r>
      <w:r w:rsidR="00785EAE">
        <w:t>any</w:t>
      </w:r>
      <w:r>
        <w:t xml:space="preserve"> of Aphrodite’s appearances during the narrative, that is the only time Homer mentions the </w:t>
      </w:r>
      <w:r w:rsidR="00862EA6">
        <w:t>catalyst of the war</w:t>
      </w:r>
      <w:r>
        <w:t>.</w:t>
      </w:r>
    </w:p>
    <w:p w14:paraId="530D334F" w14:textId="62793A60" w:rsidR="00855863" w:rsidRDefault="00785EAE" w:rsidP="00581E8E">
      <w:pPr>
        <w:spacing w:line="480" w:lineRule="auto"/>
        <w:rPr>
          <w:i/>
        </w:rPr>
      </w:pPr>
      <w:r>
        <w:t>To build a better picture of the Judgment</w:t>
      </w:r>
      <w:r w:rsidR="00C05EEF">
        <w:t xml:space="preserve">, </w:t>
      </w:r>
      <w:r>
        <w:t xml:space="preserve">one must look </w:t>
      </w:r>
      <w:r w:rsidR="008D3C11">
        <w:t xml:space="preserve">to </w:t>
      </w:r>
      <w:r w:rsidR="00C05EEF">
        <w:t>Ovid’s</w:t>
      </w:r>
      <w:r w:rsidR="008D3C11">
        <w:t xml:space="preserve"> </w:t>
      </w:r>
      <w:proofErr w:type="spellStart"/>
      <w:r w:rsidR="008D3C11">
        <w:rPr>
          <w:i/>
        </w:rPr>
        <w:t>Heroide</w:t>
      </w:r>
      <w:r w:rsidR="00C05EEF">
        <w:rPr>
          <w:i/>
        </w:rPr>
        <w:t>s</w:t>
      </w:r>
      <w:proofErr w:type="spellEnd"/>
      <w:r w:rsidR="00C05EEF">
        <w:rPr>
          <w:i/>
        </w:rPr>
        <w:t>:</w:t>
      </w:r>
    </w:p>
    <w:p w14:paraId="15EB419D" w14:textId="0816DACD" w:rsidR="00C05EEF" w:rsidRDefault="00C05EEF" w:rsidP="00C05EEF">
      <w:pPr>
        <w:spacing w:line="480" w:lineRule="auto"/>
        <w:ind w:left="720"/>
        <w:rPr>
          <w:i/>
        </w:rPr>
      </w:pPr>
      <w:r w:rsidRPr="00C05EEF">
        <w:rPr>
          <w:i/>
        </w:rPr>
        <w:t>You</w:t>
      </w:r>
      <w:r>
        <w:rPr>
          <w:i/>
        </w:rPr>
        <w:t xml:space="preserve"> [Paris]</w:t>
      </w:r>
      <w:r w:rsidRPr="00C05EEF">
        <w:rPr>
          <w:i/>
        </w:rPr>
        <w:t xml:space="preserve"> say Venus gave her word for this; and that in the vales of Ida three goddesses presented themselves unclad before you; and that when one of them would give you a throne, and the second glory in war, the third said: “The daughter of Tyndareus shall be your bride!”</w:t>
      </w:r>
      <w:r>
        <w:rPr>
          <w:rStyle w:val="FootnoteReference"/>
          <w:i/>
        </w:rPr>
        <w:footnoteReference w:id="17"/>
      </w:r>
    </w:p>
    <w:p w14:paraId="6AE7117B" w14:textId="77777777" w:rsidR="00734CB6" w:rsidRDefault="002A122D" w:rsidP="00581E8E">
      <w:pPr>
        <w:spacing w:line="480" w:lineRule="auto"/>
      </w:pPr>
      <w:r>
        <w:t>There is a lot to be said here about Aphrodite’s involvement, and her power</w:t>
      </w:r>
      <w:r w:rsidR="00D042E8">
        <w:t xml:space="preserve"> –</w:t>
      </w:r>
      <w:r w:rsidR="00995010" w:rsidRPr="00995010">
        <w:t xml:space="preserve"> </w:t>
      </w:r>
      <w:r w:rsidR="00792FE3">
        <w:t>even though there are many people who blame her and Helen for the outbreak of the war</w:t>
      </w:r>
      <w:r w:rsidR="00995010">
        <w:t>.</w:t>
      </w:r>
      <w:r w:rsidR="00995010">
        <w:rPr>
          <w:rStyle w:val="FootnoteReference"/>
        </w:rPr>
        <w:footnoteReference w:id="18"/>
      </w:r>
      <w:r w:rsidR="00995010">
        <w:t xml:space="preserve"> </w:t>
      </w:r>
      <w:r>
        <w:t xml:space="preserve"> </w:t>
      </w:r>
      <w:r w:rsidR="00D042E8">
        <w:t>Aphrodite</w:t>
      </w:r>
      <w:r>
        <w:t xml:space="preserve"> wins Paris over with her own physical beauty and with the promise of marriage to another who is equally as beautiful</w:t>
      </w:r>
      <w:r w:rsidR="00D042E8">
        <w:t xml:space="preserve"> (Helen)</w:t>
      </w:r>
      <w:r>
        <w:t xml:space="preserve">, and it </w:t>
      </w:r>
      <w:r w:rsidR="00734CB6">
        <w:t>can</w:t>
      </w:r>
      <w:r>
        <w:t xml:space="preserve"> therefore </w:t>
      </w:r>
      <w:r w:rsidR="00734CB6">
        <w:t xml:space="preserve">be observed </w:t>
      </w:r>
      <w:r>
        <w:t xml:space="preserve">that </w:t>
      </w:r>
      <w:r w:rsidR="00734CB6">
        <w:t xml:space="preserve">in this context, </w:t>
      </w:r>
      <w:r>
        <w:t>Aphrodite’s power of femininity and seduction combined with man’s need to dominate beautiful women is indeed more effectual than Hera’s promise of a throne, and Athena’s promise of glory.</w:t>
      </w:r>
    </w:p>
    <w:p w14:paraId="7B0DBC63" w14:textId="745F63C5" w:rsidR="00424F61" w:rsidRDefault="00D042E8" w:rsidP="00581E8E">
      <w:pPr>
        <w:spacing w:line="480" w:lineRule="auto"/>
      </w:pPr>
      <w:r>
        <w:t xml:space="preserve">Her manipulation of this situation is so direct and so layered, in fact, that </w:t>
      </w:r>
      <w:r w:rsidR="00734CB6">
        <w:t xml:space="preserve">she makes Helen her mortal equal in beauty: </w:t>
      </w:r>
      <w:r>
        <w:t>‘[Helen’s] beauty is such that it blinds men to ethical concerns – a typical consequence of the influence of Aphrodite’.</w:t>
      </w:r>
      <w:r>
        <w:rPr>
          <w:rStyle w:val="FootnoteReference"/>
        </w:rPr>
        <w:footnoteReference w:id="19"/>
      </w:r>
      <w:r>
        <w:t xml:space="preserve"> It can be assumed that ‘the goddess </w:t>
      </w:r>
      <w:r>
        <w:lastRenderedPageBreak/>
        <w:t>who embodies gloriously amoral sexual self-assertation’</w:t>
      </w:r>
      <w:r>
        <w:rPr>
          <w:rStyle w:val="FootnoteReference"/>
        </w:rPr>
        <w:footnoteReference w:id="20"/>
      </w:r>
      <w:r>
        <w:t xml:space="preserve"> knows well enough</w:t>
      </w:r>
      <w:r w:rsidR="00863FE8">
        <w:t xml:space="preserve"> exactly</w:t>
      </w:r>
      <w:r>
        <w:t xml:space="preserve"> how to manipulate patriarchal standards – even if that means she has to strip away the autonomy of another woman to do so. She makes Helen beautiful so that ‘the men mesmerized by that beauty need to believe in her innocence, even when they are fully aware of the damage such beauty causes’</w:t>
      </w:r>
      <w:r w:rsidR="00E36A81">
        <w:t>,</w:t>
      </w:r>
      <w:r>
        <w:rPr>
          <w:rStyle w:val="FootnoteReference"/>
        </w:rPr>
        <w:footnoteReference w:id="21"/>
      </w:r>
      <w:r w:rsidR="00E36A81">
        <w:t xml:space="preserve"> and later she uses the threat of taking away Helen’s gifts of beauty and seduction </w:t>
      </w:r>
      <w:r w:rsidR="00863FE8">
        <w:t>to coerce Helen into doing as Aphrodite wills</w:t>
      </w:r>
      <w:r w:rsidR="00E36A81">
        <w:t xml:space="preserve">. The threat is effective enough that Helen submits to her, and follows, fearful that she might lose her aesthetic </w:t>
      </w:r>
      <w:r w:rsidR="00CF6BBE">
        <w:t xml:space="preserve">gifts </w:t>
      </w:r>
      <w:r w:rsidR="00E36A81">
        <w:t>as well as Aphrodite’s favour</w:t>
      </w:r>
      <w:r w:rsidR="0018651F">
        <w:t>,</w:t>
      </w:r>
      <w:r w:rsidR="00E36A81">
        <w:rPr>
          <w:rStyle w:val="FootnoteReference"/>
        </w:rPr>
        <w:footnoteReference w:id="22"/>
      </w:r>
      <w:r w:rsidR="0018651F">
        <w:t xml:space="preserve"> demonstrating that</w:t>
      </w:r>
      <w:r w:rsidR="00E36A81">
        <w:t xml:space="preserve"> </w:t>
      </w:r>
      <w:r w:rsidR="0018651F">
        <w:t>t</w:t>
      </w:r>
      <w:r w:rsidR="00E36A81">
        <w:t>he gifts of beauty, seduction, and love were valued and recognised not only by men, but women too, and that Aphrodite herself was able to wield her own charisma and charm in ways that intimidate and threaten, as well as to trick and deceive.</w:t>
      </w:r>
      <w:r w:rsidR="00863FE8">
        <w:t xml:space="preserve"> The value that was placed on these gifts by ancient standards is arguably what gave them power, and thus what enabled Aphrodite to weaponize them.</w:t>
      </w:r>
    </w:p>
    <w:p w14:paraId="400492FA" w14:textId="3E6A7B67" w:rsidR="004876A6" w:rsidRDefault="00792FE3" w:rsidP="004C7C1E">
      <w:pPr>
        <w:spacing w:line="480" w:lineRule="auto"/>
      </w:pPr>
      <w:r>
        <w:t>Betancourt suggests that in the beginning of the narrative, Aphrodite is ‘simply a temptress or a prostitute on a grand scale’, but that she ‘uses her sexuality and the value given the female body by the male libido to get what she wants’.</w:t>
      </w:r>
      <w:r>
        <w:rPr>
          <w:rStyle w:val="FootnoteReference"/>
        </w:rPr>
        <w:footnoteReference w:id="23"/>
      </w:r>
      <w:r>
        <w:t xml:space="preserve"> However, this suggests that without the male libido, Aphrodite would be almost powerless. Yes</w:t>
      </w:r>
      <w:r w:rsidR="00850511">
        <w:t>,</w:t>
      </w:r>
      <w:r>
        <w:t xml:space="preserve"> her ‘hyper-idealised female body is thoroughly objectified’,</w:t>
      </w:r>
      <w:r>
        <w:rPr>
          <w:rStyle w:val="FootnoteReference"/>
        </w:rPr>
        <w:footnoteReference w:id="24"/>
      </w:r>
      <w:r>
        <w:t xml:space="preserve"> but there are instances of Aphrodite’s power portrayed in the </w:t>
      </w:r>
      <w:r>
        <w:rPr>
          <w:i/>
        </w:rPr>
        <w:t xml:space="preserve">Iliad </w:t>
      </w:r>
      <w:r>
        <w:t>that have nothing to do with her existing under the male gaze. To suggest that hers is a ‘visually subservient body used to satisfy the scopophilia and voyeurism of a society controlled by men’</w:t>
      </w:r>
      <w:r>
        <w:rPr>
          <w:rStyle w:val="FootnoteReference"/>
        </w:rPr>
        <w:footnoteReference w:id="25"/>
      </w:r>
      <w:r>
        <w:t xml:space="preserve"> is not inaccurate, but it is somehow demeaning. It subtracts from her </w:t>
      </w:r>
      <w:r>
        <w:lastRenderedPageBreak/>
        <w:t>own autonomy, her own power that comes with her gifts as a goddess, and her intelligence and deceptiveness.</w:t>
      </w:r>
    </w:p>
    <w:p w14:paraId="1AD9E980" w14:textId="58193D64" w:rsidR="00E36A81" w:rsidRDefault="00E36A81" w:rsidP="00581E8E">
      <w:pPr>
        <w:spacing w:line="480" w:lineRule="auto"/>
      </w:pPr>
      <w:r>
        <w:t xml:space="preserve">One of the most interesting scenes in the </w:t>
      </w:r>
      <w:r>
        <w:rPr>
          <w:i/>
        </w:rPr>
        <w:t xml:space="preserve">Iliad </w:t>
      </w:r>
      <w:r>
        <w:t xml:space="preserve">is one that comes in book fourteen; </w:t>
      </w:r>
      <w:r w:rsidR="00D05DAA">
        <w:t>when Hera seeks to ‘distract her lord who bears the storm-cloud’.</w:t>
      </w:r>
      <w:r w:rsidR="00D05DAA">
        <w:rPr>
          <w:rStyle w:val="FootnoteReference"/>
        </w:rPr>
        <w:footnoteReference w:id="26"/>
      </w:r>
      <w:r w:rsidR="000C3AA4">
        <w:t xml:space="preserve"> She hopes to distract Zeus by tricking him into sleeping with her, so she summons Aphrodite and asks her</w:t>
      </w:r>
      <w:r w:rsidR="004C7C1E">
        <w:t xml:space="preserve"> for help</w:t>
      </w:r>
      <w:r w:rsidR="000C3AA4">
        <w:t>: ‘Lend me longing, lend me desire, by which you bring immortals low as you do mortal men!’</w:t>
      </w:r>
      <w:r w:rsidR="000C3AA4">
        <w:rPr>
          <w:rStyle w:val="FootnoteReference"/>
        </w:rPr>
        <w:footnoteReference w:id="27"/>
      </w:r>
      <w:r w:rsidR="000C3AA4">
        <w:t xml:space="preserve"> to which Aphrodite obliges, giving to her the ‘pierced brocaded girdle’, from where her ‘allurement of the eyes, hunger of longing, and the touch of lips that steals all wisdom from the coolest men’</w:t>
      </w:r>
      <w:r w:rsidR="000C3AA4">
        <w:rPr>
          <w:rStyle w:val="FootnoteReference"/>
        </w:rPr>
        <w:footnoteReference w:id="28"/>
      </w:r>
      <w:r w:rsidR="000C3AA4">
        <w:t xml:space="preserve"> comes</w:t>
      </w:r>
      <w:r w:rsidR="004C7C1E">
        <w:t>. Hera’s acknowledgment of Aphrodite’s power is clear here, she knows that Aphrodite can and does bring immortals as well as mortal men ‘low’, and</w:t>
      </w:r>
      <w:r w:rsidR="00F47FB9">
        <w:t xml:space="preserve"> by asking for help</w:t>
      </w:r>
      <w:r w:rsidR="004C7C1E">
        <w:t xml:space="preserve"> she </w:t>
      </w:r>
      <w:r w:rsidR="00850511">
        <w:t>admits</w:t>
      </w:r>
      <w:r w:rsidR="004C7C1E">
        <w:t xml:space="preserve"> that that is not something she can do by herself.</w:t>
      </w:r>
      <w:r w:rsidR="00850511">
        <w:t xml:space="preserve"> Although Hera does attempt to deceive Aphrodite by lying about the reason she needs help, Aphrodite responds: ‘here are all suavities and charms of love, I do not think you will be ineffective in what you plan’,</w:t>
      </w:r>
      <w:r w:rsidR="00850511">
        <w:rPr>
          <w:rStyle w:val="FootnoteReference"/>
        </w:rPr>
        <w:footnoteReference w:id="29"/>
      </w:r>
      <w:r w:rsidR="00850511">
        <w:t xml:space="preserve"> which suggests that she is perhaps not as unwise </w:t>
      </w:r>
      <w:r w:rsidR="004E3091">
        <w:t>to her motives</w:t>
      </w:r>
      <w:r w:rsidR="00863FE8">
        <w:t xml:space="preserve"> and plans</w:t>
      </w:r>
      <w:r w:rsidR="004E3091">
        <w:t xml:space="preserve"> </w:t>
      </w:r>
      <w:r w:rsidR="00850511">
        <w:t>as Hera suspects</w:t>
      </w:r>
      <w:r w:rsidR="00E846B3">
        <w:t>.</w:t>
      </w:r>
      <w:r w:rsidR="00863FE8">
        <w:t xml:space="preserve"> </w:t>
      </w:r>
    </w:p>
    <w:p w14:paraId="1EB19F70" w14:textId="53D7DDC1" w:rsidR="004876A6" w:rsidRPr="00734CB6" w:rsidRDefault="000568A6" w:rsidP="00734CB6">
      <w:pPr>
        <w:spacing w:line="480" w:lineRule="auto"/>
      </w:pPr>
      <w:proofErr w:type="gramStart"/>
      <w:r>
        <w:t>In light of</w:t>
      </w:r>
      <w:proofErr w:type="gramEnd"/>
      <w:r>
        <w:t xml:space="preserve"> Aphrodite’s associations with Hera and Helen, it is not unfair to ass</w:t>
      </w:r>
      <w:r w:rsidR="0008562F">
        <w:t>ert</w:t>
      </w:r>
      <w:r>
        <w:t>, as Betancourt does, that ‘Aphrodite works primarily through other characters such as Helen and even Hera. We can observe the Aphrodite principle at work when Helen’s beauty keeps her safe from reproach in Troy … Similarly, Aphrodite helps the queen of the gods to seduce her husband, by allowing her to use a magical girdle filled with deceptive sexual power’.</w:t>
      </w:r>
      <w:r>
        <w:rPr>
          <w:rStyle w:val="FootnoteReference"/>
        </w:rPr>
        <w:footnoteReference w:id="30"/>
      </w:r>
      <w:r>
        <w:t xml:space="preserve"> Aphrodite seems to be aware of the fact that </w:t>
      </w:r>
      <w:r w:rsidR="00734CB6">
        <w:t xml:space="preserve">perhaps the only way </w:t>
      </w:r>
      <w:r>
        <w:t xml:space="preserve">she can ‘compete’ in the </w:t>
      </w:r>
      <w:r w:rsidR="00734CB6">
        <w:t xml:space="preserve">patriarchal world is by wielding her own physical beauty, and the beauty of others and </w:t>
      </w:r>
      <w:r w:rsidR="00734CB6">
        <w:lastRenderedPageBreak/>
        <w:t xml:space="preserve">‘submitting’ these attributes to the will and desires of male libidos and egos. While this might be true on some levels – it does not and should not mean less than Hera’s power as queen, or Athena’s power in warfare, and absolutely does not mean that she is weaker than any of the other </w:t>
      </w:r>
      <w:r w:rsidR="0018651F">
        <w:t xml:space="preserve">deities </w:t>
      </w:r>
      <w:r w:rsidR="00734CB6">
        <w:t>in the pantheons</w:t>
      </w:r>
      <w:r w:rsidR="0018651F">
        <w:t>.</w:t>
      </w:r>
    </w:p>
    <w:p w14:paraId="2D19CCB2" w14:textId="0FD384A1" w:rsidR="00011B17" w:rsidRDefault="00011B17" w:rsidP="00581E8E">
      <w:pPr>
        <w:spacing w:line="480" w:lineRule="auto"/>
      </w:pPr>
      <w:r w:rsidRPr="00011B17">
        <w:t>Ofte</w:t>
      </w:r>
      <w:r>
        <w:t xml:space="preserve">n, women are either feminine and weak, or they display masculine traits and are strong. Homer’s Aphrodite challenges this preconception all throughout the </w:t>
      </w:r>
      <w:r>
        <w:rPr>
          <w:i/>
        </w:rPr>
        <w:t xml:space="preserve">Iliad, </w:t>
      </w:r>
      <w:r>
        <w:t>intentionally or not. She is displayed as being powerful and manipulative as discussed above, but she is also kind to those who have her favour</w:t>
      </w:r>
      <w:r w:rsidR="00A52535">
        <w:t>: ‘my gifts are from pale-gold Aphrodite – do not taunt me for them’,</w:t>
      </w:r>
      <w:r w:rsidR="00A52535">
        <w:rPr>
          <w:rStyle w:val="FootnoteReference"/>
        </w:rPr>
        <w:footnoteReference w:id="31"/>
      </w:r>
      <w:r w:rsidR="00A52535">
        <w:t xml:space="preserve"> Paris says to Hector in book three, and later in book three she intervenes in battle</w:t>
      </w:r>
      <w:r w:rsidR="002F1DAB">
        <w:t xml:space="preserve"> and spirits him away ‘as easily as only a god could do’</w:t>
      </w:r>
      <w:r w:rsidR="002F1DAB">
        <w:rPr>
          <w:rStyle w:val="FootnoteReference"/>
        </w:rPr>
        <w:footnoteReference w:id="32"/>
      </w:r>
      <w:r w:rsidR="002F1DAB">
        <w:t xml:space="preserve"> and returns him to his bedchambers before she disappears again to retrieve Helen</w:t>
      </w:r>
      <w:r w:rsidR="00ED093C">
        <w:t xml:space="preserve"> and deliver her to the same place</w:t>
      </w:r>
      <w:r w:rsidR="002F1DAB">
        <w:t>. Even though some have speculated that it is ‘for Helen that she saves him’,</w:t>
      </w:r>
      <w:r w:rsidR="002F1DAB">
        <w:rPr>
          <w:rStyle w:val="FootnoteReference"/>
        </w:rPr>
        <w:footnoteReference w:id="33"/>
      </w:r>
      <w:r w:rsidR="002F1DAB">
        <w:t xml:space="preserve"> </w:t>
      </w:r>
      <w:proofErr w:type="gramStart"/>
      <w:r w:rsidR="00ED093C">
        <w:t>it is clear that Paris</w:t>
      </w:r>
      <w:proofErr w:type="gramEnd"/>
      <w:r w:rsidR="00ED093C">
        <w:t xml:space="preserve"> is one of her favourites; she is the only goddess who gets physically involved in the battles, and Homer acknowledges this:</w:t>
      </w:r>
    </w:p>
    <w:p w14:paraId="4093DCA5" w14:textId="2C835FE2" w:rsidR="00ED093C" w:rsidRDefault="00ED093C" w:rsidP="00ED093C">
      <w:pPr>
        <w:spacing w:line="480" w:lineRule="auto"/>
        <w:ind w:left="720"/>
        <w:rPr>
          <w:i/>
        </w:rPr>
      </w:pPr>
      <w:r w:rsidRPr="00ED093C">
        <w:rPr>
          <w:i/>
        </w:rPr>
        <w:t>‘[Hera and Athena] kept their distance [from the actual battlefield]: their pleasure comes from looking on. But Aphrodite, who loves all smiling lips and eyes, cleaves to her man to ward off peril from him. He thought he faced death, but she saved him’.</w:t>
      </w:r>
      <w:r w:rsidRPr="00ED093C">
        <w:rPr>
          <w:rStyle w:val="FootnoteReference"/>
        </w:rPr>
        <w:footnoteReference w:id="34"/>
      </w:r>
    </w:p>
    <w:p w14:paraId="3381463A" w14:textId="77777777" w:rsidR="0008562F" w:rsidRDefault="00ED093C" w:rsidP="00ED093C">
      <w:pPr>
        <w:spacing w:line="480" w:lineRule="auto"/>
      </w:pPr>
      <w:r>
        <w:t xml:space="preserve">She gets involved again, when her son Aeneas ‘would have perished … if not for the quickness of Zeus, his mother, Aphrodite … who now pillowed him softly in her two white arms … so that no </w:t>
      </w:r>
      <w:proofErr w:type="spellStart"/>
      <w:r>
        <w:t>Danaan</w:t>
      </w:r>
      <w:proofErr w:type="spellEnd"/>
      <w:r>
        <w:t xml:space="preserve"> spear could stab and finish him’.</w:t>
      </w:r>
      <w:r>
        <w:rPr>
          <w:rStyle w:val="FootnoteReference"/>
        </w:rPr>
        <w:footnoteReference w:id="35"/>
      </w:r>
      <w:r>
        <w:t xml:space="preserve"> This particular part is very interesting; here, Homer is combining the ‘feminine’ quality of maternal instincts with a </w:t>
      </w:r>
      <w:r>
        <w:lastRenderedPageBreak/>
        <w:t>perhaps more ‘masculine’ trait of not shying away from warfare as one might expect from the goddess of love</w:t>
      </w:r>
      <w:r w:rsidR="0008562F">
        <w:t>,</w:t>
      </w:r>
      <w:r w:rsidR="00E61E55">
        <w:rPr>
          <w:rStyle w:val="FootnoteReference"/>
        </w:rPr>
        <w:footnoteReference w:id="36"/>
      </w:r>
      <w:r w:rsidR="0008562F">
        <w:t xml:space="preserve"> and the results show Aphrodite to break the boundaries of conventional gendered expectations. She shows herself to be both feminine and strong </w:t>
      </w:r>
      <w:r w:rsidR="0008562F">
        <w:rPr>
          <w:i/>
        </w:rPr>
        <w:t xml:space="preserve">simultaneously </w:t>
      </w:r>
      <w:r w:rsidR="0008562F">
        <w:t>by displaying her</w:t>
      </w:r>
      <w:r w:rsidR="00E61E55">
        <w:t xml:space="preserve"> intent and her actions </w:t>
      </w:r>
      <w:r w:rsidR="0008562F">
        <w:t>clearly</w:t>
      </w:r>
      <w:r w:rsidR="00E61E55">
        <w:t xml:space="preserve"> – she wanted to save her son from death and was willing to put herself in harm’s way to do so.</w:t>
      </w:r>
    </w:p>
    <w:p w14:paraId="47023146" w14:textId="35FBCB85" w:rsidR="00ED093C" w:rsidRPr="006B7FF4" w:rsidRDefault="00E61E55" w:rsidP="00ED093C">
      <w:pPr>
        <w:spacing w:line="480" w:lineRule="auto"/>
      </w:pPr>
      <w:r>
        <w:t>She is recognised by Diomedes immediately as she carries her wounded son from the battlefield</w:t>
      </w:r>
      <w:r w:rsidR="006B7FF4">
        <w:t xml:space="preserve"> even though she ‘does not take the shape of some human being’,</w:t>
      </w:r>
      <w:r w:rsidR="006B7FF4">
        <w:rPr>
          <w:rStyle w:val="FootnoteReference"/>
        </w:rPr>
        <w:footnoteReference w:id="37"/>
      </w:r>
      <w:r w:rsidR="006B7FF4">
        <w:t xml:space="preserve"> and is </w:t>
      </w:r>
      <w:proofErr w:type="gramStart"/>
      <w:r w:rsidR="006B7FF4">
        <w:t>actually physically</w:t>
      </w:r>
      <w:proofErr w:type="gramEnd"/>
      <w:r w:rsidR="0008562F">
        <w:t xml:space="preserve"> harmed</w:t>
      </w:r>
      <w:r w:rsidR="006B7FF4">
        <w:t xml:space="preserve"> by Diomedes with the permission </w:t>
      </w:r>
      <w:r w:rsidR="0031235B">
        <w:t xml:space="preserve">and encouragement </w:t>
      </w:r>
      <w:r w:rsidR="006B7FF4">
        <w:t>of Athena. Despite this</w:t>
      </w:r>
      <w:r w:rsidR="0008562F">
        <w:t xml:space="preserve"> reminder that her being a divinity is no promise of safety</w:t>
      </w:r>
      <w:r w:rsidR="006B7FF4">
        <w:t xml:space="preserve">, she re-enters a battle later in the </w:t>
      </w:r>
      <w:r w:rsidR="006B7FF4">
        <w:rPr>
          <w:i/>
        </w:rPr>
        <w:t xml:space="preserve">Iliad, </w:t>
      </w:r>
      <w:r w:rsidR="006B7FF4">
        <w:t xml:space="preserve">in an attempt to help a wounded </w:t>
      </w:r>
      <w:proofErr w:type="gramStart"/>
      <w:r w:rsidR="006B7FF4">
        <w:t>Ares</w:t>
      </w:r>
      <w:proofErr w:type="gramEnd"/>
      <w:r w:rsidR="006B7FF4">
        <w:t xml:space="preserve"> leave the fray, but she is struck down by Athena before she can successfully get herself and Ares to safety.</w:t>
      </w:r>
      <w:r w:rsidR="006B7FF4">
        <w:rPr>
          <w:rStyle w:val="FootnoteReference"/>
        </w:rPr>
        <w:footnoteReference w:id="38"/>
      </w:r>
    </w:p>
    <w:p w14:paraId="10B9ABF0" w14:textId="71538E25" w:rsidR="00E61E55" w:rsidRPr="00E61E55" w:rsidRDefault="00E61E55" w:rsidP="00ED093C">
      <w:pPr>
        <w:spacing w:line="480" w:lineRule="auto"/>
      </w:pPr>
      <w:r>
        <w:t xml:space="preserve">Thus, Aphrodite’s roles in the </w:t>
      </w:r>
      <w:r>
        <w:rPr>
          <w:i/>
        </w:rPr>
        <w:t xml:space="preserve">Iliad </w:t>
      </w:r>
      <w:r>
        <w:t>are not all deceptive and manipulative; here she displays genuine strength, both physical</w:t>
      </w:r>
      <w:r w:rsidR="0031235B">
        <w:t xml:space="preserve"> strength</w:t>
      </w:r>
      <w:r>
        <w:t xml:space="preserve"> and strength of character. But </w:t>
      </w:r>
      <w:r w:rsidR="0008562F">
        <w:t>even so</w:t>
      </w:r>
      <w:r>
        <w:t>, as previously discussed, she is asked by her father to leave involvement in war to Athena and Ares – one of which</w:t>
      </w:r>
      <w:r w:rsidR="0031235B">
        <w:t xml:space="preserve"> apparently</w:t>
      </w:r>
      <w:r>
        <w:t xml:space="preserve"> preferred to just watch events unfold anyhow – because her concern should, according to Zeus, only be focused on love and sexual pleasure.</w:t>
      </w:r>
      <w:r>
        <w:rPr>
          <w:rStyle w:val="FootnoteReference"/>
        </w:rPr>
        <w:footnoteReference w:id="39"/>
      </w:r>
    </w:p>
    <w:p w14:paraId="35FE7485" w14:textId="69529663" w:rsidR="005B1B53" w:rsidRDefault="0031235B" w:rsidP="00581E8E">
      <w:pPr>
        <w:spacing w:line="480" w:lineRule="auto"/>
      </w:pPr>
      <w:r>
        <w:t>‘</w:t>
      </w:r>
      <w:r w:rsidRPr="00734CB6">
        <w:t xml:space="preserve">All the women in the </w:t>
      </w:r>
      <w:r w:rsidRPr="00734CB6">
        <w:rPr>
          <w:i/>
        </w:rPr>
        <w:t xml:space="preserve">Iliad </w:t>
      </w:r>
      <w:r w:rsidRPr="00734CB6">
        <w:t xml:space="preserve">are allied in their attempts to discover avenues of power where none are </w:t>
      </w:r>
      <w:bookmarkStart w:id="4" w:name="_Hlk513587307"/>
      <w:r w:rsidRPr="00734CB6">
        <w:t xml:space="preserve">naturally </w:t>
      </w:r>
      <w:bookmarkEnd w:id="4"/>
      <w:r w:rsidRPr="00734CB6">
        <w:t>or inherently allowed to them</w:t>
      </w:r>
      <w:r>
        <w:t>’,</w:t>
      </w:r>
      <w:r>
        <w:rPr>
          <w:rStyle w:val="FootnoteReference"/>
        </w:rPr>
        <w:footnoteReference w:id="40"/>
      </w:r>
      <w:r>
        <w:t xml:space="preserve"> Betancourt writes, and Aphrodite is </w:t>
      </w:r>
      <w:proofErr w:type="gramStart"/>
      <w:r>
        <w:t>absolutely not</w:t>
      </w:r>
      <w:proofErr w:type="gramEnd"/>
      <w:r>
        <w:t xml:space="preserve"> exempt from this observation, even if they are not ‘allied’ in the sense of comradery in this text. She displays manipulative power</w:t>
      </w:r>
      <w:r w:rsidR="0008562F">
        <w:t xml:space="preserve"> and</w:t>
      </w:r>
      <w:r>
        <w:t xml:space="preserve"> deception, as well as physical beauty and a penchant for physical love in this text. It can be argued that without her </w:t>
      </w:r>
      <w:r>
        <w:lastRenderedPageBreak/>
        <w:t>manipulation there would not have been a war, and Helen would not have been as beautiful as she was</w:t>
      </w:r>
      <w:r w:rsidR="0008562F">
        <w:t>, which demonstrates how effectual and powerful her actions could really be</w:t>
      </w:r>
      <w:r>
        <w:t xml:space="preserve">. </w:t>
      </w:r>
      <w:r w:rsidR="0008562F">
        <w:t>She also</w:t>
      </w:r>
      <w:r>
        <w:t xml:space="preserve"> gets involved with the war to assist and save the people she cares about: (Paris, Aeneas, Ares) and on the other hand she assists Hera with the seduction of Zeus</w:t>
      </w:r>
      <w:r w:rsidR="0008562F">
        <w:t>, which demonstrates that being powerful and manipulative does not automatically negate her traditionally feminine qualities</w:t>
      </w:r>
      <w:r w:rsidR="00DD45D4">
        <w:t>.</w:t>
      </w:r>
    </w:p>
    <w:p w14:paraId="283CA0F1" w14:textId="35F6F380" w:rsidR="005B1B53" w:rsidRDefault="005B1B53" w:rsidP="00581E8E">
      <w:pPr>
        <w:spacing w:line="480" w:lineRule="auto"/>
      </w:pPr>
      <w:r>
        <w:t xml:space="preserve">Blondell writes that Aphrodite ‘inspires women (Helen, in particular relation to the </w:t>
      </w:r>
      <w:r>
        <w:rPr>
          <w:i/>
        </w:rPr>
        <w:t>Iliad</w:t>
      </w:r>
      <w:r>
        <w:t>) to infidelity without excusing them, just as Ares or Athena inspire a warrior to fight without undermining the credit he receives for the resulting success’,</w:t>
      </w:r>
      <w:r>
        <w:rPr>
          <w:rStyle w:val="FootnoteReference"/>
        </w:rPr>
        <w:footnoteReference w:id="41"/>
      </w:r>
      <w:r>
        <w:t xml:space="preserve"> and also </w:t>
      </w:r>
      <w:r w:rsidR="00DD45D4">
        <w:t>describes just how effective Aphrodite actually could be:</w:t>
      </w:r>
      <w:r>
        <w:t xml:space="preserve"> ‘faced with the terrifying power of Aphrodite, [Helen] would do what she did all over again, despite the reproaches of her better judgment’.</w:t>
      </w:r>
      <w:r>
        <w:rPr>
          <w:rStyle w:val="FootnoteReference"/>
        </w:rPr>
        <w:footnoteReference w:id="42"/>
      </w:r>
      <w:r>
        <w:t xml:space="preserve"> Thus:</w:t>
      </w:r>
      <w:r w:rsidR="0031235B">
        <w:t xml:space="preserve"> i</w:t>
      </w:r>
      <w:r w:rsidR="00DD45D4">
        <w:t>t is an</w:t>
      </w:r>
      <w:r w:rsidR="0031235B">
        <w:t xml:space="preserve"> unfair</w:t>
      </w:r>
      <w:r>
        <w:t xml:space="preserve"> and huge oversight</w:t>
      </w:r>
      <w:r w:rsidR="0031235B">
        <w:t xml:space="preserve"> that Aphrodite is </w:t>
      </w:r>
      <w:r>
        <w:t>mostly only</w:t>
      </w:r>
      <w:r w:rsidR="0031235B">
        <w:t xml:space="preserve"> known for her beauty and seductive gifts, and not for the ways in which she wields th</w:t>
      </w:r>
      <w:r w:rsidR="00DD45D4">
        <w:t>em. She is also not known</w:t>
      </w:r>
      <w:r w:rsidR="0031235B">
        <w:t xml:space="preserve"> for the ways</w:t>
      </w:r>
      <w:r>
        <w:t xml:space="preserve"> that</w:t>
      </w:r>
      <w:r w:rsidR="0031235B">
        <w:t xml:space="preserve"> she uses her gifts that are not comfortably ‘feminine’ – when </w:t>
      </w:r>
      <w:r>
        <w:t xml:space="preserve">she uses them </w:t>
      </w:r>
      <w:r w:rsidR="00DD45D4">
        <w:t>to</w:t>
      </w:r>
      <w:r>
        <w:t xml:space="preserve"> threat</w:t>
      </w:r>
      <w:r w:rsidR="00DD45D4">
        <w:t>en</w:t>
      </w:r>
      <w:r>
        <w:t>, for example</w:t>
      </w:r>
      <w:r w:rsidR="00DD45D4">
        <w:t>, because she has been pigeon-holed by societal standards of femininity and the assumption that power is an inherently masculine trait that, if displayed in a woman, immediately nullifies her inherent and natural femininity.</w:t>
      </w:r>
    </w:p>
    <w:p w14:paraId="3825D200" w14:textId="1EA496EC" w:rsidR="00873C1F" w:rsidRPr="00424F61" w:rsidRDefault="00873C1F" w:rsidP="00581E8E">
      <w:pPr>
        <w:spacing w:line="480" w:lineRule="auto"/>
      </w:pPr>
      <w:r w:rsidRPr="00873C1F">
        <w:rPr>
          <w:i/>
        </w:rPr>
        <w:br w:type="page"/>
      </w:r>
    </w:p>
    <w:p w14:paraId="0AF1B4AE" w14:textId="2294BB00" w:rsidR="004E76BC" w:rsidRDefault="004E76BC" w:rsidP="00A06A6B">
      <w:pPr>
        <w:pStyle w:val="Heading1"/>
        <w:numPr>
          <w:ilvl w:val="0"/>
          <w:numId w:val="6"/>
        </w:numPr>
        <w:spacing w:line="480" w:lineRule="auto"/>
        <w:rPr>
          <w:rFonts w:ascii="Times New Roman" w:hAnsi="Times New Roman" w:cs="Times New Roman"/>
          <w:i/>
          <w:color w:val="auto"/>
        </w:rPr>
      </w:pPr>
      <w:bookmarkStart w:id="5" w:name="_Toc513681259"/>
      <w:r w:rsidRPr="00CF3778">
        <w:rPr>
          <w:rFonts w:ascii="Times New Roman" w:hAnsi="Times New Roman" w:cs="Times New Roman"/>
          <w:color w:val="auto"/>
        </w:rPr>
        <w:lastRenderedPageBreak/>
        <w:t xml:space="preserve">Aphrodite in Hesiod’s </w:t>
      </w:r>
      <w:r w:rsidRPr="00CF3778">
        <w:rPr>
          <w:rFonts w:ascii="Times New Roman" w:hAnsi="Times New Roman" w:cs="Times New Roman"/>
          <w:i/>
          <w:color w:val="auto"/>
        </w:rPr>
        <w:t>Theogony</w:t>
      </w:r>
      <w:bookmarkEnd w:id="5"/>
    </w:p>
    <w:p w14:paraId="69561346" w14:textId="1704BF11" w:rsidR="00CF3778" w:rsidRDefault="00CF3778" w:rsidP="00292FA7">
      <w:pPr>
        <w:spacing w:line="480" w:lineRule="auto"/>
      </w:pPr>
      <w:r>
        <w:tab/>
      </w:r>
      <w:r w:rsidR="00523A6D">
        <w:t>‘Hesiod was a dour, bitter poet and farmer living in Boeotia in approximately 700 B.C. His views of gods and humankind not only shaped but probably corresponded to the ideas held by the population as a whole</w:t>
      </w:r>
      <w:r w:rsidR="00292FA7">
        <w:t xml:space="preserve">, and thus the </w:t>
      </w:r>
      <w:r w:rsidR="00292FA7">
        <w:rPr>
          <w:i/>
        </w:rPr>
        <w:t xml:space="preserve">Theogony </w:t>
      </w:r>
      <w:r w:rsidR="00292FA7">
        <w:t>became the standard Greek version of divine evolution’.</w:t>
      </w:r>
      <w:r w:rsidR="00292FA7">
        <w:rPr>
          <w:rStyle w:val="FootnoteReference"/>
        </w:rPr>
        <w:footnoteReference w:id="43"/>
      </w:r>
      <w:r w:rsidR="00292FA7">
        <w:t xml:space="preserve"> The </w:t>
      </w:r>
      <w:r w:rsidR="00292FA7">
        <w:rPr>
          <w:i/>
        </w:rPr>
        <w:t xml:space="preserve">Theogony </w:t>
      </w:r>
      <w:r w:rsidR="00292FA7">
        <w:t>itself was written some time between the late eighth century and the early seventh</w:t>
      </w:r>
      <w:r w:rsidR="007A531F">
        <w:t>,</w:t>
      </w:r>
      <w:r w:rsidR="00B6217C">
        <w:rPr>
          <w:rStyle w:val="FootnoteReference"/>
        </w:rPr>
        <w:footnoteReference w:id="44"/>
      </w:r>
      <w:r w:rsidR="007A531F">
        <w:t xml:space="preserve"> and is essentially the Greek version of Ovid’s </w:t>
      </w:r>
      <w:r w:rsidR="007A531F">
        <w:rPr>
          <w:i/>
        </w:rPr>
        <w:t>Metamorphoses</w:t>
      </w:r>
      <w:r w:rsidR="00D00BE1">
        <w:rPr>
          <w:i/>
        </w:rPr>
        <w:t xml:space="preserve"> – </w:t>
      </w:r>
      <w:r w:rsidR="00D00BE1">
        <w:t>presenting a kind of divine family tree for the Greek pantheon.</w:t>
      </w:r>
    </w:p>
    <w:p w14:paraId="2C22A3DA" w14:textId="73CBB12C" w:rsidR="00D00BE1" w:rsidRDefault="00D00BE1" w:rsidP="00292FA7">
      <w:pPr>
        <w:spacing w:line="480" w:lineRule="auto"/>
      </w:pPr>
      <w:r>
        <w:t xml:space="preserve">Since there is no ‘narrative’ to speak of in the same way that we can discuss the narrative in the </w:t>
      </w:r>
      <w:r>
        <w:rPr>
          <w:i/>
        </w:rPr>
        <w:t xml:space="preserve">Iliad, </w:t>
      </w:r>
      <w:r>
        <w:t xml:space="preserve">for example, the focus </w:t>
      </w:r>
      <w:r w:rsidR="00DD45D4">
        <w:t>must</w:t>
      </w:r>
      <w:r>
        <w:t xml:space="preserve"> lie primarily on how many times Aphrodite is mentioned </w:t>
      </w:r>
      <w:proofErr w:type="gramStart"/>
      <w:r w:rsidR="0056226F">
        <w:t>in regard to</w:t>
      </w:r>
      <w:proofErr w:type="gramEnd"/>
      <w:r>
        <w:t xml:space="preserve"> having </w:t>
      </w:r>
      <w:r w:rsidR="00DD45D4">
        <w:t xml:space="preserve">an active involvement in </w:t>
      </w:r>
      <w:r w:rsidR="0056226F">
        <w:t>the births of particular mythological figures.</w:t>
      </w:r>
    </w:p>
    <w:p w14:paraId="2D280E55" w14:textId="388F5F31" w:rsidR="00326A5F" w:rsidRDefault="001A2D3F" w:rsidP="001A2D3F">
      <w:pPr>
        <w:spacing w:line="480" w:lineRule="auto"/>
      </w:pPr>
      <w:r>
        <w:t xml:space="preserve">It is also worth acknowledging Hesiod’s relationship to women in the </w:t>
      </w:r>
      <w:r>
        <w:rPr>
          <w:i/>
        </w:rPr>
        <w:t xml:space="preserve">Theogony, </w:t>
      </w:r>
      <w:r>
        <w:t xml:space="preserve">which is questionable at best. </w:t>
      </w:r>
      <w:r w:rsidR="00AF5004">
        <w:t xml:space="preserve">Marquardt suggests that ‘ambivalence characterises Hesiod’s view of femininity, on both a divine and human level. </w:t>
      </w:r>
      <w:r w:rsidR="00275579">
        <w:t>… From the first, deception appears among Aphrodite’s attributes, adjoining her smiles and erotic delight’.</w:t>
      </w:r>
      <w:r w:rsidR="00275579">
        <w:rPr>
          <w:rStyle w:val="FootnoteReference"/>
        </w:rPr>
        <w:footnoteReference w:id="45"/>
      </w:r>
      <w:r w:rsidR="00275579">
        <w:t xml:space="preserve"> She writes that Aphrodite in Hesiod’s </w:t>
      </w:r>
      <w:r w:rsidR="00275579">
        <w:rPr>
          <w:i/>
        </w:rPr>
        <w:t xml:space="preserve">Theogony </w:t>
      </w:r>
      <w:r w:rsidR="00275579">
        <w:t>is the ‘irresistibly attractive embodiment of the sexual urge’, and that even when she seems ‘an obvious good she retains a destructive potential’.</w:t>
      </w:r>
      <w:r w:rsidR="00275579">
        <w:rPr>
          <w:rStyle w:val="FootnoteReference"/>
        </w:rPr>
        <w:footnoteReference w:id="46"/>
      </w:r>
      <w:r w:rsidR="00275579">
        <w:t xml:space="preserve"> This dismissal of women can also be found by the way Hesiod establishes a patriarchal </w:t>
      </w:r>
      <w:r w:rsidR="00DD45D4">
        <w:t>‘</w:t>
      </w:r>
      <w:r w:rsidR="00275579">
        <w:t>government</w:t>
      </w:r>
      <w:r w:rsidR="00DD45D4">
        <w:t>’</w:t>
      </w:r>
      <w:r w:rsidR="00275579">
        <w:t xml:space="preserve"> </w:t>
      </w:r>
      <w:r w:rsidR="00DD45D4">
        <w:t xml:space="preserve">or hierarchy </w:t>
      </w:r>
      <w:r w:rsidR="00275579">
        <w:t>on Olympus by having Zeus deny power to females, ‘even taking away their sole claim to consideration as bearers of children when he gives birth to Athena through his head and to Dionysus from his thigh’,</w:t>
      </w:r>
      <w:r w:rsidR="00275579">
        <w:rPr>
          <w:rStyle w:val="FootnoteReference"/>
        </w:rPr>
        <w:footnoteReference w:id="47"/>
      </w:r>
      <w:r w:rsidR="00275579">
        <w:t xml:space="preserve"> enabling Athena, herself born of a man, to claim that ‘the </w:t>
      </w:r>
      <w:r w:rsidR="00275579">
        <w:lastRenderedPageBreak/>
        <w:t>father is the true parent of any child’, an idea which is ‘strengthened by the birth of Aphrodite, who, according to Hesiod, was born out of the foam of the sea from the castrated genitals of the sky god Uranus’.</w:t>
      </w:r>
      <w:r w:rsidR="00275579">
        <w:rPr>
          <w:rStyle w:val="FootnoteReference"/>
        </w:rPr>
        <w:footnoteReference w:id="48"/>
      </w:r>
    </w:p>
    <w:p w14:paraId="1EF38343" w14:textId="77777777" w:rsidR="00AB21F1" w:rsidRDefault="00326A5F" w:rsidP="001A2D3F">
      <w:pPr>
        <w:spacing w:line="480" w:lineRule="auto"/>
      </w:pPr>
      <w:r>
        <w:t xml:space="preserve">This account of Aphrodite’s birth is different to that in the </w:t>
      </w:r>
      <w:r>
        <w:rPr>
          <w:i/>
        </w:rPr>
        <w:t xml:space="preserve">Iliad: </w:t>
      </w:r>
      <w:r>
        <w:t>Homer’s Aphrodite is born to Dione and Zeus, and Hesiod’s Aphrodite is born from an act of sexual violence, motherless except for the foam of the sea</w:t>
      </w:r>
      <w:r w:rsidR="00C83875">
        <w:t>: ‘The sea-foam, mixed with semen, sloshed around [the genitals] until from the 'foam' appeared a being of dreadful power, Aphrodite, goddess of sexual love’.</w:t>
      </w:r>
      <w:r w:rsidR="00C83875">
        <w:rPr>
          <w:rStyle w:val="FootnoteReference"/>
        </w:rPr>
        <w:footnoteReference w:id="49"/>
      </w:r>
      <w:r w:rsidR="00C83875">
        <w:t xml:space="preserve"> </w:t>
      </w:r>
      <w:r>
        <w:t xml:space="preserve">Marquardt suggests that the </w:t>
      </w:r>
      <w:r w:rsidR="00C83875">
        <w:t xml:space="preserve">violent </w:t>
      </w:r>
      <w:r>
        <w:t xml:space="preserve">Hesiodic birth of Aphrodite comes as no surprise, as love and deceit are so closely linked throughout the </w:t>
      </w:r>
      <w:r>
        <w:rPr>
          <w:i/>
        </w:rPr>
        <w:t>Theogony</w:t>
      </w:r>
      <w:r>
        <w:t xml:space="preserve"> in the ‘same category as fate, death, and revenge’.</w:t>
      </w:r>
      <w:r>
        <w:rPr>
          <w:rStyle w:val="FootnoteReference"/>
        </w:rPr>
        <w:footnoteReference w:id="50"/>
      </w:r>
    </w:p>
    <w:p w14:paraId="62B117CF" w14:textId="77777777" w:rsidR="00AB21F1" w:rsidRDefault="001E28E0" w:rsidP="001A2D3F">
      <w:pPr>
        <w:spacing w:line="480" w:lineRule="auto"/>
      </w:pPr>
      <w:r>
        <w:t>The idea that Aphrodite was born from severed genitals is also not one that Hesiod got from Homer, and it could thus be suggested that the alteration of this myth may be due to the fact that Hesiod was indeed not very positive in regard to Aphrodite’s role as the goddess of love</w:t>
      </w:r>
      <w:r w:rsidR="00AB21F1">
        <w:t xml:space="preserve"> and so his portrayal of her was inherently negative from the start</w:t>
      </w:r>
      <w:r>
        <w:t xml:space="preserve">, but it has also been suggested that ‘the myth was invented to account for </w:t>
      </w:r>
      <w:r w:rsidR="006C4120">
        <w:t>her epithet “Fond-of-genitals”,</w:t>
      </w:r>
      <w:r w:rsidR="006C4120">
        <w:rPr>
          <w:rStyle w:val="FootnoteReference"/>
        </w:rPr>
        <w:footnoteReference w:id="51"/>
      </w:r>
      <w:r>
        <w:t xml:space="preserve"> and for Aphrodite’s connection with the sea’,</w:t>
      </w:r>
      <w:r>
        <w:rPr>
          <w:rStyle w:val="FootnoteReference"/>
        </w:rPr>
        <w:footnoteReference w:id="52"/>
      </w:r>
      <w:r>
        <w:t xml:space="preserve"> although there is no more explanation from Hesiod, no more mention of Aphrodite’s link to the ocean, and so this theory should be met with some cynicism.</w:t>
      </w:r>
    </w:p>
    <w:p w14:paraId="08875587" w14:textId="21293BBD" w:rsidR="000F2962" w:rsidRPr="00017DCD" w:rsidRDefault="001E28E0" w:rsidP="001A2D3F">
      <w:pPr>
        <w:spacing w:line="480" w:lineRule="auto"/>
      </w:pPr>
      <w:r>
        <w:t xml:space="preserve">Sale suggests instead that the myth of the birth of Aphrodite in the </w:t>
      </w:r>
      <w:r>
        <w:rPr>
          <w:i/>
        </w:rPr>
        <w:t xml:space="preserve">Theogony </w:t>
      </w:r>
      <w:r>
        <w:t xml:space="preserve">derived in part from a Cyprian cult myth, ‘in which Aphrodite was born from severed genitals but in which there seems originally to have been room neither for Uranus nor for the story of a succession </w:t>
      </w:r>
      <w:r>
        <w:lastRenderedPageBreak/>
        <w:t>of supreme deities’</w:t>
      </w:r>
      <w:r w:rsidR="00AB21F1">
        <w:t>,</w:t>
      </w:r>
      <w:r>
        <w:rPr>
          <w:rStyle w:val="FootnoteReference"/>
        </w:rPr>
        <w:footnoteReference w:id="53"/>
      </w:r>
      <w:r w:rsidR="00AB21F1">
        <w:t xml:space="preserve"> but this also must be met by some criticism; the </w:t>
      </w:r>
      <w:r w:rsidR="00AB21F1">
        <w:rPr>
          <w:i/>
        </w:rPr>
        <w:t xml:space="preserve">Theogony </w:t>
      </w:r>
      <w:r w:rsidR="00AB21F1">
        <w:t xml:space="preserve">and the </w:t>
      </w:r>
      <w:r w:rsidR="00AB21F1">
        <w:rPr>
          <w:i/>
        </w:rPr>
        <w:t xml:space="preserve">Iliad </w:t>
      </w:r>
      <w:r w:rsidR="00AB21F1">
        <w:t>were suspected to have been written around the same time, and so it can be assumed that Homer would have had similar knowledge of and access to the aforementioned Cypr</w:t>
      </w:r>
      <w:r w:rsidR="00017DCD">
        <w:t>ian cults</w:t>
      </w:r>
      <w:r w:rsidR="00AB21F1">
        <w:t xml:space="preserve">. Why, then, did Homer write Aphrodite to be the daughter of Zeus and Dione – certainly the birth of the love goddess does not have much bearing upon the plot of the </w:t>
      </w:r>
      <w:r w:rsidR="00AB21F1">
        <w:rPr>
          <w:i/>
        </w:rPr>
        <w:t>Iliad</w:t>
      </w:r>
      <w:r w:rsidR="00017DCD">
        <w:rPr>
          <w:i/>
        </w:rPr>
        <w:t xml:space="preserve">, </w:t>
      </w:r>
      <w:r w:rsidR="00017DCD">
        <w:t>it is hardly mentioned at all.</w:t>
      </w:r>
      <w:r w:rsidR="00AB21F1">
        <w:rPr>
          <w:i/>
        </w:rPr>
        <w:t xml:space="preserve"> </w:t>
      </w:r>
      <w:r w:rsidR="002529D6">
        <w:t xml:space="preserve"> It is also interesting to note that the goddess of sexual acts and sexual love is born from an act of sexual aggression and violence</w:t>
      </w:r>
      <w:r w:rsidR="00017DCD">
        <w:t xml:space="preserve">, and since Hesiod spent so much time detailing it, we can assume that there was something he was attempting to convey to his audience about Aphrodite. An inherently violent and negative birth surely precludes an inherently violent and negative life, but Aphrodite’s role in the </w:t>
      </w:r>
      <w:r w:rsidR="00017DCD">
        <w:rPr>
          <w:i/>
        </w:rPr>
        <w:t xml:space="preserve">Theogony </w:t>
      </w:r>
      <w:r w:rsidR="00017DCD">
        <w:t>is not so.</w:t>
      </w:r>
    </w:p>
    <w:p w14:paraId="2E78C398" w14:textId="47A071F7" w:rsidR="00D8658F" w:rsidRPr="001E28E0" w:rsidRDefault="000F2962" w:rsidP="001A2D3F">
      <w:pPr>
        <w:spacing w:line="480" w:lineRule="auto"/>
      </w:pPr>
      <w:r>
        <w:t>Aphrodite is ‘physical love incarnate and, like Eros, she affects gods and men, but there is always a disturbing, sensual concreteness about her’</w:t>
      </w:r>
      <w:r>
        <w:rPr>
          <w:rStyle w:val="FootnoteReference"/>
        </w:rPr>
        <w:footnoteReference w:id="54"/>
      </w:r>
      <w:r w:rsidR="00D8658F">
        <w:t xml:space="preserve"> in the </w:t>
      </w:r>
      <w:r w:rsidR="00D8658F">
        <w:rPr>
          <w:i/>
        </w:rPr>
        <w:t xml:space="preserve">Theogony, </w:t>
      </w:r>
      <w:r w:rsidR="00D8658F">
        <w:t>and ‘in the feminine form of alluring Aphrodite, [the] fundamental [procreative] urge is explicitly connected with notions of seduction and deception and becomes distinctly threatening’:</w:t>
      </w:r>
      <w:r w:rsidR="00D8658F">
        <w:rPr>
          <w:rStyle w:val="FootnoteReference"/>
        </w:rPr>
        <w:footnoteReference w:id="55"/>
      </w:r>
      <w:r w:rsidR="00D8658F">
        <w:t xml:space="preserve"> as soon as she is ‘born’</w:t>
      </w:r>
      <w:r w:rsidR="001E28E0">
        <w:t>, in a sense of the word,</w:t>
      </w:r>
      <w:r w:rsidR="00D8658F">
        <w:t xml:space="preserve"> she ‘possesses this honour and has received as her lot this portion among human beings and immortal gods – maidenly whispers and smiles and deceits and sweet delight and fondness and gentleness’.</w:t>
      </w:r>
      <w:r w:rsidR="00D8658F">
        <w:rPr>
          <w:rStyle w:val="FootnoteReference"/>
        </w:rPr>
        <w:footnoteReference w:id="56"/>
      </w:r>
      <w:r w:rsidR="00D8658F">
        <w:t xml:space="preserve"> Maidenly whispers, smiles, sweet delight, fondness, and gentleness are what an audience expects from the goddess of love, and Hesiod’s sly use of the word ‘deceits’ fit snug in the middle of this list may be evocative of more than his own apparent uneasiness with femininity.</w:t>
      </w:r>
      <w:r w:rsidR="001E28E0">
        <w:t xml:space="preserve"> What Aphrodite represents in the </w:t>
      </w:r>
      <w:r w:rsidR="001E28E0">
        <w:rPr>
          <w:i/>
        </w:rPr>
        <w:t xml:space="preserve">Theogony </w:t>
      </w:r>
      <w:r w:rsidR="001E28E0">
        <w:t xml:space="preserve">is unclear; Sale suggests that the involvement of Eros and Himerus from the beginning of Aphrodite’s life is symbolic, and that ‘the qualities they represent are a constant </w:t>
      </w:r>
      <w:r w:rsidR="001E28E0">
        <w:lastRenderedPageBreak/>
        <w:t>feature of her activity as a goddess’.</w:t>
      </w:r>
      <w:r w:rsidR="001E28E0">
        <w:rPr>
          <w:rStyle w:val="FootnoteReference"/>
        </w:rPr>
        <w:footnoteReference w:id="57"/>
      </w:r>
      <w:r w:rsidR="001E28E0">
        <w:t xml:space="preserve"> He suggests that Aphrodite represents the sexual act, Himerus represents sexual desire, and Eros represents procreation</w:t>
      </w:r>
      <w:r w:rsidR="002529D6">
        <w:rPr>
          <w:rStyle w:val="FootnoteReference"/>
        </w:rPr>
        <w:footnoteReference w:id="58"/>
      </w:r>
      <w:r w:rsidR="001E28E0">
        <w:t xml:space="preserve"> </w:t>
      </w:r>
      <w:r w:rsidR="002529D6">
        <w:t>(‘intimately connected in 120-2 with sexual desire’)</w:t>
      </w:r>
      <w:r w:rsidR="000453ED">
        <w:t>,</w:t>
      </w:r>
      <w:r w:rsidR="002529D6">
        <w:rPr>
          <w:rStyle w:val="FootnoteReference"/>
        </w:rPr>
        <w:footnoteReference w:id="59"/>
      </w:r>
      <w:r w:rsidR="000453ED">
        <w:t xml:space="preserve"> </w:t>
      </w:r>
      <w:r w:rsidR="0005342B">
        <w:t>and that they are thus all ‘present as the final development of sexuality’.</w:t>
      </w:r>
      <w:r w:rsidR="0005342B">
        <w:rPr>
          <w:rStyle w:val="FootnoteReference"/>
        </w:rPr>
        <w:footnoteReference w:id="60"/>
      </w:r>
      <w:r w:rsidR="00BB5E92">
        <w:t xml:space="preserve"> </w:t>
      </w:r>
    </w:p>
    <w:p w14:paraId="2D279CA9" w14:textId="2A3F554D" w:rsidR="00D8658F" w:rsidRPr="00BB5E92" w:rsidRDefault="00D8658F" w:rsidP="001A2D3F">
      <w:pPr>
        <w:spacing w:line="480" w:lineRule="auto"/>
      </w:pPr>
      <w:r>
        <w:t>We already know Aphrodite to be devious and deceitful and powerful</w:t>
      </w:r>
      <w:r w:rsidR="00A874DF">
        <w:t xml:space="preserve">, as seen in the </w:t>
      </w:r>
      <w:r w:rsidR="00A874DF">
        <w:rPr>
          <w:i/>
        </w:rPr>
        <w:t xml:space="preserve">Iliad, </w:t>
      </w:r>
      <w:r w:rsidR="00A874DF">
        <w:t xml:space="preserve">and here it would be fruitful to </w:t>
      </w:r>
      <w:r w:rsidR="0005342B">
        <w:t xml:space="preserve">turn from </w:t>
      </w:r>
      <w:r w:rsidR="00A874DF">
        <w:t xml:space="preserve">what Aphrodite </w:t>
      </w:r>
      <w:r w:rsidR="00A874DF" w:rsidRPr="0005342B">
        <w:rPr>
          <w:i/>
        </w:rPr>
        <w:t>represents</w:t>
      </w:r>
      <w:r w:rsidR="00A874DF">
        <w:t xml:space="preserve"> in Hesiod’s </w:t>
      </w:r>
      <w:r w:rsidR="00A874DF">
        <w:rPr>
          <w:i/>
        </w:rPr>
        <w:t xml:space="preserve">Theogony, </w:t>
      </w:r>
      <w:r w:rsidR="0005342B">
        <w:t>and to</w:t>
      </w:r>
      <w:r w:rsidR="00A874DF">
        <w:t xml:space="preserve"> what she </w:t>
      </w:r>
      <w:r w:rsidR="00A874DF">
        <w:rPr>
          <w:i/>
        </w:rPr>
        <w:t>create</w:t>
      </w:r>
      <w:r w:rsidR="00BB5E92">
        <w:rPr>
          <w:i/>
        </w:rPr>
        <w:t xml:space="preserve">s: </w:t>
      </w:r>
      <w:r w:rsidR="00BB5E92">
        <w:t xml:space="preserve">in terms of the narrative structure of the </w:t>
      </w:r>
      <w:r w:rsidR="00BB5E92">
        <w:rPr>
          <w:i/>
        </w:rPr>
        <w:t xml:space="preserve">Theogony, </w:t>
      </w:r>
      <w:r w:rsidR="00BB5E92">
        <w:t>Aphrodite’s main role is definitely intrinsically linked to childbirth and creation, and this probably stems from t</w:t>
      </w:r>
      <w:r w:rsidR="00A874DF">
        <w:t>he association of Aphrodite with sexual acts, sexual desire, and procreation connects her thus to childbirth, which is a new idea in mythology</w:t>
      </w:r>
      <w:r w:rsidR="00BB5E92">
        <w:t>.</w:t>
      </w:r>
      <w:r w:rsidR="00A874DF">
        <w:t xml:space="preserve"> Homer </w:t>
      </w:r>
      <w:r w:rsidR="00BB5E92">
        <w:t xml:space="preserve">had </w:t>
      </w:r>
      <w:r w:rsidR="00A874DF">
        <w:t>associated Aphrodite with ‘the act of love for its own sake, her sphere characterised by the desire to devote oneself to love-making as an end’</w:t>
      </w:r>
      <w:r w:rsidR="00BB5E92">
        <w:t>,</w:t>
      </w:r>
      <w:r w:rsidR="00A874DF">
        <w:rPr>
          <w:rStyle w:val="FootnoteReference"/>
        </w:rPr>
        <w:footnoteReference w:id="61"/>
      </w:r>
      <w:r w:rsidR="00BB5E92">
        <w:t xml:space="preserve"> and Hesiod’s break from this portrayal of Aphrodite and his linking her to procreation</w:t>
      </w:r>
      <w:r w:rsidR="00582679">
        <w:t xml:space="preserve"> has notable consequences/effects</w:t>
      </w:r>
      <w:r w:rsidR="00BB5E92">
        <w:t xml:space="preserve"> within the </w:t>
      </w:r>
      <w:r w:rsidR="00BB5E92">
        <w:rPr>
          <w:i/>
        </w:rPr>
        <w:t>Theogony</w:t>
      </w:r>
      <w:r w:rsidR="0005342B">
        <w:t>.</w:t>
      </w:r>
      <w:r w:rsidR="00A874DF">
        <w:t xml:space="preserve"> </w:t>
      </w:r>
    </w:p>
    <w:p w14:paraId="17A8856D" w14:textId="5C644118" w:rsidR="00A874DF" w:rsidRPr="00F57808" w:rsidRDefault="00A874DF" w:rsidP="001A2D3F">
      <w:pPr>
        <w:spacing w:line="480" w:lineRule="auto"/>
      </w:pPr>
      <w:r>
        <w:t>One</w:t>
      </w:r>
      <w:r w:rsidR="0005342B">
        <w:t xml:space="preserve"> such</w:t>
      </w:r>
      <w:r>
        <w:t xml:space="preserve"> notable ‘consequence’ of Aphrodite’s role in the </w:t>
      </w:r>
      <w:r>
        <w:rPr>
          <w:i/>
        </w:rPr>
        <w:t xml:space="preserve">Theogony </w:t>
      </w:r>
      <w:r>
        <w:t xml:space="preserve">is the birth of Medea, who went on to </w:t>
      </w:r>
      <w:r w:rsidR="00F57808">
        <w:t xml:space="preserve">assist the murder of </w:t>
      </w:r>
      <w:r>
        <w:t>her</w:t>
      </w:r>
      <w:r w:rsidR="00F57808">
        <w:t xml:space="preserve"> half-</w:t>
      </w:r>
      <w:r>
        <w:t>brother, Apsyrtus, so she could elope with Jason.</w:t>
      </w:r>
      <w:r w:rsidR="00F57808">
        <w:rPr>
          <w:rStyle w:val="FootnoteReference"/>
        </w:rPr>
        <w:footnoteReference w:id="62"/>
      </w:r>
      <w:r>
        <w:t xml:space="preserve"> She incites the murder of Pelias in Ovid’s </w:t>
      </w:r>
      <w:r>
        <w:rPr>
          <w:i/>
        </w:rPr>
        <w:t>Metamorphoses</w:t>
      </w:r>
      <w:r>
        <w:t>,</w:t>
      </w:r>
      <w:r>
        <w:rPr>
          <w:rStyle w:val="FootnoteReference"/>
        </w:rPr>
        <w:footnoteReference w:id="63"/>
      </w:r>
      <w:r>
        <w:t xml:space="preserve"> and </w:t>
      </w:r>
      <w:r w:rsidR="00F57808">
        <w:t xml:space="preserve">then in Euripides’ </w:t>
      </w:r>
      <w:r w:rsidR="00F57808">
        <w:rPr>
          <w:i/>
        </w:rPr>
        <w:t xml:space="preserve">Medea </w:t>
      </w:r>
      <w:r w:rsidR="00F57808">
        <w:t>she murders Creon and his daughter, and then her own children,</w:t>
      </w:r>
      <w:r w:rsidR="00F57808">
        <w:rPr>
          <w:rStyle w:val="FootnoteReference"/>
        </w:rPr>
        <w:footnoteReference w:id="64"/>
      </w:r>
      <w:r w:rsidR="00F57808">
        <w:t xml:space="preserve"> in revenge for Jason trying to marry Creon’s daughter.</w:t>
      </w:r>
    </w:p>
    <w:p w14:paraId="76001BFD" w14:textId="6D870C14" w:rsidR="009927F9" w:rsidRPr="00BB5E92" w:rsidRDefault="00FB0A48" w:rsidP="001A2D3F">
      <w:pPr>
        <w:spacing w:line="480" w:lineRule="auto"/>
      </w:pPr>
      <w:r>
        <w:t xml:space="preserve">Despite the fact that all of these texts were written after the </w:t>
      </w:r>
      <w:r>
        <w:rPr>
          <w:i/>
        </w:rPr>
        <w:t xml:space="preserve">Theogony, </w:t>
      </w:r>
      <w:r w:rsidR="00BB5E92">
        <w:t>(</w:t>
      </w:r>
      <w:r>
        <w:t>and so</w:t>
      </w:r>
      <w:r w:rsidR="00A874DF">
        <w:t xml:space="preserve"> these </w:t>
      </w:r>
      <w:r>
        <w:t>events</w:t>
      </w:r>
      <w:r w:rsidR="00A874DF">
        <w:t xml:space="preserve"> are not a result of Aphrodite’s power </w:t>
      </w:r>
      <w:r w:rsidRPr="00BB5E92">
        <w:rPr>
          <w:i/>
        </w:rPr>
        <w:t>with</w:t>
      </w:r>
      <w:r w:rsidR="00A874DF" w:rsidRPr="00BB5E92">
        <w:rPr>
          <w:i/>
        </w:rPr>
        <w:t>in the text</w:t>
      </w:r>
      <w:r w:rsidR="00BB5E92">
        <w:t>)</w:t>
      </w:r>
      <w:r w:rsidR="009966BC">
        <w:rPr>
          <w:i/>
        </w:rPr>
        <w:t>,</w:t>
      </w:r>
      <w:r w:rsidR="00582679">
        <w:rPr>
          <w:i/>
        </w:rPr>
        <w:t xml:space="preserve"> </w:t>
      </w:r>
      <w:r w:rsidR="00370356" w:rsidRPr="00582679">
        <w:t xml:space="preserve">Hesiod’s </w:t>
      </w:r>
      <w:r>
        <w:t xml:space="preserve">potential </w:t>
      </w:r>
      <w:r w:rsidR="00370356" w:rsidRPr="00582679">
        <w:t xml:space="preserve">disdain of women </w:t>
      </w:r>
      <w:r w:rsidR="00582679" w:rsidRPr="00582679">
        <w:lastRenderedPageBreak/>
        <w:t xml:space="preserve">and </w:t>
      </w:r>
      <w:r w:rsidR="006C4120">
        <w:t xml:space="preserve">his </w:t>
      </w:r>
      <w:r w:rsidR="00582679" w:rsidRPr="00582679">
        <w:t>portrayal of Aphrodite as being devious and deceitful could have contributed to the way Medea was consequently portrayed in the works of Apollonius of Rhodes and Euripides</w:t>
      </w:r>
      <w:r w:rsidR="00582679">
        <w:t xml:space="preserve">, because Hesiod explicitly mentions that Medea was born to Aeetes and </w:t>
      </w:r>
      <w:proofErr w:type="spellStart"/>
      <w:r w:rsidR="00582679">
        <w:t>Idyia</w:t>
      </w:r>
      <w:proofErr w:type="spellEnd"/>
      <w:r w:rsidR="00582679">
        <w:t xml:space="preserve"> as a result of being ‘overpowered in love because of golden Aphrodite’.</w:t>
      </w:r>
      <w:r w:rsidR="00582679">
        <w:rPr>
          <w:rStyle w:val="FootnoteReference"/>
        </w:rPr>
        <w:footnoteReference w:id="65"/>
      </w:r>
      <w:r w:rsidR="00BB5E92">
        <w:t xml:space="preserve"> If one considers Hesiod’s aggressive version of Aphrodite’s birth in the </w:t>
      </w:r>
      <w:r w:rsidR="00BB5E92">
        <w:rPr>
          <w:i/>
        </w:rPr>
        <w:t xml:space="preserve">Theogony, </w:t>
      </w:r>
      <w:r w:rsidR="00BB5E92">
        <w:t>combined with the negative terms he uses to describe her, it is no real reach to assume that readers will feel negatively about not only Aphrodite, but everything that she is responsible for within the text.</w:t>
      </w:r>
    </w:p>
    <w:p w14:paraId="2EB0FE0B" w14:textId="710673F8" w:rsidR="00993C9B" w:rsidRPr="009D5165" w:rsidRDefault="00993C9B" w:rsidP="001A2D3F">
      <w:pPr>
        <w:spacing w:line="480" w:lineRule="auto"/>
      </w:pPr>
      <w:r>
        <w:t xml:space="preserve">Continuing the idea that Aphrodite used her power of seduction and love/lust in the </w:t>
      </w:r>
      <w:r>
        <w:rPr>
          <w:i/>
        </w:rPr>
        <w:t xml:space="preserve">Theogony, </w:t>
      </w:r>
      <w:r>
        <w:t xml:space="preserve">after her birth, the main mentions of her in the rest of the text only come when other figures bear children ‘because of golden Aphrodite’. She may not have the same kind of power and influence as Homer gives her in the </w:t>
      </w:r>
      <w:r>
        <w:rPr>
          <w:i/>
        </w:rPr>
        <w:t xml:space="preserve">Iliad, </w:t>
      </w:r>
      <w:r>
        <w:t xml:space="preserve">but the </w:t>
      </w:r>
      <w:r>
        <w:rPr>
          <w:i/>
        </w:rPr>
        <w:t xml:space="preserve">Theogony </w:t>
      </w:r>
      <w:r>
        <w:t>is not that kind of narrative</w:t>
      </w:r>
      <w:r w:rsidR="009D5165">
        <w:t xml:space="preserve">, and Hesiod still attributes much of the events of the </w:t>
      </w:r>
      <w:r w:rsidR="009D5165">
        <w:rPr>
          <w:i/>
        </w:rPr>
        <w:t xml:space="preserve">Theogony </w:t>
      </w:r>
      <w:r w:rsidR="009D5165">
        <w:t>to her and the influence that she has over people.</w:t>
      </w:r>
      <w:r w:rsidR="004A3F09">
        <w:t xml:space="preserve"> She is responsible for the birth of </w:t>
      </w:r>
      <w:proofErr w:type="spellStart"/>
      <w:r w:rsidR="004A3F09">
        <w:t>Geryoneus</w:t>
      </w:r>
      <w:proofErr w:type="spellEnd"/>
      <w:r w:rsidR="004A3F09">
        <w:t xml:space="preserve">, the strongest of all mortals, born to Ocean’s daughter, </w:t>
      </w:r>
      <w:proofErr w:type="spellStart"/>
      <w:r w:rsidR="004A3F09">
        <w:t>Callirhoe</w:t>
      </w:r>
      <w:proofErr w:type="spellEnd"/>
      <w:r w:rsidR="004A3F09">
        <w:t xml:space="preserve">, and </w:t>
      </w:r>
      <w:proofErr w:type="spellStart"/>
      <w:r w:rsidR="004A3F09">
        <w:t>Chrysaor</w:t>
      </w:r>
      <w:proofErr w:type="spellEnd"/>
      <w:r w:rsidR="0082714D">
        <w:t>,</w:t>
      </w:r>
      <w:r w:rsidR="0082714D">
        <w:rPr>
          <w:rStyle w:val="FootnoteReference"/>
        </w:rPr>
        <w:footnoteReference w:id="66"/>
      </w:r>
      <w:r w:rsidR="0082714D">
        <w:t xml:space="preserve"> and she is not exempt from childbirth herself: she appears as ‘an active participant in the sexual union, bearing offspring to Ares</w:t>
      </w:r>
      <w:r w:rsidR="0082714D">
        <w:rPr>
          <w:rStyle w:val="FootnoteReference"/>
        </w:rPr>
        <w:footnoteReference w:id="67"/>
      </w:r>
      <w:r w:rsidR="0082714D">
        <w:t xml:space="preserve"> and Anchises’</w:t>
      </w:r>
      <w:r w:rsidR="00621030">
        <w:t>.</w:t>
      </w:r>
      <w:r w:rsidR="0082714D">
        <w:rPr>
          <w:rStyle w:val="FootnoteReference"/>
        </w:rPr>
        <w:footnoteReference w:id="68"/>
      </w:r>
      <w:r w:rsidR="00621030">
        <w:t xml:space="preserve"> </w:t>
      </w:r>
    </w:p>
    <w:p w14:paraId="73316D1F" w14:textId="607460DE" w:rsidR="003A60F5" w:rsidRDefault="009927F9" w:rsidP="00621030">
      <w:pPr>
        <w:spacing w:line="480" w:lineRule="auto"/>
      </w:pPr>
      <w:r>
        <w:t xml:space="preserve">To conclude, Sale writes that Hesiod might have offered a conflicting myth for the birth of Aphrodite to Homer’s version because he wanted Aphrodite’s role in the </w:t>
      </w:r>
      <w:r>
        <w:rPr>
          <w:i/>
        </w:rPr>
        <w:t xml:space="preserve">Theogony </w:t>
      </w:r>
      <w:r>
        <w:t>to be clearly defined; so that she is ‘not the goddess of beauty except insofar as beauty is one part of the act of love’.</w:t>
      </w:r>
      <w:r>
        <w:rPr>
          <w:rStyle w:val="FootnoteReference"/>
        </w:rPr>
        <w:footnoteReference w:id="69"/>
      </w:r>
      <w:r>
        <w:t xml:space="preserve"> </w:t>
      </w:r>
      <w:r w:rsidR="00621030">
        <w:t xml:space="preserve">She also serves the </w:t>
      </w:r>
      <w:r w:rsidR="00621030">
        <w:rPr>
          <w:i/>
        </w:rPr>
        <w:t xml:space="preserve">Theogony </w:t>
      </w:r>
      <w:r w:rsidR="00621030">
        <w:t>as ‘the procreative urge essential to the human race, as well as deception and seduction’</w:t>
      </w:r>
      <w:r w:rsidR="0035181D">
        <w:t>,</w:t>
      </w:r>
      <w:r w:rsidR="00621030">
        <w:rPr>
          <w:rStyle w:val="FootnoteReference"/>
        </w:rPr>
        <w:footnoteReference w:id="70"/>
      </w:r>
      <w:r w:rsidR="0035181D">
        <w:t xml:space="preserve"> </w:t>
      </w:r>
      <w:r w:rsidR="008C10DB">
        <w:t xml:space="preserve">so it can be claimed that childbirth is her </w:t>
      </w:r>
      <w:r w:rsidR="008C10DB">
        <w:lastRenderedPageBreak/>
        <w:t xml:space="preserve">main source of power in this text. Her influence over people that causes them to fall in love and procreate could lend itself to the suggestion that Aphrodite then becomes a sort of maternal figure to </w:t>
      </w:r>
      <w:proofErr w:type="gramStart"/>
      <w:r w:rsidR="008C10DB">
        <w:t>all of</w:t>
      </w:r>
      <w:proofErr w:type="gramEnd"/>
      <w:r w:rsidR="008C10DB">
        <w:t xml:space="preserve"> the people whose births she is responsible for. This ties in with the maternal aspects of her figure in the </w:t>
      </w:r>
      <w:r w:rsidR="008C10DB">
        <w:rPr>
          <w:i/>
        </w:rPr>
        <w:t xml:space="preserve">Iliad, </w:t>
      </w:r>
      <w:r w:rsidR="008C10DB">
        <w:t xml:space="preserve">but also tentatively suggests a new lens through which to look at her: as somebody who </w:t>
      </w:r>
      <w:proofErr w:type="gramStart"/>
      <w:r w:rsidR="008C10DB">
        <w:t>is capable of creating</w:t>
      </w:r>
      <w:proofErr w:type="gramEnd"/>
      <w:r w:rsidR="008C10DB">
        <w:t xml:space="preserve"> chaos and disorder whenever she wants to.</w:t>
      </w:r>
    </w:p>
    <w:p w14:paraId="1F727FF7" w14:textId="0E438F3B" w:rsidR="00873C1F" w:rsidRPr="00582679" w:rsidRDefault="00873C1F" w:rsidP="00621030">
      <w:pPr>
        <w:spacing w:line="480" w:lineRule="auto"/>
      </w:pPr>
      <w:r w:rsidRPr="00582679">
        <w:br w:type="page"/>
      </w:r>
    </w:p>
    <w:p w14:paraId="065F2E5B" w14:textId="13B5E31A" w:rsidR="003056FC" w:rsidRDefault="004E76BC" w:rsidP="003056FC">
      <w:pPr>
        <w:pStyle w:val="Heading1"/>
        <w:numPr>
          <w:ilvl w:val="0"/>
          <w:numId w:val="6"/>
        </w:numPr>
        <w:rPr>
          <w:rFonts w:ascii="Times New Roman" w:hAnsi="Times New Roman" w:cs="Times New Roman"/>
          <w:i/>
          <w:color w:val="auto"/>
        </w:rPr>
      </w:pPr>
      <w:bookmarkStart w:id="6" w:name="_Toc513681260"/>
      <w:r w:rsidRPr="00CF3778">
        <w:rPr>
          <w:rFonts w:ascii="Times New Roman" w:hAnsi="Times New Roman" w:cs="Times New Roman"/>
          <w:color w:val="auto"/>
        </w:rPr>
        <w:lastRenderedPageBreak/>
        <w:t xml:space="preserve">Aphrodite in the </w:t>
      </w:r>
      <w:r w:rsidRPr="00CF3778">
        <w:rPr>
          <w:rFonts w:ascii="Times New Roman" w:hAnsi="Times New Roman" w:cs="Times New Roman"/>
          <w:i/>
          <w:color w:val="auto"/>
        </w:rPr>
        <w:t>Homeric Hymns</w:t>
      </w:r>
      <w:bookmarkEnd w:id="6"/>
    </w:p>
    <w:p w14:paraId="43D6281F" w14:textId="77777777" w:rsidR="00C47C71" w:rsidRPr="00C47C71" w:rsidRDefault="00C47C71" w:rsidP="00C47C71"/>
    <w:p w14:paraId="73715517" w14:textId="1D3334CB" w:rsidR="00D05629" w:rsidRDefault="003056FC" w:rsidP="00C47C71">
      <w:pPr>
        <w:spacing w:line="480" w:lineRule="auto"/>
        <w:ind w:firstLine="360"/>
      </w:pPr>
      <w:r w:rsidRPr="003056FC">
        <w:t>The Homeric Hymns were written as a traditional form of praise poetry,</w:t>
      </w:r>
      <w:r>
        <w:rPr>
          <w:rStyle w:val="FootnoteReference"/>
        </w:rPr>
        <w:footnoteReference w:id="71"/>
      </w:r>
      <w:r w:rsidRPr="003056FC">
        <w:t xml:space="preserve"> and ‘present</w:t>
      </w:r>
      <w:r>
        <w:t xml:space="preserve"> an epiphany of the god and an aetiology of his or her powers’.</w:t>
      </w:r>
      <w:r>
        <w:rPr>
          <w:rStyle w:val="FootnoteReference"/>
        </w:rPr>
        <w:footnoteReference w:id="72"/>
      </w:r>
      <w:r>
        <w:t xml:space="preserve"> They were written as a ‘collection of anonymous poems of varying length and quality </w:t>
      </w:r>
      <w:r w:rsidR="00D05629">
        <w:t>celebrating the gods and goddesses of the Greek pantheon and composed for the most part around the seventh century B.C.’</w:t>
      </w:r>
      <w:r w:rsidR="002F01E3">
        <w:t>.</w:t>
      </w:r>
      <w:r w:rsidR="00D05629">
        <w:rPr>
          <w:rStyle w:val="FootnoteReference"/>
        </w:rPr>
        <w:footnoteReference w:id="73"/>
      </w:r>
      <w:r w:rsidR="00D05629">
        <w:t xml:space="preserve"> </w:t>
      </w:r>
      <w:r w:rsidR="002F01E3">
        <w:t>T</w:t>
      </w:r>
      <w:r w:rsidR="00D05629">
        <w:t xml:space="preserve">here are thirty three </w:t>
      </w:r>
      <w:r w:rsidR="00D05629">
        <w:rPr>
          <w:i/>
        </w:rPr>
        <w:t xml:space="preserve">Hymns </w:t>
      </w:r>
      <w:r w:rsidR="00D05629">
        <w:t>in total that survive to us. Fifteen of the thirty-three are to nine separate goddesses, and Aphrodite has three.</w:t>
      </w:r>
      <w:r w:rsidR="00CA4A1B">
        <w:t xml:space="preserve"> There is a question of authorship to be addressed: ‘the ancients had no hesitation in attributing the </w:t>
      </w:r>
      <w:r w:rsidR="002F01E3">
        <w:t>hymns to Homer’,</w:t>
      </w:r>
      <w:r w:rsidR="002F01E3">
        <w:rPr>
          <w:rStyle w:val="FootnoteReference"/>
        </w:rPr>
        <w:footnoteReference w:id="74"/>
      </w:r>
      <w:r w:rsidR="002F01E3">
        <w:t xml:space="preserve"> Sargent writes, citing Thucydides, Pausanias, and Shelley. ‘But today it is generally accepted that the hymns are not the work of Homer but were composed </w:t>
      </w:r>
      <w:proofErr w:type="gramStart"/>
      <w:r w:rsidR="002F01E3">
        <w:t>at a later date</w:t>
      </w:r>
      <w:proofErr w:type="gramEnd"/>
      <w:r w:rsidR="002F01E3">
        <w:t xml:space="preserve"> by a number of poets, whose identity has been lost’.</w:t>
      </w:r>
      <w:r w:rsidR="002F01E3">
        <w:rPr>
          <w:rStyle w:val="FootnoteReference"/>
        </w:rPr>
        <w:footnoteReference w:id="75"/>
      </w:r>
      <w:r w:rsidR="002F01E3">
        <w:t xml:space="preserve"> </w:t>
      </w:r>
    </w:p>
    <w:p w14:paraId="74CA43B4" w14:textId="7A199A27" w:rsidR="003056FC" w:rsidRDefault="00D05629" w:rsidP="00C47C71">
      <w:pPr>
        <w:spacing w:line="480" w:lineRule="auto"/>
      </w:pPr>
      <w:r>
        <w:t xml:space="preserve">It is important to note that almost half of them are addressed to female deities, especially </w:t>
      </w:r>
      <w:proofErr w:type="gramStart"/>
      <w:r>
        <w:t>in light of</w:t>
      </w:r>
      <w:proofErr w:type="gramEnd"/>
      <w:r>
        <w:t xml:space="preserve"> the previous discussions of the </w:t>
      </w:r>
      <w:r>
        <w:rPr>
          <w:i/>
        </w:rPr>
        <w:t xml:space="preserve">Iliad, </w:t>
      </w:r>
      <w:r>
        <w:t xml:space="preserve">and the </w:t>
      </w:r>
      <w:r>
        <w:rPr>
          <w:i/>
        </w:rPr>
        <w:t xml:space="preserve">Theogony – </w:t>
      </w:r>
      <w:r>
        <w:t xml:space="preserve">both of which are very male dominated, and thus the </w:t>
      </w:r>
      <w:r>
        <w:rPr>
          <w:i/>
        </w:rPr>
        <w:t xml:space="preserve">Hymns </w:t>
      </w:r>
      <w:r>
        <w:t>are useful in examining the roles of the goddesses in the pantheon</w:t>
      </w:r>
      <w:r w:rsidR="00CA4A1B">
        <w:t>; Aphrodite in particular.</w:t>
      </w:r>
    </w:p>
    <w:p w14:paraId="2EFBE7CA" w14:textId="2C5BEE28" w:rsidR="00D05629" w:rsidRPr="00CA4A1B" w:rsidRDefault="00D05629" w:rsidP="00C47C71">
      <w:pPr>
        <w:spacing w:line="480" w:lineRule="auto"/>
      </w:pPr>
      <w:r>
        <w:t xml:space="preserve">The fifth </w:t>
      </w:r>
      <w:r>
        <w:rPr>
          <w:i/>
        </w:rPr>
        <w:t xml:space="preserve">Homeric Hymn </w:t>
      </w:r>
      <w:r>
        <w:t>is to Aphrodite</w:t>
      </w:r>
      <w:r w:rsidR="002F01E3">
        <w:t xml:space="preserve"> is thought to be the earliest </w:t>
      </w:r>
      <w:r w:rsidR="002F01E3">
        <w:rPr>
          <w:i/>
        </w:rPr>
        <w:t xml:space="preserve">Hymn </w:t>
      </w:r>
      <w:r w:rsidR="002F01E3">
        <w:t>to be recorded</w:t>
      </w:r>
      <w:r>
        <w:t>,</w:t>
      </w:r>
      <w:r w:rsidR="002F01E3">
        <w:t xml:space="preserve"> ‘probably dating back to the eighth century’,</w:t>
      </w:r>
      <w:r w:rsidR="002F01E3">
        <w:rPr>
          <w:rStyle w:val="FootnoteReference"/>
        </w:rPr>
        <w:footnoteReference w:id="76"/>
      </w:r>
      <w:r>
        <w:t xml:space="preserve"> and Bergren suggests that ‘the traditional rhetoric of the </w:t>
      </w:r>
      <w:r>
        <w:rPr>
          <w:i/>
        </w:rPr>
        <w:t xml:space="preserve">Homeric Hymn to Aphrodite </w:t>
      </w:r>
      <w:r>
        <w:t>is subversive of the genre, producing a complex and ambiguous ‘first cause’ that praises and blames its goddess’.</w:t>
      </w:r>
      <w:r>
        <w:rPr>
          <w:rStyle w:val="FootnoteReference"/>
        </w:rPr>
        <w:footnoteReference w:id="77"/>
      </w:r>
      <w:r>
        <w:t xml:space="preserve"> It is true that this </w:t>
      </w:r>
      <w:r>
        <w:rPr>
          <w:i/>
        </w:rPr>
        <w:t xml:space="preserve">Hymn </w:t>
      </w:r>
      <w:r>
        <w:t xml:space="preserve">is less celebratory </w:t>
      </w:r>
      <w:r w:rsidR="00CA4A1B">
        <w:t xml:space="preserve">than the others, but it also tells us a lot about the ways that Aphrodite’s </w:t>
      </w:r>
      <w:r w:rsidR="00CA4A1B">
        <w:lastRenderedPageBreak/>
        <w:t xml:space="preserve">sexuality, seduction, and femininity are wielded by herself against others, and the consequences that occur as a result of </w:t>
      </w:r>
      <w:r w:rsidR="002F01E3">
        <w:t>that</w:t>
      </w:r>
      <w:r w:rsidR="00CA4A1B">
        <w:t xml:space="preserve">. It also gives the audience a glimpse of just how important, destructive, and threatening she was – even Zeus feels threatened enough by her that he takes steps </w:t>
      </w:r>
      <w:proofErr w:type="gramStart"/>
      <w:r w:rsidR="00CA4A1B">
        <w:t>in an attempt to</w:t>
      </w:r>
      <w:proofErr w:type="gramEnd"/>
      <w:r w:rsidR="00CA4A1B">
        <w:t xml:space="preserve"> put her back into place in the divine hierarchy. It comes as quite a shock that Aphrodite, the ‘lover of smiles’, the embodiment of femininity and sexual love could wield enough power to threaten the ‘storm god’ himself, but the </w:t>
      </w:r>
      <w:r w:rsidR="00CA4A1B">
        <w:rPr>
          <w:i/>
        </w:rPr>
        <w:t xml:space="preserve">Hymn </w:t>
      </w:r>
      <w:r w:rsidR="00CA4A1B">
        <w:t>demonstrates that it is perhaps not such an outlandish idea that society would have us believe.</w:t>
      </w:r>
    </w:p>
    <w:p w14:paraId="3B6D4396" w14:textId="77777777" w:rsidR="003766B3" w:rsidRDefault="00AC2D27" w:rsidP="00C47C71">
      <w:pPr>
        <w:spacing w:line="480" w:lineRule="auto"/>
      </w:pPr>
      <w:r>
        <w:t>It has been suggested that</w:t>
      </w:r>
      <w:r w:rsidR="00F01C1A">
        <w:t xml:space="preserve"> the fifth </w:t>
      </w:r>
      <w:r w:rsidR="00F01C1A">
        <w:rPr>
          <w:i/>
        </w:rPr>
        <w:t>Homeric Hymn</w:t>
      </w:r>
      <w:r>
        <w:rPr>
          <w:i/>
        </w:rPr>
        <w:t xml:space="preserve"> </w:t>
      </w:r>
      <w:r>
        <w:t>is perhaps ‘the most important, and indeed the most striking appearance of Aphrodite’</w:t>
      </w:r>
      <w:r w:rsidR="00964180">
        <w:t>,</w:t>
      </w:r>
      <w:r>
        <w:rPr>
          <w:rStyle w:val="FootnoteReference"/>
        </w:rPr>
        <w:footnoteReference w:id="78"/>
      </w:r>
      <w:r w:rsidR="00964180">
        <w:t xml:space="preserve"> which is true</w:t>
      </w:r>
      <w:r w:rsidR="0040323D">
        <w:t>;</w:t>
      </w:r>
      <w:r w:rsidR="00964180">
        <w:t xml:space="preserve"> certainly it lends more of an analysis of the consequences and weight of her weaponised power of sexuality than previously seen in the works of Homer or Hesiod</w:t>
      </w:r>
      <w:r w:rsidR="005D04AE">
        <w:t xml:space="preserve"> with the exception of the forthcoming analysis of Euripides’ </w:t>
      </w:r>
      <w:r w:rsidR="005D04AE">
        <w:rPr>
          <w:i/>
        </w:rPr>
        <w:t>Hippolytus</w:t>
      </w:r>
      <w:r w:rsidR="0040323D">
        <w:rPr>
          <w:i/>
        </w:rPr>
        <w:t xml:space="preserve">. </w:t>
      </w:r>
      <w:r w:rsidR="003766B3">
        <w:t xml:space="preserve">‘Prevalent in the narrative of the </w:t>
      </w:r>
      <w:r w:rsidR="003766B3">
        <w:rPr>
          <w:i/>
        </w:rPr>
        <w:t xml:space="preserve">Hymn to Aphrodite </w:t>
      </w:r>
      <w:r w:rsidR="003766B3">
        <w:t>is the image of erotic love, both wielded and suffered by the goddess herself, as a violent force that subdues the bodies and minds of all but a few victims,</w:t>
      </w:r>
      <w:r w:rsidR="003766B3">
        <w:rPr>
          <w:rStyle w:val="FootnoteReference"/>
        </w:rPr>
        <w:footnoteReference w:id="79"/>
      </w:r>
      <w:r w:rsidR="003766B3">
        <w:t xml:space="preserve"> and it is the ‘aim of the </w:t>
      </w:r>
      <w:r w:rsidR="003766B3">
        <w:rPr>
          <w:i/>
        </w:rPr>
        <w:t xml:space="preserve">Hymn </w:t>
      </w:r>
      <w:r w:rsidR="003766B3">
        <w:t>to show that this metaphorical divinity of sex is, insofar as [Zeus] “tames” Aphrodite, more “real” than the goddess of sex herself, more able than she to control the power she embodies’.</w:t>
      </w:r>
      <w:r w:rsidR="003766B3">
        <w:rPr>
          <w:rStyle w:val="FootnoteReference"/>
        </w:rPr>
        <w:footnoteReference w:id="80"/>
      </w:r>
    </w:p>
    <w:p w14:paraId="483221A7" w14:textId="738437A6" w:rsidR="004101B8" w:rsidRDefault="003766B3" w:rsidP="00C47C71">
      <w:pPr>
        <w:spacing w:line="480" w:lineRule="auto"/>
      </w:pPr>
      <w:r>
        <w:t xml:space="preserve">The ‘few’ that can resist Aphrodite’s will of power are mentioned in the </w:t>
      </w:r>
      <w:r>
        <w:rPr>
          <w:i/>
        </w:rPr>
        <w:t xml:space="preserve">Hymn </w:t>
      </w:r>
      <w:r>
        <w:t>and named as her ‘opposition’ – Athena, Artemis, and Hestia, the virgin goddesses – who Aphrodite is ‘powerless either to persuade or deceive’</w:t>
      </w:r>
      <w:r w:rsidR="007017C8">
        <w:t>,</w:t>
      </w:r>
      <w:r>
        <w:rPr>
          <w:rStyle w:val="FootnoteReference"/>
        </w:rPr>
        <w:footnoteReference w:id="81"/>
      </w:r>
      <w:r w:rsidR="007017C8">
        <w:t xml:space="preserve"> ‘Never does Aphrodite lover of smiles subdue in love noisy Artemis with the golden arrows’.</w:t>
      </w:r>
      <w:r w:rsidR="007017C8">
        <w:rPr>
          <w:rStyle w:val="FootnoteReference"/>
        </w:rPr>
        <w:footnoteReference w:id="82"/>
      </w:r>
      <w:r>
        <w:t xml:space="preserve"> Lines 34-35 of the </w:t>
      </w:r>
      <w:r>
        <w:rPr>
          <w:i/>
        </w:rPr>
        <w:t xml:space="preserve">Hymn </w:t>
      </w:r>
      <w:r>
        <w:t xml:space="preserve">assert that apart from </w:t>
      </w:r>
      <w:r>
        <w:lastRenderedPageBreak/>
        <w:t>these three goddesses, no god or mortal can ‘escape’ her seductive influence.</w:t>
      </w:r>
      <w:r>
        <w:rPr>
          <w:rStyle w:val="FootnoteReference"/>
        </w:rPr>
        <w:footnoteReference w:id="83"/>
      </w:r>
      <w:r w:rsidR="004101B8">
        <w:t xml:space="preserve"> This is, of course, a fair assessment, and thus the structure of the </w:t>
      </w:r>
      <w:r w:rsidR="004101B8">
        <w:rPr>
          <w:i/>
        </w:rPr>
        <w:t xml:space="preserve">Hymn </w:t>
      </w:r>
      <w:r w:rsidR="004101B8">
        <w:t>is set up – presenting a narrative in which the goddess’s powers are turned against her and Zeus forces her to fall in love with, and sleep with, a mortal man.</w:t>
      </w:r>
    </w:p>
    <w:p w14:paraId="0BC16987" w14:textId="320D7208" w:rsidR="000C2441" w:rsidRDefault="004222BC" w:rsidP="00C47C71">
      <w:pPr>
        <w:spacing w:line="480" w:lineRule="auto"/>
      </w:pPr>
      <w:r>
        <w:t xml:space="preserve">The start of the </w:t>
      </w:r>
      <w:r>
        <w:rPr>
          <w:i/>
        </w:rPr>
        <w:t xml:space="preserve">Hymn </w:t>
      </w:r>
      <w:r>
        <w:t>places ‘clear emphasis on the wily, deceitful nature of Aphrodite, and asserts that her greatest power lies in her cunning ability to confuse of impair the minds of her victims in love’,</w:t>
      </w:r>
      <w:r>
        <w:rPr>
          <w:rStyle w:val="FootnoteReference"/>
        </w:rPr>
        <w:footnoteReference w:id="84"/>
      </w:r>
      <w:r>
        <w:t xml:space="preserve"> and this is something that has been present throughout the </w:t>
      </w:r>
      <w:r>
        <w:rPr>
          <w:i/>
        </w:rPr>
        <w:t xml:space="preserve">Iliad, </w:t>
      </w:r>
      <w:r>
        <w:t xml:space="preserve">and the </w:t>
      </w:r>
      <w:r>
        <w:rPr>
          <w:i/>
        </w:rPr>
        <w:t xml:space="preserve">Theogony, </w:t>
      </w:r>
      <w:r>
        <w:t xml:space="preserve">but in this </w:t>
      </w:r>
      <w:r>
        <w:rPr>
          <w:i/>
        </w:rPr>
        <w:t xml:space="preserve">Hymn </w:t>
      </w:r>
      <w:r>
        <w:t>it is Aphrodite herself on the receiving end of the confusion and impairment</w:t>
      </w:r>
      <w:r w:rsidR="009B223F">
        <w:t>:</w:t>
      </w:r>
    </w:p>
    <w:p w14:paraId="7DF2CE14" w14:textId="56A6FDFB" w:rsidR="000C2441" w:rsidRDefault="009B223F" w:rsidP="00C47C71">
      <w:pPr>
        <w:spacing w:line="480" w:lineRule="auto"/>
        <w:ind w:left="360"/>
        <w:rPr>
          <w:i/>
        </w:rPr>
      </w:pPr>
      <w:r w:rsidRPr="009B223F">
        <w:rPr>
          <w:i/>
        </w:rPr>
        <w:t>‘But into the heart of Aphrodite herself Zeus cast sweet longing to lie in love with a man, that not even she should escape the marriage bed of a mortal, lest that at some time Aphrodite, lover of smiles, laughing sweetly in triumph, should boast that among all the gods she had joined gods together with women of mortal mankind, who bore mortal sons to immortals, and mated with goddesses men.’</w:t>
      </w:r>
      <w:r>
        <w:rPr>
          <w:rStyle w:val="FootnoteReference"/>
          <w:i/>
        </w:rPr>
        <w:footnoteReference w:id="85"/>
      </w:r>
    </w:p>
    <w:p w14:paraId="5F6A577B" w14:textId="65737710" w:rsidR="0012131D" w:rsidRDefault="0012131D" w:rsidP="00C47C71">
      <w:pPr>
        <w:spacing w:line="480" w:lineRule="auto"/>
      </w:pPr>
      <w:r>
        <w:t xml:space="preserve">The question of motivation is presented here: why does Zeus feel the need to do this? Is it so that Aphrodite loses her grounds to ‘boast’? Does it work in the hope that it might deter her from manipulating the gods any further – that she will be ashamed, that she might finally understand the shame of laying with a mortal? Or does it simply work to undermine her own power; the demonstration that she is not the only one who can cause that </w:t>
      </w:r>
      <w:proofErr w:type="gramStart"/>
      <w:r>
        <w:t>particular brand</w:t>
      </w:r>
      <w:proofErr w:type="gramEnd"/>
      <w:r>
        <w:t xml:space="preserve"> of manipulation?</w:t>
      </w:r>
      <w:r w:rsidR="00C27C1B">
        <w:t xml:space="preserve"> </w:t>
      </w:r>
    </w:p>
    <w:p w14:paraId="19AB89DD" w14:textId="641C26FF" w:rsidR="00ED4F24" w:rsidRDefault="00ED4F24" w:rsidP="00C47C71">
      <w:pPr>
        <w:spacing w:line="480" w:lineRule="auto"/>
      </w:pPr>
      <w:r>
        <w:lastRenderedPageBreak/>
        <w:t>Bergren calls this exchange of power ‘sexual domination’,</w:t>
      </w:r>
      <w:r>
        <w:rPr>
          <w:rStyle w:val="FootnoteReference"/>
        </w:rPr>
        <w:footnoteReference w:id="86"/>
      </w:r>
      <w:r>
        <w:t xml:space="preserve"> and in the context of the hierarchy of beings it does make sense: that </w:t>
      </w:r>
      <w:r w:rsidR="00A135AB">
        <w:t>‘mortals are positioned below gods but above beasts: divinities are to humans as humans are to beasts’.</w:t>
      </w:r>
      <w:r w:rsidR="00A135AB">
        <w:rPr>
          <w:rStyle w:val="FootnoteReference"/>
        </w:rPr>
        <w:footnoteReference w:id="87"/>
      </w:r>
      <w:r w:rsidR="00A135AB">
        <w:t xml:space="preserve"> The idea that a deity engaging in sexual acts with a mortal is akin to bestiality allows the audience to grasp the full weight of Aphrodite’s powerful influence over gods and men alike, and the shame and violation that such manipulation brings insists that Aphrodite has much more power to wield than initially suggested.</w:t>
      </w:r>
    </w:p>
    <w:p w14:paraId="2710ED50" w14:textId="55E6CB5F" w:rsidR="00A135AB" w:rsidRDefault="00A135AB" w:rsidP="00C47C71">
      <w:pPr>
        <w:spacing w:line="480" w:lineRule="auto"/>
      </w:pPr>
      <w:r>
        <w:t xml:space="preserve">She, inflicted with desire, disguises herself – a move that could be compared to her disguise in the </w:t>
      </w:r>
      <w:r>
        <w:rPr>
          <w:i/>
        </w:rPr>
        <w:t xml:space="preserve">Iliad, </w:t>
      </w:r>
      <w:r>
        <w:t>when she appears to Helen</w:t>
      </w:r>
      <w:r>
        <w:rPr>
          <w:rStyle w:val="FootnoteReference"/>
        </w:rPr>
        <w:footnoteReference w:id="88"/>
      </w:r>
      <w:r>
        <w:t xml:space="preserve"> – and seeks out the object of her lust under the cover of ‘a maiden untouched’,</w:t>
      </w:r>
      <w:r>
        <w:rPr>
          <w:rStyle w:val="FootnoteReference"/>
        </w:rPr>
        <w:footnoteReference w:id="89"/>
      </w:r>
      <w:r>
        <w:t xml:space="preserve"> and insists that she is ‘mortal, and a woman the mother who bore [her]’.</w:t>
      </w:r>
      <w:r>
        <w:rPr>
          <w:rStyle w:val="FootnoteReference"/>
        </w:rPr>
        <w:footnoteReference w:id="90"/>
      </w:r>
      <w:r w:rsidR="00A97686">
        <w:t xml:space="preserve"> That she needed to deceive Anchises, and is indeed successful in doing so, tells the audience two main things: the first being that even when she is suffering her own curses she is still able to deceive in order to get her own way; and the second being a reminder of the taboo in the disruption and mingling of the hierarchy between gods and mortals. </w:t>
      </w:r>
      <w:r w:rsidR="009650B1">
        <w:t xml:space="preserve">This is perhaps Aphrodite at her most powerful, we see just how far she is willing to go to get what she wants, and it is not simply because she desires Anchises physically. We have already seen in the </w:t>
      </w:r>
      <w:r w:rsidR="009650B1">
        <w:rPr>
          <w:i/>
        </w:rPr>
        <w:t xml:space="preserve">Iliad </w:t>
      </w:r>
      <w:r w:rsidR="009650B1">
        <w:t xml:space="preserve">particularly that she is very competent and adept at </w:t>
      </w:r>
      <w:proofErr w:type="gramStart"/>
      <w:r w:rsidR="009650B1">
        <w:t>manipulation, and</w:t>
      </w:r>
      <w:proofErr w:type="gramEnd"/>
      <w:r w:rsidR="009650B1">
        <w:t xml:space="preserve"> does not accept things that do not turn out in her favour, and that she is able to be so devious and clever in her deception even wh</w:t>
      </w:r>
      <w:r w:rsidR="00C47C71">
        <w:t xml:space="preserve">ile </w:t>
      </w:r>
      <w:r w:rsidR="009650B1">
        <w:t>she is suffering that which subdues, confuses, and impairs the bodies and minds of others.</w:t>
      </w:r>
    </w:p>
    <w:p w14:paraId="7A33D28F" w14:textId="77777777" w:rsidR="000544EA" w:rsidRDefault="00095D92" w:rsidP="00C47C71">
      <w:pPr>
        <w:spacing w:line="480" w:lineRule="auto"/>
      </w:pPr>
      <w:r>
        <w:t xml:space="preserve">Even though it is Zeus who inflicted the desire upon her, Aphrodite regains some semblance of control by ‘[casting] into [Anchises’] heart sweet desire. Love laid hold on Anchises, and </w:t>
      </w:r>
      <w:r>
        <w:lastRenderedPageBreak/>
        <w:t>he spoke from his heart…’,</w:t>
      </w:r>
      <w:r>
        <w:rPr>
          <w:rStyle w:val="FootnoteReference"/>
        </w:rPr>
        <w:footnoteReference w:id="91"/>
      </w:r>
      <w:r>
        <w:t xml:space="preserve"> which enables her (and him) to act on their now mutual desire and longing. From their coupling, Aeneas is born; ‘a child conceived in strange circumstances, one of the parents being a divinity in human disguise, a child, once born, to be entrusted to the secret and protective care of the nymphs, and a child whose greatness for the future is predicted’,</w:t>
      </w:r>
      <w:r>
        <w:rPr>
          <w:rStyle w:val="FootnoteReference"/>
        </w:rPr>
        <w:footnoteReference w:id="92"/>
      </w:r>
      <w:r>
        <w:t xml:space="preserve"> a child who becomes Aphrodite’s favourite, who she is willing to throw herself into the midst of battle for.</w:t>
      </w:r>
    </w:p>
    <w:p w14:paraId="00F7C7F3" w14:textId="598C7E35" w:rsidR="00095D92" w:rsidRDefault="000544EA" w:rsidP="00C47C71">
      <w:pPr>
        <w:spacing w:line="480" w:lineRule="auto"/>
      </w:pPr>
      <w:r>
        <w:t xml:space="preserve">The </w:t>
      </w:r>
      <w:r>
        <w:rPr>
          <w:i/>
        </w:rPr>
        <w:t xml:space="preserve">Hymn </w:t>
      </w:r>
      <w:r>
        <w:t>is essentially a punishment for having, and daring to wield, the powers that she has. She uses sexuality and femininity both in herself and in other women to engineer certain downfalls of her targets, and it is ‘t</w:t>
      </w:r>
      <w:r w:rsidR="00095D92">
        <w:t xml:space="preserve">his intimidating power over the bodies and minds of lovers </w:t>
      </w:r>
      <w:r>
        <w:t>[that]</w:t>
      </w:r>
      <w:r w:rsidR="00095D92">
        <w:t xml:space="preserve"> ultimately gets Aphrodite into trouble with the other gods</w:t>
      </w:r>
      <w:r>
        <w:t>’</w:t>
      </w:r>
      <w:r w:rsidR="00095D92">
        <w:t>.</w:t>
      </w:r>
      <w:r>
        <w:rPr>
          <w:rStyle w:val="FootnoteReference"/>
        </w:rPr>
        <w:footnoteReference w:id="93"/>
      </w:r>
      <w:r w:rsidR="00095D92">
        <w:t xml:space="preserve"> </w:t>
      </w:r>
      <w:r>
        <w:t xml:space="preserve"> By telling how Zeus enacted revenge by deciding</w:t>
      </w:r>
      <w:r w:rsidR="00095D92">
        <w:t xml:space="preserve"> to </w:t>
      </w:r>
      <w:r>
        <w:t>‘</w:t>
      </w:r>
      <w:r w:rsidR="00095D92">
        <w:t>make the goddess of love experience erotic desire for a mere mortal, thereby hoping to impose upon Aphrodite a feeling of shame caused by the unworthiness of her love</w:t>
      </w:r>
      <w:r>
        <w:t>-object,’</w:t>
      </w:r>
      <w:r>
        <w:rPr>
          <w:rStyle w:val="FootnoteReference"/>
        </w:rPr>
        <w:footnoteReference w:id="94"/>
      </w:r>
      <w:r>
        <w:t xml:space="preserve"> the </w:t>
      </w:r>
      <w:r>
        <w:rPr>
          <w:i/>
        </w:rPr>
        <w:t xml:space="preserve">Hymn </w:t>
      </w:r>
      <w:r>
        <w:t>suggests that the only shame that Aphrodite could feel as a result of Zeus’ intervention would come from the ‘unworthiness’ of Anchises. This still implies that Aphrodite, both as a deity and as a terrifyingly powerful one, is hard to touch, difficult to bring down despite the apparent ease with which she brings gods and mortals down.</w:t>
      </w:r>
    </w:p>
    <w:p w14:paraId="5287945D" w14:textId="77777777" w:rsidR="00DA6754" w:rsidRDefault="000544EA" w:rsidP="00C47C71">
      <w:pPr>
        <w:spacing w:line="480" w:lineRule="auto"/>
      </w:pPr>
      <w:r>
        <w:t>Anchises seems to recognise Aphrodite’s powers immediately, as soon as he realises that the woman he had slept with was not, as she had promised, a mortal</w:t>
      </w:r>
      <w:r w:rsidR="00DA6754">
        <w:t>:</w:t>
      </w:r>
    </w:p>
    <w:p w14:paraId="2618C07C" w14:textId="0F1F6C03" w:rsidR="00DA6754" w:rsidRDefault="00DA6754" w:rsidP="00DA6754">
      <w:pPr>
        <w:spacing w:line="480" w:lineRule="auto"/>
        <w:ind w:left="360"/>
        <w:rPr>
          <w:i/>
        </w:rPr>
      </w:pPr>
      <w:r w:rsidRPr="00DA6754">
        <w:rPr>
          <w:i/>
        </w:rPr>
        <w:t>‘</w:t>
      </w:r>
      <w:r w:rsidR="000544EA" w:rsidRPr="00DA6754">
        <w:rPr>
          <w:i/>
        </w:rPr>
        <w:t xml:space="preserve">he shuddered with fear and, averting his gaze, turned aside and hid his own noble face in the folds of his cloak and addressed Aphrodite with winged words of entreaty: The very first moment my eyes looked upon you, </w:t>
      </w:r>
      <w:r w:rsidR="002175BB" w:rsidRPr="00DA6754">
        <w:rPr>
          <w:i/>
        </w:rPr>
        <w:t xml:space="preserve">I knew, goddess, you were divine, but you spoke </w:t>
      </w:r>
      <w:r w:rsidR="002175BB" w:rsidRPr="00DA6754">
        <w:rPr>
          <w:i/>
        </w:rPr>
        <w:lastRenderedPageBreak/>
        <w:t>not the truth … I implore you by Zeus, aegis-bearer, not to condemn me to live as a weakling among mortal men, but have mercy upon me, for impotence is the lot of the unlucky man who lies with an immortal goddess’.</w:t>
      </w:r>
      <w:r w:rsidR="002175BB" w:rsidRPr="00DA6754">
        <w:rPr>
          <w:rStyle w:val="FootnoteReference"/>
          <w:i/>
        </w:rPr>
        <w:footnoteReference w:id="95"/>
      </w:r>
    </w:p>
    <w:p w14:paraId="437F5DFF" w14:textId="532C0B5F" w:rsidR="00DA6754" w:rsidRDefault="00DA6754" w:rsidP="00DA6754">
      <w:pPr>
        <w:spacing w:line="480" w:lineRule="auto"/>
      </w:pPr>
      <w:r>
        <w:t>Anchises is correct to fear the consequences of his sexual acts with Aphrodite, Cyrino writes, ‘Although she blesses him with the pleasure of her favours and a glorious son to father a line of heroes, bragging of such an intimate event could have serious physical repercussions for him’.</w:t>
      </w:r>
      <w:r>
        <w:rPr>
          <w:rStyle w:val="FootnoteReference"/>
        </w:rPr>
        <w:footnoteReference w:id="96"/>
      </w:r>
      <w:r>
        <w:t xml:space="preserve"> It is the first time in these texts that we have seen somebody who is genuinely fearful of Aphrodite’s wrath; she is scorned and used by other deities and attacked by mortals in the </w:t>
      </w:r>
      <w:r>
        <w:rPr>
          <w:i/>
        </w:rPr>
        <w:t xml:space="preserve">Iliad, </w:t>
      </w:r>
      <w:r>
        <w:t>presumably because she is not a war-goddess, and it is only here that we see that it is not only Anchises who is frightened by her power, but Zeus also.</w:t>
      </w:r>
    </w:p>
    <w:p w14:paraId="5BBD0CE2" w14:textId="1603DCCF" w:rsidR="00DA6754" w:rsidRPr="00F07496" w:rsidRDefault="00DA6754" w:rsidP="00DA6754">
      <w:pPr>
        <w:spacing w:line="480" w:lineRule="auto"/>
      </w:pPr>
      <w:r>
        <w:t xml:space="preserve">The emphasis placed on the virgin goddesses earlier in the </w:t>
      </w:r>
      <w:r>
        <w:rPr>
          <w:i/>
        </w:rPr>
        <w:t xml:space="preserve">Hymn </w:t>
      </w:r>
      <w:r>
        <w:t>present</w:t>
      </w:r>
      <w:r w:rsidR="00F07496">
        <w:t>s</w:t>
      </w:r>
      <w:r>
        <w:t xml:space="preserve"> a binary between the virgin or asexual goddesses, and the non-virgin sexual goddess. Although there is no real sense of superiority nor inferiority on the </w:t>
      </w:r>
      <w:r w:rsidR="00E36A3D">
        <w:t xml:space="preserve">side </w:t>
      </w:r>
      <w:r>
        <w:t xml:space="preserve">of either party to be found in the </w:t>
      </w:r>
      <w:r>
        <w:rPr>
          <w:i/>
        </w:rPr>
        <w:t xml:space="preserve">Hymn, </w:t>
      </w:r>
      <w:r w:rsidR="00F07496">
        <w:t xml:space="preserve">and no sense of it in the way they are perceived by others, that is not to say that a moral hierarchy is </w:t>
      </w:r>
      <w:r w:rsidR="00C6208C">
        <w:t xml:space="preserve">not present </w:t>
      </w:r>
      <w:r w:rsidR="00F07496">
        <w:t>within the</w:t>
      </w:r>
      <w:r w:rsidR="00C6208C">
        <w:t xml:space="preserve"> representation of these</w:t>
      </w:r>
      <w:r w:rsidR="00F07496">
        <w:t xml:space="preserve"> mythological figures</w:t>
      </w:r>
      <w:r w:rsidR="00C6208C">
        <w:t xml:space="preserve"> elsewhere</w:t>
      </w:r>
      <w:r w:rsidR="00F07496">
        <w:t xml:space="preserve">, as will be discussed and examined in Euripides’ </w:t>
      </w:r>
      <w:r w:rsidR="00F07496">
        <w:rPr>
          <w:i/>
        </w:rPr>
        <w:t xml:space="preserve">Hippolytus. </w:t>
      </w:r>
    </w:p>
    <w:p w14:paraId="1303219C" w14:textId="6FAAEFE0" w:rsidR="00D05629" w:rsidRDefault="00D05629" w:rsidP="00C47C71">
      <w:pPr>
        <w:spacing w:line="480" w:lineRule="auto"/>
      </w:pPr>
      <w:r>
        <w:br w:type="page"/>
      </w:r>
    </w:p>
    <w:p w14:paraId="33033D66" w14:textId="54DECB6B" w:rsidR="00526612" w:rsidRDefault="00873C1F" w:rsidP="00526612">
      <w:pPr>
        <w:pStyle w:val="Heading1"/>
        <w:numPr>
          <w:ilvl w:val="0"/>
          <w:numId w:val="6"/>
        </w:numPr>
        <w:rPr>
          <w:rFonts w:ascii="Times New Roman" w:hAnsi="Times New Roman" w:cs="Times New Roman"/>
          <w:i/>
          <w:color w:val="auto"/>
        </w:rPr>
      </w:pPr>
      <w:bookmarkStart w:id="7" w:name="_Toc513681261"/>
      <w:r w:rsidRPr="00CF3778">
        <w:rPr>
          <w:rFonts w:ascii="Times New Roman" w:hAnsi="Times New Roman" w:cs="Times New Roman"/>
          <w:color w:val="auto"/>
        </w:rPr>
        <w:lastRenderedPageBreak/>
        <w:t xml:space="preserve">Aphrodite in Euripides’ </w:t>
      </w:r>
      <w:r w:rsidRPr="00CF3778">
        <w:rPr>
          <w:rFonts w:ascii="Times New Roman" w:hAnsi="Times New Roman" w:cs="Times New Roman"/>
          <w:i/>
          <w:color w:val="auto"/>
        </w:rPr>
        <w:t>Hippolytus</w:t>
      </w:r>
      <w:bookmarkEnd w:id="7"/>
    </w:p>
    <w:p w14:paraId="022EAEC0" w14:textId="77777777" w:rsidR="00FF46E7" w:rsidRPr="00FF46E7" w:rsidRDefault="00FF46E7" w:rsidP="00FF46E7"/>
    <w:p w14:paraId="31CF82F7" w14:textId="57F553A7" w:rsidR="00BB772E" w:rsidRDefault="00C6208C" w:rsidP="00FF46E7">
      <w:pPr>
        <w:spacing w:line="480" w:lineRule="auto"/>
        <w:ind w:firstLine="360"/>
      </w:pPr>
      <w:r>
        <w:t xml:space="preserve">Aphrodite is the driving force behind the narrative of </w:t>
      </w:r>
      <w:r>
        <w:rPr>
          <w:i/>
        </w:rPr>
        <w:t xml:space="preserve">Hippolytus. </w:t>
      </w:r>
      <w:r>
        <w:t xml:space="preserve">Much like Dionysus in Euripides’ </w:t>
      </w:r>
      <w:r>
        <w:rPr>
          <w:i/>
        </w:rPr>
        <w:t xml:space="preserve">Bacchae, </w:t>
      </w:r>
      <w:r>
        <w:t xml:space="preserve">her intention is to punish Hippolytus for slandering her and for valuing the virgin goddess Artemis more than he values her – which is not hard, considering he actively dismisses Aphrodite’s position within the pantheon. In this play, Aphrodite uses her influences over others to punish and eventually murder Hippolytus, in a way that is </w:t>
      </w:r>
      <w:proofErr w:type="gramStart"/>
      <w:r>
        <w:t>similar to</w:t>
      </w:r>
      <w:proofErr w:type="gramEnd"/>
      <w:r>
        <w:t xml:space="preserve"> the way Euripides uses Dionysus and Medea to punish their respective enemies.</w:t>
      </w:r>
    </w:p>
    <w:p w14:paraId="7D1451CF" w14:textId="77777777" w:rsidR="007D49D7" w:rsidRDefault="00C6208C" w:rsidP="00FF46E7">
      <w:pPr>
        <w:spacing w:line="480" w:lineRule="auto"/>
      </w:pPr>
      <w:r>
        <w:rPr>
          <w:i/>
        </w:rPr>
        <w:t xml:space="preserve">Hippolytus </w:t>
      </w:r>
      <w:r>
        <w:t xml:space="preserve">was written sometime </w:t>
      </w:r>
      <w:r w:rsidR="00526612">
        <w:t xml:space="preserve">around </w:t>
      </w:r>
      <w:r>
        <w:t>428 B.C.,</w:t>
      </w:r>
      <w:r w:rsidR="00526612">
        <w:rPr>
          <w:rStyle w:val="FootnoteReference"/>
        </w:rPr>
        <w:footnoteReference w:id="97"/>
      </w:r>
      <w:r>
        <w:t xml:space="preserve"> </w:t>
      </w:r>
      <w:r w:rsidR="00C40635">
        <w:t>two or three hundred years after the other texts discussed in this paper were written</w:t>
      </w:r>
      <w:r w:rsidR="005920D3">
        <w:t xml:space="preserve">, and unlike the </w:t>
      </w:r>
      <w:r w:rsidR="005920D3">
        <w:rPr>
          <w:i/>
        </w:rPr>
        <w:t xml:space="preserve">Iliad, </w:t>
      </w:r>
      <w:r w:rsidR="005920D3">
        <w:t>Aphrodite’s battles in this play are fought not by her dashing into the fray, but rather, by inspiring a lust in Phaedra, Hippolytus’ step-mother. This results in the suicide of Phaedra</w:t>
      </w:r>
      <w:r w:rsidR="00FF46E7">
        <w:t xml:space="preserve"> and the exile and eventual death of Hippolytus himself, sworn to secrecy and thus unable to protest his innocence by an oath made to his step-mother’s nurse. The moral of this play, </w:t>
      </w:r>
      <w:proofErr w:type="spellStart"/>
      <w:r w:rsidR="00FF46E7">
        <w:t>Vellacott</w:t>
      </w:r>
      <w:proofErr w:type="spellEnd"/>
      <w:r w:rsidR="00FF46E7">
        <w:t xml:space="preserve"> writes, is that ‘you cannot fly in the face of Nature; that the person who tries to live without recognising Aphrodite will come to a bad end’.</w:t>
      </w:r>
      <w:r w:rsidR="00FF46E7">
        <w:rPr>
          <w:rStyle w:val="FootnoteReference"/>
        </w:rPr>
        <w:footnoteReference w:id="98"/>
      </w:r>
    </w:p>
    <w:p w14:paraId="664699E8" w14:textId="276EFDB8" w:rsidR="00011634" w:rsidRDefault="00FF46E7" w:rsidP="00FF46E7">
      <w:pPr>
        <w:spacing w:line="480" w:lineRule="auto"/>
      </w:pPr>
      <w:r>
        <w:t>Of course, Hippolytus did not just not recognise the goddess of love – he actively rejected her in favour of the goddess who represents everything that Aphrodite does not</w:t>
      </w:r>
      <w:r w:rsidR="00F94FE5">
        <w:t>: ‘He abhors the bed of love; marriage he renounces; Humours instead Apollo’s sister, daughter of Zeus, Artemis – thinks her greatest of all divinities. All day with her, the virgin, he ranges the green woods…’.</w:t>
      </w:r>
      <w:r w:rsidR="00F94FE5">
        <w:rPr>
          <w:rStyle w:val="FootnoteReference"/>
        </w:rPr>
        <w:footnoteReference w:id="99"/>
      </w:r>
      <w:r w:rsidR="00B05211">
        <w:t xml:space="preserve"> </w:t>
      </w:r>
      <w:r w:rsidR="00BF7C01">
        <w:t>Although the entire description of Artemis from Aphrodite here drips with disdain, t</w:t>
      </w:r>
      <w:r w:rsidR="00BF7C01">
        <w:t>he focus and the direct mention on the fact that Artemis is ‘the virgin’ is poignant</w:t>
      </w:r>
      <w:r w:rsidR="00BF7C01">
        <w:t xml:space="preserve">. Aphrodite clearly is experiencing a large quantity of bitterness, and perhaps a sense of </w:t>
      </w:r>
      <w:r w:rsidR="00BF7C01">
        <w:lastRenderedPageBreak/>
        <w:t xml:space="preserve">superiority over Artemis </w:t>
      </w:r>
      <w:r w:rsidR="00BF7C01">
        <w:rPr>
          <w:i/>
        </w:rPr>
        <w:t xml:space="preserve">because </w:t>
      </w:r>
      <w:r w:rsidR="00BF7C01">
        <w:t xml:space="preserve">she dares to be a virgin, whereas Aphrodite is the exact </w:t>
      </w:r>
      <w:proofErr w:type="gramStart"/>
      <w:r w:rsidR="00BF7C01">
        <w:t>polar opposite</w:t>
      </w:r>
      <w:proofErr w:type="gramEnd"/>
      <w:r w:rsidR="00BF7C01">
        <w:t xml:space="preserve"> of this. There becomes a binary established in these lines, a clear con</w:t>
      </w:r>
      <w:r w:rsidR="000B160D">
        <w:t>flict</w:t>
      </w:r>
      <w:r w:rsidR="00BF7C01">
        <w:t xml:space="preserve"> and hierarchy between virgins and non-virgins, with Hippolytus harbouring an obvious preference of the non-virgins and Aphrodite herself harbouring a preference for herself, the opposite. Perhaps more importantly than her disdain, her defensiveness is established, and calls into question a comparison and criticism on both sides of the binary that is still prevalent in 2018. Euripides does not offer an opinion clearly; it is impossible to tell which ‘side’ he is on, which goddess he would favour, which is different from the other authors discussed in this paper – it is clear to an audience where Homer and Hesiod stand in terms of their opinions and regard for each divinity featured in their works. Euripides </w:t>
      </w:r>
      <w:proofErr w:type="gramStart"/>
      <w:r w:rsidR="00BF7C01">
        <w:t>actually seems</w:t>
      </w:r>
      <w:proofErr w:type="gramEnd"/>
      <w:r w:rsidR="00BF7C01">
        <w:t xml:space="preserve"> to be less concerned with which goddess he aligns his morals with, and more concerned with portraying Hippolytus as the villain of the play.</w:t>
      </w:r>
    </w:p>
    <w:p w14:paraId="48470523" w14:textId="679CEFC5" w:rsidR="000B160D" w:rsidRDefault="00BF7C01" w:rsidP="000B160D">
      <w:pPr>
        <w:spacing w:line="480" w:lineRule="auto"/>
      </w:pPr>
      <w:r>
        <w:t xml:space="preserve">The establishment of Hippolytus as the only antagonist in the play is clear: </w:t>
      </w:r>
      <w:r>
        <w:t xml:space="preserve">For fully half of the play, </w:t>
      </w:r>
      <w:proofErr w:type="spellStart"/>
      <w:r>
        <w:t>Vellacott</w:t>
      </w:r>
      <w:proofErr w:type="spellEnd"/>
      <w:r>
        <w:t xml:space="preserve"> writes, ‘the stage is occupied by women, with the single intrusion of woman’s enemy in the person of Hippoly</w:t>
      </w:r>
      <w:r>
        <w:t>t</w:t>
      </w:r>
      <w:r>
        <w:t>us’,</w:t>
      </w:r>
      <w:r>
        <w:rPr>
          <w:rStyle w:val="FootnoteReference"/>
        </w:rPr>
        <w:footnoteReference w:id="100"/>
      </w:r>
      <w:r>
        <w:t xml:space="preserve"> which is interesting when Phaedra claims in the play that ‘to be a woman is to be an object of general hatred’.</w:t>
      </w:r>
      <w:r>
        <w:rPr>
          <w:rStyle w:val="FootnoteReference"/>
        </w:rPr>
        <w:footnoteReference w:id="101"/>
      </w:r>
      <w:r>
        <w:t xml:space="preserve"> The women in the play, with the exception perhaps of Artemis, are victims of Hippolytus’ ego and stubbornness, and Euripides makes that transparent.</w:t>
      </w:r>
    </w:p>
    <w:p w14:paraId="1E0D7F3C" w14:textId="646BE78F" w:rsidR="00526612" w:rsidRDefault="000B160D" w:rsidP="000B160D">
      <w:pPr>
        <w:spacing w:line="480" w:lineRule="auto"/>
      </w:pPr>
      <w:r>
        <w:t xml:space="preserve">Hippolytus’ ego is further discussed by </w:t>
      </w:r>
      <w:proofErr w:type="spellStart"/>
      <w:r>
        <w:t>Vellacott</w:t>
      </w:r>
      <w:proofErr w:type="spellEnd"/>
      <w:r>
        <w:t>, who observes that ‘[Hippolytus]</w:t>
      </w:r>
      <w:r w:rsidR="00FF46E7">
        <w:t xml:space="preserve"> accepts as a secondary cause of his death his father’s anger (1413), laying prime responsibility on Aphrodite (1401, 1415). It does not occur to him that either his intense hatred of women in general, or his cruelty to Phaedra in particular, might be partly to blame (nor does this occur to the chorus). He forgives Theseus as a fellow-victim, not as a fellow-sinner. He dies fully </w:t>
      </w:r>
      <w:r w:rsidR="00FF46E7">
        <w:lastRenderedPageBreak/>
        <w:t>convinced of the perfection of his own character, and no one contradicts him</w:t>
      </w:r>
      <w:r>
        <w:t>’.</w:t>
      </w:r>
      <w:r w:rsidR="00FF46E7">
        <w:rPr>
          <w:rStyle w:val="FootnoteReference"/>
        </w:rPr>
        <w:footnoteReference w:id="102"/>
      </w:r>
      <w:r w:rsidR="00FF46E7">
        <w:t xml:space="preserve"> To add to this thought: the reason he rejects Aphrodite might not have been just because of her seductive powers and his desire to remain ‘pure</w:t>
      </w:r>
      <w:r>
        <w:t>’ but</w:t>
      </w:r>
      <w:r w:rsidR="00FF46E7">
        <w:t xml:space="preserve"> could have also been about his </w:t>
      </w:r>
      <w:r w:rsidR="00942539">
        <w:t xml:space="preserve">previously mentioned hatred towards women, and the fact that Aphrodite </w:t>
      </w:r>
      <w:r w:rsidR="00942539">
        <w:rPr>
          <w:i/>
        </w:rPr>
        <w:t xml:space="preserve">is </w:t>
      </w:r>
      <w:r w:rsidR="00942539">
        <w:t xml:space="preserve">the perfect goddess to exhibit femininity in all of its forms. She demands respect from him, and he is even warned to not spurn </w:t>
      </w:r>
      <w:proofErr w:type="gramStart"/>
      <w:r w:rsidR="00942539">
        <w:t>her</w:t>
      </w:r>
      <w:proofErr w:type="gramEnd"/>
      <w:r w:rsidR="00942539">
        <w:t xml:space="preserve"> but he does not listen, because he is a man, he is to become king (illegitimate, a product of sexual violence, but a king nonetheless)</w:t>
      </w:r>
      <w:r w:rsidR="00DA7D59">
        <w:t>, and so he listens to no one</w:t>
      </w:r>
      <w:r>
        <w:t>, and th</w:t>
      </w:r>
      <w:r w:rsidR="00864490">
        <w:t>at</w:t>
      </w:r>
      <w:r>
        <w:t xml:space="preserve"> is it not his fault. Nothing in the play is Hippolytus’ fault: he ‘</w:t>
      </w:r>
      <w:r>
        <w:t>calculates in line 1403 that Aphrodite, acting alone, has destroyed three people, himself and two others</w:t>
      </w:r>
      <w:r>
        <w:t>’,</w:t>
      </w:r>
      <w:r>
        <w:rPr>
          <w:rStyle w:val="FootnoteReference"/>
        </w:rPr>
        <w:footnoteReference w:id="103"/>
      </w:r>
      <w:r>
        <w:t xml:space="preserve"> and although it is not clear who the other two victims of Aphrodite </w:t>
      </w:r>
      <w:proofErr w:type="gramStart"/>
      <w:r>
        <w:t>actually are</w:t>
      </w:r>
      <w:proofErr w:type="gramEnd"/>
      <w:r>
        <w:t>, it is abundantly clear that Hippolytus truly believes that Aphrodite’s actions had no prelude, that he had done nothing at all to incur such wrath.</w:t>
      </w:r>
    </w:p>
    <w:p w14:paraId="7957DBB7" w14:textId="78DE449D" w:rsidR="00942539" w:rsidRDefault="00942539" w:rsidP="000B160D">
      <w:pPr>
        <w:spacing w:line="480" w:lineRule="auto"/>
      </w:pPr>
      <w:r>
        <w:t>It might also be worth discussing the circumstances of Hippolytus’ birth – the rape of Hippolyta by Theseus is not surprising in the context of classical texts; rape is everywhere in almost every myth, but it is interesting that Hippolytus is such a sexual purist, considering how he was conceived. Perhaps it is why he has such a hatred for women, and why he blanches at the thought of sexual desire (see: reaction to Phaedra) – if being an illegitimate child was a source of shame for him, he is surely bound to blame his mother. ‘In the world of women the notion of pardon finds little place – the Nurse pleads for it, and is repulsed; in the male world it finds real though limited scope; between the two worlds, where it is most needed, it cannot operate at all’.</w:t>
      </w:r>
      <w:r>
        <w:rPr>
          <w:rStyle w:val="FootnoteReference"/>
        </w:rPr>
        <w:footnoteReference w:id="104"/>
      </w:r>
      <w:r>
        <w:t xml:space="preserve"> Although Hippolyta did nothing she need apologise or seek pardon for, if anybody had been expected to apologise for Theseus’s actions and </w:t>
      </w:r>
      <w:r>
        <w:lastRenderedPageBreak/>
        <w:t>Hippolytus’ resulting raging misogyny</w:t>
      </w:r>
      <w:r w:rsidR="00F94FE5">
        <w:t>, it would have been her, and her efforts</w:t>
      </w:r>
      <w:r w:rsidR="000B160D">
        <w:t xml:space="preserve"> to make amends</w:t>
      </w:r>
      <w:r w:rsidR="00F94FE5">
        <w:t xml:space="preserve"> would</w:t>
      </w:r>
      <w:r w:rsidR="000B160D">
        <w:t xml:space="preserve"> absolutely</w:t>
      </w:r>
      <w:r w:rsidR="00F94FE5">
        <w:t xml:space="preserve"> have been fruitless.</w:t>
      </w:r>
    </w:p>
    <w:p w14:paraId="6ABD369B" w14:textId="67A61A84" w:rsidR="00F94FE5" w:rsidRDefault="00F94FE5" w:rsidP="000B160D">
      <w:pPr>
        <w:spacing w:line="480" w:lineRule="auto"/>
      </w:pPr>
      <w:r>
        <w:t xml:space="preserve">Aphrodite’s revenge is somehow so bitter, so unexpectedly merciless and cruel that it does not seem to fit in with what we know about </w:t>
      </w:r>
      <w:r w:rsidR="00284DA0">
        <w:t>her</w:t>
      </w:r>
      <w:r>
        <w:t xml:space="preserve"> – she echoes the motives of Dionysus, and the actions of Medea, enacting her punishment onto Hippolytus </w:t>
      </w:r>
      <w:proofErr w:type="gramStart"/>
      <w:r>
        <w:t>and also</w:t>
      </w:r>
      <w:proofErr w:type="gramEnd"/>
      <w:r>
        <w:t xml:space="preserve"> onto an unsuspecting Phaedra, with seemingly little regard for the</w:t>
      </w:r>
      <w:r w:rsidR="007D49D7">
        <w:t xml:space="preserve"> consequences that concern the</w:t>
      </w:r>
      <w:r>
        <w:t xml:space="preserve"> latter.</w:t>
      </w:r>
      <w:r w:rsidR="003D3C47">
        <w:t xml:space="preserve"> That she </w:t>
      </w:r>
      <w:r w:rsidR="00E5448F">
        <w:t xml:space="preserve">ends up </w:t>
      </w:r>
      <w:r w:rsidR="003D3C47">
        <w:t>us</w:t>
      </w:r>
      <w:r w:rsidR="00E5448F">
        <w:t>ing</w:t>
      </w:r>
      <w:r w:rsidR="003D3C47">
        <w:t xml:space="preserve"> Phaedra to achieve her means</w:t>
      </w:r>
      <w:r w:rsidR="00E5448F">
        <w:rPr>
          <w:rStyle w:val="FootnoteReference"/>
        </w:rPr>
        <w:footnoteReference w:id="105"/>
      </w:r>
      <w:r w:rsidR="003D3C47">
        <w:t xml:space="preserve"> echoes the way that she uses Helen in the </w:t>
      </w:r>
      <w:r w:rsidR="003D3C47">
        <w:rPr>
          <w:i/>
        </w:rPr>
        <w:t xml:space="preserve">Iliad, </w:t>
      </w:r>
      <w:r w:rsidR="003D3C47">
        <w:t xml:space="preserve">and in this </w:t>
      </w:r>
      <w:proofErr w:type="gramStart"/>
      <w:r w:rsidR="003D3C47">
        <w:t>sense</w:t>
      </w:r>
      <w:proofErr w:type="gramEnd"/>
      <w:r w:rsidR="003D3C47">
        <w:t xml:space="preserve"> she is set apart from Dionysus, who causes physical harm only to Pentheus, but they are both similar in the sense that neither of them are the ones who physically murder their targets: Hippolytus kills himself, with help from Zeus, and Pentheus is killed by his own mother under the influence of Dionysus.</w:t>
      </w:r>
      <w:r w:rsidR="00305A21">
        <w:t xml:space="preserve"> Had Aphrodite’s original plan come to fruition, it would have been Theseus who killed his son: </w:t>
      </w:r>
      <w:r w:rsidR="00305A21" w:rsidRPr="00305A21">
        <w:t xml:space="preserve">‘this young man, my enemy, His own father shall kill with </w:t>
      </w:r>
      <w:r w:rsidR="00305A21">
        <w:t>curses’,</w:t>
      </w:r>
      <w:r w:rsidR="00305A21">
        <w:rPr>
          <w:rStyle w:val="FootnoteReference"/>
        </w:rPr>
        <w:footnoteReference w:id="106"/>
      </w:r>
      <w:r w:rsidR="00305A21">
        <w:t xml:space="preserve"> which seems to be a theme in Euripides’ plays – Pentheus is killed by his mother in the </w:t>
      </w:r>
      <w:r w:rsidR="00305A21">
        <w:rPr>
          <w:i/>
        </w:rPr>
        <w:t xml:space="preserve">Bacchae, </w:t>
      </w:r>
      <w:r w:rsidR="00305A21">
        <w:t>Hippolytus was supposed to be killed by his father, and Medea murders her own children for revenge.</w:t>
      </w:r>
    </w:p>
    <w:p w14:paraId="6A54198F" w14:textId="00DF30B9" w:rsidR="00305A21" w:rsidRPr="00305A21" w:rsidRDefault="00305A21" w:rsidP="000B160D">
      <w:pPr>
        <w:spacing w:line="480" w:lineRule="auto"/>
      </w:pPr>
      <w:r>
        <w:t xml:space="preserve">This </w:t>
      </w:r>
      <w:proofErr w:type="gramStart"/>
      <w:r>
        <w:t>particular part</w:t>
      </w:r>
      <w:proofErr w:type="gramEnd"/>
      <w:r>
        <w:t xml:space="preserve"> of </w:t>
      </w:r>
      <w:r>
        <w:rPr>
          <w:i/>
        </w:rPr>
        <w:t xml:space="preserve">Hippolytus, </w:t>
      </w:r>
      <w:r>
        <w:t xml:space="preserve">the original plan, presents an entirely new side to Aphrodite than we have previously seen. In the </w:t>
      </w:r>
      <w:r>
        <w:rPr>
          <w:i/>
        </w:rPr>
        <w:t xml:space="preserve">Iliad, </w:t>
      </w:r>
      <w:r>
        <w:t xml:space="preserve">and even in </w:t>
      </w:r>
      <w:r>
        <w:rPr>
          <w:i/>
        </w:rPr>
        <w:t xml:space="preserve">Theogony, </w:t>
      </w:r>
      <w:r>
        <w:t xml:space="preserve">she could be said to have shown maternal qualities, but Euripides’ Aphrodite is almost the opposite. She displays no kindness, no mercy, no remorse; no typically ‘feminine’ qualities. She upturns a family dynamic simply because she can, because she had been wronged, and it is her most active role in a narrative so far, if playing a part in the breakout of the Trojan War in the </w:t>
      </w:r>
      <w:r>
        <w:rPr>
          <w:i/>
        </w:rPr>
        <w:t xml:space="preserve">Iliad </w:t>
      </w:r>
      <w:r>
        <w:lastRenderedPageBreak/>
        <w:t xml:space="preserve">is not counted – and it is not, since the Judgment does not feature in the epic. It is then arguably her most controversial appearance in an ancient text: she is the goddess best known for her feminine qualities and traits, but she only uses her association with sexuality to incur a lust in Phaedra, and this is only caused by Hippolytus’ derision </w:t>
      </w:r>
      <w:proofErr w:type="gramStart"/>
      <w:r>
        <w:t>in regards to</w:t>
      </w:r>
      <w:proofErr w:type="gramEnd"/>
      <w:r>
        <w:t xml:space="preserve"> her own overt and unapologetic sexuality</w:t>
      </w:r>
      <w:r w:rsidR="00FC7694">
        <w:t>, and the implication that he is above such things</w:t>
      </w:r>
      <w:r>
        <w:t xml:space="preserve">. </w:t>
      </w:r>
    </w:p>
    <w:p w14:paraId="7489C7AD" w14:textId="7ABBE6A7" w:rsidR="003D3C47" w:rsidRDefault="003D3C47" w:rsidP="000B160D">
      <w:pPr>
        <w:spacing w:line="480" w:lineRule="auto"/>
        <w:rPr>
          <w:bCs/>
        </w:rPr>
      </w:pPr>
      <w:r>
        <w:t xml:space="preserve">There is a part in </w:t>
      </w:r>
      <w:r>
        <w:rPr>
          <w:i/>
        </w:rPr>
        <w:t xml:space="preserve">Hippolytus </w:t>
      </w:r>
      <w:r>
        <w:t xml:space="preserve">where Hippolytus’ servant first attempts to reason with Hippolytus, warning him of potential consequences for his actions, and then when that proves to be ineffectual, </w:t>
      </w:r>
      <w:r w:rsidR="003366F2">
        <w:t>the servant</w:t>
      </w:r>
      <w:r>
        <w:t xml:space="preserve"> turns to Aphrodite:</w:t>
      </w:r>
      <w:r w:rsidR="00305A21">
        <w:t xml:space="preserve"> </w:t>
      </w:r>
      <w:r w:rsidR="00B329BB" w:rsidRPr="00B329BB">
        <w:t>You must forgive young blood, the eager spirit that utters Folly against you. What you heard him say, forget!</w:t>
      </w:r>
      <w:r w:rsidR="003366F2">
        <w:t xml:space="preserve"> </w:t>
      </w:r>
      <w:r w:rsidR="00B329BB" w:rsidRPr="00B329BB">
        <w:rPr>
          <w:b/>
          <w:bCs/>
        </w:rPr>
        <w:t>You are a god: gods must be wiser than men are</w:t>
      </w:r>
      <w:r w:rsidR="003366F2">
        <w:rPr>
          <w:b/>
          <w:bCs/>
        </w:rPr>
        <w:t>’</w:t>
      </w:r>
      <w:r w:rsidR="003366F2">
        <w:rPr>
          <w:bCs/>
        </w:rPr>
        <w:t>.</w:t>
      </w:r>
      <w:r w:rsidR="003366F2">
        <w:rPr>
          <w:rStyle w:val="FootnoteReference"/>
          <w:bCs/>
        </w:rPr>
        <w:footnoteReference w:id="107"/>
      </w:r>
      <w:r w:rsidR="003366F2">
        <w:rPr>
          <w:bCs/>
        </w:rPr>
        <w:t xml:space="preserve"> This is a direct appeal to Aphrodite’s perceived softness, her expected maternal, feminine instincts, for there is no scene in the </w:t>
      </w:r>
      <w:r w:rsidR="003366F2">
        <w:rPr>
          <w:bCs/>
          <w:i/>
        </w:rPr>
        <w:t xml:space="preserve">Bacchae </w:t>
      </w:r>
      <w:r w:rsidR="003366F2">
        <w:rPr>
          <w:bCs/>
        </w:rPr>
        <w:t xml:space="preserve">wherein a servant attempts to dictate to Dionysus what is or is not an appropriate reaction to a kind of blasphemy. The servant is </w:t>
      </w:r>
      <w:proofErr w:type="gramStart"/>
      <w:r w:rsidR="003366F2">
        <w:rPr>
          <w:bCs/>
        </w:rPr>
        <w:t>well aware</w:t>
      </w:r>
      <w:proofErr w:type="gramEnd"/>
      <w:r w:rsidR="003366F2">
        <w:rPr>
          <w:bCs/>
        </w:rPr>
        <w:t xml:space="preserve"> of what Aphrodite could do, what havoc she could cause, and still tries to plea, to reason with her, to </w:t>
      </w:r>
      <w:r w:rsidR="003366F2">
        <w:rPr>
          <w:bCs/>
          <w:i/>
        </w:rPr>
        <w:t xml:space="preserve">tell </w:t>
      </w:r>
      <w:r w:rsidR="003366F2">
        <w:rPr>
          <w:bCs/>
        </w:rPr>
        <w:t>her what she ‘must be’.</w:t>
      </w:r>
    </w:p>
    <w:p w14:paraId="35062986" w14:textId="3E0AEC2E" w:rsidR="00526612" w:rsidRDefault="003366F2" w:rsidP="003366F2">
      <w:pPr>
        <w:spacing w:line="480" w:lineRule="auto"/>
      </w:pPr>
      <w:r>
        <w:t xml:space="preserve">It might not be with her own sexuality that Aphrodite enacts her revenge in </w:t>
      </w:r>
      <w:r>
        <w:rPr>
          <w:i/>
        </w:rPr>
        <w:t xml:space="preserve">Hippolytus; </w:t>
      </w:r>
      <w:r>
        <w:t xml:space="preserve">she does not seduce anybody, but it is with her </w:t>
      </w:r>
      <w:r>
        <w:rPr>
          <w:i/>
        </w:rPr>
        <w:t xml:space="preserve">power </w:t>
      </w:r>
      <w:r>
        <w:t xml:space="preserve">of sexuality, and the power she </w:t>
      </w:r>
      <w:proofErr w:type="gramStart"/>
      <w:r>
        <w:t>has to</w:t>
      </w:r>
      <w:proofErr w:type="gramEnd"/>
      <w:r>
        <w:t xml:space="preserve"> influence it within other people that she uses, and it is the active rejection of sexuality that inspires these actions. There is absolutely no question to be posed </w:t>
      </w:r>
      <w:proofErr w:type="gramStart"/>
      <w:r>
        <w:t>in regard to</w:t>
      </w:r>
      <w:proofErr w:type="gramEnd"/>
      <w:r>
        <w:t xml:space="preserve"> Aphrodite’s power, and, even by the end of the play, when she has succeeded in her revenge, the way she managed to enact the revenge by evoking a desire in Phaedra, her links to femininity cannot be questioned or dismissed either.</w:t>
      </w:r>
    </w:p>
    <w:p w14:paraId="6C4DBD38" w14:textId="02361218" w:rsidR="00873C1F" w:rsidRPr="00923277" w:rsidRDefault="003366F2" w:rsidP="00923277">
      <w:pPr>
        <w:spacing w:line="480" w:lineRule="auto"/>
      </w:pPr>
      <w:r>
        <w:t xml:space="preserve">Euripides presents an Aphrodite who is </w:t>
      </w:r>
      <w:r w:rsidR="00923277">
        <w:t xml:space="preserve">feminine and still immediately, terrifyingly powerful. She does more than threaten: she causes the deaths of two people because she has been </w:t>
      </w:r>
      <w:r w:rsidR="00923277">
        <w:lastRenderedPageBreak/>
        <w:t xml:space="preserve">wronged by one of </w:t>
      </w:r>
      <w:proofErr w:type="gramStart"/>
      <w:r w:rsidR="00923277">
        <w:t>them, and</w:t>
      </w:r>
      <w:proofErr w:type="gramEnd"/>
      <w:r w:rsidR="00923277">
        <w:t xml:space="preserve"> proves to somebody who did not think her worthy of respect that just because she is the goddess of sexual love, that her association with love and femininity is not mutually exclusive to powerful seductive influence and the ability to punish. She demonstrates that she can be as dangerous as Hippolytus’ goddess Artemis, </w:t>
      </w:r>
      <w:r w:rsidR="003B687B">
        <w:t>as dangerous as Zeus, and demands respect.</w:t>
      </w:r>
      <w:r w:rsidR="00873C1F" w:rsidRPr="00873C1F">
        <w:rPr>
          <w:i/>
        </w:rPr>
        <w:br w:type="page"/>
      </w:r>
    </w:p>
    <w:p w14:paraId="1BC6FF32" w14:textId="5C074C1F" w:rsidR="00873C1F" w:rsidRDefault="00873C1F" w:rsidP="00A06A6B">
      <w:pPr>
        <w:pStyle w:val="Heading1"/>
        <w:rPr>
          <w:rFonts w:ascii="Times New Roman" w:hAnsi="Times New Roman" w:cs="Times New Roman"/>
          <w:color w:val="auto"/>
        </w:rPr>
      </w:pPr>
      <w:bookmarkStart w:id="8" w:name="_Toc513681262"/>
      <w:r w:rsidRPr="00CF3778">
        <w:rPr>
          <w:rFonts w:ascii="Times New Roman" w:hAnsi="Times New Roman" w:cs="Times New Roman"/>
          <w:color w:val="auto"/>
        </w:rPr>
        <w:lastRenderedPageBreak/>
        <w:t>Conclusion</w:t>
      </w:r>
      <w:bookmarkEnd w:id="8"/>
    </w:p>
    <w:p w14:paraId="1F001B1A" w14:textId="77777777" w:rsidR="00E837CD" w:rsidRPr="00E837CD" w:rsidRDefault="00E837CD" w:rsidP="00E837CD"/>
    <w:p w14:paraId="426093EC" w14:textId="7D6C67DF" w:rsidR="00CF6BBE" w:rsidRDefault="00CF6BBE" w:rsidP="00E837CD">
      <w:pPr>
        <w:spacing w:line="480" w:lineRule="auto"/>
      </w:pPr>
      <w:r>
        <w:tab/>
      </w:r>
      <w:r w:rsidR="003B687B">
        <w:t>As quoted before: ‘</w:t>
      </w:r>
      <w:r>
        <w:t>Aphrodite inspires women to infidelity without excusing them, just as Ares or Athena inspire a warrior to fight without undermining the credit he receives for the resulting success</w:t>
      </w:r>
      <w:r w:rsidR="003B687B">
        <w:t>’</w:t>
      </w:r>
      <w:r>
        <w:t>.</w:t>
      </w:r>
      <w:r w:rsidR="003B687B">
        <w:rPr>
          <w:rStyle w:val="FootnoteReference"/>
        </w:rPr>
        <w:footnoteReference w:id="108"/>
      </w:r>
      <w:r w:rsidR="003B687B">
        <w:t xml:space="preserve"> She insp</w:t>
      </w:r>
      <w:r w:rsidR="00156E5F">
        <w:t xml:space="preserve">ires Helen’s beauty, she ‘causes’ the war that the </w:t>
      </w:r>
      <w:r w:rsidR="00156E5F">
        <w:rPr>
          <w:i/>
        </w:rPr>
        <w:t xml:space="preserve">Iliad </w:t>
      </w:r>
      <w:r w:rsidR="00156E5F">
        <w:t xml:space="preserve">is about, </w:t>
      </w:r>
      <w:r w:rsidR="00281DCC">
        <w:t xml:space="preserve">she saves Paris and intervenes in the battles on a physical and practical level for her son Aeneas, and for Ares. Her display of </w:t>
      </w:r>
      <w:r w:rsidR="008D1A07">
        <w:t xml:space="preserve">‘feminine’ </w:t>
      </w:r>
      <w:r w:rsidR="00281DCC">
        <w:t xml:space="preserve">compassion that comes from her involvement in the </w:t>
      </w:r>
      <w:r w:rsidR="008D1A07">
        <w:t xml:space="preserve">battles in the </w:t>
      </w:r>
      <w:r w:rsidR="008D1A07">
        <w:rPr>
          <w:i/>
        </w:rPr>
        <w:t xml:space="preserve">Iliad </w:t>
      </w:r>
      <w:r w:rsidR="008D1A07">
        <w:t xml:space="preserve">is not contradicted by her violent revenge in </w:t>
      </w:r>
      <w:r w:rsidR="008D1A07">
        <w:rPr>
          <w:i/>
        </w:rPr>
        <w:t xml:space="preserve">Hippolytus, </w:t>
      </w:r>
      <w:r w:rsidR="001832A0">
        <w:t xml:space="preserve">and this essay has hopefully proved that there is no reason why Aphrodite should not </w:t>
      </w:r>
      <w:proofErr w:type="gramStart"/>
      <w:r w:rsidR="001832A0">
        <w:t>be seen as</w:t>
      </w:r>
      <w:proofErr w:type="gramEnd"/>
      <w:r w:rsidR="001832A0">
        <w:t xml:space="preserve"> both feminine </w:t>
      </w:r>
      <w:r w:rsidR="001832A0">
        <w:rPr>
          <w:i/>
        </w:rPr>
        <w:t xml:space="preserve">and </w:t>
      </w:r>
      <w:r w:rsidR="001832A0">
        <w:t>powerful.</w:t>
      </w:r>
    </w:p>
    <w:p w14:paraId="42D9D47E" w14:textId="4B2A5459" w:rsidR="001832A0" w:rsidRDefault="001832A0" w:rsidP="00E837CD">
      <w:pPr>
        <w:spacing w:line="480" w:lineRule="auto"/>
      </w:pPr>
      <w:r>
        <w:t xml:space="preserve">She uses her sexuality and the influence that she has over the sexuality of others </w:t>
      </w:r>
      <w:r w:rsidR="008E6144">
        <w:t xml:space="preserve">to manipulate people and situations, with little regard for who she affects, and what consequences are caused as a result. </w:t>
      </w:r>
      <w:r w:rsidR="00D157F3">
        <w:t xml:space="preserve">She is </w:t>
      </w:r>
      <w:r w:rsidR="00924B6D">
        <w:t xml:space="preserve">subject to her own manipulation in the </w:t>
      </w:r>
      <w:r w:rsidR="00924B6D">
        <w:rPr>
          <w:i/>
        </w:rPr>
        <w:t xml:space="preserve">Homeric Hymn to Aphrodite </w:t>
      </w:r>
      <w:r w:rsidR="00924B6D">
        <w:t>which demonstrates that her strength is something that threatens Zeus enough that he feels the need to do something that may deter her from using it against the gods again.</w:t>
      </w:r>
    </w:p>
    <w:p w14:paraId="31F2B034" w14:textId="71956152" w:rsidR="00924B6D" w:rsidRDefault="00924B6D" w:rsidP="00E837CD">
      <w:pPr>
        <w:spacing w:line="480" w:lineRule="auto"/>
        <w:rPr>
          <w:i/>
        </w:rPr>
      </w:pPr>
      <w:r>
        <w:t xml:space="preserve">Aphrodite’s sexuality is central to almost everything that she does, and as discussed in this paper, she uses it for many different means and achieves many different things by wielding it as Zeus wields lightning, as Artemis wields her virginity and her hunting skills. Her very existence in these texts rejects the notion that to be a woman, one must be overtly feminine and gentle </w:t>
      </w:r>
      <w:proofErr w:type="gramStart"/>
      <w:r>
        <w:t>at all times</w:t>
      </w:r>
      <w:proofErr w:type="gramEnd"/>
      <w:r>
        <w:t xml:space="preserve">. She is still known for being the goddess of love and beauty, even though she is portrayed as being devious, manipulative, and murderous </w:t>
      </w:r>
      <w:r>
        <w:rPr>
          <w:i/>
        </w:rPr>
        <w:t>simultaneously.</w:t>
      </w:r>
    </w:p>
    <w:p w14:paraId="0AC380A0" w14:textId="6B6F589E" w:rsidR="00924B6D" w:rsidRPr="00924B6D" w:rsidRDefault="00924B6D" w:rsidP="00E837CD">
      <w:pPr>
        <w:spacing w:line="480" w:lineRule="auto"/>
      </w:pPr>
      <w:r>
        <w:lastRenderedPageBreak/>
        <w:t xml:space="preserve">There are many societal taboos that surround female sexuality even in the twenty-first century, and I suspect that the way Aphrodite </w:t>
      </w:r>
      <w:r w:rsidR="00E837CD">
        <w:t xml:space="preserve">has been almost disregarded in contemporary culture </w:t>
      </w:r>
      <w:proofErr w:type="gramStart"/>
      <w:r w:rsidR="00E837CD">
        <w:t>is a reflection of</w:t>
      </w:r>
      <w:proofErr w:type="gramEnd"/>
      <w:r w:rsidR="00E837CD">
        <w:t xml:space="preserve"> a build</w:t>
      </w:r>
      <w:r w:rsidR="00E837CD">
        <w:t>-</w:t>
      </w:r>
      <w:r w:rsidR="00E837CD">
        <w:t>up of patriarchal and sexist cultural values</w:t>
      </w:r>
      <w:r w:rsidR="00E837CD">
        <w:t xml:space="preserve"> and a rather </w:t>
      </w:r>
      <w:r w:rsidR="00E837CD" w:rsidRPr="00E837CD">
        <w:rPr>
          <w:i/>
        </w:rPr>
        <w:t>Hippolytus</w:t>
      </w:r>
      <w:r w:rsidR="00E837CD">
        <w:t xml:space="preserve"> way of viewing women who are overtly sexual.</w:t>
      </w:r>
    </w:p>
    <w:p w14:paraId="7E9060BB" w14:textId="6392A7FD" w:rsidR="00305A21" w:rsidRDefault="00E837CD" w:rsidP="00E837CD">
      <w:pPr>
        <w:spacing w:line="480" w:lineRule="auto"/>
      </w:pPr>
      <w:r>
        <w:t>But</w:t>
      </w:r>
      <w:r w:rsidR="00305A21">
        <w:t xml:space="preserve"> should w</w:t>
      </w:r>
      <w:r>
        <w:t>omen</w:t>
      </w:r>
      <w:r w:rsidR="00305A21">
        <w:t xml:space="preserve"> be expected to be apologetic for being sexual? </w:t>
      </w:r>
      <w:r>
        <w:t>Aphrodite</w:t>
      </w:r>
      <w:r w:rsidR="00305A21">
        <w:t xml:space="preserve"> is </w:t>
      </w:r>
      <w:r>
        <w:t>the</w:t>
      </w:r>
      <w:r w:rsidR="00305A21">
        <w:t xml:space="preserve"> goddess</w:t>
      </w:r>
      <w:r>
        <w:t xml:space="preserve"> of sexual love</w:t>
      </w:r>
      <w:r w:rsidR="00305A21">
        <w:t xml:space="preserve">, it makes sense that </w:t>
      </w:r>
      <w:r>
        <w:t>she</w:t>
      </w:r>
      <w:r w:rsidR="00305A21">
        <w:t xml:space="preserve"> should be central to that, that it will be her motive, her </w:t>
      </w:r>
      <w:r w:rsidR="008954FF">
        <w:t>action, and the consequence.</w:t>
      </w:r>
      <w:r>
        <w:t xml:space="preserve"> Athena is never expected to apologise for her penchant for war, and Artemis is never spurned for loving the hunt.</w:t>
      </w:r>
    </w:p>
    <w:p w14:paraId="3BE00761" w14:textId="1370747C" w:rsidR="004E76BC" w:rsidRDefault="00E837CD" w:rsidP="00E837CD">
      <w:pPr>
        <w:spacing w:line="480" w:lineRule="auto"/>
      </w:pPr>
      <w:r>
        <w:t>Femininity does not equal weakness</w:t>
      </w:r>
      <w:r>
        <w:t xml:space="preserve"> or an inherent character flaw</w:t>
      </w:r>
      <w:r>
        <w:t>, and neither does overt sexuality</w:t>
      </w:r>
      <w:r>
        <w:t>. A woman’s sexuality is hers to do with what she will</w:t>
      </w:r>
      <w:r w:rsidR="00CA6EEA">
        <w:t>. Aphrodite</w:t>
      </w:r>
      <w:r>
        <w:t xml:space="preserve"> is not any less powerful</w:t>
      </w:r>
      <w:r w:rsidR="00CA6EEA">
        <w:t xml:space="preserve"> than the other deities central to the Greek pantheon</w:t>
      </w:r>
      <w:r>
        <w:t xml:space="preserve">, and she is not and should never be thought of as submissive to the </w:t>
      </w:r>
      <w:r w:rsidR="00CA6EEA">
        <w:t>male-dominated standards she existed in.</w:t>
      </w:r>
    </w:p>
    <w:p w14:paraId="50586E03" w14:textId="77777777" w:rsidR="00CA6EEA" w:rsidRDefault="00CA6EEA" w:rsidP="00E837CD">
      <w:pPr>
        <w:spacing w:line="480" w:lineRule="auto"/>
      </w:pPr>
    </w:p>
    <w:p w14:paraId="5FDCFA44" w14:textId="6CAB9086" w:rsidR="00E837CD" w:rsidRDefault="00E837CD" w:rsidP="00CA6EEA">
      <w:pPr>
        <w:spacing w:line="480" w:lineRule="auto"/>
        <w:jc w:val="center"/>
      </w:pPr>
      <w:r>
        <w:t>#</w:t>
      </w:r>
      <w:proofErr w:type="spellStart"/>
      <w:r>
        <w:t>TimesUp</w:t>
      </w:r>
      <w:proofErr w:type="spellEnd"/>
      <w:r>
        <w:t>.</w:t>
      </w:r>
    </w:p>
    <w:p w14:paraId="31A17364" w14:textId="77777777" w:rsidR="00873C1F" w:rsidRPr="00873C1F" w:rsidRDefault="00873C1F">
      <w:pPr>
        <w:rPr>
          <w:rFonts w:eastAsiaTheme="majorEastAsia"/>
          <w:sz w:val="32"/>
          <w:szCs w:val="32"/>
        </w:rPr>
      </w:pPr>
      <w:r w:rsidRPr="00873C1F">
        <w:br w:type="page"/>
      </w:r>
    </w:p>
    <w:p w14:paraId="7AD138B9" w14:textId="5CD8D519" w:rsidR="00873C1F" w:rsidRPr="00CF3778" w:rsidRDefault="00873C1F" w:rsidP="00873C1F">
      <w:pPr>
        <w:pStyle w:val="Heading1"/>
        <w:rPr>
          <w:rFonts w:ascii="Times New Roman" w:hAnsi="Times New Roman" w:cs="Times New Roman"/>
          <w:color w:val="auto"/>
        </w:rPr>
      </w:pPr>
      <w:bookmarkStart w:id="9" w:name="_Toc513681263"/>
      <w:r w:rsidRPr="00CF3778">
        <w:rPr>
          <w:rFonts w:ascii="Times New Roman" w:hAnsi="Times New Roman" w:cs="Times New Roman"/>
          <w:color w:val="auto"/>
        </w:rPr>
        <w:lastRenderedPageBreak/>
        <w:t>Bibliography</w:t>
      </w:r>
      <w:bookmarkEnd w:id="9"/>
    </w:p>
    <w:p w14:paraId="0573F676" w14:textId="4CC2B268" w:rsidR="00873C1F" w:rsidRPr="00A74672" w:rsidRDefault="00873C1F" w:rsidP="00873C1F">
      <w:pPr>
        <w:rPr>
          <w:b/>
        </w:rPr>
      </w:pPr>
    </w:p>
    <w:p w14:paraId="644319B1" w14:textId="02EDAC86" w:rsidR="00873C1F" w:rsidRDefault="00873C1F" w:rsidP="00873C1F">
      <w:pPr>
        <w:pStyle w:val="Heading2"/>
        <w:rPr>
          <w:rFonts w:ascii="Times New Roman" w:hAnsi="Times New Roman" w:cs="Times New Roman"/>
          <w:color w:val="auto"/>
        </w:rPr>
      </w:pPr>
      <w:bookmarkStart w:id="10" w:name="_Toc513681264"/>
      <w:r w:rsidRPr="00CF3778">
        <w:rPr>
          <w:rFonts w:ascii="Times New Roman" w:hAnsi="Times New Roman" w:cs="Times New Roman"/>
          <w:color w:val="auto"/>
        </w:rPr>
        <w:t>Ancient Sources</w:t>
      </w:r>
      <w:bookmarkEnd w:id="10"/>
    </w:p>
    <w:p w14:paraId="73004CBB" w14:textId="0831C27B" w:rsidR="00F57808" w:rsidRDefault="00F57808" w:rsidP="007B68AC">
      <w:pPr>
        <w:spacing w:line="480" w:lineRule="auto"/>
      </w:pPr>
    </w:p>
    <w:p w14:paraId="77FEA346" w14:textId="0FF6EB18" w:rsidR="00F57808" w:rsidRPr="00F57808" w:rsidRDefault="00F57808" w:rsidP="007B68AC">
      <w:pPr>
        <w:spacing w:line="480" w:lineRule="auto"/>
      </w:pPr>
      <w:r>
        <w:t xml:space="preserve">Apollonius of Rhodes, </w:t>
      </w:r>
      <w:r>
        <w:rPr>
          <w:i/>
        </w:rPr>
        <w:t xml:space="preserve">Jason and the Golden Fleece (The Argonautica). </w:t>
      </w:r>
      <w:r>
        <w:t>R. L. Hunter (trans.). 1998. Oxford World’s Classics</w:t>
      </w:r>
    </w:p>
    <w:p w14:paraId="47B20BCD" w14:textId="08061B12" w:rsidR="00F57808" w:rsidRPr="00F57808" w:rsidRDefault="00F57808" w:rsidP="007B68AC">
      <w:pPr>
        <w:spacing w:line="480" w:lineRule="auto"/>
      </w:pPr>
      <w:r w:rsidRPr="00F57808">
        <w:t xml:space="preserve">Euripides, </w:t>
      </w:r>
      <w:r w:rsidRPr="00F57808">
        <w:rPr>
          <w:i/>
        </w:rPr>
        <w:t>Medea.</w:t>
      </w:r>
      <w:r w:rsidRPr="00F57808">
        <w:t xml:space="preserve"> R. Blondell (trans.). 1999. USA: Routledge.</w:t>
      </w:r>
    </w:p>
    <w:p w14:paraId="34E3F626" w14:textId="2866EFCA" w:rsidR="009A4613" w:rsidRDefault="009A4613" w:rsidP="007B68AC">
      <w:pPr>
        <w:spacing w:line="480" w:lineRule="auto"/>
      </w:pPr>
      <w:r w:rsidRPr="009A4613">
        <w:t xml:space="preserve">Euripides, Hippolytus. P. </w:t>
      </w:r>
      <w:proofErr w:type="spellStart"/>
      <w:r w:rsidRPr="009A4613">
        <w:t>Vellacott</w:t>
      </w:r>
      <w:proofErr w:type="spellEnd"/>
      <w:r w:rsidRPr="009A4613">
        <w:t xml:space="preserve"> (trans.). 1974. London: Penguin</w:t>
      </w:r>
    </w:p>
    <w:p w14:paraId="1009E603" w14:textId="22FF6DAA" w:rsidR="009A4613" w:rsidRDefault="009A4613" w:rsidP="007B68AC">
      <w:pPr>
        <w:spacing w:line="480" w:lineRule="auto"/>
      </w:pPr>
      <w:r w:rsidRPr="009A4613">
        <w:t xml:space="preserve">Ovid, </w:t>
      </w:r>
      <w:proofErr w:type="spellStart"/>
      <w:r w:rsidRPr="009A4613">
        <w:t>Heroides</w:t>
      </w:r>
      <w:proofErr w:type="spellEnd"/>
      <w:r w:rsidRPr="009A4613">
        <w:t xml:space="preserve">. G. P. </w:t>
      </w:r>
      <w:proofErr w:type="spellStart"/>
      <w:r w:rsidRPr="009A4613">
        <w:t>Goold</w:t>
      </w:r>
      <w:proofErr w:type="spellEnd"/>
      <w:r w:rsidRPr="009A4613">
        <w:t xml:space="preserve"> (trans.). 1914. Cambridge, MA: Harvard University Press</w:t>
      </w:r>
    </w:p>
    <w:p w14:paraId="63EACA46" w14:textId="29080CE8" w:rsidR="00F57808" w:rsidRDefault="00F57808" w:rsidP="007B68AC">
      <w:pPr>
        <w:spacing w:line="480" w:lineRule="auto"/>
      </w:pPr>
      <w:r w:rsidRPr="00F57808">
        <w:t>Ovid</w:t>
      </w:r>
      <w:r>
        <w:t>,</w:t>
      </w:r>
      <w:r w:rsidRPr="00F57808">
        <w:t xml:space="preserve"> </w:t>
      </w:r>
      <w:r w:rsidRPr="00F57808">
        <w:rPr>
          <w:i/>
        </w:rPr>
        <w:t>Metamorphoses</w:t>
      </w:r>
      <w:r w:rsidRPr="00F57808">
        <w:t>. B</w:t>
      </w:r>
      <w:r>
        <w:t xml:space="preserve">. </w:t>
      </w:r>
      <w:r w:rsidRPr="00F57808">
        <w:t>More</w:t>
      </w:r>
      <w:r>
        <w:t xml:space="preserve"> (trans.)</w:t>
      </w:r>
      <w:r w:rsidRPr="00F57808">
        <w:t xml:space="preserve">. </w:t>
      </w:r>
      <w:r>
        <w:t xml:space="preserve">1922. </w:t>
      </w:r>
      <w:r w:rsidRPr="00F57808">
        <w:t>Boston. Cornhill Publishing Co.</w:t>
      </w:r>
    </w:p>
    <w:p w14:paraId="0F781291" w14:textId="17A23A32" w:rsidR="00036638" w:rsidRPr="005B2DE7" w:rsidRDefault="002A122D" w:rsidP="007B68AC">
      <w:pPr>
        <w:spacing w:line="480" w:lineRule="auto"/>
      </w:pPr>
      <w:r>
        <w:t>Homer</w:t>
      </w:r>
      <w:r w:rsidR="00284DA0">
        <w:t xml:space="preserve">, </w:t>
      </w:r>
      <w:r w:rsidR="005B2DE7">
        <w:rPr>
          <w:i/>
        </w:rPr>
        <w:t xml:space="preserve">The </w:t>
      </w:r>
      <w:r w:rsidR="00284DA0">
        <w:rPr>
          <w:i/>
        </w:rPr>
        <w:t>Iliad</w:t>
      </w:r>
      <w:r w:rsidR="005B2DE7">
        <w:rPr>
          <w:i/>
        </w:rPr>
        <w:t xml:space="preserve">. </w:t>
      </w:r>
      <w:r w:rsidR="005B2DE7">
        <w:t>R. Fitzgerald (trans.). 1984. UK: Oxford World’s Classics</w:t>
      </w:r>
    </w:p>
    <w:p w14:paraId="4EDCF6A8" w14:textId="29D1124F" w:rsidR="002A122D" w:rsidRPr="005B2DE7" w:rsidRDefault="00284DA0" w:rsidP="007B68AC">
      <w:pPr>
        <w:spacing w:line="480" w:lineRule="auto"/>
      </w:pPr>
      <w:r>
        <w:rPr>
          <w:i/>
        </w:rPr>
        <w:t>Homeric Hymns</w:t>
      </w:r>
      <w:r w:rsidR="005B2DE7">
        <w:rPr>
          <w:i/>
        </w:rPr>
        <w:t xml:space="preserve">. </w:t>
      </w:r>
      <w:r w:rsidR="005B2DE7">
        <w:t xml:space="preserve">T. Sargent (trans.). </w:t>
      </w:r>
      <w:r w:rsidR="00864674">
        <w:t>1973. W. W. Norton &amp; Company, Inc.</w:t>
      </w:r>
    </w:p>
    <w:p w14:paraId="343C3D7B" w14:textId="095E6899" w:rsidR="002A122D" w:rsidRPr="005B2DE7" w:rsidRDefault="002A122D" w:rsidP="007B68AC">
      <w:pPr>
        <w:spacing w:line="480" w:lineRule="auto"/>
      </w:pPr>
      <w:r>
        <w:t>Hesiod</w:t>
      </w:r>
      <w:r w:rsidR="00284DA0">
        <w:t xml:space="preserve">, </w:t>
      </w:r>
      <w:r w:rsidR="00284DA0">
        <w:rPr>
          <w:i/>
        </w:rPr>
        <w:t>Theogony</w:t>
      </w:r>
      <w:r w:rsidR="005B2DE7">
        <w:rPr>
          <w:i/>
        </w:rPr>
        <w:t xml:space="preserve">, Works and Days, Testimonia. </w:t>
      </w:r>
      <w:r w:rsidR="005B2DE7">
        <w:t>G. W. Most. (trans.). 2006. UK: Harvard University Press</w:t>
      </w:r>
    </w:p>
    <w:p w14:paraId="434C6B2A" w14:textId="68376E00" w:rsidR="002A122D" w:rsidRPr="005B2DE7" w:rsidRDefault="00284DA0" w:rsidP="007B68AC">
      <w:pPr>
        <w:spacing w:line="480" w:lineRule="auto"/>
      </w:pPr>
      <w:r>
        <w:t xml:space="preserve">Euripides, </w:t>
      </w:r>
      <w:r>
        <w:rPr>
          <w:i/>
        </w:rPr>
        <w:t>Bacchae</w:t>
      </w:r>
      <w:r w:rsidR="005B2DE7">
        <w:rPr>
          <w:i/>
        </w:rPr>
        <w:t xml:space="preserve">. </w:t>
      </w:r>
      <w:r w:rsidR="005B2DE7">
        <w:t>R. Robertson (trans.). 2014. UK: Vintage</w:t>
      </w:r>
    </w:p>
    <w:p w14:paraId="3E3D3A61" w14:textId="4DF56E1C" w:rsidR="00873C1F" w:rsidRPr="00A74672" w:rsidRDefault="00873C1F" w:rsidP="00873C1F">
      <w:pPr>
        <w:rPr>
          <w:b/>
        </w:rPr>
      </w:pPr>
    </w:p>
    <w:p w14:paraId="5B8DFDF7" w14:textId="2AFB9523" w:rsidR="00873C1F" w:rsidRDefault="00873C1F" w:rsidP="00873C1F">
      <w:pPr>
        <w:pStyle w:val="Heading2"/>
        <w:rPr>
          <w:rFonts w:ascii="Times New Roman" w:hAnsi="Times New Roman" w:cs="Times New Roman"/>
          <w:color w:val="auto"/>
        </w:rPr>
      </w:pPr>
      <w:bookmarkStart w:id="11" w:name="_Toc513681265"/>
      <w:r w:rsidRPr="00CF3778">
        <w:rPr>
          <w:rFonts w:ascii="Times New Roman" w:hAnsi="Times New Roman" w:cs="Times New Roman"/>
          <w:color w:val="auto"/>
        </w:rPr>
        <w:t>Scholarship</w:t>
      </w:r>
      <w:bookmarkEnd w:id="11"/>
    </w:p>
    <w:p w14:paraId="109530DE" w14:textId="06EBF131" w:rsidR="001A2D3F" w:rsidRDefault="001A2D3F" w:rsidP="001A2D3F"/>
    <w:p w14:paraId="7AD329A5" w14:textId="7F41EB4A" w:rsidR="007B68AC" w:rsidRDefault="007B68AC" w:rsidP="00354BBE">
      <w:pPr>
        <w:spacing w:line="480" w:lineRule="auto"/>
        <w:ind w:firstLine="720"/>
      </w:pPr>
      <w:bookmarkStart w:id="12" w:name="_Hlk513658470"/>
      <w:r w:rsidRPr="007B68AC">
        <w:t xml:space="preserve">Aeschylus, </w:t>
      </w:r>
      <w:proofErr w:type="spellStart"/>
      <w:r w:rsidRPr="007B68AC">
        <w:t>Fagles</w:t>
      </w:r>
      <w:proofErr w:type="spellEnd"/>
      <w:r w:rsidRPr="007B68AC">
        <w:t xml:space="preserve">, R. and Stanford, W. (1979). </w:t>
      </w:r>
      <w:r w:rsidRPr="007B68AC">
        <w:rPr>
          <w:i/>
        </w:rPr>
        <w:t>The Oresteia</w:t>
      </w:r>
      <w:r w:rsidRPr="007B68AC">
        <w:t>. 2nd ed. London, England: Penguin Classics.</w:t>
      </w:r>
    </w:p>
    <w:p w14:paraId="249093B5" w14:textId="33DB3027" w:rsidR="00354BBE" w:rsidRPr="00354BBE" w:rsidRDefault="00354BBE" w:rsidP="00354BBE">
      <w:pPr>
        <w:spacing w:line="480" w:lineRule="auto"/>
        <w:ind w:firstLine="720"/>
      </w:pPr>
      <w:r>
        <w:t xml:space="preserve">Bergren, A. L. T. (1989). “The Homeric Hymn to Aphrodite”: Tradition and Rhetoric, Praise and Blame. </w:t>
      </w:r>
      <w:r>
        <w:rPr>
          <w:i/>
        </w:rPr>
        <w:t xml:space="preserve">Classical Antiquity. </w:t>
      </w:r>
      <w:r>
        <w:t>Vol. 8, No. 1. University of California Press.</w:t>
      </w:r>
    </w:p>
    <w:bookmarkEnd w:id="12"/>
    <w:p w14:paraId="0425AD02" w14:textId="668AF6FB" w:rsidR="001A2D3F" w:rsidRDefault="001A2D3F" w:rsidP="00354BBE">
      <w:pPr>
        <w:spacing w:line="480" w:lineRule="auto"/>
        <w:ind w:firstLine="720"/>
      </w:pPr>
      <w:r w:rsidRPr="001A2D3F">
        <w:lastRenderedPageBreak/>
        <w:t xml:space="preserve">Betancourt, J. (2013). Empowerment of Mortal and Divine Females in the </w:t>
      </w:r>
      <w:r w:rsidRPr="001A2D3F">
        <w:rPr>
          <w:i/>
        </w:rPr>
        <w:t xml:space="preserve">Iliad: </w:t>
      </w:r>
      <w:r w:rsidRPr="001A2D3F">
        <w:t xml:space="preserve">A Feminist Study of the Matristic Archetypes in Homer. </w:t>
      </w:r>
      <w:r w:rsidRPr="001A2D3F">
        <w:rPr>
          <w:i/>
        </w:rPr>
        <w:t xml:space="preserve">The Oswald Review: An International Journal of Undergraduate Research and Criticism in the Discipline of English. </w:t>
      </w:r>
      <w:r w:rsidRPr="001A2D3F">
        <w:t>Vol. 3, No. 1.</w:t>
      </w:r>
    </w:p>
    <w:p w14:paraId="7C31DDA3" w14:textId="503C2BD0" w:rsidR="006275BE" w:rsidRPr="006275BE" w:rsidRDefault="006275BE" w:rsidP="00354BBE">
      <w:pPr>
        <w:spacing w:line="480" w:lineRule="auto"/>
        <w:ind w:firstLine="720"/>
      </w:pPr>
      <w:bookmarkStart w:id="13" w:name="_Hlk513699508"/>
      <w:r>
        <w:t xml:space="preserve">Blomqvist, J. (1982). Human and Divine Action in Euripides’ Hippolytus. </w:t>
      </w:r>
      <w:r>
        <w:rPr>
          <w:i/>
        </w:rPr>
        <w:t xml:space="preserve">Hermes, </w:t>
      </w:r>
      <w:r>
        <w:t>110. Franz Steiner Verlag.</w:t>
      </w:r>
    </w:p>
    <w:bookmarkEnd w:id="13"/>
    <w:p w14:paraId="521B9635" w14:textId="44DC1CB7" w:rsidR="001A2D3F" w:rsidRDefault="001A2D3F" w:rsidP="00354BBE">
      <w:pPr>
        <w:spacing w:line="480" w:lineRule="auto"/>
        <w:ind w:firstLine="720"/>
      </w:pPr>
      <w:r w:rsidRPr="001A2D3F">
        <w:t xml:space="preserve">Blondell, R. (2010). “Bitch that I Am”: Self-Blame and Self-Assertation in the </w:t>
      </w:r>
      <w:r w:rsidRPr="001A2D3F">
        <w:rPr>
          <w:i/>
        </w:rPr>
        <w:t xml:space="preserve">Iliad. Transactions of the American Philological Association. </w:t>
      </w:r>
      <w:r w:rsidRPr="001A2D3F">
        <w:t>Vol. 140, Issue 1. The John Hopkins University Press.</w:t>
      </w:r>
    </w:p>
    <w:p w14:paraId="4B4679F6" w14:textId="4C3987E7" w:rsidR="001A2D3F" w:rsidRDefault="001A2D3F" w:rsidP="00354BBE">
      <w:pPr>
        <w:spacing w:line="480" w:lineRule="auto"/>
        <w:ind w:firstLine="720"/>
      </w:pPr>
      <w:r w:rsidRPr="001A2D3F">
        <w:t xml:space="preserve">Brown, A. S. (1997). Aphrodite and the Pandora Complex. </w:t>
      </w:r>
      <w:r w:rsidRPr="001A2D3F">
        <w:rPr>
          <w:i/>
        </w:rPr>
        <w:t xml:space="preserve">The Classical Quarterly. </w:t>
      </w:r>
      <w:r w:rsidRPr="001A2D3F">
        <w:t>Vol. 47, No. 1. Cambridge University Press, The Classical Association.</w:t>
      </w:r>
    </w:p>
    <w:p w14:paraId="14384383" w14:textId="1E105C4F" w:rsidR="00354BBE" w:rsidRDefault="00354BBE" w:rsidP="00354BBE">
      <w:pPr>
        <w:spacing w:line="480" w:lineRule="auto"/>
        <w:ind w:firstLine="720"/>
      </w:pPr>
      <w:r>
        <w:t xml:space="preserve">Cyrino, M. S. (1993). “Shame, Danger and Desire”: Aphrodite’s Power in the Fifth Homeric Hymn. </w:t>
      </w:r>
      <w:r>
        <w:rPr>
          <w:i/>
        </w:rPr>
        <w:t xml:space="preserve">Rocky Mountain Review of Language and Literature. </w:t>
      </w:r>
      <w:r>
        <w:t>Vol. 47, No. 4. Rocky Mountain Modern Language Association</w:t>
      </w:r>
    </w:p>
    <w:p w14:paraId="74B1F32D" w14:textId="252A6A1D" w:rsidR="007B68AC" w:rsidRDefault="007B68AC" w:rsidP="00354BBE">
      <w:pPr>
        <w:spacing w:line="480" w:lineRule="auto"/>
        <w:ind w:firstLine="720"/>
      </w:pPr>
      <w:r w:rsidRPr="007B68AC">
        <w:t xml:space="preserve">Euripides and </w:t>
      </w:r>
      <w:proofErr w:type="spellStart"/>
      <w:r w:rsidRPr="007B68AC">
        <w:t>Vellacott</w:t>
      </w:r>
      <w:proofErr w:type="spellEnd"/>
      <w:r w:rsidRPr="007B68AC">
        <w:t xml:space="preserve">, P. 1974. </w:t>
      </w:r>
      <w:r w:rsidRPr="007B68AC">
        <w:rPr>
          <w:i/>
        </w:rPr>
        <w:t>Alcestis/Hippolytus/Iphigenia in Tauris</w:t>
      </w:r>
      <w:r w:rsidRPr="007B68AC">
        <w:t>. London: Penguin</w:t>
      </w:r>
    </w:p>
    <w:p w14:paraId="3B55163B" w14:textId="49FE4E3D" w:rsidR="00354BBE" w:rsidRDefault="005C6E08" w:rsidP="00354BBE">
      <w:pPr>
        <w:spacing w:line="480" w:lineRule="auto"/>
        <w:ind w:firstLine="720"/>
      </w:pPr>
      <w:r>
        <w:t xml:space="preserve">Faulkner, A. (2008). The Legacy of Aphrodite: Anchises’ Offspring in the “Homeric Hymn to Aphrodite”. </w:t>
      </w:r>
      <w:r>
        <w:rPr>
          <w:i/>
        </w:rPr>
        <w:t xml:space="preserve">The American Journal of Philology, </w:t>
      </w:r>
      <w:r>
        <w:t>Vol. 129, No. 1. The John Hopkins University Press</w:t>
      </w:r>
    </w:p>
    <w:p w14:paraId="3C0C4A2F" w14:textId="1EEC6A53" w:rsidR="009927F9" w:rsidRDefault="0086537D" w:rsidP="00354BBE">
      <w:pPr>
        <w:spacing w:line="480" w:lineRule="auto"/>
        <w:ind w:firstLine="720"/>
      </w:pPr>
      <w:r>
        <w:t xml:space="preserve">Hansen, W. (2000). Foam-Born Aphrodite and the Mythology of Transformation. </w:t>
      </w:r>
      <w:r>
        <w:rPr>
          <w:i/>
        </w:rPr>
        <w:t xml:space="preserve">The American Journal of Philology, </w:t>
      </w:r>
      <w:r>
        <w:t>Vol. 121, No. 1. The John Hopkins University Press</w:t>
      </w:r>
    </w:p>
    <w:p w14:paraId="6EB7B01E" w14:textId="569DDBDF" w:rsidR="007B68AC" w:rsidRDefault="007B68AC" w:rsidP="00354BBE">
      <w:pPr>
        <w:spacing w:line="480" w:lineRule="auto"/>
        <w:ind w:firstLine="720"/>
      </w:pPr>
      <w:r w:rsidRPr="007B68AC">
        <w:t>Holmberg, I. (1995). Euripides' Helen: Most Noble and Most Chaste. The American Journal of Philology, 116(1), p.19.</w:t>
      </w:r>
    </w:p>
    <w:p w14:paraId="49E71629" w14:textId="1F170962" w:rsidR="007B68AC" w:rsidRDefault="007B68AC" w:rsidP="00354BBE">
      <w:pPr>
        <w:spacing w:line="480" w:lineRule="auto"/>
        <w:ind w:firstLine="720"/>
      </w:pPr>
      <w:r w:rsidRPr="007B68AC">
        <w:lastRenderedPageBreak/>
        <w:t xml:space="preserve">Homer, Fitzgerald, R. and Kirk, G. S. </w:t>
      </w:r>
      <w:r>
        <w:t>(</w:t>
      </w:r>
      <w:r w:rsidRPr="007B68AC">
        <w:t>2008</w:t>
      </w:r>
      <w:r>
        <w:t>)</w:t>
      </w:r>
      <w:r w:rsidRPr="007B68AC">
        <w:t xml:space="preserve">. </w:t>
      </w:r>
      <w:r w:rsidRPr="007B68AC">
        <w:rPr>
          <w:i/>
        </w:rPr>
        <w:t>The Iliad</w:t>
      </w:r>
      <w:r w:rsidRPr="007B68AC">
        <w:t>. Oxford: Oxford University Press</w:t>
      </w:r>
    </w:p>
    <w:p w14:paraId="1613387E" w14:textId="2F69B689" w:rsidR="006275BE" w:rsidRDefault="006275BE" w:rsidP="00354BBE">
      <w:pPr>
        <w:spacing w:line="480" w:lineRule="auto"/>
        <w:ind w:firstLine="720"/>
      </w:pPr>
      <w:bookmarkStart w:id="14" w:name="_Hlk513699588"/>
      <w:r>
        <w:t xml:space="preserve">Kovacs, D. (1980). Euripides Hippolytus 100 and the Meaning of the Prologue. </w:t>
      </w:r>
      <w:r>
        <w:rPr>
          <w:i/>
        </w:rPr>
        <w:t xml:space="preserve">Classical Philology, </w:t>
      </w:r>
      <w:r>
        <w:t>Vol. 75, No. 2. The University of Chicago Press</w:t>
      </w:r>
    </w:p>
    <w:p w14:paraId="058C75CC" w14:textId="6D927563" w:rsidR="006275BE" w:rsidRDefault="006275BE" w:rsidP="007B68AC">
      <w:pPr>
        <w:spacing w:line="480" w:lineRule="auto"/>
        <w:ind w:firstLine="720"/>
      </w:pPr>
      <w:bookmarkStart w:id="15" w:name="_Hlk513699602"/>
      <w:bookmarkEnd w:id="14"/>
      <w:r>
        <w:t xml:space="preserve">Luschnig, C. A. E. (1983). The Value of Ignorance in the Hippolytus. </w:t>
      </w:r>
      <w:r>
        <w:rPr>
          <w:i/>
        </w:rPr>
        <w:t xml:space="preserve">The American Journal of Philology. </w:t>
      </w:r>
      <w:r>
        <w:t>Vol. 104, No. 2. The John Hopkins University Press.</w:t>
      </w:r>
    </w:p>
    <w:p w14:paraId="26AE41E4" w14:textId="1431B9B4" w:rsidR="007B68AC" w:rsidRDefault="007B68AC" w:rsidP="007B68AC">
      <w:pPr>
        <w:spacing w:line="480" w:lineRule="auto"/>
        <w:ind w:firstLine="720"/>
      </w:pPr>
      <w:r w:rsidRPr="007B68AC">
        <w:t xml:space="preserve">Marquardt, P. A. (1982). Hesiod’s Ambiguous View of Woman. </w:t>
      </w:r>
      <w:r w:rsidRPr="007B68AC">
        <w:rPr>
          <w:i/>
        </w:rPr>
        <w:t xml:space="preserve">Classical Philology. </w:t>
      </w:r>
      <w:r w:rsidRPr="007B68AC">
        <w:t>Vol. 77, No. 4. The University of Chicago Press.</w:t>
      </w:r>
    </w:p>
    <w:bookmarkEnd w:id="15"/>
    <w:p w14:paraId="7548DEB2" w14:textId="579092B6" w:rsidR="001A2D3F" w:rsidRPr="001A2D3F" w:rsidRDefault="001A2D3F" w:rsidP="007B68AC">
      <w:pPr>
        <w:spacing w:line="480" w:lineRule="auto"/>
        <w:ind w:firstLine="720"/>
      </w:pPr>
      <w:r w:rsidRPr="001A2D3F">
        <w:t xml:space="preserve">Petersen, W. (1939). Divinities and Divine Intervention in the “Iliad”. </w:t>
      </w:r>
      <w:r w:rsidRPr="001A2D3F">
        <w:rPr>
          <w:i/>
        </w:rPr>
        <w:t xml:space="preserve">The Classical Journal. </w:t>
      </w:r>
      <w:r w:rsidRPr="001A2D3F">
        <w:t>Vol. 35, No. 1. The Classical Association of the Middle West and South, Inc. (CAMWS).</w:t>
      </w:r>
    </w:p>
    <w:p w14:paraId="60594740" w14:textId="58D80773" w:rsidR="001A2D3F" w:rsidRDefault="001A2D3F" w:rsidP="00354BBE">
      <w:pPr>
        <w:spacing w:line="480" w:lineRule="auto"/>
        <w:ind w:firstLine="720"/>
      </w:pPr>
      <w:r w:rsidRPr="001A2D3F">
        <w:t xml:space="preserve">Pomeroy, S. (1975). </w:t>
      </w:r>
      <w:r w:rsidRPr="001A2D3F">
        <w:rPr>
          <w:i/>
        </w:rPr>
        <w:t xml:space="preserve">Goddesses, Whores, Wives, &amp; Slaves. Women in Classical Antiquity. </w:t>
      </w:r>
      <w:r w:rsidRPr="001A2D3F">
        <w:t>Pimlico.</w:t>
      </w:r>
    </w:p>
    <w:p w14:paraId="72A2AC74" w14:textId="4A52FD53" w:rsidR="006275BE" w:rsidRPr="006275BE" w:rsidRDefault="006275BE" w:rsidP="00354BBE">
      <w:pPr>
        <w:spacing w:line="480" w:lineRule="auto"/>
        <w:ind w:firstLine="720"/>
      </w:pPr>
      <w:bookmarkStart w:id="16" w:name="_Hlk513699622"/>
      <w:r>
        <w:t xml:space="preserve">Reckford, K. J. (1972). Phaethon, Hippolytus, and Aphrodite. </w:t>
      </w:r>
      <w:r>
        <w:rPr>
          <w:i/>
        </w:rPr>
        <w:t xml:space="preserve">Transactions and Proceedings of the American Philological Association, </w:t>
      </w:r>
      <w:r>
        <w:t>Vol/ 103. The John Hopkins University Press</w:t>
      </w:r>
    </w:p>
    <w:p w14:paraId="30D713CA" w14:textId="735DCC93" w:rsidR="00354BBE" w:rsidRDefault="00354BBE" w:rsidP="00354BBE">
      <w:pPr>
        <w:spacing w:line="480" w:lineRule="auto"/>
        <w:ind w:firstLine="720"/>
      </w:pPr>
      <w:bookmarkStart w:id="17" w:name="_Hlk513658799"/>
      <w:bookmarkEnd w:id="16"/>
      <w:r>
        <w:t xml:space="preserve">Sale, W. (1961). Aphrodite in the Theogony. </w:t>
      </w:r>
      <w:r>
        <w:rPr>
          <w:i/>
        </w:rPr>
        <w:t xml:space="preserve">Transactions and Proceedings of the American Philological Association. </w:t>
      </w:r>
      <w:r>
        <w:t>Vol. 92. The John Hopkins University Press</w:t>
      </w:r>
    </w:p>
    <w:p w14:paraId="707E0F4C" w14:textId="2A64D2AF" w:rsidR="00FB0A48" w:rsidRDefault="00FB0A48" w:rsidP="00354BBE">
      <w:pPr>
        <w:spacing w:line="480" w:lineRule="auto"/>
        <w:ind w:firstLine="720"/>
      </w:pPr>
      <w:bookmarkStart w:id="18" w:name="_Hlk513673279"/>
      <w:r>
        <w:t>Sale, W. (1965). The Dual Vision of the “Theogony”. A Journal of Humanities and the Classics, Vol. 4, No. 4</w:t>
      </w:r>
      <w:r w:rsidR="00770467">
        <w:t>. Trustees of Boston University: A Journal of Humanities and the Classics.</w:t>
      </w:r>
    </w:p>
    <w:p w14:paraId="78F35073" w14:textId="0D806188" w:rsidR="003D145F" w:rsidRDefault="003D145F" w:rsidP="00354BBE">
      <w:pPr>
        <w:spacing w:line="480" w:lineRule="auto"/>
        <w:ind w:firstLine="720"/>
      </w:pPr>
      <w:r w:rsidRPr="003D145F">
        <w:t>Sargent, T. 1975. The Homeric Hymns. New York: W.W. Norton &amp; Company.</w:t>
      </w:r>
      <w:bookmarkStart w:id="19" w:name="_GoBack"/>
      <w:bookmarkEnd w:id="19"/>
    </w:p>
    <w:p w14:paraId="0AED263F" w14:textId="2C30C890" w:rsidR="006275BE" w:rsidRPr="006275BE" w:rsidRDefault="006275BE" w:rsidP="00354BBE">
      <w:pPr>
        <w:spacing w:line="480" w:lineRule="auto"/>
        <w:ind w:firstLine="720"/>
      </w:pPr>
      <w:bookmarkStart w:id="20" w:name="_Hlk513699641"/>
      <w:r>
        <w:lastRenderedPageBreak/>
        <w:t xml:space="preserve">Segal, C. (1969). Euripides, Hippolytus 108-112: Tragic Irony and Tragic Justice. </w:t>
      </w:r>
      <w:r>
        <w:rPr>
          <w:i/>
        </w:rPr>
        <w:t xml:space="preserve">Hermes, </w:t>
      </w:r>
      <w:r>
        <w:t>97. Franz Steiner Verlag.</w:t>
      </w:r>
    </w:p>
    <w:p w14:paraId="500942FC" w14:textId="60AC9B8B" w:rsidR="00C40635" w:rsidRPr="006275BE" w:rsidRDefault="00C40635" w:rsidP="00354BBE">
      <w:pPr>
        <w:spacing w:line="480" w:lineRule="auto"/>
        <w:ind w:firstLine="720"/>
      </w:pPr>
      <w:bookmarkStart w:id="21" w:name="_Hlk513699656"/>
      <w:bookmarkEnd w:id="20"/>
      <w:r>
        <w:t>Schenker</w:t>
      </w:r>
      <w:r w:rsidR="006275BE">
        <w:t xml:space="preserve">, D. J. (1995). The Victims of Aphrodite: “Hippolytus”, 1403-1405. </w:t>
      </w:r>
      <w:r w:rsidR="006275BE">
        <w:rPr>
          <w:i/>
        </w:rPr>
        <w:t xml:space="preserve">Mnemosyne, </w:t>
      </w:r>
      <w:r w:rsidR="006275BE">
        <w:t xml:space="preserve">Fourth </w:t>
      </w:r>
      <w:proofErr w:type="spellStart"/>
      <w:r w:rsidR="006275BE">
        <w:t>Seriesm</w:t>
      </w:r>
      <w:proofErr w:type="spellEnd"/>
      <w:r w:rsidR="006275BE">
        <w:t xml:space="preserve"> Vol. 48, </w:t>
      </w:r>
      <w:proofErr w:type="spellStart"/>
      <w:r w:rsidR="006275BE">
        <w:t>Fase</w:t>
      </w:r>
      <w:proofErr w:type="spellEnd"/>
      <w:r w:rsidR="006275BE">
        <w:t>. 1. Brill</w:t>
      </w:r>
    </w:p>
    <w:bookmarkEnd w:id="17"/>
    <w:bookmarkEnd w:id="18"/>
    <w:bookmarkEnd w:id="21"/>
    <w:p w14:paraId="69338BA9" w14:textId="03F7A883" w:rsidR="001A2D3F" w:rsidRDefault="001A2D3F" w:rsidP="00354BBE">
      <w:pPr>
        <w:spacing w:line="480" w:lineRule="auto"/>
        <w:ind w:firstLine="720"/>
      </w:pPr>
      <w:r w:rsidRPr="001A2D3F">
        <w:t xml:space="preserve">Suter, A. (1987). Aphrodite/Paris/Helen: A Vedic Myth in the Iliad. </w:t>
      </w:r>
      <w:r w:rsidRPr="001A2D3F">
        <w:rPr>
          <w:i/>
        </w:rPr>
        <w:t xml:space="preserve">Transactions of the American Philological Association (1974-2014). </w:t>
      </w:r>
      <w:r w:rsidRPr="001A2D3F">
        <w:t>Vol. 117</w:t>
      </w:r>
    </w:p>
    <w:p w14:paraId="4F084B4F" w14:textId="10DECD47" w:rsidR="006275BE" w:rsidRDefault="006275BE" w:rsidP="006275BE">
      <w:pPr>
        <w:spacing w:line="480" w:lineRule="auto"/>
        <w:ind w:firstLine="720"/>
      </w:pPr>
      <w:r w:rsidRPr="001A2D3F">
        <w:t xml:space="preserve">Turkeltaub, D. (2007). Perceiving Iliadic Gods. </w:t>
      </w:r>
      <w:r w:rsidRPr="001A2D3F">
        <w:rPr>
          <w:i/>
        </w:rPr>
        <w:t xml:space="preserve">Harvard Studies in Classical Philology. </w:t>
      </w:r>
      <w:r w:rsidRPr="001A2D3F">
        <w:t>Vol. 103. Department of the Classics, Harvard University.</w:t>
      </w:r>
    </w:p>
    <w:p w14:paraId="2840E329" w14:textId="78BA2F01" w:rsidR="00354BBE" w:rsidRPr="00354BBE" w:rsidRDefault="00354BBE" w:rsidP="00354BBE">
      <w:pPr>
        <w:spacing w:line="480" w:lineRule="auto"/>
        <w:ind w:firstLine="720"/>
      </w:pPr>
      <w:bookmarkStart w:id="22" w:name="_Hlk513683611"/>
      <w:r>
        <w:t xml:space="preserve">Walcot, P. (1991). The Homeric ‘Hymn’ to Aphrodite: A Literary Appraisal. </w:t>
      </w:r>
      <w:r>
        <w:rPr>
          <w:i/>
        </w:rPr>
        <w:t xml:space="preserve">Greece &amp; Rome. </w:t>
      </w:r>
      <w:r>
        <w:t xml:space="preserve">Vol. 38, No. 2. Cambridge University Press on behalf of The Classical Association </w:t>
      </w:r>
    </w:p>
    <w:bookmarkEnd w:id="22"/>
    <w:p w14:paraId="0E3C9263" w14:textId="389BBF15" w:rsidR="009927F9" w:rsidRPr="009927F9" w:rsidRDefault="001A2D3F" w:rsidP="009927F9">
      <w:pPr>
        <w:spacing w:line="480" w:lineRule="auto"/>
        <w:ind w:firstLine="720"/>
      </w:pPr>
      <w:r w:rsidRPr="001A2D3F">
        <w:t xml:space="preserve">Weeks, J. (2016). </w:t>
      </w:r>
      <w:r w:rsidRPr="001A2D3F">
        <w:rPr>
          <w:i/>
        </w:rPr>
        <w:t xml:space="preserve">What is Sexual </w:t>
      </w:r>
      <w:proofErr w:type="gramStart"/>
      <w:r w:rsidRPr="001A2D3F">
        <w:rPr>
          <w:i/>
        </w:rPr>
        <w:t>History?.</w:t>
      </w:r>
      <w:proofErr w:type="gramEnd"/>
      <w:r w:rsidRPr="001A2D3F">
        <w:rPr>
          <w:i/>
        </w:rPr>
        <w:t xml:space="preserve"> </w:t>
      </w:r>
      <w:r w:rsidRPr="001A2D3F">
        <w:t>Polity Press.</w:t>
      </w:r>
    </w:p>
    <w:sectPr w:rsidR="009927F9" w:rsidRPr="009927F9" w:rsidSect="005B1B53">
      <w:pgSz w:w="11906" w:h="16838"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D6266" w14:textId="77777777" w:rsidR="00B96693" w:rsidRDefault="00B96693" w:rsidP="00873C1F">
      <w:pPr>
        <w:spacing w:after="0" w:line="240" w:lineRule="auto"/>
      </w:pPr>
      <w:r>
        <w:separator/>
      </w:r>
    </w:p>
  </w:endnote>
  <w:endnote w:type="continuationSeparator" w:id="0">
    <w:p w14:paraId="65A2E1D1" w14:textId="77777777" w:rsidR="00B96693" w:rsidRDefault="00B96693" w:rsidP="0087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937280"/>
      <w:docPartObj>
        <w:docPartGallery w:val="Page Numbers (Bottom of Page)"/>
        <w:docPartUnique/>
      </w:docPartObj>
    </w:sdtPr>
    <w:sdtEndPr>
      <w:rPr>
        <w:noProof/>
      </w:rPr>
    </w:sdtEndPr>
    <w:sdtContent>
      <w:p w14:paraId="23D1933B" w14:textId="2FF8EB1D" w:rsidR="00B05211" w:rsidRDefault="00B052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A3F897" w14:textId="118483F0" w:rsidR="00B05211" w:rsidRDefault="00B05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8EB13" w14:textId="77777777" w:rsidR="00B96693" w:rsidRDefault="00B96693" w:rsidP="00873C1F">
      <w:pPr>
        <w:spacing w:after="0" w:line="240" w:lineRule="auto"/>
      </w:pPr>
      <w:r>
        <w:separator/>
      </w:r>
    </w:p>
  </w:footnote>
  <w:footnote w:type="continuationSeparator" w:id="0">
    <w:p w14:paraId="7591E48D" w14:textId="77777777" w:rsidR="00B96693" w:rsidRDefault="00B96693" w:rsidP="00873C1F">
      <w:pPr>
        <w:spacing w:after="0" w:line="240" w:lineRule="auto"/>
      </w:pPr>
      <w:r>
        <w:continuationSeparator/>
      </w:r>
    </w:p>
  </w:footnote>
  <w:footnote w:id="1">
    <w:p w14:paraId="60E7D8B0" w14:textId="329D3309" w:rsidR="00B05211" w:rsidRPr="0091705F" w:rsidRDefault="00B05211">
      <w:pPr>
        <w:pStyle w:val="FootnoteText"/>
      </w:pPr>
      <w:r>
        <w:rPr>
          <w:rStyle w:val="FootnoteReference"/>
        </w:rPr>
        <w:footnoteRef/>
      </w:r>
      <w:r>
        <w:t xml:space="preserve"> Eur. </w:t>
      </w:r>
      <w:r>
        <w:rPr>
          <w:i/>
        </w:rPr>
        <w:t xml:space="preserve">Hipp. </w:t>
      </w:r>
      <w:r>
        <w:t>1</w:t>
      </w:r>
    </w:p>
  </w:footnote>
  <w:footnote w:id="2">
    <w:p w14:paraId="7C978BFF" w14:textId="05A0B8C0" w:rsidR="00B05211" w:rsidRDefault="00B05211">
      <w:pPr>
        <w:pStyle w:val="FootnoteText"/>
      </w:pPr>
      <w:r>
        <w:rPr>
          <w:rStyle w:val="FootnoteReference"/>
        </w:rPr>
        <w:footnoteRef/>
      </w:r>
      <w:r>
        <w:t xml:space="preserve"> Pomeroy 1975: 6</w:t>
      </w:r>
    </w:p>
  </w:footnote>
  <w:footnote w:id="3">
    <w:p w14:paraId="37F1C41F" w14:textId="32407F50" w:rsidR="00B05211" w:rsidRDefault="00B05211">
      <w:pPr>
        <w:pStyle w:val="FootnoteText"/>
      </w:pPr>
      <w:r>
        <w:rPr>
          <w:rStyle w:val="FootnoteReference"/>
        </w:rPr>
        <w:footnoteRef/>
      </w:r>
      <w:r>
        <w:t xml:space="preserve"> Weeks 2016: 23</w:t>
      </w:r>
    </w:p>
  </w:footnote>
  <w:footnote w:id="4">
    <w:p w14:paraId="25164AFB" w14:textId="72CCB194" w:rsidR="00B05211" w:rsidRDefault="00B05211">
      <w:pPr>
        <w:pStyle w:val="FootnoteText"/>
      </w:pPr>
      <w:r>
        <w:rPr>
          <w:rStyle w:val="FootnoteReference"/>
        </w:rPr>
        <w:footnoteRef/>
      </w:r>
      <w:r>
        <w:t xml:space="preserve"> Pomeroy 1975: 6</w:t>
      </w:r>
    </w:p>
  </w:footnote>
  <w:footnote w:id="5">
    <w:p w14:paraId="152A0089" w14:textId="4C8C7E7A" w:rsidR="00B05211" w:rsidRPr="009E6E3F" w:rsidRDefault="00B05211">
      <w:pPr>
        <w:pStyle w:val="FootnoteText"/>
      </w:pPr>
      <w:r>
        <w:rPr>
          <w:rStyle w:val="FootnoteReference"/>
        </w:rPr>
        <w:footnoteRef/>
      </w:r>
      <w:r>
        <w:t xml:space="preserve"> Eur. </w:t>
      </w:r>
      <w:r>
        <w:rPr>
          <w:i/>
        </w:rPr>
        <w:t xml:space="preserve">Hipp. </w:t>
      </w:r>
      <w:r>
        <w:t>106-11</w:t>
      </w:r>
    </w:p>
  </w:footnote>
  <w:footnote w:id="6">
    <w:p w14:paraId="1BED9C72" w14:textId="653801F8" w:rsidR="00B05211" w:rsidRPr="00346E8C" w:rsidRDefault="00B05211">
      <w:pPr>
        <w:pStyle w:val="FootnoteText"/>
      </w:pPr>
      <w:r>
        <w:rPr>
          <w:rStyle w:val="FootnoteReference"/>
        </w:rPr>
        <w:footnoteRef/>
      </w:r>
      <w:r>
        <w:t xml:space="preserve"> Hom. </w:t>
      </w:r>
      <w:r>
        <w:rPr>
          <w:i/>
        </w:rPr>
        <w:t xml:space="preserve">Il. </w:t>
      </w:r>
      <w:r>
        <w:t>5.430</w:t>
      </w:r>
    </w:p>
  </w:footnote>
  <w:footnote w:id="7">
    <w:p w14:paraId="6D024F6E" w14:textId="4C17EA83" w:rsidR="00B05211" w:rsidRPr="006A4F6F" w:rsidRDefault="00B05211">
      <w:pPr>
        <w:pStyle w:val="FootnoteText"/>
      </w:pPr>
      <w:r>
        <w:rPr>
          <w:rStyle w:val="FootnoteReference"/>
        </w:rPr>
        <w:footnoteRef/>
      </w:r>
      <w:r>
        <w:t xml:space="preserve"> Hom. </w:t>
      </w:r>
      <w:r>
        <w:rPr>
          <w:i/>
        </w:rPr>
        <w:t xml:space="preserve">Il. </w:t>
      </w:r>
      <w:r>
        <w:t>3.374-85, 5.135, 21.416</w:t>
      </w:r>
    </w:p>
  </w:footnote>
  <w:footnote w:id="8">
    <w:p w14:paraId="14F880EE" w14:textId="77777777" w:rsidR="00B05211" w:rsidRPr="009E3EE9" w:rsidRDefault="00B05211" w:rsidP="00C83875">
      <w:pPr>
        <w:pStyle w:val="FootnoteText"/>
      </w:pPr>
      <w:r>
        <w:rPr>
          <w:rStyle w:val="FootnoteReference"/>
        </w:rPr>
        <w:footnoteRef/>
      </w:r>
      <w:r>
        <w:t xml:space="preserve"> Hes. </w:t>
      </w:r>
      <w:r>
        <w:rPr>
          <w:i/>
        </w:rPr>
        <w:t xml:space="preserve">Th. </w:t>
      </w:r>
      <w:r>
        <w:t>188-200</w:t>
      </w:r>
    </w:p>
  </w:footnote>
  <w:footnote w:id="9">
    <w:p w14:paraId="4D50172A" w14:textId="48F26AB6" w:rsidR="00B05211" w:rsidRDefault="00B05211">
      <w:pPr>
        <w:pStyle w:val="FootnoteText"/>
      </w:pPr>
      <w:r>
        <w:rPr>
          <w:rStyle w:val="FootnoteReference"/>
        </w:rPr>
        <w:footnoteRef/>
      </w:r>
      <w:r>
        <w:t xml:space="preserve"> Pomeroy 1975: 9</w:t>
      </w:r>
    </w:p>
  </w:footnote>
  <w:footnote w:id="10">
    <w:p w14:paraId="28E77190" w14:textId="77777777" w:rsidR="00B05211" w:rsidRDefault="00B05211" w:rsidP="00424F61">
      <w:pPr>
        <w:pStyle w:val="FootnoteText"/>
      </w:pPr>
      <w:r>
        <w:rPr>
          <w:rStyle w:val="FootnoteReference"/>
        </w:rPr>
        <w:footnoteRef/>
      </w:r>
      <w:r>
        <w:t xml:space="preserve"> Brown 1997: 26</w:t>
      </w:r>
    </w:p>
  </w:footnote>
  <w:footnote w:id="11">
    <w:p w14:paraId="51FC58C0" w14:textId="77777777" w:rsidR="00B05211" w:rsidRDefault="00B05211" w:rsidP="00424F61">
      <w:pPr>
        <w:pStyle w:val="FootnoteText"/>
      </w:pPr>
      <w:r>
        <w:rPr>
          <w:rStyle w:val="FootnoteReference"/>
        </w:rPr>
        <w:footnoteRef/>
      </w:r>
      <w:r>
        <w:t xml:space="preserve"> Brown 1997: 26</w:t>
      </w:r>
    </w:p>
  </w:footnote>
  <w:footnote w:id="12">
    <w:p w14:paraId="2165520C" w14:textId="6E43DF9A" w:rsidR="00B05211" w:rsidRDefault="00B05211">
      <w:pPr>
        <w:pStyle w:val="FootnoteText"/>
      </w:pPr>
      <w:r>
        <w:rPr>
          <w:rStyle w:val="FootnoteReference"/>
        </w:rPr>
        <w:footnoteRef/>
      </w:r>
      <w:r>
        <w:t xml:space="preserve"> Kirk 2008: x</w:t>
      </w:r>
    </w:p>
  </w:footnote>
  <w:footnote w:id="13">
    <w:p w14:paraId="76D98DA9" w14:textId="5398C3B5" w:rsidR="00B05211" w:rsidRDefault="00B05211">
      <w:pPr>
        <w:pStyle w:val="FootnoteText"/>
      </w:pPr>
      <w:r>
        <w:rPr>
          <w:rStyle w:val="FootnoteReference"/>
        </w:rPr>
        <w:footnoteRef/>
      </w:r>
      <w:r>
        <w:t xml:space="preserve"> Kirk 2008: </w:t>
      </w:r>
      <w:proofErr w:type="spellStart"/>
      <w:r>
        <w:t>i</w:t>
      </w:r>
      <w:proofErr w:type="spellEnd"/>
    </w:p>
  </w:footnote>
  <w:footnote w:id="14">
    <w:p w14:paraId="1F38BAF2" w14:textId="63860009" w:rsidR="00B05211" w:rsidRDefault="00B05211">
      <w:pPr>
        <w:pStyle w:val="FootnoteText"/>
      </w:pPr>
      <w:r>
        <w:rPr>
          <w:rStyle w:val="FootnoteReference"/>
        </w:rPr>
        <w:footnoteRef/>
      </w:r>
      <w:r>
        <w:t xml:space="preserve"> Suter 1987: 51</w:t>
      </w:r>
    </w:p>
  </w:footnote>
  <w:footnote w:id="15">
    <w:p w14:paraId="7655378B" w14:textId="0495EF99" w:rsidR="00B05211" w:rsidRPr="00581E8E" w:rsidRDefault="00B05211">
      <w:pPr>
        <w:pStyle w:val="FootnoteText"/>
      </w:pPr>
      <w:r>
        <w:rPr>
          <w:rStyle w:val="FootnoteReference"/>
        </w:rPr>
        <w:footnoteRef/>
      </w:r>
      <w:r>
        <w:t xml:space="preserve"> Hom. </w:t>
      </w:r>
      <w:r>
        <w:rPr>
          <w:i/>
        </w:rPr>
        <w:t xml:space="preserve">Il. </w:t>
      </w:r>
      <w:r>
        <w:t>24.25-30</w:t>
      </w:r>
    </w:p>
  </w:footnote>
  <w:footnote w:id="16">
    <w:p w14:paraId="4BCB13B4" w14:textId="05FED12A" w:rsidR="00B05211" w:rsidRPr="00C05EEF" w:rsidRDefault="00B05211">
      <w:pPr>
        <w:pStyle w:val="FootnoteText"/>
      </w:pPr>
      <w:r>
        <w:rPr>
          <w:rStyle w:val="FootnoteReference"/>
        </w:rPr>
        <w:footnoteRef/>
      </w:r>
      <w:r>
        <w:t xml:space="preserve"> </w:t>
      </w:r>
      <w:proofErr w:type="spellStart"/>
      <w:r>
        <w:t>Ov</w:t>
      </w:r>
      <w:proofErr w:type="spellEnd"/>
      <w:r>
        <w:t xml:space="preserve">. </w:t>
      </w:r>
      <w:r>
        <w:rPr>
          <w:i/>
        </w:rPr>
        <w:t xml:space="preserve">Her. </w:t>
      </w:r>
      <w:r>
        <w:t>115-17</w:t>
      </w:r>
    </w:p>
  </w:footnote>
  <w:footnote w:id="17">
    <w:p w14:paraId="1EDFFC64" w14:textId="3589F208" w:rsidR="00B05211" w:rsidRPr="00C05EEF" w:rsidRDefault="00B05211">
      <w:pPr>
        <w:pStyle w:val="FootnoteText"/>
      </w:pPr>
      <w:r>
        <w:rPr>
          <w:rStyle w:val="FootnoteReference"/>
        </w:rPr>
        <w:footnoteRef/>
      </w:r>
      <w:r>
        <w:t xml:space="preserve"> </w:t>
      </w:r>
      <w:proofErr w:type="spellStart"/>
      <w:r>
        <w:t>Ov</w:t>
      </w:r>
      <w:proofErr w:type="spellEnd"/>
      <w:r>
        <w:t xml:space="preserve">. </w:t>
      </w:r>
      <w:r>
        <w:rPr>
          <w:i/>
        </w:rPr>
        <w:t xml:space="preserve">Her. </w:t>
      </w:r>
      <w:r>
        <w:t>115-17</w:t>
      </w:r>
    </w:p>
  </w:footnote>
  <w:footnote w:id="18">
    <w:p w14:paraId="7E8EF003" w14:textId="0C9E9886" w:rsidR="00B05211" w:rsidRDefault="00B05211">
      <w:pPr>
        <w:pStyle w:val="FootnoteText"/>
      </w:pPr>
      <w:r>
        <w:rPr>
          <w:rStyle w:val="FootnoteReference"/>
        </w:rPr>
        <w:footnoteRef/>
      </w:r>
      <w:r>
        <w:t xml:space="preserve"> Holmberg 1995: 25</w:t>
      </w:r>
    </w:p>
  </w:footnote>
  <w:footnote w:id="19">
    <w:p w14:paraId="1D38AF0A" w14:textId="0F51C893" w:rsidR="00B05211" w:rsidRDefault="00B05211">
      <w:pPr>
        <w:pStyle w:val="FootnoteText"/>
      </w:pPr>
      <w:r>
        <w:rPr>
          <w:rStyle w:val="FootnoteReference"/>
        </w:rPr>
        <w:footnoteRef/>
      </w:r>
      <w:r>
        <w:t xml:space="preserve"> Blondell 2010: 7</w:t>
      </w:r>
    </w:p>
  </w:footnote>
  <w:footnote w:id="20">
    <w:p w14:paraId="51D96B56" w14:textId="125323B3" w:rsidR="00B05211" w:rsidRDefault="00B05211">
      <w:pPr>
        <w:pStyle w:val="FootnoteText"/>
      </w:pPr>
      <w:r>
        <w:rPr>
          <w:rStyle w:val="FootnoteReference"/>
        </w:rPr>
        <w:footnoteRef/>
      </w:r>
      <w:r>
        <w:t xml:space="preserve"> Blondell 2010: 23</w:t>
      </w:r>
    </w:p>
  </w:footnote>
  <w:footnote w:id="21">
    <w:p w14:paraId="1C8C1431" w14:textId="1A7921F6" w:rsidR="00B05211" w:rsidRDefault="00B05211">
      <w:pPr>
        <w:pStyle w:val="FootnoteText"/>
      </w:pPr>
      <w:r>
        <w:rPr>
          <w:rStyle w:val="FootnoteReference"/>
        </w:rPr>
        <w:footnoteRef/>
      </w:r>
      <w:r>
        <w:t xml:space="preserve"> Blondell 2010: 7</w:t>
      </w:r>
    </w:p>
  </w:footnote>
  <w:footnote w:id="22">
    <w:p w14:paraId="02DEB032" w14:textId="2DF949F4" w:rsidR="00B05211" w:rsidRPr="00E36A81" w:rsidRDefault="00B05211">
      <w:pPr>
        <w:pStyle w:val="FootnoteText"/>
      </w:pPr>
      <w:r>
        <w:rPr>
          <w:rStyle w:val="FootnoteReference"/>
        </w:rPr>
        <w:footnoteRef/>
      </w:r>
      <w:r>
        <w:t xml:space="preserve"> Hom. </w:t>
      </w:r>
      <w:r>
        <w:rPr>
          <w:i/>
        </w:rPr>
        <w:t xml:space="preserve">Il. </w:t>
      </w:r>
      <w:r>
        <w:t>3.414-17</w:t>
      </w:r>
    </w:p>
  </w:footnote>
  <w:footnote w:id="23">
    <w:p w14:paraId="28CE5CBC" w14:textId="025EC07C" w:rsidR="00B05211" w:rsidRDefault="00B05211">
      <w:pPr>
        <w:pStyle w:val="FootnoteText"/>
      </w:pPr>
      <w:r>
        <w:rPr>
          <w:rStyle w:val="FootnoteReference"/>
        </w:rPr>
        <w:footnoteRef/>
      </w:r>
      <w:r>
        <w:t xml:space="preserve"> Betancourt 2013: 24</w:t>
      </w:r>
    </w:p>
  </w:footnote>
  <w:footnote w:id="24">
    <w:p w14:paraId="5980FC02" w14:textId="3E523BEE" w:rsidR="00B05211" w:rsidRDefault="00B05211">
      <w:pPr>
        <w:pStyle w:val="FootnoteText"/>
      </w:pPr>
      <w:r>
        <w:rPr>
          <w:rStyle w:val="FootnoteReference"/>
        </w:rPr>
        <w:footnoteRef/>
      </w:r>
      <w:r>
        <w:t xml:space="preserve"> Betancourt 2013: 25</w:t>
      </w:r>
    </w:p>
  </w:footnote>
  <w:footnote w:id="25">
    <w:p w14:paraId="0088CE7D" w14:textId="3B90628F" w:rsidR="00B05211" w:rsidRDefault="00B05211">
      <w:pPr>
        <w:pStyle w:val="FootnoteText"/>
      </w:pPr>
      <w:r>
        <w:rPr>
          <w:rStyle w:val="FootnoteReference"/>
        </w:rPr>
        <w:footnoteRef/>
      </w:r>
      <w:r>
        <w:t xml:space="preserve"> Betancourt 2013: 25</w:t>
      </w:r>
    </w:p>
  </w:footnote>
  <w:footnote w:id="26">
    <w:p w14:paraId="18318FE2" w14:textId="516FE919" w:rsidR="00B05211" w:rsidRPr="000C3AA4" w:rsidRDefault="00B05211">
      <w:pPr>
        <w:pStyle w:val="FootnoteText"/>
      </w:pPr>
      <w:r>
        <w:rPr>
          <w:rStyle w:val="FootnoteReference"/>
        </w:rPr>
        <w:footnoteRef/>
      </w:r>
      <w:r>
        <w:t xml:space="preserve"> Hom. </w:t>
      </w:r>
      <w:r>
        <w:rPr>
          <w:i/>
        </w:rPr>
        <w:t xml:space="preserve">Il. </w:t>
      </w:r>
      <w:r>
        <w:t>14.160-65</w:t>
      </w:r>
    </w:p>
  </w:footnote>
  <w:footnote w:id="27">
    <w:p w14:paraId="107518E8" w14:textId="6E102B69" w:rsidR="00B05211" w:rsidRPr="000C3AA4" w:rsidRDefault="00B05211">
      <w:pPr>
        <w:pStyle w:val="FootnoteText"/>
      </w:pPr>
      <w:r>
        <w:rPr>
          <w:rStyle w:val="FootnoteReference"/>
        </w:rPr>
        <w:footnoteRef/>
      </w:r>
      <w:r>
        <w:t xml:space="preserve"> Hom. </w:t>
      </w:r>
      <w:r>
        <w:rPr>
          <w:i/>
        </w:rPr>
        <w:t xml:space="preserve">Il. </w:t>
      </w:r>
      <w:r>
        <w:t>14.199</w:t>
      </w:r>
    </w:p>
  </w:footnote>
  <w:footnote w:id="28">
    <w:p w14:paraId="05EB3289" w14:textId="4D4E336E" w:rsidR="00B05211" w:rsidRPr="000C3AA4" w:rsidRDefault="00B05211">
      <w:pPr>
        <w:pStyle w:val="FootnoteText"/>
      </w:pPr>
      <w:r>
        <w:rPr>
          <w:rStyle w:val="FootnoteReference"/>
        </w:rPr>
        <w:footnoteRef/>
      </w:r>
      <w:r>
        <w:t xml:space="preserve"> Hom. </w:t>
      </w:r>
      <w:r>
        <w:rPr>
          <w:i/>
        </w:rPr>
        <w:t xml:space="preserve">Il. </w:t>
      </w:r>
      <w:r>
        <w:t>14.215-20</w:t>
      </w:r>
    </w:p>
  </w:footnote>
  <w:footnote w:id="29">
    <w:p w14:paraId="577E78DA" w14:textId="206CD9DB" w:rsidR="00B05211" w:rsidRPr="00850511" w:rsidRDefault="00B05211">
      <w:pPr>
        <w:pStyle w:val="FootnoteText"/>
      </w:pPr>
      <w:r>
        <w:rPr>
          <w:rStyle w:val="FootnoteReference"/>
        </w:rPr>
        <w:footnoteRef/>
      </w:r>
      <w:r>
        <w:t xml:space="preserve"> Hom. </w:t>
      </w:r>
      <w:r>
        <w:rPr>
          <w:i/>
        </w:rPr>
        <w:t xml:space="preserve">Il. </w:t>
      </w:r>
      <w:r>
        <w:t>14.219</w:t>
      </w:r>
    </w:p>
  </w:footnote>
  <w:footnote w:id="30">
    <w:p w14:paraId="4E7090C1" w14:textId="52A1E7A8" w:rsidR="00B05211" w:rsidRDefault="00B05211">
      <w:pPr>
        <w:pStyle w:val="FootnoteText"/>
      </w:pPr>
      <w:r>
        <w:rPr>
          <w:rStyle w:val="FootnoteReference"/>
        </w:rPr>
        <w:footnoteRef/>
      </w:r>
      <w:r>
        <w:t xml:space="preserve"> Betancourt 2013: 25</w:t>
      </w:r>
    </w:p>
  </w:footnote>
  <w:footnote w:id="31">
    <w:p w14:paraId="02871375" w14:textId="39F4FE90" w:rsidR="00B05211" w:rsidRPr="00A52535" w:rsidRDefault="00B05211">
      <w:pPr>
        <w:pStyle w:val="FootnoteText"/>
      </w:pPr>
      <w:r>
        <w:rPr>
          <w:rStyle w:val="FootnoteReference"/>
        </w:rPr>
        <w:footnoteRef/>
      </w:r>
      <w:r>
        <w:t xml:space="preserve"> Hom. </w:t>
      </w:r>
      <w:r>
        <w:rPr>
          <w:i/>
        </w:rPr>
        <w:t xml:space="preserve">Il. </w:t>
      </w:r>
      <w:r>
        <w:t>3.44</w:t>
      </w:r>
    </w:p>
  </w:footnote>
  <w:footnote w:id="32">
    <w:p w14:paraId="3E7B4095" w14:textId="625E9D61" w:rsidR="00B05211" w:rsidRPr="002F1DAB" w:rsidRDefault="00B05211">
      <w:pPr>
        <w:pStyle w:val="FootnoteText"/>
      </w:pPr>
      <w:r>
        <w:rPr>
          <w:rStyle w:val="FootnoteReference"/>
        </w:rPr>
        <w:footnoteRef/>
      </w:r>
      <w:r>
        <w:t xml:space="preserve"> Hom. </w:t>
      </w:r>
      <w:r>
        <w:rPr>
          <w:i/>
        </w:rPr>
        <w:t xml:space="preserve">Il. </w:t>
      </w:r>
      <w:r>
        <w:t>3.380</w:t>
      </w:r>
    </w:p>
  </w:footnote>
  <w:footnote w:id="33">
    <w:p w14:paraId="2705A6D8" w14:textId="33528500" w:rsidR="00B05211" w:rsidRDefault="00B05211">
      <w:pPr>
        <w:pStyle w:val="FootnoteText"/>
      </w:pPr>
      <w:r>
        <w:rPr>
          <w:rStyle w:val="FootnoteReference"/>
        </w:rPr>
        <w:footnoteRef/>
      </w:r>
      <w:r>
        <w:t xml:space="preserve"> Suter 1987: 54</w:t>
      </w:r>
    </w:p>
  </w:footnote>
  <w:footnote w:id="34">
    <w:p w14:paraId="61957457" w14:textId="2989F4DC" w:rsidR="00B05211" w:rsidRPr="00ED093C" w:rsidRDefault="00B05211">
      <w:pPr>
        <w:pStyle w:val="FootnoteText"/>
      </w:pPr>
      <w:r>
        <w:rPr>
          <w:rStyle w:val="FootnoteReference"/>
        </w:rPr>
        <w:footnoteRef/>
      </w:r>
      <w:r>
        <w:t xml:space="preserve"> Hom. </w:t>
      </w:r>
      <w:r>
        <w:rPr>
          <w:i/>
        </w:rPr>
        <w:t xml:space="preserve">Il. </w:t>
      </w:r>
      <w:r>
        <w:t>4.9</w:t>
      </w:r>
    </w:p>
  </w:footnote>
  <w:footnote w:id="35">
    <w:p w14:paraId="0AB0773D" w14:textId="08AF2B43" w:rsidR="00B05211" w:rsidRPr="00ED093C" w:rsidRDefault="00B05211">
      <w:pPr>
        <w:pStyle w:val="FootnoteText"/>
      </w:pPr>
      <w:r>
        <w:rPr>
          <w:rStyle w:val="FootnoteReference"/>
        </w:rPr>
        <w:footnoteRef/>
      </w:r>
      <w:r>
        <w:t xml:space="preserve"> Hom. </w:t>
      </w:r>
      <w:r>
        <w:rPr>
          <w:i/>
        </w:rPr>
        <w:t xml:space="preserve">Il. </w:t>
      </w:r>
      <w:r>
        <w:t>5</w:t>
      </w:r>
    </w:p>
  </w:footnote>
  <w:footnote w:id="36">
    <w:p w14:paraId="79CD1410" w14:textId="5620B8A1" w:rsidR="00B05211" w:rsidRDefault="00B05211">
      <w:pPr>
        <w:pStyle w:val="FootnoteText"/>
      </w:pPr>
      <w:r>
        <w:rPr>
          <w:rStyle w:val="FootnoteReference"/>
        </w:rPr>
        <w:footnoteRef/>
      </w:r>
      <w:r>
        <w:t xml:space="preserve"> I am using quotation marks here to demonstrate that these ideas of feminine versus masculine traits are outdated now, in 2018, but that they were not at the time in which Homer was writing.</w:t>
      </w:r>
    </w:p>
  </w:footnote>
  <w:footnote w:id="37">
    <w:p w14:paraId="03B960B8" w14:textId="56D9EB09" w:rsidR="00B05211" w:rsidRDefault="00B05211">
      <w:pPr>
        <w:pStyle w:val="FootnoteText"/>
      </w:pPr>
      <w:r>
        <w:rPr>
          <w:rStyle w:val="FootnoteReference"/>
        </w:rPr>
        <w:footnoteRef/>
      </w:r>
      <w:r>
        <w:t xml:space="preserve"> Peterson 1939: 10</w:t>
      </w:r>
    </w:p>
  </w:footnote>
  <w:footnote w:id="38">
    <w:p w14:paraId="0E4382DC" w14:textId="51E57562" w:rsidR="00B05211" w:rsidRPr="006B7FF4" w:rsidRDefault="00B05211">
      <w:pPr>
        <w:pStyle w:val="FootnoteText"/>
      </w:pPr>
      <w:r>
        <w:rPr>
          <w:rStyle w:val="FootnoteReference"/>
        </w:rPr>
        <w:footnoteRef/>
      </w:r>
      <w:r>
        <w:t xml:space="preserve"> Hom. </w:t>
      </w:r>
      <w:r>
        <w:rPr>
          <w:i/>
        </w:rPr>
        <w:t xml:space="preserve">Il. </w:t>
      </w:r>
      <w:r>
        <w:t>21.415</w:t>
      </w:r>
    </w:p>
  </w:footnote>
  <w:footnote w:id="39">
    <w:p w14:paraId="004C35AA" w14:textId="4344003A" w:rsidR="00B05211" w:rsidRPr="00E61E55" w:rsidRDefault="00B05211">
      <w:pPr>
        <w:pStyle w:val="FootnoteText"/>
      </w:pPr>
      <w:r>
        <w:rPr>
          <w:rStyle w:val="FootnoteReference"/>
        </w:rPr>
        <w:footnoteRef/>
      </w:r>
      <w:r>
        <w:t xml:space="preserve"> Hom. </w:t>
      </w:r>
      <w:r>
        <w:rPr>
          <w:i/>
        </w:rPr>
        <w:t xml:space="preserve">Il. </w:t>
      </w:r>
      <w:r>
        <w:t>5.430</w:t>
      </w:r>
    </w:p>
  </w:footnote>
  <w:footnote w:id="40">
    <w:p w14:paraId="14F4FDC4" w14:textId="77777777" w:rsidR="00B05211" w:rsidRDefault="00B05211" w:rsidP="0031235B">
      <w:pPr>
        <w:pStyle w:val="FootnoteText"/>
      </w:pPr>
      <w:r>
        <w:rPr>
          <w:rStyle w:val="FootnoteReference"/>
        </w:rPr>
        <w:footnoteRef/>
      </w:r>
      <w:r>
        <w:t xml:space="preserve"> Betancourt 2013: 18</w:t>
      </w:r>
    </w:p>
  </w:footnote>
  <w:footnote w:id="41">
    <w:p w14:paraId="3FCEB073" w14:textId="77777777" w:rsidR="00B05211" w:rsidRDefault="00B05211" w:rsidP="005B1B53">
      <w:pPr>
        <w:pStyle w:val="FootnoteText"/>
      </w:pPr>
      <w:r>
        <w:rPr>
          <w:rStyle w:val="FootnoteReference"/>
        </w:rPr>
        <w:footnoteRef/>
      </w:r>
      <w:r>
        <w:t xml:space="preserve"> Blondell 2010: 24-25</w:t>
      </w:r>
    </w:p>
  </w:footnote>
  <w:footnote w:id="42">
    <w:p w14:paraId="489685C4" w14:textId="1EDE634B" w:rsidR="00B05211" w:rsidRDefault="00B05211">
      <w:pPr>
        <w:pStyle w:val="FootnoteText"/>
      </w:pPr>
      <w:r>
        <w:rPr>
          <w:rStyle w:val="FootnoteReference"/>
        </w:rPr>
        <w:footnoteRef/>
      </w:r>
      <w:r>
        <w:t xml:space="preserve"> Blondell 2010: 27</w:t>
      </w:r>
    </w:p>
  </w:footnote>
  <w:footnote w:id="43">
    <w:p w14:paraId="755E7BB8" w14:textId="6F445F8F" w:rsidR="00B05211" w:rsidRDefault="00B05211">
      <w:pPr>
        <w:pStyle w:val="FootnoteText"/>
      </w:pPr>
      <w:r>
        <w:rPr>
          <w:rStyle w:val="FootnoteReference"/>
        </w:rPr>
        <w:footnoteRef/>
      </w:r>
      <w:r>
        <w:t xml:space="preserve"> Pomeroy 1975: 1</w:t>
      </w:r>
    </w:p>
  </w:footnote>
  <w:footnote w:id="44">
    <w:p w14:paraId="276F0DEC" w14:textId="258AD613" w:rsidR="00B05211" w:rsidRDefault="00B05211">
      <w:pPr>
        <w:pStyle w:val="FootnoteText"/>
      </w:pPr>
      <w:r>
        <w:rPr>
          <w:rStyle w:val="FootnoteReference"/>
        </w:rPr>
        <w:footnoteRef/>
      </w:r>
      <w:r>
        <w:t xml:space="preserve"> Most 2006: xxv</w:t>
      </w:r>
    </w:p>
  </w:footnote>
  <w:footnote w:id="45">
    <w:p w14:paraId="7FD9E1D6" w14:textId="10E29013" w:rsidR="00B05211" w:rsidRDefault="00B05211">
      <w:pPr>
        <w:pStyle w:val="FootnoteText"/>
      </w:pPr>
      <w:r>
        <w:rPr>
          <w:rStyle w:val="FootnoteReference"/>
        </w:rPr>
        <w:footnoteRef/>
      </w:r>
      <w:r>
        <w:t xml:space="preserve"> Marquardt 1982: 283</w:t>
      </w:r>
    </w:p>
  </w:footnote>
  <w:footnote w:id="46">
    <w:p w14:paraId="64045979" w14:textId="7FFC9415" w:rsidR="00B05211" w:rsidRDefault="00B05211">
      <w:pPr>
        <w:pStyle w:val="FootnoteText"/>
      </w:pPr>
      <w:r>
        <w:rPr>
          <w:rStyle w:val="FootnoteReference"/>
        </w:rPr>
        <w:footnoteRef/>
      </w:r>
      <w:r>
        <w:t xml:space="preserve"> Marquardt 1982, 283</w:t>
      </w:r>
    </w:p>
  </w:footnote>
  <w:footnote w:id="47">
    <w:p w14:paraId="3E6A7695" w14:textId="4F20AA51" w:rsidR="00B05211" w:rsidRDefault="00B05211">
      <w:pPr>
        <w:pStyle w:val="FootnoteText"/>
      </w:pPr>
      <w:r>
        <w:rPr>
          <w:rStyle w:val="FootnoteReference"/>
        </w:rPr>
        <w:footnoteRef/>
      </w:r>
      <w:r>
        <w:t xml:space="preserve"> Pomeroy 1975: 2</w:t>
      </w:r>
    </w:p>
  </w:footnote>
  <w:footnote w:id="48">
    <w:p w14:paraId="0D8D80FB" w14:textId="512922C1" w:rsidR="00B05211" w:rsidRPr="00326A5F" w:rsidRDefault="00B05211">
      <w:pPr>
        <w:pStyle w:val="FootnoteText"/>
      </w:pPr>
      <w:r>
        <w:rPr>
          <w:rStyle w:val="FootnoteReference"/>
        </w:rPr>
        <w:footnoteRef/>
      </w:r>
      <w:r>
        <w:t xml:space="preserve"> Pomeroy 1975: 5, Hes. </w:t>
      </w:r>
      <w:r>
        <w:rPr>
          <w:i/>
        </w:rPr>
        <w:t xml:space="preserve">Th. </w:t>
      </w:r>
      <w:r>
        <w:t>188-92</w:t>
      </w:r>
    </w:p>
  </w:footnote>
  <w:footnote w:id="49">
    <w:p w14:paraId="20C8DB16" w14:textId="57351555" w:rsidR="00B05211" w:rsidRDefault="00B05211">
      <w:pPr>
        <w:pStyle w:val="FootnoteText"/>
      </w:pPr>
      <w:r>
        <w:rPr>
          <w:rStyle w:val="FootnoteReference"/>
        </w:rPr>
        <w:footnoteRef/>
      </w:r>
      <w:r>
        <w:t xml:space="preserve"> Hansen 2000: 5</w:t>
      </w:r>
    </w:p>
  </w:footnote>
  <w:footnote w:id="50">
    <w:p w14:paraId="55EE36C9" w14:textId="7D85C786" w:rsidR="00B05211" w:rsidRDefault="00B05211">
      <w:pPr>
        <w:pStyle w:val="FootnoteText"/>
      </w:pPr>
      <w:r>
        <w:rPr>
          <w:rStyle w:val="FootnoteReference"/>
        </w:rPr>
        <w:footnoteRef/>
      </w:r>
      <w:r>
        <w:t xml:space="preserve"> Marquardt 1982: 284</w:t>
      </w:r>
    </w:p>
  </w:footnote>
  <w:footnote w:id="51">
    <w:p w14:paraId="05AE7F8C" w14:textId="478C08B3" w:rsidR="00B05211" w:rsidRDefault="00B05211">
      <w:pPr>
        <w:pStyle w:val="FootnoteText"/>
      </w:pPr>
      <w:r>
        <w:rPr>
          <w:rStyle w:val="FootnoteReference"/>
        </w:rPr>
        <w:footnoteRef/>
      </w:r>
      <w:r>
        <w:t xml:space="preserve"> Hansen 2000: 2</w:t>
      </w:r>
    </w:p>
  </w:footnote>
  <w:footnote w:id="52">
    <w:p w14:paraId="262DBD3E" w14:textId="0F6431FF" w:rsidR="00B05211" w:rsidRDefault="00B05211">
      <w:pPr>
        <w:pStyle w:val="FootnoteText"/>
      </w:pPr>
      <w:r>
        <w:rPr>
          <w:rStyle w:val="FootnoteReference"/>
        </w:rPr>
        <w:footnoteRef/>
      </w:r>
      <w:r>
        <w:t xml:space="preserve"> Sale 1961: 513</w:t>
      </w:r>
    </w:p>
  </w:footnote>
  <w:footnote w:id="53">
    <w:p w14:paraId="659560B5" w14:textId="1C985DC3" w:rsidR="00B05211" w:rsidRDefault="00B05211">
      <w:pPr>
        <w:pStyle w:val="FootnoteText"/>
      </w:pPr>
      <w:r>
        <w:rPr>
          <w:rStyle w:val="FootnoteReference"/>
        </w:rPr>
        <w:footnoteRef/>
      </w:r>
      <w:r>
        <w:t xml:space="preserve"> Sale 1961: 508</w:t>
      </w:r>
    </w:p>
  </w:footnote>
  <w:footnote w:id="54">
    <w:p w14:paraId="5A0A4769" w14:textId="1F52CF51" w:rsidR="00B05211" w:rsidRDefault="00B05211">
      <w:pPr>
        <w:pStyle w:val="FootnoteText"/>
      </w:pPr>
      <w:r>
        <w:rPr>
          <w:rStyle w:val="FootnoteReference"/>
        </w:rPr>
        <w:footnoteRef/>
      </w:r>
      <w:r>
        <w:t xml:space="preserve"> Marquardt 1982: 283</w:t>
      </w:r>
    </w:p>
  </w:footnote>
  <w:footnote w:id="55">
    <w:p w14:paraId="104523C3" w14:textId="69271426" w:rsidR="00B05211" w:rsidRDefault="00B05211">
      <w:pPr>
        <w:pStyle w:val="FootnoteText"/>
      </w:pPr>
      <w:r>
        <w:rPr>
          <w:rStyle w:val="FootnoteReference"/>
        </w:rPr>
        <w:footnoteRef/>
      </w:r>
      <w:r>
        <w:t xml:space="preserve"> Marquardt 1982: 283</w:t>
      </w:r>
    </w:p>
  </w:footnote>
  <w:footnote w:id="56">
    <w:p w14:paraId="380EC1B1" w14:textId="1EA86938" w:rsidR="00B05211" w:rsidRPr="00D8658F" w:rsidRDefault="00B05211">
      <w:pPr>
        <w:pStyle w:val="FootnoteText"/>
      </w:pPr>
      <w:r>
        <w:rPr>
          <w:rStyle w:val="FootnoteReference"/>
        </w:rPr>
        <w:footnoteRef/>
      </w:r>
      <w:r>
        <w:t xml:space="preserve"> Hes. </w:t>
      </w:r>
      <w:r>
        <w:rPr>
          <w:i/>
        </w:rPr>
        <w:t xml:space="preserve">Th. </w:t>
      </w:r>
      <w:r>
        <w:t>182</w:t>
      </w:r>
    </w:p>
  </w:footnote>
  <w:footnote w:id="57">
    <w:p w14:paraId="24B7C174" w14:textId="39D16825" w:rsidR="00B05211" w:rsidRDefault="00B05211">
      <w:pPr>
        <w:pStyle w:val="FootnoteText"/>
      </w:pPr>
      <w:r>
        <w:rPr>
          <w:rStyle w:val="FootnoteReference"/>
        </w:rPr>
        <w:footnoteRef/>
      </w:r>
      <w:r>
        <w:t xml:space="preserve"> Sale 1961: 512</w:t>
      </w:r>
    </w:p>
  </w:footnote>
  <w:footnote w:id="58">
    <w:p w14:paraId="55D3B81B" w14:textId="242154A7" w:rsidR="00B05211" w:rsidRDefault="00B05211">
      <w:pPr>
        <w:pStyle w:val="FootnoteText"/>
      </w:pPr>
      <w:r>
        <w:rPr>
          <w:rStyle w:val="FootnoteReference"/>
        </w:rPr>
        <w:footnoteRef/>
      </w:r>
      <w:r>
        <w:t xml:space="preserve"> Sale 1961: 512</w:t>
      </w:r>
    </w:p>
  </w:footnote>
  <w:footnote w:id="59">
    <w:p w14:paraId="6B971262" w14:textId="1A78D20F" w:rsidR="00B05211" w:rsidRDefault="00B05211">
      <w:pPr>
        <w:pStyle w:val="FootnoteText"/>
      </w:pPr>
      <w:r>
        <w:rPr>
          <w:rStyle w:val="FootnoteReference"/>
        </w:rPr>
        <w:footnoteRef/>
      </w:r>
      <w:r>
        <w:t xml:space="preserve"> Sale 1965: 687</w:t>
      </w:r>
    </w:p>
  </w:footnote>
  <w:footnote w:id="60">
    <w:p w14:paraId="10344B06" w14:textId="5BEA02A1" w:rsidR="00B05211" w:rsidRDefault="00B05211">
      <w:pPr>
        <w:pStyle w:val="FootnoteText"/>
      </w:pPr>
      <w:r>
        <w:rPr>
          <w:rStyle w:val="FootnoteReference"/>
        </w:rPr>
        <w:footnoteRef/>
      </w:r>
      <w:r>
        <w:t xml:space="preserve"> Sale 1965: 690</w:t>
      </w:r>
    </w:p>
  </w:footnote>
  <w:footnote w:id="61">
    <w:p w14:paraId="51FD14A9" w14:textId="761D3F34" w:rsidR="00B05211" w:rsidRDefault="00B05211">
      <w:pPr>
        <w:pStyle w:val="FootnoteText"/>
      </w:pPr>
      <w:r>
        <w:rPr>
          <w:rStyle w:val="FootnoteReference"/>
        </w:rPr>
        <w:footnoteRef/>
      </w:r>
      <w:r>
        <w:t xml:space="preserve"> Sale 1961: 512</w:t>
      </w:r>
    </w:p>
  </w:footnote>
  <w:footnote w:id="62">
    <w:p w14:paraId="430908D4" w14:textId="31784D9A" w:rsidR="00B05211" w:rsidRPr="00F57808" w:rsidRDefault="00B05211">
      <w:pPr>
        <w:pStyle w:val="FootnoteText"/>
      </w:pPr>
      <w:r>
        <w:rPr>
          <w:rStyle w:val="FootnoteReference"/>
        </w:rPr>
        <w:footnoteRef/>
      </w:r>
      <w:r>
        <w:t xml:space="preserve"> Apollon. 4</w:t>
      </w:r>
    </w:p>
  </w:footnote>
  <w:footnote w:id="63">
    <w:p w14:paraId="4A7928E1" w14:textId="567BF5E5" w:rsidR="00B05211" w:rsidRPr="00A874DF" w:rsidRDefault="00B05211">
      <w:pPr>
        <w:pStyle w:val="FootnoteText"/>
      </w:pPr>
      <w:r>
        <w:rPr>
          <w:rStyle w:val="FootnoteReference"/>
        </w:rPr>
        <w:footnoteRef/>
      </w:r>
      <w:r>
        <w:t xml:space="preserve"> </w:t>
      </w:r>
      <w:proofErr w:type="spellStart"/>
      <w:r>
        <w:t>Ov</w:t>
      </w:r>
      <w:proofErr w:type="spellEnd"/>
      <w:r>
        <w:t xml:space="preserve"> </w:t>
      </w:r>
      <w:r>
        <w:rPr>
          <w:i/>
        </w:rPr>
        <w:t xml:space="preserve">Met: </w:t>
      </w:r>
      <w:r>
        <w:t>7.294-349</w:t>
      </w:r>
    </w:p>
  </w:footnote>
  <w:footnote w:id="64">
    <w:p w14:paraId="638F9E39" w14:textId="326FB7DF" w:rsidR="00B05211" w:rsidRPr="00F57808" w:rsidRDefault="00B05211">
      <w:pPr>
        <w:pStyle w:val="FootnoteText"/>
        <w:rPr>
          <w:i/>
        </w:rPr>
      </w:pPr>
      <w:r>
        <w:rPr>
          <w:rStyle w:val="FootnoteReference"/>
        </w:rPr>
        <w:footnoteRef/>
      </w:r>
      <w:r>
        <w:t xml:space="preserve"> Eur </w:t>
      </w:r>
      <w:r>
        <w:rPr>
          <w:i/>
        </w:rPr>
        <w:t>Med</w:t>
      </w:r>
    </w:p>
  </w:footnote>
  <w:footnote w:id="65">
    <w:p w14:paraId="7222320F" w14:textId="3D47F7D1" w:rsidR="00B05211" w:rsidRPr="0082714D" w:rsidRDefault="00B05211">
      <w:pPr>
        <w:pStyle w:val="FootnoteText"/>
      </w:pPr>
      <w:r>
        <w:rPr>
          <w:rStyle w:val="FootnoteReference"/>
        </w:rPr>
        <w:footnoteRef/>
      </w:r>
      <w:r>
        <w:t xml:space="preserve"> Hes. </w:t>
      </w:r>
      <w:r>
        <w:rPr>
          <w:i/>
        </w:rPr>
        <w:t>Th.</w:t>
      </w:r>
      <w:r>
        <w:t xml:space="preserve"> 960</w:t>
      </w:r>
    </w:p>
  </w:footnote>
  <w:footnote w:id="66">
    <w:p w14:paraId="5BD770AD" w14:textId="256F637A" w:rsidR="00B05211" w:rsidRPr="0082714D" w:rsidRDefault="00B05211">
      <w:pPr>
        <w:pStyle w:val="FootnoteText"/>
      </w:pPr>
      <w:r>
        <w:rPr>
          <w:rStyle w:val="FootnoteReference"/>
        </w:rPr>
        <w:footnoteRef/>
      </w:r>
      <w:r>
        <w:t xml:space="preserve"> Hes. </w:t>
      </w:r>
      <w:r>
        <w:rPr>
          <w:i/>
        </w:rPr>
        <w:t xml:space="preserve">Th. </w:t>
      </w:r>
      <w:r>
        <w:t>979</w:t>
      </w:r>
    </w:p>
  </w:footnote>
  <w:footnote w:id="67">
    <w:p w14:paraId="28BE0B04" w14:textId="0CFAE51F" w:rsidR="00B05211" w:rsidRPr="0082714D" w:rsidRDefault="00B05211">
      <w:pPr>
        <w:pStyle w:val="FootnoteText"/>
      </w:pPr>
      <w:r>
        <w:rPr>
          <w:rStyle w:val="FootnoteReference"/>
        </w:rPr>
        <w:footnoteRef/>
      </w:r>
      <w:r>
        <w:t xml:space="preserve"> Hes. </w:t>
      </w:r>
      <w:r>
        <w:rPr>
          <w:i/>
        </w:rPr>
        <w:t xml:space="preserve">Th. </w:t>
      </w:r>
      <w:r>
        <w:t>933-34</w:t>
      </w:r>
    </w:p>
  </w:footnote>
  <w:footnote w:id="68">
    <w:p w14:paraId="6252B5EB" w14:textId="0789C885" w:rsidR="00B05211" w:rsidRPr="0082714D" w:rsidRDefault="00B05211">
      <w:pPr>
        <w:pStyle w:val="FootnoteText"/>
      </w:pPr>
      <w:r>
        <w:rPr>
          <w:rStyle w:val="FootnoteReference"/>
        </w:rPr>
        <w:footnoteRef/>
      </w:r>
      <w:r>
        <w:t xml:space="preserve"> Hes. </w:t>
      </w:r>
      <w:r>
        <w:rPr>
          <w:i/>
        </w:rPr>
        <w:t xml:space="preserve">Th. </w:t>
      </w:r>
      <w:r>
        <w:t>1008-9, Marquardt 1982: 283</w:t>
      </w:r>
    </w:p>
  </w:footnote>
  <w:footnote w:id="69">
    <w:p w14:paraId="5D07868A" w14:textId="686C9C2E" w:rsidR="00B05211" w:rsidRDefault="00B05211">
      <w:pPr>
        <w:pStyle w:val="FootnoteText"/>
      </w:pPr>
      <w:r>
        <w:rPr>
          <w:rStyle w:val="FootnoteReference"/>
        </w:rPr>
        <w:footnoteRef/>
      </w:r>
      <w:r>
        <w:t xml:space="preserve"> Sale 1965: 699</w:t>
      </w:r>
    </w:p>
  </w:footnote>
  <w:footnote w:id="70">
    <w:p w14:paraId="5149BCFA" w14:textId="2837ADEA" w:rsidR="00B05211" w:rsidRDefault="00B05211">
      <w:pPr>
        <w:pStyle w:val="FootnoteText"/>
      </w:pPr>
      <w:r>
        <w:rPr>
          <w:rStyle w:val="FootnoteReference"/>
        </w:rPr>
        <w:footnoteRef/>
      </w:r>
      <w:r>
        <w:t xml:space="preserve"> Marquardt 1982: 291</w:t>
      </w:r>
    </w:p>
  </w:footnote>
  <w:footnote w:id="71">
    <w:p w14:paraId="69DAF4FD" w14:textId="0FC52E30" w:rsidR="00B05211" w:rsidRDefault="00B05211">
      <w:pPr>
        <w:pStyle w:val="FootnoteText"/>
      </w:pPr>
      <w:r>
        <w:rPr>
          <w:rStyle w:val="FootnoteReference"/>
        </w:rPr>
        <w:footnoteRef/>
      </w:r>
      <w:r>
        <w:t xml:space="preserve"> Bergren 1989: 1</w:t>
      </w:r>
    </w:p>
  </w:footnote>
  <w:footnote w:id="72">
    <w:p w14:paraId="5468409A" w14:textId="4EF2C311" w:rsidR="00B05211" w:rsidRDefault="00B05211">
      <w:pPr>
        <w:pStyle w:val="FootnoteText"/>
      </w:pPr>
      <w:r>
        <w:rPr>
          <w:rStyle w:val="FootnoteReference"/>
        </w:rPr>
        <w:footnoteRef/>
      </w:r>
      <w:r>
        <w:t xml:space="preserve"> Bergren 1989: 1</w:t>
      </w:r>
    </w:p>
  </w:footnote>
  <w:footnote w:id="73">
    <w:p w14:paraId="2B5B2CC9" w14:textId="5CDF0C89" w:rsidR="00B05211" w:rsidRDefault="00B05211">
      <w:pPr>
        <w:pStyle w:val="FootnoteText"/>
      </w:pPr>
      <w:r>
        <w:rPr>
          <w:rStyle w:val="FootnoteReference"/>
        </w:rPr>
        <w:footnoteRef/>
      </w:r>
      <w:r>
        <w:t xml:space="preserve"> Sargent 1975: vii</w:t>
      </w:r>
    </w:p>
  </w:footnote>
  <w:footnote w:id="74">
    <w:p w14:paraId="5845B29E" w14:textId="54570A04" w:rsidR="00B05211" w:rsidRDefault="00B05211">
      <w:pPr>
        <w:pStyle w:val="FootnoteText"/>
      </w:pPr>
      <w:r>
        <w:rPr>
          <w:rStyle w:val="FootnoteReference"/>
        </w:rPr>
        <w:footnoteRef/>
      </w:r>
      <w:r>
        <w:t xml:space="preserve"> Sargent 1975: vii</w:t>
      </w:r>
    </w:p>
  </w:footnote>
  <w:footnote w:id="75">
    <w:p w14:paraId="57C62FFD" w14:textId="465A03D6" w:rsidR="00B05211" w:rsidRDefault="00B05211">
      <w:pPr>
        <w:pStyle w:val="FootnoteText"/>
      </w:pPr>
      <w:r>
        <w:rPr>
          <w:rStyle w:val="FootnoteReference"/>
        </w:rPr>
        <w:footnoteRef/>
      </w:r>
      <w:r>
        <w:t xml:space="preserve"> Sargent 1975: vii</w:t>
      </w:r>
    </w:p>
  </w:footnote>
  <w:footnote w:id="76">
    <w:p w14:paraId="743FDA4B" w14:textId="78639AAE" w:rsidR="00B05211" w:rsidRDefault="00B05211">
      <w:pPr>
        <w:pStyle w:val="FootnoteText"/>
      </w:pPr>
      <w:r>
        <w:rPr>
          <w:rStyle w:val="FootnoteReference"/>
        </w:rPr>
        <w:footnoteRef/>
      </w:r>
      <w:r>
        <w:t xml:space="preserve"> Sargent 1975: vii</w:t>
      </w:r>
    </w:p>
  </w:footnote>
  <w:footnote w:id="77">
    <w:p w14:paraId="6A6F8D12" w14:textId="17E5703F" w:rsidR="00B05211" w:rsidRDefault="00B05211">
      <w:pPr>
        <w:pStyle w:val="FootnoteText"/>
      </w:pPr>
      <w:r>
        <w:rPr>
          <w:rStyle w:val="FootnoteReference"/>
        </w:rPr>
        <w:footnoteRef/>
      </w:r>
      <w:r>
        <w:t xml:space="preserve"> Bergren 1989: 1</w:t>
      </w:r>
    </w:p>
  </w:footnote>
  <w:footnote w:id="78">
    <w:p w14:paraId="23A14ABC" w14:textId="6EB0C2E2" w:rsidR="00B05211" w:rsidRDefault="00B05211">
      <w:pPr>
        <w:pStyle w:val="FootnoteText"/>
      </w:pPr>
      <w:r>
        <w:rPr>
          <w:rStyle w:val="FootnoteReference"/>
        </w:rPr>
        <w:footnoteRef/>
      </w:r>
      <w:r>
        <w:t xml:space="preserve"> Cyrino 1993: 220</w:t>
      </w:r>
    </w:p>
  </w:footnote>
  <w:footnote w:id="79">
    <w:p w14:paraId="2CCE69A7" w14:textId="2CB25751" w:rsidR="00B05211" w:rsidRDefault="00B05211">
      <w:pPr>
        <w:pStyle w:val="FootnoteText"/>
      </w:pPr>
      <w:r>
        <w:rPr>
          <w:rStyle w:val="FootnoteReference"/>
        </w:rPr>
        <w:footnoteRef/>
      </w:r>
      <w:r>
        <w:t xml:space="preserve"> Cyrino 1993: 220</w:t>
      </w:r>
    </w:p>
  </w:footnote>
  <w:footnote w:id="80">
    <w:p w14:paraId="7E5C70DE" w14:textId="34192DAB" w:rsidR="00B05211" w:rsidRDefault="00B05211">
      <w:pPr>
        <w:pStyle w:val="FootnoteText"/>
      </w:pPr>
      <w:r>
        <w:rPr>
          <w:rStyle w:val="FootnoteReference"/>
        </w:rPr>
        <w:footnoteRef/>
      </w:r>
      <w:r>
        <w:t xml:space="preserve"> Bergren 1989: 8</w:t>
      </w:r>
    </w:p>
  </w:footnote>
  <w:footnote w:id="81">
    <w:p w14:paraId="01E4202A" w14:textId="034B801F" w:rsidR="00B05211" w:rsidRDefault="00B05211">
      <w:pPr>
        <w:pStyle w:val="FootnoteText"/>
      </w:pPr>
      <w:r>
        <w:rPr>
          <w:rStyle w:val="FootnoteReference"/>
        </w:rPr>
        <w:footnoteRef/>
      </w:r>
      <w:r>
        <w:t xml:space="preserve"> Bergren 1989: 4</w:t>
      </w:r>
    </w:p>
  </w:footnote>
  <w:footnote w:id="82">
    <w:p w14:paraId="3B37C888" w14:textId="6943DB3D" w:rsidR="00B05211" w:rsidRPr="007017C8" w:rsidRDefault="00B05211">
      <w:pPr>
        <w:pStyle w:val="FootnoteText"/>
      </w:pPr>
      <w:r>
        <w:rPr>
          <w:rStyle w:val="FootnoteReference"/>
        </w:rPr>
        <w:footnoteRef/>
      </w:r>
      <w:r>
        <w:t xml:space="preserve"> </w:t>
      </w:r>
      <w:r>
        <w:rPr>
          <w:i/>
        </w:rPr>
        <w:t xml:space="preserve">HH. </w:t>
      </w:r>
      <w:r>
        <w:t>5.16-17</w:t>
      </w:r>
    </w:p>
  </w:footnote>
  <w:footnote w:id="83">
    <w:p w14:paraId="59BDC43A" w14:textId="5162B5EA" w:rsidR="00B05211" w:rsidRDefault="00B05211">
      <w:pPr>
        <w:pStyle w:val="FootnoteText"/>
      </w:pPr>
      <w:r>
        <w:rPr>
          <w:rStyle w:val="FootnoteReference"/>
        </w:rPr>
        <w:footnoteRef/>
      </w:r>
      <w:r>
        <w:t xml:space="preserve"> Bergren 1989: 2</w:t>
      </w:r>
    </w:p>
  </w:footnote>
  <w:footnote w:id="84">
    <w:p w14:paraId="6CE4C9A9" w14:textId="7B97B289" w:rsidR="00B05211" w:rsidRDefault="00B05211">
      <w:pPr>
        <w:pStyle w:val="FootnoteText"/>
      </w:pPr>
      <w:r>
        <w:rPr>
          <w:rStyle w:val="FootnoteReference"/>
        </w:rPr>
        <w:footnoteRef/>
      </w:r>
      <w:r>
        <w:t xml:space="preserve"> Cyrino 1993: 221</w:t>
      </w:r>
    </w:p>
  </w:footnote>
  <w:footnote w:id="85">
    <w:p w14:paraId="484962A9" w14:textId="00865625" w:rsidR="00B05211" w:rsidRPr="009B223F" w:rsidRDefault="00B05211">
      <w:pPr>
        <w:pStyle w:val="FootnoteText"/>
      </w:pPr>
      <w:r>
        <w:rPr>
          <w:rStyle w:val="FootnoteReference"/>
        </w:rPr>
        <w:footnoteRef/>
      </w:r>
      <w:r>
        <w:t xml:space="preserve"> </w:t>
      </w:r>
      <w:r>
        <w:rPr>
          <w:i/>
        </w:rPr>
        <w:t xml:space="preserve">HH. </w:t>
      </w:r>
      <w:r>
        <w:t>5.45-51</w:t>
      </w:r>
    </w:p>
  </w:footnote>
  <w:footnote w:id="86">
    <w:p w14:paraId="69BDE33E" w14:textId="29D3D4B4" w:rsidR="00B05211" w:rsidRDefault="00B05211">
      <w:pPr>
        <w:pStyle w:val="FootnoteText"/>
      </w:pPr>
      <w:r>
        <w:rPr>
          <w:rStyle w:val="FootnoteReference"/>
        </w:rPr>
        <w:footnoteRef/>
      </w:r>
      <w:r>
        <w:t xml:space="preserve"> Bergren 1989: 2</w:t>
      </w:r>
    </w:p>
  </w:footnote>
  <w:footnote w:id="87">
    <w:p w14:paraId="5F321A4A" w14:textId="7135EC7D" w:rsidR="00B05211" w:rsidRDefault="00B05211">
      <w:pPr>
        <w:pStyle w:val="FootnoteText"/>
      </w:pPr>
      <w:r>
        <w:rPr>
          <w:rStyle w:val="FootnoteReference"/>
        </w:rPr>
        <w:footnoteRef/>
      </w:r>
      <w:r>
        <w:t xml:space="preserve"> Bergren 1989: 3</w:t>
      </w:r>
    </w:p>
  </w:footnote>
  <w:footnote w:id="88">
    <w:p w14:paraId="503119B4" w14:textId="03C1BF78" w:rsidR="00B05211" w:rsidRPr="00A135AB" w:rsidRDefault="00B05211">
      <w:pPr>
        <w:pStyle w:val="FootnoteText"/>
      </w:pPr>
      <w:r>
        <w:rPr>
          <w:rStyle w:val="FootnoteReference"/>
        </w:rPr>
        <w:footnoteRef/>
      </w:r>
      <w:r>
        <w:t xml:space="preserve"> Hom. </w:t>
      </w:r>
      <w:r>
        <w:rPr>
          <w:i/>
        </w:rPr>
        <w:t xml:space="preserve">Il. </w:t>
      </w:r>
    </w:p>
  </w:footnote>
  <w:footnote w:id="89">
    <w:p w14:paraId="61ACAA42" w14:textId="42DC04FE" w:rsidR="00B05211" w:rsidRPr="00A135AB" w:rsidRDefault="00B05211">
      <w:pPr>
        <w:pStyle w:val="FootnoteText"/>
      </w:pPr>
      <w:r>
        <w:rPr>
          <w:rStyle w:val="FootnoteReference"/>
        </w:rPr>
        <w:footnoteRef/>
      </w:r>
      <w:r>
        <w:t xml:space="preserve"> </w:t>
      </w:r>
      <w:r>
        <w:rPr>
          <w:i/>
        </w:rPr>
        <w:t xml:space="preserve">HH. </w:t>
      </w:r>
      <w:r>
        <w:t>5.82</w:t>
      </w:r>
    </w:p>
  </w:footnote>
  <w:footnote w:id="90">
    <w:p w14:paraId="63BF8CFC" w14:textId="182D1F77" w:rsidR="00B05211" w:rsidRDefault="00B05211">
      <w:pPr>
        <w:pStyle w:val="FootnoteText"/>
      </w:pPr>
      <w:r>
        <w:rPr>
          <w:rStyle w:val="FootnoteReference"/>
        </w:rPr>
        <w:footnoteRef/>
      </w:r>
      <w:r>
        <w:t xml:space="preserve"> </w:t>
      </w:r>
      <w:r>
        <w:rPr>
          <w:i/>
        </w:rPr>
        <w:t>HH</w:t>
      </w:r>
      <w:r>
        <w:t>. 5.110</w:t>
      </w:r>
    </w:p>
  </w:footnote>
  <w:footnote w:id="91">
    <w:p w14:paraId="0C47F951" w14:textId="41587D3B" w:rsidR="00B05211" w:rsidRPr="00095D92" w:rsidRDefault="00B05211">
      <w:pPr>
        <w:pStyle w:val="FootnoteText"/>
      </w:pPr>
      <w:r>
        <w:rPr>
          <w:rStyle w:val="FootnoteReference"/>
        </w:rPr>
        <w:footnoteRef/>
      </w:r>
      <w:r>
        <w:t xml:space="preserve"> </w:t>
      </w:r>
      <w:r>
        <w:rPr>
          <w:i/>
        </w:rPr>
        <w:t xml:space="preserve">HH. </w:t>
      </w:r>
      <w:r>
        <w:t>5.144</w:t>
      </w:r>
    </w:p>
  </w:footnote>
  <w:footnote w:id="92">
    <w:p w14:paraId="1EA443E0" w14:textId="5B04757F" w:rsidR="00B05211" w:rsidRDefault="00B05211">
      <w:pPr>
        <w:pStyle w:val="FootnoteText"/>
      </w:pPr>
      <w:r>
        <w:rPr>
          <w:rStyle w:val="FootnoteReference"/>
        </w:rPr>
        <w:footnoteRef/>
      </w:r>
      <w:r>
        <w:t xml:space="preserve"> Walcot 1991: 138</w:t>
      </w:r>
    </w:p>
  </w:footnote>
  <w:footnote w:id="93">
    <w:p w14:paraId="6836D441" w14:textId="0885AE70" w:rsidR="00B05211" w:rsidRDefault="00B05211">
      <w:pPr>
        <w:pStyle w:val="FootnoteText"/>
      </w:pPr>
      <w:r>
        <w:rPr>
          <w:rStyle w:val="FootnoteReference"/>
        </w:rPr>
        <w:footnoteRef/>
      </w:r>
      <w:r>
        <w:t xml:space="preserve"> Cyrino 1993: 222</w:t>
      </w:r>
    </w:p>
  </w:footnote>
  <w:footnote w:id="94">
    <w:p w14:paraId="5F911B4B" w14:textId="0C4A7A46" w:rsidR="00B05211" w:rsidRDefault="00B05211">
      <w:pPr>
        <w:pStyle w:val="FootnoteText"/>
      </w:pPr>
      <w:r>
        <w:rPr>
          <w:rStyle w:val="FootnoteReference"/>
        </w:rPr>
        <w:footnoteRef/>
      </w:r>
      <w:r>
        <w:t xml:space="preserve"> Cyrino 1993: 222</w:t>
      </w:r>
    </w:p>
  </w:footnote>
  <w:footnote w:id="95">
    <w:p w14:paraId="07963759" w14:textId="66CA314B" w:rsidR="00B05211" w:rsidRPr="002175BB" w:rsidRDefault="00B05211">
      <w:pPr>
        <w:pStyle w:val="FootnoteText"/>
      </w:pPr>
      <w:r>
        <w:rPr>
          <w:rStyle w:val="FootnoteReference"/>
        </w:rPr>
        <w:footnoteRef/>
      </w:r>
      <w:r>
        <w:t xml:space="preserve"> </w:t>
      </w:r>
      <w:r>
        <w:rPr>
          <w:i/>
        </w:rPr>
        <w:t xml:space="preserve">HH. </w:t>
      </w:r>
      <w:r>
        <w:t>5.182-90</w:t>
      </w:r>
    </w:p>
  </w:footnote>
  <w:footnote w:id="96">
    <w:p w14:paraId="0D4E1217" w14:textId="7EDDD296" w:rsidR="00B05211" w:rsidRDefault="00B05211">
      <w:pPr>
        <w:pStyle w:val="FootnoteText"/>
      </w:pPr>
      <w:r>
        <w:rPr>
          <w:rStyle w:val="FootnoteReference"/>
        </w:rPr>
        <w:footnoteRef/>
      </w:r>
      <w:r>
        <w:t xml:space="preserve"> Cyrino 1993: 226</w:t>
      </w:r>
    </w:p>
  </w:footnote>
  <w:footnote w:id="97">
    <w:p w14:paraId="26246FCB" w14:textId="15F496AE" w:rsidR="00B05211" w:rsidRDefault="00B05211">
      <w:pPr>
        <w:pStyle w:val="FootnoteText"/>
      </w:pPr>
      <w:r>
        <w:rPr>
          <w:rStyle w:val="FootnoteReference"/>
        </w:rPr>
        <w:footnoteRef/>
      </w:r>
      <w:r>
        <w:t xml:space="preserve"> </w:t>
      </w:r>
      <w:proofErr w:type="spellStart"/>
      <w:r>
        <w:t>Vellacott</w:t>
      </w:r>
      <w:proofErr w:type="spellEnd"/>
      <w:r>
        <w:t xml:space="preserve"> 1974: 4</w:t>
      </w:r>
    </w:p>
  </w:footnote>
  <w:footnote w:id="98">
    <w:p w14:paraId="68115A1D" w14:textId="564F1C1A" w:rsidR="00B05211" w:rsidRDefault="00B05211">
      <w:pPr>
        <w:pStyle w:val="FootnoteText"/>
      </w:pPr>
      <w:r>
        <w:rPr>
          <w:rStyle w:val="FootnoteReference"/>
        </w:rPr>
        <w:footnoteRef/>
      </w:r>
      <w:r>
        <w:t xml:space="preserve"> </w:t>
      </w:r>
      <w:proofErr w:type="spellStart"/>
      <w:r>
        <w:t>Vellacott</w:t>
      </w:r>
      <w:proofErr w:type="spellEnd"/>
      <w:r>
        <w:t xml:space="preserve"> 1974</w:t>
      </w:r>
    </w:p>
  </w:footnote>
  <w:footnote w:id="99">
    <w:p w14:paraId="5CFBB4EA" w14:textId="5A0B4104" w:rsidR="00B05211" w:rsidRPr="00F94FE5" w:rsidRDefault="00B05211">
      <w:pPr>
        <w:pStyle w:val="FootnoteText"/>
      </w:pPr>
      <w:r>
        <w:rPr>
          <w:rStyle w:val="FootnoteReference"/>
        </w:rPr>
        <w:footnoteRef/>
      </w:r>
      <w:r>
        <w:t xml:space="preserve"> </w:t>
      </w:r>
      <w:r w:rsidRPr="009A4613">
        <w:t xml:space="preserve">Eur. </w:t>
      </w:r>
      <w:r w:rsidRPr="009A4613">
        <w:rPr>
          <w:i/>
        </w:rPr>
        <w:t>Hipp.</w:t>
      </w:r>
    </w:p>
  </w:footnote>
  <w:footnote w:id="100">
    <w:p w14:paraId="299BCAF5" w14:textId="77777777" w:rsidR="00BF7C01" w:rsidRDefault="00BF7C01" w:rsidP="00BF7C01">
      <w:pPr>
        <w:pStyle w:val="FootnoteText"/>
      </w:pPr>
      <w:r>
        <w:rPr>
          <w:rStyle w:val="FootnoteReference"/>
        </w:rPr>
        <w:footnoteRef/>
      </w:r>
      <w:r>
        <w:t xml:space="preserve"> </w:t>
      </w:r>
      <w:proofErr w:type="spellStart"/>
      <w:r>
        <w:t>Vellacott</w:t>
      </w:r>
      <w:proofErr w:type="spellEnd"/>
      <w:r>
        <w:t xml:space="preserve"> 1974</w:t>
      </w:r>
    </w:p>
  </w:footnote>
  <w:footnote w:id="101">
    <w:p w14:paraId="58C5DB9D" w14:textId="2F05889E" w:rsidR="00BF7C01" w:rsidRPr="00F94FE5" w:rsidRDefault="00BF7C01" w:rsidP="00BF7C01">
      <w:pPr>
        <w:pStyle w:val="FootnoteText"/>
      </w:pPr>
      <w:r>
        <w:rPr>
          <w:rStyle w:val="FootnoteReference"/>
        </w:rPr>
        <w:footnoteRef/>
      </w:r>
      <w:r>
        <w:t xml:space="preserve"> </w:t>
      </w:r>
      <w:proofErr w:type="spellStart"/>
      <w:r>
        <w:t>Vellacott</w:t>
      </w:r>
      <w:proofErr w:type="spellEnd"/>
      <w:r>
        <w:t xml:space="preserve"> 1974, </w:t>
      </w:r>
      <w:r w:rsidRPr="009A4613">
        <w:t xml:space="preserve">Eur. </w:t>
      </w:r>
      <w:r w:rsidRPr="009A4613">
        <w:rPr>
          <w:i/>
        </w:rPr>
        <w:t>Hipp.</w:t>
      </w:r>
    </w:p>
  </w:footnote>
  <w:footnote w:id="102">
    <w:p w14:paraId="2FC19B1F" w14:textId="28E89DD7" w:rsidR="00B05211" w:rsidRDefault="00B05211">
      <w:pPr>
        <w:pStyle w:val="FootnoteText"/>
      </w:pPr>
      <w:r>
        <w:rPr>
          <w:rStyle w:val="FootnoteReference"/>
        </w:rPr>
        <w:footnoteRef/>
      </w:r>
      <w:r>
        <w:t xml:space="preserve"> </w:t>
      </w:r>
      <w:proofErr w:type="spellStart"/>
      <w:r>
        <w:t>Vellacott</w:t>
      </w:r>
      <w:proofErr w:type="spellEnd"/>
      <w:r>
        <w:t xml:space="preserve"> 1974</w:t>
      </w:r>
    </w:p>
  </w:footnote>
  <w:footnote w:id="103">
    <w:p w14:paraId="60C792C3" w14:textId="4FFCF949" w:rsidR="000B160D" w:rsidRDefault="000B160D">
      <w:pPr>
        <w:pStyle w:val="FootnoteText"/>
      </w:pPr>
      <w:r>
        <w:rPr>
          <w:rStyle w:val="FootnoteReference"/>
        </w:rPr>
        <w:footnoteRef/>
      </w:r>
      <w:r>
        <w:t xml:space="preserve"> Schenker 1995: 1</w:t>
      </w:r>
    </w:p>
  </w:footnote>
  <w:footnote w:id="104">
    <w:p w14:paraId="79725718" w14:textId="12FC184A" w:rsidR="00B05211" w:rsidRDefault="00B05211">
      <w:pPr>
        <w:pStyle w:val="FootnoteText"/>
      </w:pPr>
      <w:r>
        <w:rPr>
          <w:rStyle w:val="FootnoteReference"/>
        </w:rPr>
        <w:footnoteRef/>
      </w:r>
      <w:r>
        <w:t xml:space="preserve"> </w:t>
      </w:r>
      <w:proofErr w:type="spellStart"/>
      <w:r>
        <w:t>Vellacott</w:t>
      </w:r>
      <w:proofErr w:type="spellEnd"/>
      <w:r>
        <w:t xml:space="preserve"> 1974</w:t>
      </w:r>
    </w:p>
  </w:footnote>
  <w:footnote w:id="105">
    <w:p w14:paraId="3BC989BA" w14:textId="7D238E35" w:rsidR="00E5448F" w:rsidRPr="00E5448F" w:rsidRDefault="00E5448F">
      <w:pPr>
        <w:pStyle w:val="FootnoteText"/>
      </w:pPr>
      <w:r>
        <w:rPr>
          <w:rStyle w:val="FootnoteReference"/>
        </w:rPr>
        <w:footnoteRef/>
      </w:r>
      <w:r>
        <w:t xml:space="preserve"> It should be noted here that although Aphrodite always intended to use Phaedra to enact revenge on Hippolytus, she might not necessarily have intended to </w:t>
      </w:r>
      <w:r>
        <w:rPr>
          <w:i/>
        </w:rPr>
        <w:t xml:space="preserve">kill </w:t>
      </w:r>
      <w:r>
        <w:t>her. She does not seem to show much remorse at the loss of Phaedra, and this is not to suggest that Aphrodite is the ultimate feminist icon, but it is important to note that h</w:t>
      </w:r>
      <w:r w:rsidR="00305A21">
        <w:t>er original, stated plan had been to incite Hippolytus’ father, Theseus, with enough rage that Theseus kills him himself.</w:t>
      </w:r>
    </w:p>
  </w:footnote>
  <w:footnote w:id="106">
    <w:p w14:paraId="1E89BE6C" w14:textId="54F52F16" w:rsidR="00305A21" w:rsidRPr="00305A21" w:rsidRDefault="00305A21">
      <w:pPr>
        <w:pStyle w:val="FootnoteText"/>
      </w:pPr>
      <w:r>
        <w:rPr>
          <w:rStyle w:val="FootnoteReference"/>
        </w:rPr>
        <w:footnoteRef/>
      </w:r>
      <w:r>
        <w:t xml:space="preserve"> Eur. </w:t>
      </w:r>
      <w:r>
        <w:rPr>
          <w:i/>
        </w:rPr>
        <w:t xml:space="preserve">Hipp. </w:t>
      </w:r>
      <w:r>
        <w:t>38-39</w:t>
      </w:r>
    </w:p>
  </w:footnote>
  <w:footnote w:id="107">
    <w:p w14:paraId="33EA3EE0" w14:textId="07147607" w:rsidR="003366F2" w:rsidRPr="003366F2" w:rsidRDefault="003366F2">
      <w:pPr>
        <w:pStyle w:val="FootnoteText"/>
      </w:pPr>
      <w:r w:rsidRPr="009A4613">
        <w:rPr>
          <w:rStyle w:val="FootnoteReference"/>
        </w:rPr>
        <w:footnoteRef/>
      </w:r>
      <w:r w:rsidRPr="009A4613">
        <w:t xml:space="preserve"> Eur. </w:t>
      </w:r>
      <w:r w:rsidRPr="009A4613">
        <w:rPr>
          <w:i/>
        </w:rPr>
        <w:t xml:space="preserve">Hipp. </w:t>
      </w:r>
    </w:p>
  </w:footnote>
  <w:footnote w:id="108">
    <w:p w14:paraId="08FDD637" w14:textId="0DFB539F" w:rsidR="003B687B" w:rsidRDefault="003B687B">
      <w:pPr>
        <w:pStyle w:val="FootnoteText"/>
      </w:pPr>
      <w:r>
        <w:rPr>
          <w:rStyle w:val="FootnoteReference"/>
        </w:rPr>
        <w:footnoteRef/>
      </w:r>
      <w:r>
        <w:t xml:space="preserve"> </w:t>
      </w:r>
      <w:r>
        <w:t>Blondell 2010: 24-25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933EF"/>
    <w:multiLevelType w:val="hybridMultilevel"/>
    <w:tmpl w:val="38825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C1D15"/>
    <w:multiLevelType w:val="hybridMultilevel"/>
    <w:tmpl w:val="D3CE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56144"/>
    <w:multiLevelType w:val="hybridMultilevel"/>
    <w:tmpl w:val="5FDE6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515CF"/>
    <w:multiLevelType w:val="hybridMultilevel"/>
    <w:tmpl w:val="DB8414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362EE"/>
    <w:multiLevelType w:val="hybridMultilevel"/>
    <w:tmpl w:val="34228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92FDC"/>
    <w:multiLevelType w:val="hybridMultilevel"/>
    <w:tmpl w:val="C08A1E70"/>
    <w:lvl w:ilvl="0" w:tplc="6188FF04">
      <w:start w:val="1"/>
      <w:numFmt w:val="upperRoman"/>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1F"/>
    <w:rsid w:val="00011634"/>
    <w:rsid w:val="00011B17"/>
    <w:rsid w:val="00017DCD"/>
    <w:rsid w:val="00036638"/>
    <w:rsid w:val="000453ED"/>
    <w:rsid w:val="0005342B"/>
    <w:rsid w:val="000544EA"/>
    <w:rsid w:val="000568A6"/>
    <w:rsid w:val="000675EE"/>
    <w:rsid w:val="000765E9"/>
    <w:rsid w:val="0008562F"/>
    <w:rsid w:val="00090340"/>
    <w:rsid w:val="000918B1"/>
    <w:rsid w:val="00095D92"/>
    <w:rsid w:val="000A6143"/>
    <w:rsid w:val="000B160D"/>
    <w:rsid w:val="000C0A4F"/>
    <w:rsid w:val="000C2441"/>
    <w:rsid w:val="000C3AA4"/>
    <w:rsid w:val="000C5911"/>
    <w:rsid w:val="000F2962"/>
    <w:rsid w:val="00105AD7"/>
    <w:rsid w:val="0012131D"/>
    <w:rsid w:val="00152D9B"/>
    <w:rsid w:val="00156E5F"/>
    <w:rsid w:val="00167BCB"/>
    <w:rsid w:val="00173AF1"/>
    <w:rsid w:val="001832A0"/>
    <w:rsid w:val="0018651F"/>
    <w:rsid w:val="001A2D3F"/>
    <w:rsid w:val="001D6309"/>
    <w:rsid w:val="001E1D1E"/>
    <w:rsid w:val="001E28E0"/>
    <w:rsid w:val="001E54B6"/>
    <w:rsid w:val="00217020"/>
    <w:rsid w:val="002175BB"/>
    <w:rsid w:val="00225D6C"/>
    <w:rsid w:val="0024047B"/>
    <w:rsid w:val="002529D6"/>
    <w:rsid w:val="00270C45"/>
    <w:rsid w:val="00275579"/>
    <w:rsid w:val="00281DCC"/>
    <w:rsid w:val="00284DA0"/>
    <w:rsid w:val="00285783"/>
    <w:rsid w:val="00292FA7"/>
    <w:rsid w:val="0029533D"/>
    <w:rsid w:val="002A122D"/>
    <w:rsid w:val="002F01E3"/>
    <w:rsid w:val="002F1DAB"/>
    <w:rsid w:val="003056FC"/>
    <w:rsid w:val="00305A21"/>
    <w:rsid w:val="0031235B"/>
    <w:rsid w:val="00314165"/>
    <w:rsid w:val="00316B6C"/>
    <w:rsid w:val="00326A5F"/>
    <w:rsid w:val="003366F2"/>
    <w:rsid w:val="00346E8C"/>
    <w:rsid w:val="0035181D"/>
    <w:rsid w:val="00354BBE"/>
    <w:rsid w:val="00361510"/>
    <w:rsid w:val="00370356"/>
    <w:rsid w:val="003766B3"/>
    <w:rsid w:val="003A60F5"/>
    <w:rsid w:val="003B0FCF"/>
    <w:rsid w:val="003B687B"/>
    <w:rsid w:val="003C59D8"/>
    <w:rsid w:val="003D145F"/>
    <w:rsid w:val="003D3C47"/>
    <w:rsid w:val="003E63AC"/>
    <w:rsid w:val="003F2755"/>
    <w:rsid w:val="0040323D"/>
    <w:rsid w:val="004101B8"/>
    <w:rsid w:val="004222BC"/>
    <w:rsid w:val="00424F61"/>
    <w:rsid w:val="00425B6D"/>
    <w:rsid w:val="00426E95"/>
    <w:rsid w:val="004876A6"/>
    <w:rsid w:val="004904E3"/>
    <w:rsid w:val="004A3961"/>
    <w:rsid w:val="004A3F09"/>
    <w:rsid w:val="004A6949"/>
    <w:rsid w:val="004C7C1E"/>
    <w:rsid w:val="004D63A9"/>
    <w:rsid w:val="004E3091"/>
    <w:rsid w:val="004E76BC"/>
    <w:rsid w:val="00523A6D"/>
    <w:rsid w:val="00526612"/>
    <w:rsid w:val="0053355B"/>
    <w:rsid w:val="00535B6D"/>
    <w:rsid w:val="005416E2"/>
    <w:rsid w:val="0056226F"/>
    <w:rsid w:val="005802B0"/>
    <w:rsid w:val="00581E8E"/>
    <w:rsid w:val="00582679"/>
    <w:rsid w:val="005920D3"/>
    <w:rsid w:val="005B1B53"/>
    <w:rsid w:val="005B2DE7"/>
    <w:rsid w:val="005C6E08"/>
    <w:rsid w:val="005D04AE"/>
    <w:rsid w:val="005D72C7"/>
    <w:rsid w:val="005E0526"/>
    <w:rsid w:val="00621030"/>
    <w:rsid w:val="006275BE"/>
    <w:rsid w:val="006A4F6F"/>
    <w:rsid w:val="006B32CA"/>
    <w:rsid w:val="006B7FF4"/>
    <w:rsid w:val="006C4120"/>
    <w:rsid w:val="007017C8"/>
    <w:rsid w:val="00734CB6"/>
    <w:rsid w:val="007415A1"/>
    <w:rsid w:val="0076507A"/>
    <w:rsid w:val="00770467"/>
    <w:rsid w:val="00777321"/>
    <w:rsid w:val="00785EAE"/>
    <w:rsid w:val="00792FE3"/>
    <w:rsid w:val="007971EB"/>
    <w:rsid w:val="007A531F"/>
    <w:rsid w:val="007B0371"/>
    <w:rsid w:val="007B68AC"/>
    <w:rsid w:val="007D49D7"/>
    <w:rsid w:val="008151B1"/>
    <w:rsid w:val="0082714D"/>
    <w:rsid w:val="00850511"/>
    <w:rsid w:val="00855863"/>
    <w:rsid w:val="00862EA6"/>
    <w:rsid w:val="00863FE8"/>
    <w:rsid w:val="00864490"/>
    <w:rsid w:val="00864674"/>
    <w:rsid w:val="0086537D"/>
    <w:rsid w:val="00873C1F"/>
    <w:rsid w:val="008954FF"/>
    <w:rsid w:val="008A49F0"/>
    <w:rsid w:val="008B645A"/>
    <w:rsid w:val="008B7F7B"/>
    <w:rsid w:val="008C10DB"/>
    <w:rsid w:val="008D1A07"/>
    <w:rsid w:val="008D3C11"/>
    <w:rsid w:val="008D7CB2"/>
    <w:rsid w:val="008E6144"/>
    <w:rsid w:val="0091705F"/>
    <w:rsid w:val="00923277"/>
    <w:rsid w:val="00924B6D"/>
    <w:rsid w:val="00942539"/>
    <w:rsid w:val="00950272"/>
    <w:rsid w:val="00964180"/>
    <w:rsid w:val="009650B1"/>
    <w:rsid w:val="00966DF1"/>
    <w:rsid w:val="00970211"/>
    <w:rsid w:val="00985D00"/>
    <w:rsid w:val="009927F9"/>
    <w:rsid w:val="00993C9B"/>
    <w:rsid w:val="00995010"/>
    <w:rsid w:val="009966BC"/>
    <w:rsid w:val="009A4613"/>
    <w:rsid w:val="009B223F"/>
    <w:rsid w:val="009D1A14"/>
    <w:rsid w:val="009D5165"/>
    <w:rsid w:val="009E3EE9"/>
    <w:rsid w:val="009E6E3F"/>
    <w:rsid w:val="00A06A6B"/>
    <w:rsid w:val="00A135AB"/>
    <w:rsid w:val="00A40646"/>
    <w:rsid w:val="00A47471"/>
    <w:rsid w:val="00A52535"/>
    <w:rsid w:val="00A532D1"/>
    <w:rsid w:val="00A70CAE"/>
    <w:rsid w:val="00A74672"/>
    <w:rsid w:val="00A8081B"/>
    <w:rsid w:val="00A874DF"/>
    <w:rsid w:val="00A97686"/>
    <w:rsid w:val="00AA12F2"/>
    <w:rsid w:val="00AB21F1"/>
    <w:rsid w:val="00AC2D27"/>
    <w:rsid w:val="00AC5DE7"/>
    <w:rsid w:val="00AF1471"/>
    <w:rsid w:val="00AF5004"/>
    <w:rsid w:val="00B05211"/>
    <w:rsid w:val="00B173D9"/>
    <w:rsid w:val="00B329BB"/>
    <w:rsid w:val="00B36FC5"/>
    <w:rsid w:val="00B41201"/>
    <w:rsid w:val="00B46476"/>
    <w:rsid w:val="00B6217C"/>
    <w:rsid w:val="00B76A78"/>
    <w:rsid w:val="00B8370E"/>
    <w:rsid w:val="00B96693"/>
    <w:rsid w:val="00BB5E92"/>
    <w:rsid w:val="00BB772E"/>
    <w:rsid w:val="00BC085C"/>
    <w:rsid w:val="00BF7C01"/>
    <w:rsid w:val="00C003B9"/>
    <w:rsid w:val="00C05EEF"/>
    <w:rsid w:val="00C27C1B"/>
    <w:rsid w:val="00C40635"/>
    <w:rsid w:val="00C43329"/>
    <w:rsid w:val="00C47C71"/>
    <w:rsid w:val="00C51F93"/>
    <w:rsid w:val="00C54B61"/>
    <w:rsid w:val="00C6208C"/>
    <w:rsid w:val="00C83875"/>
    <w:rsid w:val="00CA144F"/>
    <w:rsid w:val="00CA2295"/>
    <w:rsid w:val="00CA4A1B"/>
    <w:rsid w:val="00CA6EEA"/>
    <w:rsid w:val="00CF3778"/>
    <w:rsid w:val="00CF6BBE"/>
    <w:rsid w:val="00D00BE1"/>
    <w:rsid w:val="00D042E8"/>
    <w:rsid w:val="00D05629"/>
    <w:rsid w:val="00D05DAA"/>
    <w:rsid w:val="00D157F3"/>
    <w:rsid w:val="00D47DCB"/>
    <w:rsid w:val="00D8658F"/>
    <w:rsid w:val="00DA5EF4"/>
    <w:rsid w:val="00DA6754"/>
    <w:rsid w:val="00DA7D59"/>
    <w:rsid w:val="00DB1749"/>
    <w:rsid w:val="00DC1FDE"/>
    <w:rsid w:val="00DD45D4"/>
    <w:rsid w:val="00DF56B4"/>
    <w:rsid w:val="00E17FCB"/>
    <w:rsid w:val="00E30962"/>
    <w:rsid w:val="00E36A3D"/>
    <w:rsid w:val="00E36A81"/>
    <w:rsid w:val="00E5448F"/>
    <w:rsid w:val="00E61E55"/>
    <w:rsid w:val="00E837CD"/>
    <w:rsid w:val="00E846B3"/>
    <w:rsid w:val="00E84F85"/>
    <w:rsid w:val="00ED093C"/>
    <w:rsid w:val="00ED4F24"/>
    <w:rsid w:val="00F01C1A"/>
    <w:rsid w:val="00F05961"/>
    <w:rsid w:val="00F07496"/>
    <w:rsid w:val="00F47FB9"/>
    <w:rsid w:val="00F55F9E"/>
    <w:rsid w:val="00F57808"/>
    <w:rsid w:val="00F94FE5"/>
    <w:rsid w:val="00FB0A48"/>
    <w:rsid w:val="00FC7694"/>
    <w:rsid w:val="00FE6F61"/>
    <w:rsid w:val="00FF4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1732"/>
  <w15:chartTrackingRefBased/>
  <w15:docId w15:val="{E1EAAEE1-78C2-4383-BF2E-8CDE7DB55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3C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3C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C1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73C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3C1F"/>
    <w:pPr>
      <w:outlineLvl w:val="9"/>
    </w:pPr>
    <w:rPr>
      <w:lang w:val="en-US"/>
    </w:rPr>
  </w:style>
  <w:style w:type="paragraph" w:styleId="TOC1">
    <w:name w:val="toc 1"/>
    <w:basedOn w:val="Normal"/>
    <w:next w:val="Normal"/>
    <w:autoRedefine/>
    <w:uiPriority w:val="39"/>
    <w:unhideWhenUsed/>
    <w:rsid w:val="00873C1F"/>
    <w:pPr>
      <w:spacing w:after="100"/>
    </w:pPr>
  </w:style>
  <w:style w:type="character" w:styleId="Hyperlink">
    <w:name w:val="Hyperlink"/>
    <w:basedOn w:val="DefaultParagraphFont"/>
    <w:uiPriority w:val="99"/>
    <w:unhideWhenUsed/>
    <w:rsid w:val="00873C1F"/>
    <w:rPr>
      <w:color w:val="0563C1" w:themeColor="hyperlink"/>
      <w:u w:val="single"/>
    </w:rPr>
  </w:style>
  <w:style w:type="character" w:customStyle="1" w:styleId="Heading2Char">
    <w:name w:val="Heading 2 Char"/>
    <w:basedOn w:val="DefaultParagraphFont"/>
    <w:link w:val="Heading2"/>
    <w:uiPriority w:val="9"/>
    <w:rsid w:val="00873C1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73C1F"/>
    <w:pPr>
      <w:spacing w:after="100"/>
      <w:ind w:left="220"/>
    </w:pPr>
  </w:style>
  <w:style w:type="paragraph" w:styleId="Header">
    <w:name w:val="header"/>
    <w:basedOn w:val="Normal"/>
    <w:link w:val="HeaderChar"/>
    <w:uiPriority w:val="99"/>
    <w:unhideWhenUsed/>
    <w:rsid w:val="00873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C1F"/>
  </w:style>
  <w:style w:type="paragraph" w:styleId="Footer">
    <w:name w:val="footer"/>
    <w:basedOn w:val="Normal"/>
    <w:link w:val="FooterChar"/>
    <w:uiPriority w:val="99"/>
    <w:unhideWhenUsed/>
    <w:rsid w:val="00873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C1F"/>
  </w:style>
  <w:style w:type="paragraph" w:styleId="FootnoteText">
    <w:name w:val="footnote text"/>
    <w:basedOn w:val="Normal"/>
    <w:link w:val="FootnoteTextChar"/>
    <w:uiPriority w:val="99"/>
    <w:semiHidden/>
    <w:unhideWhenUsed/>
    <w:rsid w:val="00A808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081B"/>
    <w:rPr>
      <w:sz w:val="20"/>
      <w:szCs w:val="20"/>
    </w:rPr>
  </w:style>
  <w:style w:type="character" w:styleId="FootnoteReference">
    <w:name w:val="footnote reference"/>
    <w:basedOn w:val="DefaultParagraphFont"/>
    <w:uiPriority w:val="99"/>
    <w:semiHidden/>
    <w:unhideWhenUsed/>
    <w:rsid w:val="00A8081B"/>
    <w:rPr>
      <w:vertAlign w:val="superscript"/>
    </w:rPr>
  </w:style>
  <w:style w:type="paragraph" w:styleId="ListParagraph">
    <w:name w:val="List Paragraph"/>
    <w:basedOn w:val="Normal"/>
    <w:uiPriority w:val="34"/>
    <w:qFormat/>
    <w:rsid w:val="004E76BC"/>
    <w:pPr>
      <w:ind w:left="720"/>
      <w:contextualSpacing/>
    </w:pPr>
    <w:rPr>
      <w:rFonts w:asciiTheme="minorHAnsi" w:hAnsiTheme="minorHAnsi" w:cstheme="minorBidi"/>
      <w:sz w:val="22"/>
      <w:szCs w:val="22"/>
    </w:rPr>
  </w:style>
  <w:style w:type="paragraph" w:styleId="NormalWeb">
    <w:name w:val="Normal (Web)"/>
    <w:basedOn w:val="Normal"/>
    <w:uiPriority w:val="99"/>
    <w:semiHidden/>
    <w:unhideWhenUsed/>
    <w:rsid w:val="00305A21"/>
    <w:pPr>
      <w:spacing w:before="100" w:beforeAutospacing="1" w:after="100" w:afterAutospacing="1" w:line="240" w:lineRule="auto"/>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66952">
      <w:bodyDiv w:val="1"/>
      <w:marLeft w:val="0"/>
      <w:marRight w:val="0"/>
      <w:marTop w:val="0"/>
      <w:marBottom w:val="0"/>
      <w:divBdr>
        <w:top w:val="none" w:sz="0" w:space="0" w:color="auto"/>
        <w:left w:val="none" w:sz="0" w:space="0" w:color="auto"/>
        <w:bottom w:val="none" w:sz="0" w:space="0" w:color="auto"/>
        <w:right w:val="none" w:sz="0" w:space="0" w:color="auto"/>
      </w:divBdr>
    </w:div>
    <w:div w:id="668144985">
      <w:bodyDiv w:val="1"/>
      <w:marLeft w:val="0"/>
      <w:marRight w:val="0"/>
      <w:marTop w:val="0"/>
      <w:marBottom w:val="0"/>
      <w:divBdr>
        <w:top w:val="none" w:sz="0" w:space="0" w:color="auto"/>
        <w:left w:val="none" w:sz="0" w:space="0" w:color="auto"/>
        <w:bottom w:val="none" w:sz="0" w:space="0" w:color="auto"/>
        <w:right w:val="none" w:sz="0" w:space="0" w:color="auto"/>
      </w:divBdr>
    </w:div>
    <w:div w:id="808521956">
      <w:bodyDiv w:val="1"/>
      <w:marLeft w:val="0"/>
      <w:marRight w:val="0"/>
      <w:marTop w:val="0"/>
      <w:marBottom w:val="0"/>
      <w:divBdr>
        <w:top w:val="none" w:sz="0" w:space="0" w:color="auto"/>
        <w:left w:val="none" w:sz="0" w:space="0" w:color="auto"/>
        <w:bottom w:val="none" w:sz="0" w:space="0" w:color="auto"/>
        <w:right w:val="none" w:sz="0" w:space="0" w:color="auto"/>
      </w:divBdr>
    </w:div>
    <w:div w:id="884637161">
      <w:bodyDiv w:val="1"/>
      <w:marLeft w:val="0"/>
      <w:marRight w:val="0"/>
      <w:marTop w:val="0"/>
      <w:marBottom w:val="0"/>
      <w:divBdr>
        <w:top w:val="none" w:sz="0" w:space="0" w:color="auto"/>
        <w:left w:val="none" w:sz="0" w:space="0" w:color="auto"/>
        <w:bottom w:val="none" w:sz="0" w:space="0" w:color="auto"/>
        <w:right w:val="none" w:sz="0" w:space="0" w:color="auto"/>
      </w:divBdr>
    </w:div>
    <w:div w:id="970667053">
      <w:bodyDiv w:val="1"/>
      <w:marLeft w:val="0"/>
      <w:marRight w:val="0"/>
      <w:marTop w:val="0"/>
      <w:marBottom w:val="0"/>
      <w:divBdr>
        <w:top w:val="none" w:sz="0" w:space="0" w:color="auto"/>
        <w:left w:val="none" w:sz="0" w:space="0" w:color="auto"/>
        <w:bottom w:val="none" w:sz="0" w:space="0" w:color="auto"/>
        <w:right w:val="none" w:sz="0" w:space="0" w:color="auto"/>
      </w:divBdr>
    </w:div>
    <w:div w:id="1007948887">
      <w:bodyDiv w:val="1"/>
      <w:marLeft w:val="0"/>
      <w:marRight w:val="0"/>
      <w:marTop w:val="0"/>
      <w:marBottom w:val="0"/>
      <w:divBdr>
        <w:top w:val="none" w:sz="0" w:space="0" w:color="auto"/>
        <w:left w:val="none" w:sz="0" w:space="0" w:color="auto"/>
        <w:bottom w:val="none" w:sz="0" w:space="0" w:color="auto"/>
        <w:right w:val="none" w:sz="0" w:space="0" w:color="auto"/>
      </w:divBdr>
    </w:div>
    <w:div w:id="1392192036">
      <w:bodyDiv w:val="1"/>
      <w:marLeft w:val="0"/>
      <w:marRight w:val="0"/>
      <w:marTop w:val="0"/>
      <w:marBottom w:val="0"/>
      <w:divBdr>
        <w:top w:val="none" w:sz="0" w:space="0" w:color="auto"/>
        <w:left w:val="none" w:sz="0" w:space="0" w:color="auto"/>
        <w:bottom w:val="none" w:sz="0" w:space="0" w:color="auto"/>
        <w:right w:val="none" w:sz="0" w:space="0" w:color="auto"/>
      </w:divBdr>
    </w:div>
    <w:div w:id="1452281646">
      <w:bodyDiv w:val="1"/>
      <w:marLeft w:val="0"/>
      <w:marRight w:val="0"/>
      <w:marTop w:val="0"/>
      <w:marBottom w:val="0"/>
      <w:divBdr>
        <w:top w:val="none" w:sz="0" w:space="0" w:color="auto"/>
        <w:left w:val="none" w:sz="0" w:space="0" w:color="auto"/>
        <w:bottom w:val="none" w:sz="0" w:space="0" w:color="auto"/>
        <w:right w:val="none" w:sz="0" w:space="0" w:color="auto"/>
      </w:divBdr>
    </w:div>
    <w:div w:id="1548755533">
      <w:bodyDiv w:val="1"/>
      <w:marLeft w:val="0"/>
      <w:marRight w:val="0"/>
      <w:marTop w:val="0"/>
      <w:marBottom w:val="0"/>
      <w:divBdr>
        <w:top w:val="none" w:sz="0" w:space="0" w:color="auto"/>
        <w:left w:val="none" w:sz="0" w:space="0" w:color="auto"/>
        <w:bottom w:val="none" w:sz="0" w:space="0" w:color="auto"/>
        <w:right w:val="none" w:sz="0" w:space="0" w:color="auto"/>
      </w:divBdr>
    </w:div>
    <w:div w:id="1937791258">
      <w:bodyDiv w:val="1"/>
      <w:marLeft w:val="0"/>
      <w:marRight w:val="0"/>
      <w:marTop w:val="0"/>
      <w:marBottom w:val="0"/>
      <w:divBdr>
        <w:top w:val="none" w:sz="0" w:space="0" w:color="auto"/>
        <w:left w:val="none" w:sz="0" w:space="0" w:color="auto"/>
        <w:bottom w:val="none" w:sz="0" w:space="0" w:color="auto"/>
        <w:right w:val="none" w:sz="0" w:space="0" w:color="auto"/>
      </w:divBdr>
    </w:div>
    <w:div w:id="2066643402">
      <w:bodyDiv w:val="1"/>
      <w:marLeft w:val="0"/>
      <w:marRight w:val="0"/>
      <w:marTop w:val="0"/>
      <w:marBottom w:val="0"/>
      <w:divBdr>
        <w:top w:val="none" w:sz="0" w:space="0" w:color="auto"/>
        <w:left w:val="none" w:sz="0" w:space="0" w:color="auto"/>
        <w:bottom w:val="none" w:sz="0" w:space="0" w:color="auto"/>
        <w:right w:val="none" w:sz="0" w:space="0" w:color="auto"/>
      </w:divBdr>
    </w:div>
    <w:div w:id="212056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EB33A-3315-4575-9DC9-CBC4DAB7A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3144</TotalTime>
  <Pages>39</Pages>
  <Words>8967</Words>
  <Characters>51116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Woodhouse</dc:creator>
  <cp:keywords/>
  <dc:description/>
  <cp:lastModifiedBy>Betsy Woodhouse</cp:lastModifiedBy>
  <cp:revision>78</cp:revision>
  <dcterms:created xsi:type="dcterms:W3CDTF">2018-05-08T11:53:00Z</dcterms:created>
  <dcterms:modified xsi:type="dcterms:W3CDTF">2018-05-11T08:26:00Z</dcterms:modified>
</cp:coreProperties>
</file>