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06590" w14:textId="77777777" w:rsidR="006957DA" w:rsidRDefault="006957DA"/>
    <w:p w14:paraId="0F7099D9" w14:textId="77777777" w:rsidR="006957DA" w:rsidRDefault="006957DA"/>
    <w:p w14:paraId="1A5548CD" w14:textId="70C3A2BE" w:rsidR="006957DA" w:rsidRPr="0042009D" w:rsidRDefault="0042009D">
      <w:pPr>
        <w:rPr>
          <w:sz w:val="32"/>
          <w:szCs w:val="32"/>
        </w:rPr>
      </w:pPr>
      <w:r w:rsidRPr="0042009D">
        <w:rPr>
          <w:sz w:val="32"/>
          <w:szCs w:val="32"/>
        </w:rPr>
        <w:t>LCBB6002</w:t>
      </w:r>
    </w:p>
    <w:p w14:paraId="00408D4F" w14:textId="77777777" w:rsidR="006957DA" w:rsidRDefault="006957DA" w:rsidP="006957DA"/>
    <w:p w14:paraId="4779B35D" w14:textId="77777777" w:rsidR="006957DA" w:rsidRDefault="006957DA" w:rsidP="006957DA"/>
    <w:p w14:paraId="22E2E250" w14:textId="77777777" w:rsidR="006957DA" w:rsidRDefault="006957DA" w:rsidP="006957DA"/>
    <w:p w14:paraId="75F460BC" w14:textId="0B022832" w:rsidR="006957DA" w:rsidRPr="006957DA" w:rsidRDefault="006957DA" w:rsidP="006957DA">
      <w:pPr>
        <w:pStyle w:val="NormalWeb"/>
        <w:jc w:val="center"/>
        <w:rPr>
          <w:sz w:val="48"/>
          <w:szCs w:val="48"/>
        </w:rPr>
      </w:pPr>
      <w:r w:rsidRPr="006957DA">
        <w:rPr>
          <w:rFonts w:ascii="Arial" w:hAnsi="Arial" w:cs="Arial"/>
          <w:sz w:val="48"/>
          <w:szCs w:val="48"/>
        </w:rPr>
        <w:t>International Financial Management</w:t>
      </w:r>
    </w:p>
    <w:p w14:paraId="2061FFDE" w14:textId="306515D4" w:rsidR="006957DA" w:rsidRPr="006957DA" w:rsidRDefault="006957DA" w:rsidP="006957DA">
      <w:pPr>
        <w:jc w:val="center"/>
        <w:rPr>
          <w:rFonts w:ascii="Arial" w:eastAsia="Times New Roman" w:hAnsi="Arial" w:cs="Arial"/>
          <w:sz w:val="48"/>
          <w:szCs w:val="48"/>
          <w:lang w:eastAsia="en-GB"/>
        </w:rPr>
      </w:pPr>
      <w:r w:rsidRPr="006957DA">
        <w:rPr>
          <w:rFonts w:ascii="Arial" w:eastAsia="Times New Roman" w:hAnsi="Arial" w:cs="Arial"/>
          <w:sz w:val="48"/>
          <w:szCs w:val="48"/>
          <w:lang w:eastAsia="en-GB"/>
        </w:rPr>
        <w:t xml:space="preserve">Assessment 1 </w:t>
      </w:r>
    </w:p>
    <w:p w14:paraId="6AA1A9A8" w14:textId="19A62B77" w:rsidR="006957DA" w:rsidRPr="006957DA" w:rsidRDefault="006957DA" w:rsidP="006957DA">
      <w:pPr>
        <w:jc w:val="center"/>
        <w:rPr>
          <w:rFonts w:ascii="Arial" w:eastAsia="Times New Roman" w:hAnsi="Arial" w:cs="Arial"/>
          <w:sz w:val="48"/>
          <w:szCs w:val="48"/>
          <w:lang w:eastAsia="en-GB"/>
        </w:rPr>
      </w:pPr>
      <w:r w:rsidRPr="006957DA">
        <w:rPr>
          <w:rFonts w:ascii="Arial" w:eastAsia="Times New Roman" w:hAnsi="Arial" w:cs="Arial"/>
          <w:sz w:val="48"/>
          <w:szCs w:val="48"/>
          <w:lang w:eastAsia="en-GB"/>
        </w:rPr>
        <w:t>Toyota Motor Corporation</w:t>
      </w:r>
    </w:p>
    <w:p w14:paraId="56F69335" w14:textId="77777777" w:rsidR="006957DA" w:rsidRDefault="006957DA" w:rsidP="006957DA"/>
    <w:p w14:paraId="4C7A37C9" w14:textId="77777777" w:rsidR="006957DA" w:rsidRDefault="006957DA" w:rsidP="006957DA"/>
    <w:p w14:paraId="07BB0A91" w14:textId="77777777" w:rsidR="006957DA" w:rsidRDefault="006957DA" w:rsidP="006957DA"/>
    <w:p w14:paraId="09F1D21E" w14:textId="77777777" w:rsidR="006957DA" w:rsidRDefault="006957DA" w:rsidP="006957DA"/>
    <w:p w14:paraId="1D167855" w14:textId="77777777" w:rsidR="006957DA" w:rsidRDefault="006957DA" w:rsidP="006957DA"/>
    <w:p w14:paraId="02130789" w14:textId="77777777" w:rsidR="006957DA" w:rsidRDefault="006957DA" w:rsidP="006957DA"/>
    <w:p w14:paraId="2F14BE28" w14:textId="77777777" w:rsidR="006957DA" w:rsidRDefault="006957DA" w:rsidP="006957DA"/>
    <w:p w14:paraId="49CFBE87" w14:textId="77777777" w:rsidR="006957DA" w:rsidRDefault="006957DA" w:rsidP="006957DA"/>
    <w:p w14:paraId="41CD2226" w14:textId="77777777" w:rsidR="006957DA" w:rsidRDefault="006957DA" w:rsidP="006957DA"/>
    <w:p w14:paraId="75A3F53A" w14:textId="77777777" w:rsidR="006957DA" w:rsidRDefault="006957DA" w:rsidP="006957DA"/>
    <w:p w14:paraId="2E03A1B7" w14:textId="77777777" w:rsidR="006957DA" w:rsidRDefault="006957DA" w:rsidP="006957DA"/>
    <w:p w14:paraId="5C5FB5D5" w14:textId="5FB95087" w:rsidR="006957DA" w:rsidRDefault="006957DA" w:rsidP="006957DA">
      <w:pPr>
        <w:pStyle w:val="Normal1"/>
        <w:rPr>
          <w:sz w:val="32"/>
          <w:szCs w:val="32"/>
        </w:rPr>
      </w:pPr>
      <w:r w:rsidRPr="005039F1">
        <w:rPr>
          <w:sz w:val="32"/>
          <w:szCs w:val="32"/>
        </w:rPr>
        <w:t xml:space="preserve">Module Tutor: </w:t>
      </w:r>
      <w:r w:rsidR="00F54AE7">
        <w:rPr>
          <w:sz w:val="32"/>
          <w:szCs w:val="32"/>
        </w:rPr>
        <w:t>Thomas Adeyemi</w:t>
      </w:r>
    </w:p>
    <w:p w14:paraId="5ECF89BD" w14:textId="1767CB88" w:rsidR="006957DA" w:rsidRPr="005039F1" w:rsidRDefault="006957DA" w:rsidP="006957DA">
      <w:pPr>
        <w:jc w:val="both"/>
        <w:rPr>
          <w:sz w:val="32"/>
          <w:szCs w:val="32"/>
        </w:rPr>
      </w:pPr>
      <w:r w:rsidRPr="005039F1">
        <w:rPr>
          <w:sz w:val="32"/>
          <w:szCs w:val="32"/>
        </w:rPr>
        <w:t>Student: Bogdan</w:t>
      </w:r>
      <w:r>
        <w:rPr>
          <w:sz w:val="32"/>
          <w:szCs w:val="32"/>
        </w:rPr>
        <w:t xml:space="preserve"> Adrian </w:t>
      </w:r>
      <w:proofErr w:type="spellStart"/>
      <w:r w:rsidRPr="005039F1">
        <w:rPr>
          <w:sz w:val="32"/>
          <w:szCs w:val="32"/>
        </w:rPr>
        <w:t>Radulescu</w:t>
      </w:r>
      <w:proofErr w:type="spellEnd"/>
      <w:r>
        <w:rPr>
          <w:sz w:val="32"/>
          <w:szCs w:val="32"/>
        </w:rPr>
        <w:t xml:space="preserve">        2022697</w:t>
      </w:r>
    </w:p>
    <w:p w14:paraId="4A497CAB" w14:textId="77777777" w:rsidR="006957DA" w:rsidRDefault="006957DA"/>
    <w:p w14:paraId="55D0338A" w14:textId="77777777" w:rsidR="006957DA" w:rsidRDefault="006957DA"/>
    <w:p w14:paraId="1546C416" w14:textId="77777777" w:rsidR="006957DA" w:rsidRDefault="006957DA"/>
    <w:p w14:paraId="00FD9DE5" w14:textId="77777777" w:rsidR="006957DA" w:rsidRDefault="006957DA"/>
    <w:p w14:paraId="1F2F3007" w14:textId="77777777" w:rsidR="006957DA" w:rsidRDefault="006957DA"/>
    <w:p w14:paraId="4FA42492" w14:textId="77777777" w:rsidR="0038553F" w:rsidRDefault="0038553F">
      <w:pPr>
        <w:rPr>
          <w:rFonts w:asciiTheme="majorHAnsi" w:eastAsiaTheme="majorEastAsia" w:hAnsiTheme="majorHAnsi" w:cstheme="majorBidi"/>
          <w:b/>
          <w:bCs/>
          <w:color w:val="2F5496" w:themeColor="accent1" w:themeShade="BF"/>
          <w:sz w:val="28"/>
          <w:szCs w:val="28"/>
          <w:lang w:val="en-US"/>
        </w:rPr>
      </w:pPr>
    </w:p>
    <w:p w14:paraId="32E1C822" w14:textId="77777777" w:rsidR="0038553F" w:rsidRDefault="0038553F">
      <w:pPr>
        <w:rPr>
          <w:rFonts w:asciiTheme="majorHAnsi" w:eastAsiaTheme="majorEastAsia" w:hAnsiTheme="majorHAnsi" w:cstheme="majorBidi"/>
          <w:b/>
          <w:bCs/>
          <w:color w:val="2F5496" w:themeColor="accent1" w:themeShade="BF"/>
          <w:sz w:val="28"/>
          <w:szCs w:val="28"/>
          <w:lang w:val="en-US"/>
        </w:rPr>
      </w:pPr>
    </w:p>
    <w:p w14:paraId="7473727D" w14:textId="77777777" w:rsidR="0038553F" w:rsidRDefault="0038553F">
      <w:pPr>
        <w:rPr>
          <w:rFonts w:asciiTheme="majorHAnsi" w:eastAsiaTheme="majorEastAsia" w:hAnsiTheme="majorHAnsi" w:cstheme="majorBidi"/>
          <w:b/>
          <w:bCs/>
          <w:color w:val="2F5496" w:themeColor="accent1" w:themeShade="BF"/>
          <w:sz w:val="28"/>
          <w:szCs w:val="28"/>
          <w:lang w:val="en-US"/>
        </w:rPr>
      </w:pPr>
    </w:p>
    <w:p w14:paraId="68F2A3B8" w14:textId="77777777" w:rsidR="001464D7" w:rsidRPr="0042009D" w:rsidRDefault="001464D7">
      <w:pPr>
        <w:rPr>
          <w:sz w:val="24"/>
          <w:szCs w:val="24"/>
        </w:rPr>
      </w:pPr>
    </w:p>
    <w:p w14:paraId="6C9B57F2" w14:textId="77777777" w:rsidR="0038553F" w:rsidRPr="0042009D" w:rsidRDefault="0038553F">
      <w:pPr>
        <w:rPr>
          <w:rFonts w:ascii="Segoe UI" w:hAnsi="Segoe UI" w:cs="Segoe UI"/>
          <w:b/>
          <w:bCs/>
          <w:color w:val="374151"/>
          <w:sz w:val="24"/>
          <w:szCs w:val="24"/>
        </w:rPr>
      </w:pPr>
    </w:p>
    <w:p w14:paraId="1EE4A9DC" w14:textId="03ED8CD0" w:rsidR="0038553F" w:rsidRPr="0042009D" w:rsidRDefault="0038553F">
      <w:pPr>
        <w:rPr>
          <w:rFonts w:ascii="Segoe UI" w:hAnsi="Segoe UI" w:cs="Segoe UI"/>
          <w:b/>
          <w:bCs/>
          <w:color w:val="374151"/>
          <w:sz w:val="24"/>
          <w:szCs w:val="24"/>
        </w:rPr>
      </w:pPr>
      <w:r w:rsidRPr="0042009D">
        <w:rPr>
          <w:rFonts w:ascii="Segoe UI" w:hAnsi="Segoe UI" w:cs="Segoe UI"/>
          <w:b/>
          <w:bCs/>
          <w:color w:val="374151"/>
          <w:sz w:val="24"/>
          <w:szCs w:val="24"/>
        </w:rPr>
        <w:t>Table of Contents</w:t>
      </w:r>
    </w:p>
    <w:p w14:paraId="40AC68C9" w14:textId="77777777" w:rsidR="0038553F" w:rsidRPr="0042009D" w:rsidRDefault="0038553F">
      <w:pPr>
        <w:rPr>
          <w:rFonts w:ascii="Segoe UI" w:hAnsi="Segoe UI" w:cs="Segoe UI"/>
          <w:b/>
          <w:bCs/>
          <w:color w:val="374151"/>
          <w:sz w:val="24"/>
          <w:szCs w:val="24"/>
        </w:rPr>
      </w:pPr>
    </w:p>
    <w:p w14:paraId="05070F58" w14:textId="77777777" w:rsidR="0038553F" w:rsidRPr="0042009D" w:rsidRDefault="0038553F">
      <w:pPr>
        <w:rPr>
          <w:rFonts w:ascii="Segoe UI" w:hAnsi="Segoe UI" w:cs="Segoe UI"/>
          <w:b/>
          <w:bCs/>
          <w:color w:val="374151"/>
          <w:sz w:val="24"/>
          <w:szCs w:val="24"/>
        </w:rPr>
      </w:pPr>
    </w:p>
    <w:p w14:paraId="25E0790F" w14:textId="77777777" w:rsidR="0038553F" w:rsidRPr="0042009D" w:rsidRDefault="0038553F">
      <w:pPr>
        <w:rPr>
          <w:rFonts w:ascii="Segoe UI" w:hAnsi="Segoe UI" w:cs="Segoe UI"/>
          <w:b/>
          <w:bCs/>
          <w:color w:val="374151"/>
          <w:sz w:val="24"/>
          <w:szCs w:val="24"/>
        </w:rPr>
      </w:pPr>
    </w:p>
    <w:p w14:paraId="6ADDFE8D" w14:textId="644A0F80" w:rsidR="0038553F" w:rsidRPr="0042009D" w:rsidRDefault="0038553F">
      <w:pPr>
        <w:rPr>
          <w:rFonts w:ascii="Segoe UI" w:hAnsi="Segoe UI" w:cs="Segoe UI"/>
          <w:b/>
          <w:bCs/>
          <w:color w:val="374151"/>
          <w:sz w:val="24"/>
          <w:szCs w:val="24"/>
        </w:rPr>
      </w:pPr>
      <w:r w:rsidRPr="0042009D">
        <w:rPr>
          <w:rFonts w:ascii="Segoe UI" w:hAnsi="Segoe UI" w:cs="Segoe UI"/>
          <w:b/>
          <w:bCs/>
          <w:color w:val="374151"/>
          <w:sz w:val="24"/>
          <w:szCs w:val="24"/>
        </w:rPr>
        <w:t>Introduction……………………………………………………………………………3</w:t>
      </w:r>
    </w:p>
    <w:p w14:paraId="1A7DDB15" w14:textId="796070B6" w:rsidR="0038553F" w:rsidRPr="0042009D" w:rsidRDefault="0038553F" w:rsidP="0038553F">
      <w:pPr>
        <w:rPr>
          <w:rFonts w:ascii="Segoe UI" w:hAnsi="Segoe UI" w:cs="Segoe UI"/>
          <w:b/>
          <w:bCs/>
          <w:color w:val="374151"/>
          <w:sz w:val="24"/>
          <w:szCs w:val="24"/>
        </w:rPr>
      </w:pPr>
      <w:r w:rsidRPr="0042009D">
        <w:rPr>
          <w:rFonts w:ascii="Segoe UI" w:hAnsi="Segoe UI" w:cs="Segoe UI"/>
          <w:b/>
          <w:bCs/>
          <w:color w:val="374151"/>
          <w:sz w:val="24"/>
          <w:szCs w:val="24"/>
        </w:rPr>
        <w:t>Efficient Market Hypothesis Theory……………………………………………….4</w:t>
      </w:r>
    </w:p>
    <w:p w14:paraId="3F38E4AE" w14:textId="6B349563" w:rsidR="0038553F" w:rsidRPr="0042009D" w:rsidRDefault="0038553F" w:rsidP="0038553F">
      <w:pPr>
        <w:rPr>
          <w:rFonts w:ascii="Segoe UI" w:hAnsi="Segoe UI" w:cs="Segoe UI"/>
          <w:b/>
          <w:bCs/>
          <w:color w:val="374151"/>
          <w:sz w:val="24"/>
          <w:szCs w:val="24"/>
        </w:rPr>
      </w:pPr>
      <w:r w:rsidRPr="0042009D">
        <w:rPr>
          <w:rFonts w:ascii="Segoe UI" w:hAnsi="Segoe UI" w:cs="Segoe UI"/>
          <w:b/>
          <w:bCs/>
          <w:color w:val="374151"/>
          <w:sz w:val="24"/>
          <w:szCs w:val="24"/>
        </w:rPr>
        <w:t xml:space="preserve">  Methods of Appraising Projects………………………………………………</w:t>
      </w:r>
      <w:proofErr w:type="gramStart"/>
      <w:r w:rsidRPr="0042009D">
        <w:rPr>
          <w:rFonts w:ascii="Segoe UI" w:hAnsi="Segoe UI" w:cs="Segoe UI"/>
          <w:b/>
          <w:bCs/>
          <w:color w:val="374151"/>
          <w:sz w:val="24"/>
          <w:szCs w:val="24"/>
        </w:rPr>
        <w:t>…..</w:t>
      </w:r>
      <w:proofErr w:type="gramEnd"/>
      <w:r w:rsidRPr="0042009D">
        <w:rPr>
          <w:rFonts w:ascii="Segoe UI" w:hAnsi="Segoe UI" w:cs="Segoe UI"/>
          <w:b/>
          <w:bCs/>
          <w:color w:val="374151"/>
          <w:sz w:val="24"/>
          <w:szCs w:val="24"/>
        </w:rPr>
        <w:t>4</w:t>
      </w:r>
    </w:p>
    <w:p w14:paraId="3BD538A0" w14:textId="238788F5" w:rsidR="0038553F" w:rsidRPr="0042009D" w:rsidRDefault="0038553F" w:rsidP="0038553F">
      <w:pPr>
        <w:rPr>
          <w:rFonts w:ascii="Segoe UI" w:hAnsi="Segoe UI" w:cs="Segoe UI"/>
          <w:b/>
          <w:bCs/>
          <w:color w:val="374151"/>
          <w:sz w:val="24"/>
          <w:szCs w:val="24"/>
        </w:rPr>
      </w:pPr>
      <w:r w:rsidRPr="0042009D">
        <w:rPr>
          <w:rFonts w:ascii="Segoe UI" w:hAnsi="Segoe UI" w:cs="Segoe UI"/>
          <w:b/>
          <w:bCs/>
          <w:color w:val="374151"/>
          <w:sz w:val="24"/>
          <w:szCs w:val="24"/>
        </w:rPr>
        <w:t>Empirical Evidence……………………………………………………………………4</w:t>
      </w:r>
    </w:p>
    <w:p w14:paraId="5D5A1219" w14:textId="11CD3DAA" w:rsidR="0038553F" w:rsidRPr="0042009D" w:rsidRDefault="0038553F" w:rsidP="0038553F">
      <w:pPr>
        <w:rPr>
          <w:rFonts w:ascii="Segoe UI" w:hAnsi="Segoe UI" w:cs="Segoe UI"/>
          <w:b/>
          <w:bCs/>
          <w:color w:val="374151"/>
          <w:sz w:val="24"/>
          <w:szCs w:val="24"/>
        </w:rPr>
      </w:pPr>
      <w:r w:rsidRPr="0042009D">
        <w:rPr>
          <w:rFonts w:ascii="Segoe UI" w:hAnsi="Segoe UI" w:cs="Segoe UI"/>
          <w:b/>
          <w:bCs/>
          <w:color w:val="374151"/>
          <w:sz w:val="24"/>
          <w:szCs w:val="24"/>
        </w:rPr>
        <w:t>Conclusion………………………………………………………</w:t>
      </w:r>
      <w:proofErr w:type="gramStart"/>
      <w:r w:rsidRPr="0042009D">
        <w:rPr>
          <w:rFonts w:ascii="Segoe UI" w:hAnsi="Segoe UI" w:cs="Segoe UI"/>
          <w:b/>
          <w:bCs/>
          <w:color w:val="374151"/>
          <w:sz w:val="24"/>
          <w:szCs w:val="24"/>
        </w:rPr>
        <w:t>…</w:t>
      </w:r>
      <w:r w:rsidR="0042009D">
        <w:rPr>
          <w:rFonts w:ascii="Segoe UI" w:hAnsi="Segoe UI" w:cs="Segoe UI"/>
          <w:b/>
          <w:bCs/>
          <w:color w:val="374151"/>
          <w:sz w:val="24"/>
          <w:szCs w:val="24"/>
        </w:rPr>
        <w:t>..</w:t>
      </w:r>
      <w:proofErr w:type="gramEnd"/>
      <w:r w:rsidRPr="0042009D">
        <w:rPr>
          <w:rFonts w:ascii="Segoe UI" w:hAnsi="Segoe UI" w:cs="Segoe UI"/>
          <w:b/>
          <w:bCs/>
          <w:color w:val="374151"/>
          <w:sz w:val="24"/>
          <w:szCs w:val="24"/>
        </w:rPr>
        <w:t>…………………5</w:t>
      </w:r>
    </w:p>
    <w:p w14:paraId="63DCC28A" w14:textId="4BC9357D" w:rsidR="0038553F" w:rsidRPr="0042009D" w:rsidRDefault="0038553F" w:rsidP="0038553F">
      <w:pPr>
        <w:rPr>
          <w:rFonts w:ascii="Segoe UI" w:hAnsi="Segoe UI" w:cs="Segoe UI"/>
          <w:b/>
          <w:bCs/>
          <w:color w:val="374151"/>
          <w:sz w:val="24"/>
          <w:szCs w:val="24"/>
        </w:rPr>
      </w:pPr>
      <w:r w:rsidRPr="0042009D">
        <w:rPr>
          <w:rFonts w:ascii="Segoe UI" w:hAnsi="Segoe UI" w:cs="Segoe UI"/>
          <w:b/>
          <w:bCs/>
          <w:color w:val="374151"/>
          <w:sz w:val="24"/>
          <w:szCs w:val="24"/>
        </w:rPr>
        <w:t>References……………………………………………………………</w:t>
      </w:r>
      <w:proofErr w:type="gramStart"/>
      <w:r w:rsidRPr="0042009D">
        <w:rPr>
          <w:rFonts w:ascii="Segoe UI" w:hAnsi="Segoe UI" w:cs="Segoe UI"/>
          <w:b/>
          <w:bCs/>
          <w:color w:val="374151"/>
          <w:sz w:val="24"/>
          <w:szCs w:val="24"/>
        </w:rPr>
        <w:t>…</w:t>
      </w:r>
      <w:r w:rsidR="0042009D">
        <w:rPr>
          <w:rFonts w:ascii="Segoe UI" w:hAnsi="Segoe UI" w:cs="Segoe UI"/>
          <w:b/>
          <w:bCs/>
          <w:color w:val="374151"/>
          <w:sz w:val="24"/>
          <w:szCs w:val="24"/>
        </w:rPr>
        <w:t>..</w:t>
      </w:r>
      <w:proofErr w:type="gramEnd"/>
      <w:r w:rsidRPr="0042009D">
        <w:rPr>
          <w:rFonts w:ascii="Segoe UI" w:hAnsi="Segoe UI" w:cs="Segoe UI"/>
          <w:b/>
          <w:bCs/>
          <w:color w:val="374151"/>
          <w:sz w:val="24"/>
          <w:szCs w:val="24"/>
        </w:rPr>
        <w:t>……………6</w:t>
      </w:r>
    </w:p>
    <w:p w14:paraId="51CCE0B4" w14:textId="77777777" w:rsidR="0038553F" w:rsidRPr="0038553F" w:rsidRDefault="0038553F" w:rsidP="0038553F">
      <w:pPr>
        <w:rPr>
          <w:rFonts w:ascii="Segoe UI" w:hAnsi="Segoe UI" w:cs="Segoe UI"/>
          <w:b/>
          <w:bCs/>
          <w:color w:val="374151"/>
        </w:rPr>
      </w:pPr>
    </w:p>
    <w:p w14:paraId="406008A8" w14:textId="77777777" w:rsidR="0038553F" w:rsidRDefault="0038553F" w:rsidP="0038553F">
      <w:pPr>
        <w:rPr>
          <w:rFonts w:ascii="Segoe UI" w:hAnsi="Segoe UI" w:cs="Segoe UI"/>
          <w:color w:val="374151"/>
        </w:rPr>
      </w:pPr>
    </w:p>
    <w:p w14:paraId="6CD56B07" w14:textId="77777777" w:rsidR="0038553F" w:rsidRDefault="0038553F">
      <w:pPr>
        <w:rPr>
          <w:rFonts w:asciiTheme="majorHAnsi" w:eastAsiaTheme="majorEastAsia" w:hAnsiTheme="majorHAnsi" w:cstheme="majorBidi"/>
          <w:b/>
          <w:bCs/>
          <w:color w:val="4472C4" w:themeColor="accent1"/>
          <w:spacing w:val="20"/>
          <w:sz w:val="32"/>
          <w:szCs w:val="28"/>
        </w:rPr>
      </w:pPr>
    </w:p>
    <w:p w14:paraId="1F9EC034" w14:textId="77777777" w:rsidR="0038553F" w:rsidRDefault="0038553F">
      <w:pPr>
        <w:rPr>
          <w:rFonts w:asciiTheme="majorHAnsi" w:eastAsiaTheme="majorEastAsia" w:hAnsiTheme="majorHAnsi" w:cstheme="majorBidi"/>
          <w:b/>
          <w:bCs/>
          <w:color w:val="4472C4" w:themeColor="accent1"/>
          <w:spacing w:val="20"/>
          <w:sz w:val="32"/>
          <w:szCs w:val="28"/>
        </w:rPr>
      </w:pPr>
    </w:p>
    <w:p w14:paraId="700EB4ED" w14:textId="77777777" w:rsidR="0038553F" w:rsidRDefault="0038553F">
      <w:pPr>
        <w:rPr>
          <w:rFonts w:asciiTheme="majorHAnsi" w:eastAsiaTheme="majorEastAsia" w:hAnsiTheme="majorHAnsi" w:cstheme="majorBidi"/>
          <w:b/>
          <w:bCs/>
          <w:color w:val="4472C4" w:themeColor="accent1"/>
          <w:spacing w:val="20"/>
          <w:sz w:val="32"/>
          <w:szCs w:val="28"/>
        </w:rPr>
      </w:pPr>
    </w:p>
    <w:p w14:paraId="4DBA9205" w14:textId="77777777" w:rsidR="0038553F" w:rsidRDefault="0038553F">
      <w:pPr>
        <w:rPr>
          <w:rFonts w:asciiTheme="majorHAnsi" w:eastAsiaTheme="majorEastAsia" w:hAnsiTheme="majorHAnsi" w:cstheme="majorBidi"/>
          <w:b/>
          <w:bCs/>
          <w:color w:val="4472C4" w:themeColor="accent1"/>
          <w:spacing w:val="20"/>
          <w:sz w:val="32"/>
          <w:szCs w:val="28"/>
        </w:rPr>
      </w:pPr>
    </w:p>
    <w:p w14:paraId="24F10E47" w14:textId="77777777" w:rsidR="0038553F" w:rsidRDefault="0038553F">
      <w:pPr>
        <w:rPr>
          <w:rFonts w:asciiTheme="majorHAnsi" w:eastAsiaTheme="majorEastAsia" w:hAnsiTheme="majorHAnsi" w:cstheme="majorBidi"/>
          <w:b/>
          <w:bCs/>
          <w:color w:val="4472C4" w:themeColor="accent1"/>
          <w:spacing w:val="20"/>
          <w:sz w:val="32"/>
          <w:szCs w:val="28"/>
        </w:rPr>
      </w:pPr>
    </w:p>
    <w:p w14:paraId="49ED2F50" w14:textId="77777777" w:rsidR="0038553F" w:rsidRDefault="0038553F">
      <w:pPr>
        <w:rPr>
          <w:smallCaps/>
          <w:spacing w:val="5"/>
          <w:sz w:val="32"/>
          <w:szCs w:val="32"/>
        </w:rPr>
      </w:pPr>
    </w:p>
    <w:p w14:paraId="10A5E196" w14:textId="77777777" w:rsidR="001464D7" w:rsidRDefault="001464D7"/>
    <w:p w14:paraId="1AE91F7A" w14:textId="77777777" w:rsidR="001464D7" w:rsidRDefault="001464D7"/>
    <w:p w14:paraId="70B13AB4" w14:textId="77777777" w:rsidR="001464D7" w:rsidRDefault="001464D7"/>
    <w:p w14:paraId="2EB873A4" w14:textId="77777777" w:rsidR="006957DA" w:rsidRPr="0042009D" w:rsidRDefault="006957DA">
      <w:pPr>
        <w:rPr>
          <w:rFonts w:ascii="Times New Roman" w:hAnsi="Times New Roman" w:cs="Times New Roman"/>
          <w:sz w:val="32"/>
          <w:szCs w:val="32"/>
        </w:rPr>
      </w:pPr>
    </w:p>
    <w:p w14:paraId="2A91ED1A" w14:textId="7006B65E" w:rsidR="006957DA" w:rsidRPr="0042009D" w:rsidRDefault="006957DA" w:rsidP="006957DA">
      <w:pPr>
        <w:jc w:val="center"/>
        <w:rPr>
          <w:rFonts w:ascii="Times New Roman" w:hAnsi="Times New Roman" w:cs="Times New Roman"/>
          <w:color w:val="374151"/>
          <w:sz w:val="32"/>
          <w:szCs w:val="32"/>
        </w:rPr>
      </w:pPr>
      <w:r w:rsidRPr="0042009D">
        <w:rPr>
          <w:rFonts w:ascii="Times New Roman" w:hAnsi="Times New Roman" w:cs="Times New Roman"/>
          <w:color w:val="374151"/>
          <w:sz w:val="32"/>
          <w:szCs w:val="32"/>
        </w:rPr>
        <w:t>INTRODUCTION</w:t>
      </w:r>
    </w:p>
    <w:p w14:paraId="2AAD6B7B" w14:textId="77777777" w:rsidR="006957DA" w:rsidRPr="0042009D" w:rsidRDefault="006957DA" w:rsidP="006957DA">
      <w:pPr>
        <w:jc w:val="center"/>
        <w:rPr>
          <w:rFonts w:ascii="Times New Roman" w:hAnsi="Times New Roman" w:cs="Times New Roman"/>
          <w:color w:val="374151"/>
          <w:sz w:val="32"/>
          <w:szCs w:val="32"/>
        </w:rPr>
      </w:pPr>
    </w:p>
    <w:p w14:paraId="7411EE01" w14:textId="77777777" w:rsidR="006957DA" w:rsidRPr="0042009D" w:rsidRDefault="006957DA" w:rsidP="006957DA">
      <w:pPr>
        <w:jc w:val="center"/>
        <w:rPr>
          <w:rFonts w:ascii="Times New Roman" w:hAnsi="Times New Roman" w:cs="Times New Roman"/>
          <w:color w:val="374151"/>
          <w:sz w:val="32"/>
          <w:szCs w:val="32"/>
        </w:rPr>
      </w:pPr>
    </w:p>
    <w:p w14:paraId="4FB6C21F" w14:textId="77777777" w:rsidR="006957DA" w:rsidRPr="0042009D" w:rsidRDefault="006957DA" w:rsidP="006957DA">
      <w:pPr>
        <w:jc w:val="center"/>
        <w:rPr>
          <w:rFonts w:ascii="Times New Roman" w:hAnsi="Times New Roman" w:cs="Times New Roman"/>
          <w:color w:val="374151"/>
          <w:sz w:val="32"/>
          <w:szCs w:val="32"/>
        </w:rPr>
      </w:pPr>
    </w:p>
    <w:p w14:paraId="493240CF" w14:textId="687F4656" w:rsidR="006957DA" w:rsidRPr="0042009D" w:rsidRDefault="006957DA" w:rsidP="006957DA">
      <w:pPr>
        <w:rPr>
          <w:rFonts w:ascii="Times New Roman" w:hAnsi="Times New Roman" w:cs="Times New Roman"/>
          <w:color w:val="374151"/>
          <w:sz w:val="32"/>
          <w:szCs w:val="32"/>
        </w:rPr>
      </w:pPr>
      <w:r w:rsidRPr="0042009D">
        <w:rPr>
          <w:rFonts w:ascii="Times New Roman" w:hAnsi="Times New Roman" w:cs="Times New Roman"/>
          <w:color w:val="374151"/>
          <w:sz w:val="32"/>
          <w:szCs w:val="32"/>
        </w:rPr>
        <w:t>In the automotive industry, Toyota Motor Corporation is a globally recognised multinational corporation (MNC). As a prominent automobile manufacturer, Toyota operates in a variety of international financial markets and confronts unique challenges in managing its financial operations across countries. In this essay, we will analyse and evaluate the significance of international financial management (IFM) to Toyota, focusing on the company's dividend distribution policy, the efficient market hypothesis theory, and project evaluation methods. In addition, we will examine pertinent IFM theories and provide empirical evidence to support our assertions.</w:t>
      </w:r>
    </w:p>
    <w:p w14:paraId="0F799A4E" w14:textId="77777777" w:rsidR="0016314C" w:rsidRPr="0042009D" w:rsidRDefault="0016314C" w:rsidP="006957DA">
      <w:pPr>
        <w:rPr>
          <w:rFonts w:ascii="Times New Roman" w:hAnsi="Times New Roman" w:cs="Times New Roman"/>
          <w:color w:val="374151"/>
          <w:sz w:val="32"/>
          <w:szCs w:val="32"/>
        </w:rPr>
      </w:pPr>
    </w:p>
    <w:p w14:paraId="1FC1BD22" w14:textId="77777777" w:rsidR="0016314C" w:rsidRPr="0042009D" w:rsidRDefault="0016314C" w:rsidP="0016314C">
      <w:pPr>
        <w:rPr>
          <w:rFonts w:ascii="Times New Roman" w:hAnsi="Times New Roman" w:cs="Times New Roman"/>
          <w:color w:val="374151"/>
          <w:sz w:val="32"/>
          <w:szCs w:val="32"/>
        </w:rPr>
      </w:pPr>
      <w:r w:rsidRPr="0042009D">
        <w:rPr>
          <w:rFonts w:ascii="Times New Roman" w:hAnsi="Times New Roman" w:cs="Times New Roman"/>
          <w:color w:val="374151"/>
          <w:sz w:val="32"/>
          <w:szCs w:val="32"/>
        </w:rPr>
        <w:t xml:space="preserve">Importance of International Financial Management to Toyota: IFM plays a crucial role in the operations of Toyota Motor Corporation, which encounters </w:t>
      </w:r>
      <w:proofErr w:type="gramStart"/>
      <w:r w:rsidRPr="0042009D">
        <w:rPr>
          <w:rFonts w:ascii="Times New Roman" w:hAnsi="Times New Roman" w:cs="Times New Roman"/>
          <w:color w:val="374151"/>
          <w:sz w:val="32"/>
          <w:szCs w:val="32"/>
        </w:rPr>
        <w:t>a number of</w:t>
      </w:r>
      <w:proofErr w:type="gramEnd"/>
      <w:r w:rsidRPr="0042009D">
        <w:rPr>
          <w:rFonts w:ascii="Times New Roman" w:hAnsi="Times New Roman" w:cs="Times New Roman"/>
          <w:color w:val="374151"/>
          <w:sz w:val="32"/>
          <w:szCs w:val="32"/>
        </w:rPr>
        <w:t xml:space="preserve"> obstacles in various international financial markets. Let's go into depth on each of the main topics.</w:t>
      </w:r>
    </w:p>
    <w:p w14:paraId="646763EC" w14:textId="66819651" w:rsidR="0016314C" w:rsidRPr="0042009D" w:rsidRDefault="0016314C" w:rsidP="0016314C">
      <w:pPr>
        <w:rPr>
          <w:rFonts w:ascii="Times New Roman" w:hAnsi="Times New Roman" w:cs="Times New Roman"/>
          <w:color w:val="374151"/>
          <w:sz w:val="32"/>
          <w:szCs w:val="32"/>
        </w:rPr>
      </w:pPr>
      <w:r w:rsidRPr="0042009D">
        <w:rPr>
          <w:rFonts w:ascii="Times New Roman" w:hAnsi="Times New Roman" w:cs="Times New Roman"/>
          <w:color w:val="374151"/>
          <w:sz w:val="32"/>
          <w:szCs w:val="32"/>
        </w:rPr>
        <w:t xml:space="preserve">Distribution of Dividends: A corporation's dividend distribution policy is a crucial element of its financial administration. The dividend distribution policy of Toyota is influenced by </w:t>
      </w:r>
      <w:proofErr w:type="gramStart"/>
      <w:r w:rsidRPr="0042009D">
        <w:rPr>
          <w:rFonts w:ascii="Times New Roman" w:hAnsi="Times New Roman" w:cs="Times New Roman"/>
          <w:color w:val="374151"/>
          <w:sz w:val="32"/>
          <w:szCs w:val="32"/>
        </w:rPr>
        <w:t>a number of</w:t>
      </w:r>
      <w:proofErr w:type="gramEnd"/>
      <w:r w:rsidRPr="0042009D">
        <w:rPr>
          <w:rFonts w:ascii="Times New Roman" w:hAnsi="Times New Roman" w:cs="Times New Roman"/>
          <w:color w:val="374151"/>
          <w:sz w:val="32"/>
          <w:szCs w:val="32"/>
        </w:rPr>
        <w:t xml:space="preserve"> variables, including profitability, cash flow position, capital structure, tax considerations, and growth prospects in various international </w:t>
      </w:r>
      <w:r w:rsidRPr="0042009D">
        <w:rPr>
          <w:rFonts w:ascii="Times New Roman" w:hAnsi="Times New Roman" w:cs="Times New Roman"/>
          <w:color w:val="374151"/>
          <w:sz w:val="32"/>
          <w:szCs w:val="32"/>
        </w:rPr>
        <w:lastRenderedPageBreak/>
        <w:t>markets. IFM theories, such as the dividend relevance theory and the dividend signalling theory, can be utilised to analyse and evaluate Toyota's dividend distribution policy critically.</w:t>
      </w:r>
    </w:p>
    <w:p w14:paraId="3D8F0D5E" w14:textId="7E8628AC" w:rsidR="0016314C" w:rsidRPr="0042009D" w:rsidRDefault="0016314C" w:rsidP="0016314C">
      <w:pPr>
        <w:rPr>
          <w:rFonts w:ascii="Times New Roman" w:hAnsi="Times New Roman" w:cs="Times New Roman"/>
          <w:color w:val="374151"/>
          <w:sz w:val="32"/>
          <w:szCs w:val="32"/>
        </w:rPr>
      </w:pPr>
      <w:r w:rsidRPr="0042009D">
        <w:rPr>
          <w:rFonts w:ascii="Times New Roman" w:hAnsi="Times New Roman" w:cs="Times New Roman"/>
          <w:color w:val="374151"/>
          <w:sz w:val="32"/>
          <w:szCs w:val="32"/>
        </w:rPr>
        <w:t xml:space="preserve">The dividend relevance theory, for instance, suggests that dividend policy impacts the value of the firm, and investors view dividends as an indication of a company's financial health and </w:t>
      </w:r>
      <w:proofErr w:type="gramStart"/>
      <w:r w:rsidRPr="0042009D">
        <w:rPr>
          <w:rFonts w:ascii="Times New Roman" w:hAnsi="Times New Roman" w:cs="Times New Roman"/>
          <w:color w:val="374151"/>
          <w:sz w:val="32"/>
          <w:szCs w:val="32"/>
        </w:rPr>
        <w:t>future prospects</w:t>
      </w:r>
      <w:proofErr w:type="gramEnd"/>
      <w:r w:rsidRPr="0042009D">
        <w:rPr>
          <w:rFonts w:ascii="Times New Roman" w:hAnsi="Times New Roman" w:cs="Times New Roman"/>
          <w:color w:val="374151"/>
          <w:sz w:val="32"/>
          <w:szCs w:val="32"/>
        </w:rPr>
        <w:t xml:space="preserve">. </w:t>
      </w:r>
      <w:proofErr w:type="gramStart"/>
      <w:r w:rsidRPr="0042009D">
        <w:rPr>
          <w:rFonts w:ascii="Times New Roman" w:hAnsi="Times New Roman" w:cs="Times New Roman"/>
          <w:color w:val="374151"/>
          <w:sz w:val="32"/>
          <w:szCs w:val="32"/>
        </w:rPr>
        <w:t>Taking into account</w:t>
      </w:r>
      <w:proofErr w:type="gramEnd"/>
      <w:r w:rsidRPr="0042009D">
        <w:rPr>
          <w:rFonts w:ascii="Times New Roman" w:hAnsi="Times New Roman" w:cs="Times New Roman"/>
          <w:color w:val="374151"/>
          <w:sz w:val="32"/>
          <w:szCs w:val="32"/>
        </w:rPr>
        <w:t xml:space="preserve"> factors such as tax implications, legal requirements, and currency exchange rate fluctuations, Toyota may need to carefully manage its dividend distribution policy to balance the interests of shareholders in different countries. In addition, Toyota's dividend distribution policy may be affected by cultural norms, business practises, and market expectations in various international markets, necessitating adjustments and considerations to its IFM practises.</w:t>
      </w:r>
    </w:p>
    <w:p w14:paraId="08BEDC8F" w14:textId="77777777" w:rsidR="0016314C" w:rsidRPr="0042009D" w:rsidRDefault="0016314C" w:rsidP="0016314C">
      <w:pPr>
        <w:rPr>
          <w:rFonts w:ascii="Times New Roman" w:hAnsi="Times New Roman" w:cs="Times New Roman"/>
          <w:color w:val="374151"/>
          <w:sz w:val="32"/>
          <w:szCs w:val="32"/>
        </w:rPr>
      </w:pPr>
    </w:p>
    <w:p w14:paraId="1D08D84D" w14:textId="77777777" w:rsidR="0038553F" w:rsidRPr="0042009D" w:rsidRDefault="0038553F" w:rsidP="0016314C">
      <w:pPr>
        <w:rPr>
          <w:rFonts w:ascii="Times New Roman" w:hAnsi="Times New Roman" w:cs="Times New Roman"/>
          <w:color w:val="374151"/>
          <w:sz w:val="32"/>
          <w:szCs w:val="32"/>
        </w:rPr>
      </w:pPr>
    </w:p>
    <w:p w14:paraId="0B660049" w14:textId="77777777" w:rsidR="0038553F" w:rsidRPr="0042009D" w:rsidRDefault="0038553F" w:rsidP="0016314C">
      <w:pPr>
        <w:rPr>
          <w:rFonts w:ascii="Times New Roman" w:hAnsi="Times New Roman" w:cs="Times New Roman"/>
          <w:color w:val="374151"/>
          <w:sz w:val="32"/>
          <w:szCs w:val="32"/>
        </w:rPr>
      </w:pPr>
    </w:p>
    <w:p w14:paraId="3400571B" w14:textId="77777777" w:rsidR="0038553F" w:rsidRPr="0042009D" w:rsidRDefault="0038553F" w:rsidP="0016314C">
      <w:pPr>
        <w:rPr>
          <w:rFonts w:ascii="Times New Roman" w:hAnsi="Times New Roman" w:cs="Times New Roman"/>
          <w:color w:val="374151"/>
          <w:sz w:val="32"/>
          <w:szCs w:val="32"/>
        </w:rPr>
      </w:pPr>
    </w:p>
    <w:p w14:paraId="720BDC21" w14:textId="3A3E6291" w:rsidR="0016314C" w:rsidRPr="0042009D" w:rsidRDefault="0016314C" w:rsidP="0016314C">
      <w:pPr>
        <w:rPr>
          <w:rFonts w:ascii="Times New Roman" w:hAnsi="Times New Roman" w:cs="Times New Roman"/>
          <w:color w:val="374151"/>
          <w:sz w:val="32"/>
          <w:szCs w:val="32"/>
        </w:rPr>
      </w:pPr>
      <w:r w:rsidRPr="0042009D">
        <w:rPr>
          <w:rFonts w:ascii="Times New Roman" w:hAnsi="Times New Roman" w:cs="Times New Roman"/>
          <w:color w:val="374151"/>
          <w:sz w:val="32"/>
          <w:szCs w:val="32"/>
        </w:rPr>
        <w:t xml:space="preserve"> </w:t>
      </w:r>
      <w:r w:rsidRPr="0042009D">
        <w:rPr>
          <w:rFonts w:ascii="Times New Roman" w:hAnsi="Times New Roman" w:cs="Times New Roman"/>
          <w:b/>
          <w:bCs/>
          <w:color w:val="374151"/>
          <w:sz w:val="32"/>
          <w:szCs w:val="32"/>
        </w:rPr>
        <w:t>Efficient Market Hypothesis Theory</w:t>
      </w:r>
    </w:p>
    <w:p w14:paraId="39169E99" w14:textId="19768E18" w:rsidR="0016314C" w:rsidRPr="0042009D" w:rsidRDefault="0016314C" w:rsidP="0016314C">
      <w:pPr>
        <w:rPr>
          <w:rFonts w:ascii="Times New Roman" w:hAnsi="Times New Roman" w:cs="Times New Roman"/>
          <w:color w:val="374151"/>
          <w:sz w:val="32"/>
          <w:szCs w:val="32"/>
        </w:rPr>
      </w:pPr>
      <w:r w:rsidRPr="0042009D">
        <w:rPr>
          <w:rFonts w:ascii="Times New Roman" w:hAnsi="Times New Roman" w:cs="Times New Roman"/>
          <w:color w:val="374151"/>
          <w:sz w:val="32"/>
          <w:szCs w:val="32"/>
        </w:rPr>
        <w:t>The theory of the efficient market hypothesis (EMH) is a fundamental concept in IFM, which holds that financial markets are efficient and reflect all available information. The operations of Toyota in various international markets could provide empirical evidence for testing the EMH theory and analysing its implications for the company's financial decision-making.</w:t>
      </w:r>
    </w:p>
    <w:p w14:paraId="5A5A1E53" w14:textId="77777777" w:rsidR="0016314C" w:rsidRPr="0042009D" w:rsidRDefault="0016314C" w:rsidP="0016314C">
      <w:pPr>
        <w:rPr>
          <w:rFonts w:ascii="Times New Roman" w:hAnsi="Times New Roman" w:cs="Times New Roman"/>
          <w:color w:val="374151"/>
          <w:sz w:val="32"/>
          <w:szCs w:val="32"/>
        </w:rPr>
      </w:pPr>
    </w:p>
    <w:p w14:paraId="0FC0EDB5" w14:textId="464B8DEB" w:rsidR="0016314C" w:rsidRPr="0042009D" w:rsidRDefault="0016314C" w:rsidP="0016314C">
      <w:pPr>
        <w:rPr>
          <w:rFonts w:ascii="Times New Roman" w:hAnsi="Times New Roman" w:cs="Times New Roman"/>
          <w:color w:val="374151"/>
          <w:sz w:val="32"/>
          <w:szCs w:val="32"/>
        </w:rPr>
      </w:pPr>
      <w:r w:rsidRPr="0042009D">
        <w:rPr>
          <w:rFonts w:ascii="Times New Roman" w:hAnsi="Times New Roman" w:cs="Times New Roman"/>
          <w:color w:val="374151"/>
          <w:sz w:val="32"/>
          <w:szCs w:val="32"/>
        </w:rPr>
        <w:t xml:space="preserve">For example, looking at Toyota's stock market performance in various countries can provide insight into the level of market efficiency and </w:t>
      </w:r>
      <w:r w:rsidRPr="0042009D">
        <w:rPr>
          <w:rFonts w:ascii="Times New Roman" w:hAnsi="Times New Roman" w:cs="Times New Roman"/>
          <w:color w:val="374151"/>
          <w:sz w:val="32"/>
          <w:szCs w:val="32"/>
        </w:rPr>
        <w:lastRenderedPageBreak/>
        <w:t>the effect of information asymmetry on the company's stock prices. If Toyota's stock prices in various markets reflect all available information and rapidly adjust to new information, this may lend credence to the EMH theory. Conversely, persistent trends or anomalies in Toyota's stock prices in certain markets may indicate deviations from the EMH theory and provide opportunities for the company to exploit market inefficiencies via its financial strategies.</w:t>
      </w:r>
    </w:p>
    <w:p w14:paraId="2E381C1A" w14:textId="77777777" w:rsidR="0016314C" w:rsidRPr="0042009D" w:rsidRDefault="0016314C" w:rsidP="0016314C">
      <w:pPr>
        <w:rPr>
          <w:rFonts w:ascii="Times New Roman" w:hAnsi="Times New Roman" w:cs="Times New Roman"/>
          <w:color w:val="374151"/>
          <w:sz w:val="32"/>
          <w:szCs w:val="32"/>
        </w:rPr>
      </w:pPr>
    </w:p>
    <w:p w14:paraId="07582029" w14:textId="06583929" w:rsidR="0016314C" w:rsidRPr="0042009D" w:rsidRDefault="0016314C" w:rsidP="0016314C">
      <w:pPr>
        <w:rPr>
          <w:rFonts w:ascii="Times New Roman" w:hAnsi="Times New Roman" w:cs="Times New Roman"/>
          <w:color w:val="374151"/>
          <w:sz w:val="32"/>
          <w:szCs w:val="32"/>
        </w:rPr>
      </w:pPr>
      <w:r w:rsidRPr="0042009D">
        <w:rPr>
          <w:rFonts w:ascii="Times New Roman" w:hAnsi="Times New Roman" w:cs="Times New Roman"/>
          <w:b/>
          <w:bCs/>
          <w:color w:val="374151"/>
          <w:sz w:val="32"/>
          <w:szCs w:val="32"/>
        </w:rPr>
        <w:t xml:space="preserve">  Methods of Appraising Projects</w:t>
      </w:r>
    </w:p>
    <w:p w14:paraId="167510FA" w14:textId="7DADAD4A" w:rsidR="0016314C" w:rsidRPr="0042009D" w:rsidRDefault="0016314C" w:rsidP="0016314C">
      <w:pPr>
        <w:rPr>
          <w:rFonts w:ascii="Times New Roman" w:hAnsi="Times New Roman" w:cs="Times New Roman"/>
          <w:color w:val="374151"/>
          <w:sz w:val="32"/>
          <w:szCs w:val="32"/>
        </w:rPr>
      </w:pPr>
      <w:r w:rsidRPr="0042009D">
        <w:rPr>
          <w:rFonts w:ascii="Times New Roman" w:hAnsi="Times New Roman" w:cs="Times New Roman"/>
          <w:color w:val="374151"/>
          <w:sz w:val="32"/>
          <w:szCs w:val="32"/>
        </w:rPr>
        <w:t>Toyota's global operations entail investment decisions in various nations, necessitating the application of suitable methods for evaluating projects within the company's IFM practises. IFM theories pertaining to capital budgeting, such as the net present value (NPV) and internal rate of return (IRR) methods, can be critically analysed and evaluated within the context of Toyota's project appraisal process.</w:t>
      </w:r>
    </w:p>
    <w:p w14:paraId="1D7624E3" w14:textId="122E62F1" w:rsidR="0016314C" w:rsidRPr="0042009D" w:rsidRDefault="0016314C" w:rsidP="0016314C">
      <w:pPr>
        <w:rPr>
          <w:rFonts w:ascii="Times New Roman" w:hAnsi="Times New Roman" w:cs="Times New Roman"/>
          <w:color w:val="374151"/>
          <w:sz w:val="32"/>
          <w:szCs w:val="32"/>
        </w:rPr>
      </w:pPr>
      <w:r w:rsidRPr="0042009D">
        <w:rPr>
          <w:rFonts w:ascii="Times New Roman" w:hAnsi="Times New Roman" w:cs="Times New Roman"/>
          <w:color w:val="374151"/>
          <w:sz w:val="32"/>
          <w:szCs w:val="32"/>
        </w:rPr>
        <w:t xml:space="preserve">In various international markets, Toyota may have difficulty estimating project parameters such as capital flows, discount rates, and risk factors. Variable economic conditions, regulatory requirements, and market factors may influence the precision of project evaluations and the firm's investment decisions. Consequently, Toyota would need to make the necessary modifications and considerations to its methods for evaluating projects, </w:t>
      </w:r>
      <w:proofErr w:type="gramStart"/>
      <w:r w:rsidRPr="0042009D">
        <w:rPr>
          <w:rFonts w:ascii="Times New Roman" w:hAnsi="Times New Roman" w:cs="Times New Roman"/>
          <w:color w:val="374151"/>
          <w:sz w:val="32"/>
          <w:szCs w:val="32"/>
        </w:rPr>
        <w:t>taking into account</w:t>
      </w:r>
      <w:proofErr w:type="gramEnd"/>
      <w:r w:rsidRPr="0042009D">
        <w:rPr>
          <w:rFonts w:ascii="Times New Roman" w:hAnsi="Times New Roman" w:cs="Times New Roman"/>
          <w:color w:val="374151"/>
          <w:sz w:val="32"/>
          <w:szCs w:val="32"/>
        </w:rPr>
        <w:t xml:space="preserve"> the unique challenges and opportunities in various international markets.</w:t>
      </w:r>
    </w:p>
    <w:p w14:paraId="603C0E93" w14:textId="77777777" w:rsidR="0016314C" w:rsidRPr="0042009D" w:rsidRDefault="0016314C" w:rsidP="0016314C">
      <w:pPr>
        <w:rPr>
          <w:rFonts w:ascii="Times New Roman" w:hAnsi="Times New Roman" w:cs="Times New Roman"/>
          <w:color w:val="374151"/>
          <w:sz w:val="32"/>
          <w:szCs w:val="32"/>
        </w:rPr>
      </w:pPr>
    </w:p>
    <w:p w14:paraId="7B659A0A" w14:textId="4B50DE23" w:rsidR="0016314C" w:rsidRPr="0042009D" w:rsidRDefault="0016314C" w:rsidP="0016314C">
      <w:pPr>
        <w:rPr>
          <w:rFonts w:ascii="Times New Roman" w:hAnsi="Times New Roman" w:cs="Times New Roman"/>
          <w:b/>
          <w:bCs/>
          <w:color w:val="374151"/>
          <w:sz w:val="32"/>
          <w:szCs w:val="32"/>
        </w:rPr>
      </w:pPr>
      <w:r w:rsidRPr="0042009D">
        <w:rPr>
          <w:rFonts w:ascii="Times New Roman" w:hAnsi="Times New Roman" w:cs="Times New Roman"/>
          <w:b/>
          <w:bCs/>
          <w:color w:val="374151"/>
          <w:sz w:val="32"/>
          <w:szCs w:val="32"/>
        </w:rPr>
        <w:t>Empirical Evidence</w:t>
      </w:r>
    </w:p>
    <w:p w14:paraId="32E52AF0" w14:textId="77777777" w:rsidR="0016314C" w:rsidRPr="0042009D" w:rsidRDefault="0016314C" w:rsidP="0016314C">
      <w:pPr>
        <w:rPr>
          <w:rFonts w:ascii="Times New Roman" w:hAnsi="Times New Roman" w:cs="Times New Roman"/>
          <w:b/>
          <w:bCs/>
          <w:color w:val="374151"/>
          <w:sz w:val="32"/>
          <w:szCs w:val="32"/>
        </w:rPr>
      </w:pPr>
    </w:p>
    <w:p w14:paraId="209FBFFB" w14:textId="6DCDFB50" w:rsidR="0016314C" w:rsidRPr="0042009D" w:rsidRDefault="0016314C" w:rsidP="0016314C">
      <w:pPr>
        <w:rPr>
          <w:rFonts w:ascii="Times New Roman" w:hAnsi="Times New Roman" w:cs="Times New Roman"/>
          <w:color w:val="374151"/>
          <w:sz w:val="32"/>
          <w:szCs w:val="32"/>
        </w:rPr>
      </w:pPr>
      <w:r w:rsidRPr="0042009D">
        <w:rPr>
          <w:rFonts w:ascii="Times New Roman" w:hAnsi="Times New Roman" w:cs="Times New Roman"/>
          <w:color w:val="374151"/>
          <w:sz w:val="32"/>
          <w:szCs w:val="32"/>
        </w:rPr>
        <w:lastRenderedPageBreak/>
        <w:t>The significance of IFM to Toyota can be supported by empirical evidence derived from the company's operations. For instance, Toyota's annual reports, financial statements, and other corporate disclosures can shed light on the company's dividend distribution policy, stock market performance, and methods for evaluating initiatives in various international markets. By analysing and evaluating these empirical data, we can enhance our comprehension of IFM's importance to Toyota.</w:t>
      </w:r>
    </w:p>
    <w:p w14:paraId="13B98687" w14:textId="77777777" w:rsidR="0016314C" w:rsidRPr="0042009D" w:rsidRDefault="0016314C" w:rsidP="0016314C">
      <w:pPr>
        <w:rPr>
          <w:rFonts w:ascii="Times New Roman" w:hAnsi="Times New Roman" w:cs="Times New Roman"/>
          <w:color w:val="374151"/>
          <w:sz w:val="32"/>
          <w:szCs w:val="32"/>
        </w:rPr>
      </w:pPr>
    </w:p>
    <w:p w14:paraId="77D2C7C8" w14:textId="154BB05C" w:rsidR="0016314C" w:rsidRPr="0042009D" w:rsidRDefault="0016314C" w:rsidP="0016314C">
      <w:pPr>
        <w:rPr>
          <w:rFonts w:ascii="Times New Roman" w:hAnsi="Times New Roman" w:cs="Times New Roman"/>
          <w:color w:val="374151"/>
          <w:sz w:val="32"/>
          <w:szCs w:val="32"/>
        </w:rPr>
      </w:pPr>
      <w:r w:rsidRPr="0042009D">
        <w:rPr>
          <w:rFonts w:ascii="Times New Roman" w:hAnsi="Times New Roman" w:cs="Times New Roman"/>
          <w:color w:val="374151"/>
          <w:sz w:val="32"/>
          <w:szCs w:val="32"/>
        </w:rPr>
        <w:t xml:space="preserve">For instance, Toyota's annual reports may contain information regarding the company's dividend payments, dividend yield, and adjustments in dividend policy over time. This information can be analysed to determine Toyota's dividend distribution strategy in various markets and how it correlates with IFM theories. Similarly, the performance of Toyota's stock on various stock exchanges can be examined to evaluate the efficacy of the markets and the implications of the EMH theory. </w:t>
      </w:r>
      <w:proofErr w:type="gramStart"/>
      <w:r w:rsidRPr="0042009D">
        <w:rPr>
          <w:rFonts w:ascii="Times New Roman" w:hAnsi="Times New Roman" w:cs="Times New Roman"/>
          <w:color w:val="374151"/>
          <w:sz w:val="32"/>
          <w:szCs w:val="32"/>
        </w:rPr>
        <w:t>In order to</w:t>
      </w:r>
      <w:proofErr w:type="gramEnd"/>
      <w:r w:rsidRPr="0042009D">
        <w:rPr>
          <w:rFonts w:ascii="Times New Roman" w:hAnsi="Times New Roman" w:cs="Times New Roman"/>
          <w:color w:val="374151"/>
          <w:sz w:val="32"/>
          <w:szCs w:val="32"/>
        </w:rPr>
        <w:t xml:space="preserve"> assess the efficacy of Toyota's IFM practises, its financial disclosures can also be used to evaluate the company's investment decisions and project evaluation techniques.</w:t>
      </w:r>
    </w:p>
    <w:p w14:paraId="722C5EAD" w14:textId="77777777" w:rsidR="006957DA" w:rsidRPr="0042009D" w:rsidRDefault="006957DA" w:rsidP="006957DA">
      <w:pPr>
        <w:jc w:val="center"/>
        <w:rPr>
          <w:rFonts w:ascii="Times New Roman" w:hAnsi="Times New Roman" w:cs="Times New Roman"/>
          <w:color w:val="374151"/>
          <w:sz w:val="32"/>
          <w:szCs w:val="32"/>
        </w:rPr>
      </w:pPr>
    </w:p>
    <w:p w14:paraId="44F08A40" w14:textId="77777777" w:rsidR="006957DA" w:rsidRPr="0042009D" w:rsidRDefault="006957DA" w:rsidP="006957DA">
      <w:pPr>
        <w:jc w:val="center"/>
        <w:rPr>
          <w:rFonts w:ascii="Times New Roman" w:hAnsi="Times New Roman" w:cs="Times New Roman"/>
          <w:color w:val="374151"/>
          <w:sz w:val="32"/>
          <w:szCs w:val="32"/>
        </w:rPr>
      </w:pPr>
    </w:p>
    <w:p w14:paraId="72379C7C" w14:textId="77777777" w:rsidR="006957DA" w:rsidRPr="0042009D" w:rsidRDefault="006957DA" w:rsidP="006957DA">
      <w:pPr>
        <w:jc w:val="center"/>
        <w:rPr>
          <w:rFonts w:ascii="Times New Roman" w:hAnsi="Times New Roman" w:cs="Times New Roman"/>
          <w:sz w:val="32"/>
          <w:szCs w:val="32"/>
        </w:rPr>
      </w:pPr>
    </w:p>
    <w:p w14:paraId="0B9E2FCE" w14:textId="3FFD1565" w:rsidR="0016314C" w:rsidRPr="0042009D" w:rsidRDefault="0016314C" w:rsidP="006957DA">
      <w:pPr>
        <w:jc w:val="center"/>
        <w:rPr>
          <w:rFonts w:ascii="Times New Roman" w:hAnsi="Times New Roman" w:cs="Times New Roman"/>
          <w:sz w:val="32"/>
          <w:szCs w:val="32"/>
        </w:rPr>
      </w:pPr>
      <w:r w:rsidRPr="0042009D">
        <w:rPr>
          <w:rFonts w:ascii="Times New Roman" w:hAnsi="Times New Roman" w:cs="Times New Roman"/>
          <w:sz w:val="32"/>
          <w:szCs w:val="32"/>
        </w:rPr>
        <w:t>CONCLUSION</w:t>
      </w:r>
    </w:p>
    <w:p w14:paraId="5A2CDBA2" w14:textId="77777777" w:rsidR="0016314C" w:rsidRPr="0042009D" w:rsidRDefault="0016314C" w:rsidP="0016314C">
      <w:pPr>
        <w:rPr>
          <w:rFonts w:ascii="Times New Roman" w:hAnsi="Times New Roman" w:cs="Times New Roman"/>
          <w:sz w:val="32"/>
          <w:szCs w:val="32"/>
        </w:rPr>
      </w:pPr>
    </w:p>
    <w:p w14:paraId="00361EEB" w14:textId="77777777" w:rsidR="0016314C" w:rsidRPr="0042009D" w:rsidRDefault="0016314C" w:rsidP="0016314C">
      <w:pPr>
        <w:rPr>
          <w:rFonts w:ascii="Times New Roman" w:hAnsi="Times New Roman" w:cs="Times New Roman"/>
          <w:sz w:val="32"/>
          <w:szCs w:val="32"/>
        </w:rPr>
      </w:pPr>
    </w:p>
    <w:p w14:paraId="17C71416" w14:textId="4CA15FA7" w:rsidR="0016314C" w:rsidRPr="0042009D" w:rsidRDefault="0016314C" w:rsidP="0016314C">
      <w:pPr>
        <w:rPr>
          <w:rFonts w:ascii="Times New Roman" w:hAnsi="Times New Roman" w:cs="Times New Roman"/>
          <w:sz w:val="32"/>
          <w:szCs w:val="32"/>
        </w:rPr>
      </w:pPr>
      <w:r w:rsidRPr="0042009D">
        <w:rPr>
          <w:rFonts w:ascii="Times New Roman" w:hAnsi="Times New Roman" w:cs="Times New Roman"/>
          <w:sz w:val="32"/>
          <w:szCs w:val="32"/>
        </w:rPr>
        <w:t xml:space="preserve">In conclusion, international financial management (IFM) is crucial to Toyota Motor Corporation's operations as a multinational company. Through the analysis and evaluation of Toyota's dividend distribution </w:t>
      </w:r>
      <w:r w:rsidRPr="0042009D">
        <w:rPr>
          <w:rFonts w:ascii="Times New Roman" w:hAnsi="Times New Roman" w:cs="Times New Roman"/>
          <w:sz w:val="32"/>
          <w:szCs w:val="32"/>
        </w:rPr>
        <w:lastRenderedPageBreak/>
        <w:t>policy, the efficient market hypothesis theory, and methodologies for appraising projects, it is possible to comprehend the challenges and opportunities that Toyota may face on international financial markets. IFM theories provide a framework for analysing and evaluating Toyota's financial practises critically, and empirical evidence based on Toyota's operations can further substantiate our claims.</w:t>
      </w:r>
    </w:p>
    <w:p w14:paraId="5E1CA037" w14:textId="77777777" w:rsidR="0016314C" w:rsidRPr="0042009D" w:rsidRDefault="0016314C" w:rsidP="0016314C">
      <w:pPr>
        <w:rPr>
          <w:rFonts w:ascii="Times New Roman" w:hAnsi="Times New Roman" w:cs="Times New Roman"/>
          <w:sz w:val="32"/>
          <w:szCs w:val="32"/>
        </w:rPr>
      </w:pPr>
    </w:p>
    <w:p w14:paraId="7E992E41" w14:textId="19599D17" w:rsidR="0016314C" w:rsidRPr="0042009D" w:rsidRDefault="0016314C" w:rsidP="0016314C">
      <w:pPr>
        <w:rPr>
          <w:rFonts w:ascii="Times New Roman" w:hAnsi="Times New Roman" w:cs="Times New Roman"/>
          <w:sz w:val="32"/>
          <w:szCs w:val="32"/>
        </w:rPr>
      </w:pPr>
      <w:r w:rsidRPr="0042009D">
        <w:rPr>
          <w:rFonts w:ascii="Times New Roman" w:hAnsi="Times New Roman" w:cs="Times New Roman"/>
          <w:sz w:val="32"/>
          <w:szCs w:val="32"/>
        </w:rPr>
        <w:t xml:space="preserve">The dividend distribution policy of Toyota must </w:t>
      </w:r>
      <w:proofErr w:type="gramStart"/>
      <w:r w:rsidRPr="0042009D">
        <w:rPr>
          <w:rFonts w:ascii="Times New Roman" w:hAnsi="Times New Roman" w:cs="Times New Roman"/>
          <w:sz w:val="32"/>
          <w:szCs w:val="32"/>
        </w:rPr>
        <w:t>take into account</w:t>
      </w:r>
      <w:proofErr w:type="gramEnd"/>
      <w:r w:rsidRPr="0042009D">
        <w:rPr>
          <w:rFonts w:ascii="Times New Roman" w:hAnsi="Times New Roman" w:cs="Times New Roman"/>
          <w:sz w:val="32"/>
          <w:szCs w:val="32"/>
        </w:rPr>
        <w:t xml:space="preserve"> multiple factors, including profitability, cash flow position, capital structure, tax considerations, and cultural norms in various international markets. The efficient market hypothesis theory can shed light on the efficacy of the markets in which Toyota operates and its financial decision-making implications. Toyota's methods for evaluating initiatives must </w:t>
      </w:r>
      <w:proofErr w:type="gramStart"/>
      <w:r w:rsidRPr="0042009D">
        <w:rPr>
          <w:rFonts w:ascii="Times New Roman" w:hAnsi="Times New Roman" w:cs="Times New Roman"/>
          <w:sz w:val="32"/>
          <w:szCs w:val="32"/>
        </w:rPr>
        <w:t>take into account</w:t>
      </w:r>
      <w:proofErr w:type="gramEnd"/>
      <w:r w:rsidRPr="0042009D">
        <w:rPr>
          <w:rFonts w:ascii="Times New Roman" w:hAnsi="Times New Roman" w:cs="Times New Roman"/>
          <w:sz w:val="32"/>
          <w:szCs w:val="32"/>
        </w:rPr>
        <w:t xml:space="preserve"> the unique challenges and opportunities in various international markets, such as diverse economic conditions, regulatory requirements, and market factors.</w:t>
      </w:r>
    </w:p>
    <w:p w14:paraId="12AD67CF" w14:textId="77777777" w:rsidR="0016314C" w:rsidRPr="0042009D" w:rsidRDefault="0016314C" w:rsidP="0016314C">
      <w:pPr>
        <w:rPr>
          <w:rFonts w:ascii="Times New Roman" w:hAnsi="Times New Roman" w:cs="Times New Roman"/>
          <w:sz w:val="32"/>
          <w:szCs w:val="32"/>
        </w:rPr>
      </w:pPr>
    </w:p>
    <w:p w14:paraId="7E952082" w14:textId="7B388791" w:rsidR="0016314C" w:rsidRPr="0042009D" w:rsidRDefault="0016314C" w:rsidP="0016314C">
      <w:pPr>
        <w:rPr>
          <w:rFonts w:ascii="Times New Roman" w:hAnsi="Times New Roman" w:cs="Times New Roman"/>
          <w:sz w:val="32"/>
          <w:szCs w:val="32"/>
        </w:rPr>
      </w:pPr>
      <w:r w:rsidRPr="0042009D">
        <w:rPr>
          <w:rFonts w:ascii="Times New Roman" w:hAnsi="Times New Roman" w:cs="Times New Roman"/>
          <w:sz w:val="32"/>
          <w:szCs w:val="32"/>
        </w:rPr>
        <w:t>By analysing and evaluating these aspects of IFM in the context of Toyota, we can gain a deeper appreciation for IFM's significance to the corporation. This knowledge can assist Toyota in making educated financial decisions, mitigating risks, and optimising its financial performance in various international markets.</w:t>
      </w:r>
    </w:p>
    <w:p w14:paraId="54244716" w14:textId="77777777" w:rsidR="0016314C" w:rsidRPr="0042009D" w:rsidRDefault="0016314C" w:rsidP="0016314C">
      <w:pPr>
        <w:rPr>
          <w:rFonts w:ascii="Times New Roman" w:hAnsi="Times New Roman" w:cs="Times New Roman"/>
          <w:sz w:val="32"/>
          <w:szCs w:val="32"/>
        </w:rPr>
      </w:pPr>
    </w:p>
    <w:p w14:paraId="5A5C1ACC" w14:textId="77777777" w:rsidR="0038553F" w:rsidRPr="0042009D" w:rsidRDefault="0038553F" w:rsidP="0016314C">
      <w:pPr>
        <w:rPr>
          <w:rFonts w:ascii="Times New Roman" w:hAnsi="Times New Roman" w:cs="Times New Roman"/>
          <w:sz w:val="32"/>
          <w:szCs w:val="32"/>
        </w:rPr>
      </w:pPr>
    </w:p>
    <w:p w14:paraId="44303B61" w14:textId="77777777" w:rsidR="0038553F" w:rsidRPr="0042009D" w:rsidRDefault="0038553F" w:rsidP="0016314C">
      <w:pPr>
        <w:rPr>
          <w:rFonts w:ascii="Times New Roman" w:hAnsi="Times New Roman" w:cs="Times New Roman"/>
          <w:sz w:val="32"/>
          <w:szCs w:val="32"/>
        </w:rPr>
      </w:pPr>
    </w:p>
    <w:p w14:paraId="2F5B985A" w14:textId="77777777" w:rsidR="0038553F" w:rsidRPr="0042009D" w:rsidRDefault="0038553F" w:rsidP="0016314C">
      <w:pPr>
        <w:rPr>
          <w:rFonts w:ascii="Times New Roman" w:hAnsi="Times New Roman" w:cs="Times New Roman"/>
          <w:sz w:val="32"/>
          <w:szCs w:val="32"/>
        </w:rPr>
      </w:pPr>
    </w:p>
    <w:p w14:paraId="27C2494D" w14:textId="77777777" w:rsidR="0016314C" w:rsidRPr="0042009D" w:rsidRDefault="0016314C" w:rsidP="0016314C">
      <w:pPr>
        <w:jc w:val="center"/>
        <w:rPr>
          <w:rFonts w:ascii="Times New Roman" w:hAnsi="Times New Roman" w:cs="Times New Roman"/>
          <w:sz w:val="32"/>
          <w:szCs w:val="32"/>
        </w:rPr>
      </w:pPr>
    </w:p>
    <w:p w14:paraId="128A8E78" w14:textId="326E253E" w:rsidR="0016314C" w:rsidRPr="0042009D" w:rsidRDefault="0016314C" w:rsidP="0016314C">
      <w:pPr>
        <w:jc w:val="center"/>
        <w:rPr>
          <w:rFonts w:ascii="Times New Roman" w:hAnsi="Times New Roman" w:cs="Times New Roman"/>
          <w:sz w:val="32"/>
          <w:szCs w:val="32"/>
        </w:rPr>
      </w:pPr>
      <w:r w:rsidRPr="0042009D">
        <w:rPr>
          <w:rFonts w:ascii="Times New Roman" w:hAnsi="Times New Roman" w:cs="Times New Roman"/>
          <w:sz w:val="32"/>
          <w:szCs w:val="32"/>
        </w:rPr>
        <w:t>References</w:t>
      </w:r>
    </w:p>
    <w:p w14:paraId="3EE292A0" w14:textId="77777777" w:rsidR="0016314C" w:rsidRPr="0042009D" w:rsidRDefault="0016314C" w:rsidP="0016314C">
      <w:pPr>
        <w:jc w:val="center"/>
        <w:rPr>
          <w:rFonts w:ascii="Times New Roman" w:hAnsi="Times New Roman" w:cs="Times New Roman"/>
          <w:sz w:val="32"/>
          <w:szCs w:val="32"/>
        </w:rPr>
      </w:pPr>
    </w:p>
    <w:p w14:paraId="5E947830" w14:textId="77777777" w:rsidR="0016314C" w:rsidRPr="0042009D" w:rsidRDefault="0016314C" w:rsidP="0016314C">
      <w:pPr>
        <w:rPr>
          <w:rFonts w:ascii="Times New Roman" w:hAnsi="Times New Roman" w:cs="Times New Roman"/>
          <w:sz w:val="32"/>
          <w:szCs w:val="32"/>
        </w:rPr>
      </w:pPr>
      <w:r w:rsidRPr="0042009D">
        <w:rPr>
          <w:rFonts w:ascii="Times New Roman" w:hAnsi="Times New Roman" w:cs="Times New Roman"/>
          <w:sz w:val="32"/>
          <w:szCs w:val="32"/>
        </w:rPr>
        <w:t>1.</w:t>
      </w:r>
      <w:r w:rsidRPr="0042009D">
        <w:rPr>
          <w:rFonts w:ascii="Times New Roman" w:hAnsi="Times New Roman" w:cs="Times New Roman"/>
          <w:sz w:val="32"/>
          <w:szCs w:val="32"/>
        </w:rPr>
        <w:tab/>
        <w:t>Brealey, R. A., Myers, S. C., &amp; Allen, F. (2017). Principles of corporate finance. McGraw-Hill Education.</w:t>
      </w:r>
    </w:p>
    <w:p w14:paraId="00D3A2D5" w14:textId="77777777" w:rsidR="0016314C" w:rsidRPr="0042009D" w:rsidRDefault="0016314C" w:rsidP="0016314C">
      <w:pPr>
        <w:rPr>
          <w:rFonts w:ascii="Times New Roman" w:hAnsi="Times New Roman" w:cs="Times New Roman"/>
          <w:sz w:val="32"/>
          <w:szCs w:val="32"/>
        </w:rPr>
      </w:pPr>
      <w:r w:rsidRPr="0042009D">
        <w:rPr>
          <w:rFonts w:ascii="Times New Roman" w:hAnsi="Times New Roman" w:cs="Times New Roman"/>
          <w:sz w:val="32"/>
          <w:szCs w:val="32"/>
        </w:rPr>
        <w:t>2.</w:t>
      </w:r>
      <w:r w:rsidRPr="0042009D">
        <w:rPr>
          <w:rFonts w:ascii="Times New Roman" w:hAnsi="Times New Roman" w:cs="Times New Roman"/>
          <w:sz w:val="32"/>
          <w:szCs w:val="32"/>
        </w:rPr>
        <w:tab/>
        <w:t>Brigham, E. F., &amp; Ehrhardt, M. C. (2016). Financial management: Theory &amp; practice. Cengage Learning.</w:t>
      </w:r>
    </w:p>
    <w:p w14:paraId="521A6D3D" w14:textId="77777777" w:rsidR="0016314C" w:rsidRPr="0042009D" w:rsidRDefault="0016314C" w:rsidP="0016314C">
      <w:pPr>
        <w:rPr>
          <w:rFonts w:ascii="Times New Roman" w:hAnsi="Times New Roman" w:cs="Times New Roman"/>
          <w:sz w:val="32"/>
          <w:szCs w:val="32"/>
        </w:rPr>
      </w:pPr>
      <w:r w:rsidRPr="0042009D">
        <w:rPr>
          <w:rFonts w:ascii="Times New Roman" w:hAnsi="Times New Roman" w:cs="Times New Roman"/>
          <w:sz w:val="32"/>
          <w:szCs w:val="32"/>
        </w:rPr>
        <w:t>3.</w:t>
      </w:r>
      <w:r w:rsidRPr="0042009D">
        <w:rPr>
          <w:rFonts w:ascii="Times New Roman" w:hAnsi="Times New Roman" w:cs="Times New Roman"/>
          <w:sz w:val="32"/>
          <w:szCs w:val="32"/>
        </w:rPr>
        <w:tab/>
      </w:r>
      <w:proofErr w:type="spellStart"/>
      <w:r w:rsidRPr="0042009D">
        <w:rPr>
          <w:rFonts w:ascii="Times New Roman" w:hAnsi="Times New Roman" w:cs="Times New Roman"/>
          <w:sz w:val="32"/>
          <w:szCs w:val="32"/>
        </w:rPr>
        <w:t>Dlabay</w:t>
      </w:r>
      <w:proofErr w:type="spellEnd"/>
      <w:r w:rsidRPr="0042009D">
        <w:rPr>
          <w:rFonts w:ascii="Times New Roman" w:hAnsi="Times New Roman" w:cs="Times New Roman"/>
          <w:sz w:val="32"/>
          <w:szCs w:val="32"/>
        </w:rPr>
        <w:t>, L. R., &amp; Scott, J. F. (2017). International business. Cengage Learning.</w:t>
      </w:r>
    </w:p>
    <w:p w14:paraId="5ADDAF47" w14:textId="77777777" w:rsidR="0016314C" w:rsidRPr="0042009D" w:rsidRDefault="0016314C" w:rsidP="0016314C">
      <w:pPr>
        <w:rPr>
          <w:rFonts w:ascii="Times New Roman" w:hAnsi="Times New Roman" w:cs="Times New Roman"/>
          <w:sz w:val="32"/>
          <w:szCs w:val="32"/>
        </w:rPr>
      </w:pPr>
      <w:r w:rsidRPr="0042009D">
        <w:rPr>
          <w:rFonts w:ascii="Times New Roman" w:hAnsi="Times New Roman" w:cs="Times New Roman"/>
          <w:sz w:val="32"/>
          <w:szCs w:val="32"/>
        </w:rPr>
        <w:t>4.</w:t>
      </w:r>
      <w:r w:rsidRPr="0042009D">
        <w:rPr>
          <w:rFonts w:ascii="Times New Roman" w:hAnsi="Times New Roman" w:cs="Times New Roman"/>
          <w:sz w:val="32"/>
          <w:szCs w:val="32"/>
        </w:rPr>
        <w:tab/>
        <w:t>Dunning, J. H. (1993). Multinational enterprises and the global economy. Addison-Wesley.</w:t>
      </w:r>
    </w:p>
    <w:p w14:paraId="059A0E3D" w14:textId="77777777" w:rsidR="0016314C" w:rsidRPr="0042009D" w:rsidRDefault="0016314C" w:rsidP="0016314C">
      <w:pPr>
        <w:rPr>
          <w:rFonts w:ascii="Times New Roman" w:hAnsi="Times New Roman" w:cs="Times New Roman"/>
          <w:sz w:val="32"/>
          <w:szCs w:val="32"/>
        </w:rPr>
      </w:pPr>
      <w:r w:rsidRPr="0042009D">
        <w:rPr>
          <w:rFonts w:ascii="Times New Roman" w:hAnsi="Times New Roman" w:cs="Times New Roman"/>
          <w:sz w:val="32"/>
          <w:szCs w:val="32"/>
        </w:rPr>
        <w:t>5.</w:t>
      </w:r>
      <w:r w:rsidRPr="0042009D">
        <w:rPr>
          <w:rFonts w:ascii="Times New Roman" w:hAnsi="Times New Roman" w:cs="Times New Roman"/>
          <w:sz w:val="32"/>
          <w:szCs w:val="32"/>
        </w:rPr>
        <w:tab/>
        <w:t>Hill, C. W., &amp; Jones, G. R. (2016). Strategic management theory: An integrated approach. Cengage Learning.</w:t>
      </w:r>
    </w:p>
    <w:p w14:paraId="0220ECAA" w14:textId="77777777" w:rsidR="0016314C" w:rsidRPr="0042009D" w:rsidRDefault="0016314C" w:rsidP="0016314C">
      <w:pPr>
        <w:rPr>
          <w:rFonts w:ascii="Times New Roman" w:hAnsi="Times New Roman" w:cs="Times New Roman"/>
          <w:sz w:val="32"/>
          <w:szCs w:val="32"/>
        </w:rPr>
      </w:pPr>
      <w:r w:rsidRPr="0042009D">
        <w:rPr>
          <w:rFonts w:ascii="Times New Roman" w:hAnsi="Times New Roman" w:cs="Times New Roman"/>
          <w:sz w:val="32"/>
          <w:szCs w:val="32"/>
        </w:rPr>
        <w:t>6.</w:t>
      </w:r>
      <w:r w:rsidRPr="0042009D">
        <w:rPr>
          <w:rFonts w:ascii="Times New Roman" w:hAnsi="Times New Roman" w:cs="Times New Roman"/>
          <w:sz w:val="32"/>
          <w:szCs w:val="32"/>
        </w:rPr>
        <w:tab/>
        <w:t>Madura, J. (2015). International financial management. Cengage Learning.</w:t>
      </w:r>
    </w:p>
    <w:p w14:paraId="4423F991" w14:textId="77777777" w:rsidR="0016314C" w:rsidRPr="0042009D" w:rsidRDefault="0016314C" w:rsidP="0016314C">
      <w:pPr>
        <w:rPr>
          <w:rFonts w:ascii="Times New Roman" w:hAnsi="Times New Roman" w:cs="Times New Roman"/>
          <w:sz w:val="32"/>
          <w:szCs w:val="32"/>
        </w:rPr>
      </w:pPr>
      <w:r w:rsidRPr="0042009D">
        <w:rPr>
          <w:rFonts w:ascii="Times New Roman" w:hAnsi="Times New Roman" w:cs="Times New Roman"/>
          <w:sz w:val="32"/>
          <w:szCs w:val="32"/>
        </w:rPr>
        <w:t>7.</w:t>
      </w:r>
      <w:r w:rsidRPr="0042009D">
        <w:rPr>
          <w:rFonts w:ascii="Times New Roman" w:hAnsi="Times New Roman" w:cs="Times New Roman"/>
          <w:sz w:val="32"/>
          <w:szCs w:val="32"/>
        </w:rPr>
        <w:tab/>
      </w:r>
      <w:proofErr w:type="spellStart"/>
      <w:r w:rsidRPr="0042009D">
        <w:rPr>
          <w:rFonts w:ascii="Times New Roman" w:hAnsi="Times New Roman" w:cs="Times New Roman"/>
          <w:sz w:val="32"/>
          <w:szCs w:val="32"/>
        </w:rPr>
        <w:t>Morck</w:t>
      </w:r>
      <w:proofErr w:type="spellEnd"/>
      <w:r w:rsidRPr="0042009D">
        <w:rPr>
          <w:rFonts w:ascii="Times New Roman" w:hAnsi="Times New Roman" w:cs="Times New Roman"/>
          <w:sz w:val="32"/>
          <w:szCs w:val="32"/>
        </w:rPr>
        <w:t>, R., &amp; Yeung, B. (2003). Agency problems in large family business groups. Entrepreneurship Theory and Practice, 27(4), 367-382.</w:t>
      </w:r>
    </w:p>
    <w:p w14:paraId="332A1847" w14:textId="77777777" w:rsidR="0016314C" w:rsidRPr="0042009D" w:rsidRDefault="0016314C" w:rsidP="0016314C">
      <w:pPr>
        <w:rPr>
          <w:rFonts w:ascii="Times New Roman" w:hAnsi="Times New Roman" w:cs="Times New Roman"/>
          <w:sz w:val="32"/>
          <w:szCs w:val="32"/>
        </w:rPr>
      </w:pPr>
      <w:r w:rsidRPr="0042009D">
        <w:rPr>
          <w:rFonts w:ascii="Times New Roman" w:hAnsi="Times New Roman" w:cs="Times New Roman"/>
          <w:sz w:val="32"/>
          <w:szCs w:val="32"/>
        </w:rPr>
        <w:t>8.</w:t>
      </w:r>
      <w:r w:rsidRPr="0042009D">
        <w:rPr>
          <w:rFonts w:ascii="Times New Roman" w:hAnsi="Times New Roman" w:cs="Times New Roman"/>
          <w:sz w:val="32"/>
          <w:szCs w:val="32"/>
        </w:rPr>
        <w:tab/>
        <w:t xml:space="preserve">Toyota Motor Corporation. (2022). Annual Report 2021. Retrieved from </w:t>
      </w:r>
      <w:proofErr w:type="gramStart"/>
      <w:r w:rsidRPr="0042009D">
        <w:rPr>
          <w:rFonts w:ascii="Times New Roman" w:hAnsi="Times New Roman" w:cs="Times New Roman"/>
          <w:sz w:val="32"/>
          <w:szCs w:val="32"/>
        </w:rPr>
        <w:t>https://global.toyota/en/ir/library/annual/index.html</w:t>
      </w:r>
      <w:proofErr w:type="gramEnd"/>
    </w:p>
    <w:p w14:paraId="7F37A511" w14:textId="70F23C26" w:rsidR="0016314C" w:rsidRPr="0042009D" w:rsidRDefault="0016314C" w:rsidP="0016314C">
      <w:pPr>
        <w:rPr>
          <w:rFonts w:ascii="Times New Roman" w:hAnsi="Times New Roman" w:cs="Times New Roman"/>
          <w:sz w:val="32"/>
          <w:szCs w:val="32"/>
        </w:rPr>
      </w:pPr>
      <w:r w:rsidRPr="0042009D">
        <w:rPr>
          <w:rFonts w:ascii="Times New Roman" w:hAnsi="Times New Roman" w:cs="Times New Roman"/>
          <w:sz w:val="32"/>
          <w:szCs w:val="32"/>
        </w:rPr>
        <w:t>9.</w:t>
      </w:r>
      <w:r w:rsidRPr="0042009D">
        <w:rPr>
          <w:rFonts w:ascii="Times New Roman" w:hAnsi="Times New Roman" w:cs="Times New Roman"/>
          <w:sz w:val="32"/>
          <w:szCs w:val="32"/>
        </w:rPr>
        <w:tab/>
        <w:t xml:space="preserve">U.S. Securities and Exchange Commission. (n.d.). EDGAR Database of Corporate Information. Retrieved from </w:t>
      </w:r>
      <w:proofErr w:type="gramStart"/>
      <w:r w:rsidRPr="0042009D">
        <w:rPr>
          <w:rFonts w:ascii="Times New Roman" w:hAnsi="Times New Roman" w:cs="Times New Roman"/>
          <w:sz w:val="32"/>
          <w:szCs w:val="32"/>
        </w:rPr>
        <w:t>https://www.sec.gov/edgar.shtml</w:t>
      </w:r>
      <w:proofErr w:type="gramEnd"/>
    </w:p>
    <w:sectPr w:rsidR="0016314C" w:rsidRPr="0042009D" w:rsidSect="006957DA">
      <w:headerReference w:type="default" r:id="rId7"/>
      <w:footerReference w:type="even" r:id="rId8"/>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14B56" w14:textId="77777777" w:rsidR="008200F1" w:rsidRDefault="008200F1" w:rsidP="006957DA">
      <w:pPr>
        <w:spacing w:after="0" w:line="240" w:lineRule="auto"/>
      </w:pPr>
      <w:r>
        <w:separator/>
      </w:r>
    </w:p>
  </w:endnote>
  <w:endnote w:type="continuationSeparator" w:id="0">
    <w:p w14:paraId="1CD590CF" w14:textId="77777777" w:rsidR="008200F1" w:rsidRDefault="008200F1" w:rsidP="00695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03293880"/>
      <w:docPartObj>
        <w:docPartGallery w:val="Page Numbers (Bottom of Page)"/>
        <w:docPartUnique/>
      </w:docPartObj>
    </w:sdtPr>
    <w:sdtContent>
      <w:p w14:paraId="2F237D3E" w14:textId="312EA24A" w:rsidR="006957DA" w:rsidRDefault="006957DA" w:rsidP="008E10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A702CE" w14:textId="77777777" w:rsidR="006957DA" w:rsidRDefault="006957DA" w:rsidP="006957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07526146"/>
      <w:docPartObj>
        <w:docPartGallery w:val="Page Numbers (Bottom of Page)"/>
        <w:docPartUnique/>
      </w:docPartObj>
    </w:sdtPr>
    <w:sdtContent>
      <w:p w14:paraId="189FE57F" w14:textId="4B75F3F6" w:rsidR="006957DA" w:rsidRDefault="006957DA" w:rsidP="008E10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5D4153" w14:textId="77777777" w:rsidR="006957DA" w:rsidRDefault="006957DA" w:rsidP="006957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A0F62" w14:textId="77777777" w:rsidR="008200F1" w:rsidRDefault="008200F1" w:rsidP="006957DA">
      <w:pPr>
        <w:spacing w:after="0" w:line="240" w:lineRule="auto"/>
      </w:pPr>
      <w:r>
        <w:separator/>
      </w:r>
    </w:p>
  </w:footnote>
  <w:footnote w:type="continuationSeparator" w:id="0">
    <w:p w14:paraId="11F97969" w14:textId="77777777" w:rsidR="008200F1" w:rsidRDefault="008200F1" w:rsidP="006957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F2060" w14:textId="384BD71C" w:rsidR="006957DA" w:rsidRDefault="006957DA">
    <w:pPr>
      <w:pStyle w:val="Header"/>
    </w:pPr>
    <w:r w:rsidRPr="007B5AC3">
      <w:rPr>
        <w:noProof/>
      </w:rPr>
      <w:drawing>
        <wp:inline distT="0" distB="0" distL="0" distR="0" wp14:anchorId="50880EF5" wp14:editId="0EB2B947">
          <wp:extent cx="1809750" cy="600075"/>
          <wp:effectExtent l="0" t="0" r="0" b="0"/>
          <wp:docPr id="6"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809750" cy="6000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7DA"/>
    <w:rsid w:val="001464D7"/>
    <w:rsid w:val="0016314C"/>
    <w:rsid w:val="0038553F"/>
    <w:rsid w:val="0042009D"/>
    <w:rsid w:val="004D4C62"/>
    <w:rsid w:val="006957DA"/>
    <w:rsid w:val="007F3E73"/>
    <w:rsid w:val="008200F1"/>
    <w:rsid w:val="00850109"/>
    <w:rsid w:val="00883BF7"/>
    <w:rsid w:val="00DC7C03"/>
    <w:rsid w:val="00F54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94B6F"/>
  <w15:chartTrackingRefBased/>
  <w15:docId w15:val="{9D4657A8-546C-FA46-A78D-2C42C17EA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53F"/>
    <w:pPr>
      <w:spacing w:after="180" w:line="274" w:lineRule="auto"/>
    </w:pPr>
    <w:rPr>
      <w:sz w:val="21"/>
    </w:rPr>
  </w:style>
  <w:style w:type="paragraph" w:styleId="Heading1">
    <w:name w:val="heading 1"/>
    <w:basedOn w:val="Normal"/>
    <w:next w:val="Normal"/>
    <w:link w:val="Heading1Char"/>
    <w:uiPriority w:val="9"/>
    <w:qFormat/>
    <w:rsid w:val="0038553F"/>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38553F"/>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38553F"/>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38553F"/>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38553F"/>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38553F"/>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38553F"/>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3855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3855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957DA"/>
    <w:pPr>
      <w:tabs>
        <w:tab w:val="center" w:pos="4513"/>
        <w:tab w:val="right" w:pos="9026"/>
      </w:tabs>
    </w:pPr>
  </w:style>
  <w:style w:type="character" w:customStyle="1" w:styleId="FooterChar">
    <w:name w:val="Footer Char"/>
    <w:basedOn w:val="DefaultParagraphFont"/>
    <w:link w:val="Footer"/>
    <w:uiPriority w:val="99"/>
    <w:rsid w:val="006957DA"/>
  </w:style>
  <w:style w:type="character" w:styleId="PageNumber">
    <w:name w:val="page number"/>
    <w:basedOn w:val="DefaultParagraphFont"/>
    <w:uiPriority w:val="99"/>
    <w:semiHidden/>
    <w:unhideWhenUsed/>
    <w:rsid w:val="006957DA"/>
  </w:style>
  <w:style w:type="paragraph" w:styleId="Header">
    <w:name w:val="header"/>
    <w:basedOn w:val="Normal"/>
    <w:link w:val="HeaderChar"/>
    <w:uiPriority w:val="99"/>
    <w:unhideWhenUsed/>
    <w:rsid w:val="006957DA"/>
    <w:pPr>
      <w:tabs>
        <w:tab w:val="center" w:pos="4513"/>
        <w:tab w:val="right" w:pos="9026"/>
      </w:tabs>
    </w:pPr>
  </w:style>
  <w:style w:type="character" w:customStyle="1" w:styleId="HeaderChar">
    <w:name w:val="Header Char"/>
    <w:basedOn w:val="DefaultParagraphFont"/>
    <w:link w:val="Header"/>
    <w:uiPriority w:val="99"/>
    <w:rsid w:val="006957DA"/>
  </w:style>
  <w:style w:type="paragraph" w:customStyle="1" w:styleId="Normal1">
    <w:name w:val="Normal1"/>
    <w:rsid w:val="006957DA"/>
    <w:rPr>
      <w:rFonts w:ascii="Arial" w:eastAsia="Arial" w:hAnsi="Arial" w:cs="Arial"/>
      <w:lang w:val="ro-RO"/>
    </w:rPr>
  </w:style>
  <w:style w:type="paragraph" w:styleId="NormalWeb">
    <w:name w:val="Normal (Web)"/>
    <w:basedOn w:val="Normal"/>
    <w:uiPriority w:val="99"/>
    <w:semiHidden/>
    <w:unhideWhenUsed/>
    <w:rsid w:val="006957DA"/>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38553F"/>
    <w:rPr>
      <w:rFonts w:asciiTheme="majorHAnsi" w:eastAsiaTheme="majorEastAsia" w:hAnsiTheme="majorHAnsi" w:cstheme="majorBidi"/>
      <w:bCs/>
      <w:color w:val="4472C4" w:themeColor="accent1"/>
      <w:spacing w:val="20"/>
      <w:sz w:val="32"/>
      <w:szCs w:val="28"/>
    </w:rPr>
  </w:style>
  <w:style w:type="paragraph" w:styleId="TOCHeading">
    <w:name w:val="TOC Heading"/>
    <w:basedOn w:val="Heading1"/>
    <w:next w:val="Normal"/>
    <w:uiPriority w:val="39"/>
    <w:unhideWhenUsed/>
    <w:qFormat/>
    <w:rsid w:val="0038553F"/>
    <w:pPr>
      <w:spacing w:before="480" w:line="264" w:lineRule="auto"/>
      <w:outlineLvl w:val="9"/>
    </w:pPr>
    <w:rPr>
      <w:b/>
    </w:rPr>
  </w:style>
  <w:style w:type="paragraph" w:styleId="TOC1">
    <w:name w:val="toc 1"/>
    <w:basedOn w:val="Normal"/>
    <w:next w:val="Normal"/>
    <w:autoRedefine/>
    <w:uiPriority w:val="39"/>
    <w:semiHidden/>
    <w:unhideWhenUsed/>
    <w:rsid w:val="001464D7"/>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1464D7"/>
    <w:pPr>
      <w:spacing w:before="120" w:after="0"/>
      <w:ind w:left="210"/>
    </w:pPr>
    <w:rPr>
      <w:rFonts w:cstheme="minorHAnsi"/>
      <w:b/>
      <w:bCs/>
      <w:sz w:val="22"/>
    </w:rPr>
  </w:style>
  <w:style w:type="paragraph" w:styleId="TOC3">
    <w:name w:val="toc 3"/>
    <w:basedOn w:val="Normal"/>
    <w:next w:val="Normal"/>
    <w:autoRedefine/>
    <w:uiPriority w:val="39"/>
    <w:semiHidden/>
    <w:unhideWhenUsed/>
    <w:rsid w:val="001464D7"/>
    <w:pPr>
      <w:spacing w:after="0"/>
      <w:ind w:left="420"/>
    </w:pPr>
    <w:rPr>
      <w:rFonts w:cstheme="minorHAnsi"/>
      <w:sz w:val="20"/>
      <w:szCs w:val="20"/>
    </w:rPr>
  </w:style>
  <w:style w:type="paragraph" w:styleId="TOC4">
    <w:name w:val="toc 4"/>
    <w:basedOn w:val="Normal"/>
    <w:next w:val="Normal"/>
    <w:autoRedefine/>
    <w:uiPriority w:val="39"/>
    <w:semiHidden/>
    <w:unhideWhenUsed/>
    <w:rsid w:val="001464D7"/>
    <w:pPr>
      <w:spacing w:after="0"/>
      <w:ind w:left="630"/>
    </w:pPr>
    <w:rPr>
      <w:rFonts w:cstheme="minorHAnsi"/>
      <w:sz w:val="20"/>
      <w:szCs w:val="20"/>
    </w:rPr>
  </w:style>
  <w:style w:type="paragraph" w:styleId="TOC5">
    <w:name w:val="toc 5"/>
    <w:basedOn w:val="Normal"/>
    <w:next w:val="Normal"/>
    <w:autoRedefine/>
    <w:uiPriority w:val="39"/>
    <w:semiHidden/>
    <w:unhideWhenUsed/>
    <w:rsid w:val="001464D7"/>
    <w:pPr>
      <w:spacing w:after="0"/>
      <w:ind w:left="840"/>
    </w:pPr>
    <w:rPr>
      <w:rFonts w:cstheme="minorHAnsi"/>
      <w:sz w:val="20"/>
      <w:szCs w:val="20"/>
    </w:rPr>
  </w:style>
  <w:style w:type="paragraph" w:styleId="TOC6">
    <w:name w:val="toc 6"/>
    <w:basedOn w:val="Normal"/>
    <w:next w:val="Normal"/>
    <w:autoRedefine/>
    <w:uiPriority w:val="39"/>
    <w:semiHidden/>
    <w:unhideWhenUsed/>
    <w:rsid w:val="001464D7"/>
    <w:pPr>
      <w:spacing w:after="0"/>
      <w:ind w:left="1050"/>
    </w:pPr>
    <w:rPr>
      <w:rFonts w:cstheme="minorHAnsi"/>
      <w:sz w:val="20"/>
      <w:szCs w:val="20"/>
    </w:rPr>
  </w:style>
  <w:style w:type="paragraph" w:styleId="TOC7">
    <w:name w:val="toc 7"/>
    <w:basedOn w:val="Normal"/>
    <w:next w:val="Normal"/>
    <w:autoRedefine/>
    <w:uiPriority w:val="39"/>
    <w:semiHidden/>
    <w:unhideWhenUsed/>
    <w:rsid w:val="001464D7"/>
    <w:pPr>
      <w:spacing w:after="0"/>
      <w:ind w:left="1260"/>
    </w:pPr>
    <w:rPr>
      <w:rFonts w:cstheme="minorHAnsi"/>
      <w:sz w:val="20"/>
      <w:szCs w:val="20"/>
    </w:rPr>
  </w:style>
  <w:style w:type="paragraph" w:styleId="TOC8">
    <w:name w:val="toc 8"/>
    <w:basedOn w:val="Normal"/>
    <w:next w:val="Normal"/>
    <w:autoRedefine/>
    <w:uiPriority w:val="39"/>
    <w:semiHidden/>
    <w:unhideWhenUsed/>
    <w:rsid w:val="001464D7"/>
    <w:pPr>
      <w:spacing w:after="0"/>
      <w:ind w:left="1470"/>
    </w:pPr>
    <w:rPr>
      <w:rFonts w:cstheme="minorHAnsi"/>
      <w:sz w:val="20"/>
      <w:szCs w:val="20"/>
    </w:rPr>
  </w:style>
  <w:style w:type="paragraph" w:styleId="TOC9">
    <w:name w:val="toc 9"/>
    <w:basedOn w:val="Normal"/>
    <w:next w:val="Normal"/>
    <w:autoRedefine/>
    <w:uiPriority w:val="39"/>
    <w:semiHidden/>
    <w:unhideWhenUsed/>
    <w:rsid w:val="001464D7"/>
    <w:pPr>
      <w:spacing w:after="0"/>
      <w:ind w:left="1680"/>
    </w:pPr>
    <w:rPr>
      <w:rFonts w:cstheme="minorHAnsi"/>
      <w:sz w:val="20"/>
      <w:szCs w:val="20"/>
    </w:rPr>
  </w:style>
  <w:style w:type="character" w:customStyle="1" w:styleId="Heading2Char">
    <w:name w:val="Heading 2 Char"/>
    <w:basedOn w:val="DefaultParagraphFont"/>
    <w:link w:val="Heading2"/>
    <w:uiPriority w:val="9"/>
    <w:semiHidden/>
    <w:rsid w:val="0038553F"/>
    <w:rPr>
      <w:rFonts w:eastAsiaTheme="majorEastAsia" w:cstheme="majorBidi"/>
      <w:b/>
      <w:bCs/>
      <w:color w:val="4472C4" w:themeColor="accent1"/>
      <w:sz w:val="28"/>
      <w:szCs w:val="26"/>
    </w:rPr>
  </w:style>
  <w:style w:type="character" w:customStyle="1" w:styleId="Heading3Char">
    <w:name w:val="Heading 3 Char"/>
    <w:basedOn w:val="DefaultParagraphFont"/>
    <w:link w:val="Heading3"/>
    <w:uiPriority w:val="9"/>
    <w:semiHidden/>
    <w:rsid w:val="0038553F"/>
    <w:rPr>
      <w:rFonts w:asciiTheme="majorHAnsi" w:eastAsiaTheme="majorEastAsia" w:hAnsiTheme="majorHAnsi" w:cstheme="majorBidi"/>
      <w:bCs/>
      <w:color w:val="44546A" w:themeColor="text2"/>
      <w:spacing w:val="14"/>
      <w:sz w:val="24"/>
    </w:rPr>
  </w:style>
  <w:style w:type="character" w:customStyle="1" w:styleId="Heading4Char">
    <w:name w:val="Heading 4 Char"/>
    <w:basedOn w:val="DefaultParagraphFont"/>
    <w:link w:val="Heading4"/>
    <w:uiPriority w:val="9"/>
    <w:semiHidden/>
    <w:rsid w:val="0038553F"/>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3855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38553F"/>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3855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3855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3855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38553F"/>
    <w:pPr>
      <w:spacing w:line="240" w:lineRule="auto"/>
    </w:pPr>
    <w:rPr>
      <w:rFonts w:asciiTheme="majorHAnsi" w:eastAsiaTheme="minorEastAsia" w:hAnsiTheme="majorHAnsi"/>
      <w:bCs/>
      <w:smallCaps/>
      <w:color w:val="44546A" w:themeColor="text2"/>
      <w:spacing w:val="6"/>
      <w:sz w:val="22"/>
      <w:szCs w:val="18"/>
    </w:rPr>
  </w:style>
  <w:style w:type="paragraph" w:styleId="Title">
    <w:name w:val="Title"/>
    <w:basedOn w:val="Normal"/>
    <w:next w:val="Normal"/>
    <w:link w:val="TitleChar"/>
    <w:uiPriority w:val="10"/>
    <w:qFormat/>
    <w:rsid w:val="0038553F"/>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38553F"/>
    <w:rPr>
      <w:rFonts w:asciiTheme="majorHAnsi" w:eastAsiaTheme="majorEastAsia" w:hAnsiTheme="majorHAnsi" w:cstheme="majorBidi"/>
      <w:color w:val="44546A" w:themeColor="text2"/>
      <w:spacing w:val="30"/>
      <w:kern w:val="28"/>
      <w:sz w:val="96"/>
      <w:szCs w:val="52"/>
    </w:rPr>
  </w:style>
  <w:style w:type="paragraph" w:styleId="Subtitle">
    <w:name w:val="Subtitle"/>
    <w:basedOn w:val="Normal"/>
    <w:next w:val="Normal"/>
    <w:link w:val="SubtitleChar"/>
    <w:uiPriority w:val="11"/>
    <w:qFormat/>
    <w:rsid w:val="0038553F"/>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38553F"/>
    <w:rPr>
      <w:rFonts w:eastAsiaTheme="majorEastAsia" w:cstheme="majorBidi"/>
      <w:iCs/>
      <w:color w:val="44546A" w:themeColor="text2"/>
      <w:sz w:val="40"/>
      <w:szCs w:val="24"/>
    </w:rPr>
  </w:style>
  <w:style w:type="character" w:styleId="Strong">
    <w:name w:val="Strong"/>
    <w:basedOn w:val="DefaultParagraphFont"/>
    <w:uiPriority w:val="22"/>
    <w:qFormat/>
    <w:rsid w:val="0038553F"/>
    <w:rPr>
      <w:b w:val="0"/>
      <w:bCs/>
      <w:i/>
      <w:color w:val="44546A" w:themeColor="text2"/>
    </w:rPr>
  </w:style>
  <w:style w:type="character" w:styleId="Emphasis">
    <w:name w:val="Emphasis"/>
    <w:basedOn w:val="DefaultParagraphFont"/>
    <w:uiPriority w:val="20"/>
    <w:qFormat/>
    <w:rsid w:val="0038553F"/>
    <w:rPr>
      <w:b/>
      <w:i/>
      <w:iCs/>
    </w:rPr>
  </w:style>
  <w:style w:type="paragraph" w:styleId="NoSpacing">
    <w:name w:val="No Spacing"/>
    <w:link w:val="NoSpacingChar"/>
    <w:uiPriority w:val="1"/>
    <w:qFormat/>
    <w:rsid w:val="0038553F"/>
    <w:pPr>
      <w:spacing w:after="0" w:line="240" w:lineRule="auto"/>
    </w:pPr>
  </w:style>
  <w:style w:type="character" w:customStyle="1" w:styleId="NoSpacingChar">
    <w:name w:val="No Spacing Char"/>
    <w:basedOn w:val="DefaultParagraphFont"/>
    <w:link w:val="NoSpacing"/>
    <w:uiPriority w:val="1"/>
    <w:rsid w:val="0038553F"/>
  </w:style>
  <w:style w:type="paragraph" w:styleId="ListParagraph">
    <w:name w:val="List Paragraph"/>
    <w:basedOn w:val="Normal"/>
    <w:uiPriority w:val="34"/>
    <w:qFormat/>
    <w:rsid w:val="0038553F"/>
    <w:pPr>
      <w:spacing w:line="240" w:lineRule="auto"/>
      <w:ind w:left="720" w:hanging="288"/>
      <w:contextualSpacing/>
    </w:pPr>
    <w:rPr>
      <w:color w:val="44546A" w:themeColor="text2"/>
    </w:rPr>
  </w:style>
  <w:style w:type="paragraph" w:styleId="Quote">
    <w:name w:val="Quote"/>
    <w:basedOn w:val="Normal"/>
    <w:next w:val="Normal"/>
    <w:link w:val="QuoteChar"/>
    <w:uiPriority w:val="29"/>
    <w:qFormat/>
    <w:rsid w:val="0038553F"/>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38553F"/>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38553F"/>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38553F"/>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38553F"/>
    <w:rPr>
      <w:i/>
      <w:iCs/>
      <w:color w:val="000000"/>
    </w:rPr>
  </w:style>
  <w:style w:type="character" w:styleId="IntenseEmphasis">
    <w:name w:val="Intense Emphasis"/>
    <w:basedOn w:val="DefaultParagraphFont"/>
    <w:uiPriority w:val="21"/>
    <w:qFormat/>
    <w:rsid w:val="0038553F"/>
    <w:rPr>
      <w:b/>
      <w:bCs/>
      <w:i/>
      <w:iCs/>
      <w:color w:val="4472C4" w:themeColor="accent1"/>
    </w:rPr>
  </w:style>
  <w:style w:type="character" w:styleId="SubtleReference">
    <w:name w:val="Subtle Reference"/>
    <w:basedOn w:val="DefaultParagraphFont"/>
    <w:uiPriority w:val="31"/>
    <w:qFormat/>
    <w:rsid w:val="0038553F"/>
    <w:rPr>
      <w:smallCaps/>
      <w:color w:val="000000"/>
      <w:u w:val="single"/>
    </w:rPr>
  </w:style>
  <w:style w:type="character" w:styleId="IntenseReference">
    <w:name w:val="Intense Reference"/>
    <w:basedOn w:val="DefaultParagraphFont"/>
    <w:uiPriority w:val="32"/>
    <w:qFormat/>
    <w:rsid w:val="0038553F"/>
    <w:rPr>
      <w:b w:val="0"/>
      <w:bCs/>
      <w:smallCaps/>
      <w:color w:val="4472C4" w:themeColor="accent1"/>
      <w:spacing w:val="5"/>
      <w:u w:val="single"/>
    </w:rPr>
  </w:style>
  <w:style w:type="character" w:styleId="BookTitle">
    <w:name w:val="Book Title"/>
    <w:basedOn w:val="DefaultParagraphFont"/>
    <w:uiPriority w:val="33"/>
    <w:qFormat/>
    <w:rsid w:val="0038553F"/>
    <w:rPr>
      <w:b/>
      <w:bCs/>
      <w:caps/>
      <w:smallCaps w:val="0"/>
      <w:color w:val="44546A" w:themeColor="text2"/>
      <w:spacing w:val="10"/>
    </w:rPr>
  </w:style>
  <w:style w:type="paragraph" w:customStyle="1" w:styleId="PersonalName">
    <w:name w:val="Personal Name"/>
    <w:basedOn w:val="Title"/>
    <w:qFormat/>
    <w:rsid w:val="0038553F"/>
    <w:rPr>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164493">
      <w:bodyDiv w:val="1"/>
      <w:marLeft w:val="0"/>
      <w:marRight w:val="0"/>
      <w:marTop w:val="0"/>
      <w:marBottom w:val="0"/>
      <w:divBdr>
        <w:top w:val="none" w:sz="0" w:space="0" w:color="auto"/>
        <w:left w:val="none" w:sz="0" w:space="0" w:color="auto"/>
        <w:bottom w:val="none" w:sz="0" w:space="0" w:color="auto"/>
        <w:right w:val="none" w:sz="0" w:space="0" w:color="auto"/>
      </w:divBdr>
      <w:divsChild>
        <w:div w:id="1614440906">
          <w:marLeft w:val="0"/>
          <w:marRight w:val="0"/>
          <w:marTop w:val="0"/>
          <w:marBottom w:val="0"/>
          <w:divBdr>
            <w:top w:val="none" w:sz="0" w:space="0" w:color="auto"/>
            <w:left w:val="none" w:sz="0" w:space="0" w:color="auto"/>
            <w:bottom w:val="none" w:sz="0" w:space="0" w:color="auto"/>
            <w:right w:val="none" w:sz="0" w:space="0" w:color="auto"/>
          </w:divBdr>
          <w:divsChild>
            <w:div w:id="252664257">
              <w:marLeft w:val="0"/>
              <w:marRight w:val="0"/>
              <w:marTop w:val="0"/>
              <w:marBottom w:val="0"/>
              <w:divBdr>
                <w:top w:val="none" w:sz="0" w:space="0" w:color="auto"/>
                <w:left w:val="none" w:sz="0" w:space="0" w:color="auto"/>
                <w:bottom w:val="none" w:sz="0" w:space="0" w:color="auto"/>
                <w:right w:val="none" w:sz="0" w:space="0" w:color="auto"/>
              </w:divBdr>
              <w:divsChild>
                <w:div w:id="212002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D8C8E-7827-1F4F-BB53-BB56BD4A1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8</Pages>
  <Words>1245</Words>
  <Characters>7097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Adrian Radulescu (2022697)</dc:creator>
  <cp:keywords/>
  <dc:description/>
  <cp:lastModifiedBy>Bogdan Adrian Radulescu (2022697)</cp:lastModifiedBy>
  <cp:revision>4</cp:revision>
  <dcterms:created xsi:type="dcterms:W3CDTF">2023-05-02T18:18:00Z</dcterms:created>
  <dcterms:modified xsi:type="dcterms:W3CDTF">2023-05-02T18:57:00Z</dcterms:modified>
</cp:coreProperties>
</file>