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063B4C">
      <w:pPr>
        <w:spacing w:line="1342" w:lineRule="exact"/>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2C0F81B3" w14:textId="6B25D9CB" w:rsidR="00995444" w:rsidRDefault="00995444" w:rsidP="007502B3"/>
    <w:p w14:paraId="26213230" w14:textId="77777777" w:rsidR="007502B3" w:rsidRDefault="007502B3" w:rsidP="007502B3"/>
    <w:p w14:paraId="6D29CD44" w14:textId="75C545B1" w:rsidR="00063B4C" w:rsidRPr="007502B3" w:rsidRDefault="00063B4C" w:rsidP="007502B3">
      <w:pPr>
        <w:rPr>
          <w:b/>
          <w:sz w:val="28"/>
        </w:rPr>
      </w:pPr>
      <w:r w:rsidRPr="007502B3">
        <w:rPr>
          <w:b/>
          <w:sz w:val="28"/>
        </w:rPr>
        <w:t>Disclaimer</w:t>
      </w:r>
    </w:p>
    <w:p w14:paraId="265E2262" w14:textId="43F25995" w:rsidR="00730C3C" w:rsidRPr="007502B3" w:rsidRDefault="00063B4C" w:rsidP="007502B3">
      <w:pPr>
        <w:spacing w:before="62"/>
        <w:ind w:right="96"/>
        <w:rPr>
          <w:rFonts w:cs="Arial"/>
          <w:sz w:val="20"/>
        </w:rPr>
      </w:pPr>
      <w:r w:rsidRPr="00063B4C">
        <w:rPr>
          <w:rFonts w:cs="Arial"/>
          <w:sz w:val="20"/>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9048085" w:rsidR="00604A87" w:rsidRPr="00604A87" w:rsidRDefault="00604A87" w:rsidP="00604A87">
      <w:pPr>
        <w:rPr>
          <w:rFonts w:eastAsia="Times New Roman" w:cs="Arial"/>
        </w:rPr>
      </w:pPr>
      <w:r w:rsidRPr="00604A87">
        <w:rPr>
          <w:rFonts w:eastAsia="Times New Roman" w:cs="Arial"/>
        </w:rPr>
        <w:t>Signed……………………………………………</w:t>
      </w:r>
    </w:p>
    <w:p w14:paraId="16B6CB34" w14:textId="3CC7F576" w:rsidR="00604A87" w:rsidRPr="00604A87" w:rsidRDefault="00604A87" w:rsidP="00604A87">
      <w:pPr>
        <w:rPr>
          <w:rFonts w:eastAsia="Times New Roman" w:cs="Arial"/>
        </w:rPr>
      </w:pPr>
      <w:r w:rsidRPr="00604A87">
        <w:rPr>
          <w:rFonts w:eastAsia="Times New Roman" w:cs="Arial"/>
        </w:rPr>
        <w:t>Date………………………………………………</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04A87">
      <w:pPr>
        <w:rPr>
          <w:rFonts w:eastAsia="Times New Roman" w:cs="Arial"/>
        </w:rPr>
      </w:pPr>
      <w:r w:rsidRPr="00604A87">
        <w:rPr>
          <w:rFonts w:eastAsia="Times New Roman" w:cs="Arial"/>
        </w:rPr>
        <w:t xml:space="preserve">Signed……………………………………………. </w:t>
      </w:r>
    </w:p>
    <w:p w14:paraId="21F5E413" w14:textId="5E20952B" w:rsidR="00604A87" w:rsidRPr="00604A87" w:rsidRDefault="00604A87" w:rsidP="00604A87">
      <w:pPr>
        <w:rPr>
          <w:rFonts w:eastAsia="Times New Roman" w:cs="Arial"/>
        </w:rPr>
      </w:pPr>
      <w:r w:rsidRPr="00604A87">
        <w:rPr>
          <w:rFonts w:eastAsia="Times New Roman" w:cs="Arial"/>
        </w:rPr>
        <w:t>Date………………………………………………</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04A87">
      <w:pPr>
        <w:rPr>
          <w:rFonts w:eastAsia="Times New Roman" w:cs="Arial"/>
        </w:rPr>
      </w:pPr>
      <w:r w:rsidRPr="00604A87">
        <w:rPr>
          <w:rFonts w:eastAsia="Times New Roman" w:cs="Arial"/>
        </w:rPr>
        <w:t>Signed……………………………………………</w:t>
      </w:r>
    </w:p>
    <w:p w14:paraId="1CB40FFB" w14:textId="230782A4" w:rsidR="00604A87" w:rsidRPr="00604A87" w:rsidRDefault="00604A87" w:rsidP="00604A87">
      <w:pPr>
        <w:rPr>
          <w:rFonts w:eastAsia="Times New Roman" w:cs="Arial"/>
        </w:rPr>
      </w:pPr>
      <w:r w:rsidRPr="00604A87">
        <w:rPr>
          <w:rFonts w:eastAsia="Times New Roman" w:cs="Arial"/>
        </w:rPr>
        <w:t xml:space="preserve">Date………………………………………………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04A87">
      <w:pPr>
        <w:rPr>
          <w:rFonts w:eastAsia="Times New Roman" w:cs="Arial"/>
        </w:rPr>
      </w:pPr>
      <w:r w:rsidRPr="00604A87">
        <w:rPr>
          <w:rFonts w:eastAsia="Times New Roman" w:cs="Arial"/>
        </w:rPr>
        <w:t>Signed………………………………………………</w:t>
      </w:r>
    </w:p>
    <w:p w14:paraId="021196D1" w14:textId="722B9641"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7CE514EB" w14:textId="77777777" w:rsidR="00995444" w:rsidRDefault="00995444" w:rsidP="00E41D24">
      <w:pPr>
        <w:rPr>
          <w:rFonts w:ascii="Arial" w:eastAsia="Arial Unicode MS" w:hAnsi="Arial" w:cs="Arial"/>
          <w:b/>
          <w:sz w:val="56"/>
          <w:szCs w:val="56"/>
        </w:rPr>
      </w:pPr>
    </w:p>
    <w:p w14:paraId="0FC75915" w14:textId="39B44226" w:rsidR="00995444" w:rsidRDefault="007235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bookmarkStart w:id="0" w:name="_Hlk231934016"/>
      <w:r w:rsidRPr="00723544">
        <w:rPr>
          <w:rFonts w:eastAsia="Arial Unicode MS" w:cs="Arial"/>
          <w:b/>
          <w:sz w:val="56"/>
          <w:szCs w:val="56"/>
        </w:rPr>
        <w:t>Early Recognition of Dementia in Older Adults: Distinguishing Normal Ageing from Cognitive Impairment in Nursing Practice</w:t>
      </w:r>
      <w:r w:rsidR="002C657F">
        <w:rPr>
          <w:rFonts w:eastAsia="Arial Unicode MS" w:cs="Arial"/>
          <w:b/>
          <w:sz w:val="56"/>
          <w:szCs w:val="56"/>
        </w:rPr>
        <w:t xml:space="preserve"> </w:t>
      </w:r>
      <w:r w:rsidR="00977B4A">
        <w:rPr>
          <w:rFonts w:eastAsia="Arial Unicode MS" w:cs="Arial"/>
          <w:b/>
          <w:sz w:val="56"/>
          <w:szCs w:val="56"/>
        </w:rPr>
        <w:t>I</w:t>
      </w:r>
      <w:r w:rsidR="002C657F">
        <w:rPr>
          <w:rFonts w:eastAsia="Arial Unicode MS" w:cs="Arial"/>
          <w:b/>
          <w:sz w:val="56"/>
          <w:szCs w:val="56"/>
        </w:rPr>
        <w:t xml:space="preserve">n </w:t>
      </w:r>
      <w:r w:rsidR="00977B4A">
        <w:rPr>
          <w:rFonts w:eastAsia="Arial Unicode MS" w:cs="Arial"/>
          <w:b/>
          <w:sz w:val="56"/>
          <w:szCs w:val="56"/>
        </w:rPr>
        <w:t>T</w:t>
      </w:r>
      <w:r w:rsidR="002C657F">
        <w:rPr>
          <w:rFonts w:eastAsia="Arial Unicode MS" w:cs="Arial"/>
          <w:b/>
          <w:sz w:val="56"/>
          <w:szCs w:val="56"/>
        </w:rPr>
        <w:t>he UK</w:t>
      </w:r>
      <w:r w:rsidR="003B56F5">
        <w:rPr>
          <w:rFonts w:eastAsia="Arial Unicode MS" w:cs="Arial"/>
          <w:b/>
          <w:sz w:val="56"/>
          <w:szCs w:val="56"/>
        </w:rPr>
        <w:t>.</w:t>
      </w:r>
    </w:p>
    <w:bookmarkEnd w:id="0"/>
    <w:p w14:paraId="4E6162AE" w14:textId="77777777" w:rsidR="00E41D24" w:rsidRPr="00995444" w:rsidRDefault="00E41D2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6DB122B7" w14:textId="710DF7C8"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00995444">
        <w:rPr>
          <w:rFonts w:eastAsia="Arial Unicode MS" w:cs="Arial"/>
          <w:b/>
          <w:sz w:val="56"/>
          <w:szCs w:val="56"/>
        </w:rPr>
        <w:t>Your Full Name</w:t>
      </w:r>
      <w:r w:rsidR="002C657F">
        <w:rPr>
          <w:rFonts w:eastAsia="Arial Unicode MS" w:cs="Arial"/>
          <w:b/>
          <w:sz w:val="56"/>
          <w:szCs w:val="56"/>
        </w:rPr>
        <w:t xml:space="preserve">: Naznin Mahmood </w:t>
      </w:r>
      <w:r w:rsidRPr="00995444">
        <w:rPr>
          <w:rFonts w:eastAsia="Arial Unicode MS" w:cs="Arial"/>
          <w:b/>
          <w:sz w:val="56"/>
          <w:szCs w:val="56"/>
        </w:rPr>
        <w:t>Student</w:t>
      </w:r>
      <w:r>
        <w:rPr>
          <w:rFonts w:eastAsia="Arial Unicode MS" w:cs="Arial"/>
          <w:b/>
          <w:sz w:val="56"/>
          <w:szCs w:val="56"/>
        </w:rPr>
        <w:t xml:space="preserve"> </w:t>
      </w:r>
      <w:r w:rsidRPr="00995444">
        <w:rPr>
          <w:rFonts w:eastAsia="Arial Unicode MS" w:cs="Arial"/>
          <w:b/>
          <w:sz w:val="56"/>
          <w:szCs w:val="56"/>
        </w:rPr>
        <w:t>Number</w:t>
      </w:r>
      <w:r w:rsidR="002C657F">
        <w:rPr>
          <w:rFonts w:eastAsia="Arial Unicode MS" w:cs="Arial"/>
          <w:b/>
          <w:sz w:val="56"/>
          <w:szCs w:val="56"/>
        </w:rPr>
        <w:t>: 2215438</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03004EEE" w14:textId="48F6ED17" w:rsidR="00063B4C" w:rsidRPr="007502B3" w:rsidRDefault="00995444" w:rsidP="007502B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lastRenderedPageBreak/>
        <w:t>Dissertation submitted as part of the requirements for the award BSc (Hons) Health and Social Care</w:t>
      </w:r>
    </w:p>
    <w:p w14:paraId="19A20C7E" w14:textId="78C5F43E" w:rsidR="00995444" w:rsidRDefault="00C92775" w:rsidP="00C92775">
      <w:pPr>
        <w:spacing w:line="259" w:lineRule="auto"/>
        <w:jc w:val="left"/>
      </w:pPr>
      <w:r>
        <w:br w:type="page"/>
      </w:r>
    </w:p>
    <w:p w14:paraId="0F4A849F" w14:textId="6276E6F0" w:rsidR="00995444" w:rsidRPr="007502B3" w:rsidRDefault="00995444" w:rsidP="007502B3">
      <w:pPr>
        <w:pStyle w:val="Heading1"/>
      </w:pPr>
      <w:bookmarkStart w:id="1" w:name="_Toc231933924"/>
      <w:r w:rsidRPr="007502B3">
        <w:lastRenderedPageBreak/>
        <w:t>ACKNOWLEDGEMENTS</w:t>
      </w:r>
      <w:bookmarkEnd w:id="1"/>
    </w:p>
    <w:p w14:paraId="7EA8A979" w14:textId="77777777" w:rsidR="0073280B" w:rsidRDefault="0073280B"/>
    <w:p w14:paraId="24382F47" w14:textId="77777777" w:rsidR="0073280B" w:rsidRDefault="0073280B"/>
    <w:p w14:paraId="2B0735F3" w14:textId="4EAD742F" w:rsidR="0073280B" w:rsidRDefault="007502B3" w:rsidP="007502B3">
      <w:pPr>
        <w:spacing w:line="259" w:lineRule="auto"/>
        <w:jc w:val="left"/>
      </w:pPr>
      <w:r>
        <w:br w:type="page"/>
      </w:r>
    </w:p>
    <w:p w14:paraId="310D40A5" w14:textId="6DE07E34" w:rsidR="0073280B" w:rsidRPr="0025020C" w:rsidRDefault="005216D9" w:rsidP="007502B3">
      <w:pPr>
        <w:pStyle w:val="Heading1"/>
      </w:pPr>
      <w:bookmarkStart w:id="2" w:name="_Toc231933925"/>
      <w:r w:rsidRPr="0025020C">
        <w:lastRenderedPageBreak/>
        <w:t>ABSTRACT</w:t>
      </w:r>
      <w:bookmarkEnd w:id="2"/>
    </w:p>
    <w:p w14:paraId="09295870" w14:textId="347802BA" w:rsidR="007502B3" w:rsidRDefault="007502B3" w:rsidP="007502B3">
      <w:r>
        <w:t xml:space="preserve">This dissertation explored critical reviews of evidence-based strategies for the identification of normal cognitive ageing from initial dementia in an older population, and specifically the role of the nursing practitioner in the improvement of early identification and diagnostic accuracy. </w:t>
      </w:r>
      <w:r w:rsidR="001F32DB">
        <w:t>The research aimed</w:t>
      </w:r>
      <w:r>
        <w:t xml:space="preserve"> to explore clinical and cognitive markers identified with dementia, to evaluate screening tools and approaches used in the nursing and primary care settings, to determine the effectiveness and limitations of screening for early recognition, and to make recommendations to enhance assessment and interventions. Within the field of health and social care, it is significant because a late diagnosis of dementia may impact patients' care, access to support and long-term care planning. The study employed a secondary research method of a desk study based on an analysis of peer-reviewed publications within the past decade.</w:t>
      </w:r>
    </w:p>
    <w:p w14:paraId="101AA6A9" w14:textId="123278F6" w:rsidR="0025020C" w:rsidRDefault="007502B3" w:rsidP="007502B3">
      <w:r>
        <w:t>Structured database searches identified relevant studies, and these were analysed thematically to bring out the patterns and themes from the evidence base. The results revealed three broad themes: clinical/cognitive indicators of dementia versus normal ageing, clinic-based screening tools and assessment practices, and implementation/receptivity issues. The results showed that although there is increasing access to new assessment materials and early recognition tools, there are also challenges to the accuracy of these, to capacity building, to cultural competence and to accessibility of services. The study found that integrated approaches to assessment will facilitate early recognition of dementia; professional training needs should be enhanced; culturally inclusive services are needed; and memory care pathways should be strengthened to ensure prompt, accurate and person-centred dementia care.</w:t>
      </w:r>
    </w:p>
    <w:p w14:paraId="350684A4" w14:textId="77777777" w:rsidR="00804B94" w:rsidRDefault="00804B94" w:rsidP="00C92775"/>
    <w:p w14:paraId="19DA61EC" w14:textId="69EB4C69" w:rsidR="00804B94" w:rsidRDefault="00C92775" w:rsidP="00C92775">
      <w:pPr>
        <w:spacing w:line="259" w:lineRule="auto"/>
        <w:jc w:val="left"/>
      </w:pPr>
      <w:r>
        <w:br w:type="page"/>
      </w:r>
    </w:p>
    <w:p w14:paraId="15BFA27A" w14:textId="49FBF17F" w:rsidR="00804B94" w:rsidRPr="00EF6341" w:rsidRDefault="00804B94" w:rsidP="007502B3">
      <w:pPr>
        <w:pStyle w:val="Heading1"/>
      </w:pPr>
      <w:bookmarkStart w:id="3" w:name="_Toc231933926"/>
      <w:r>
        <w:lastRenderedPageBreak/>
        <w:t>Table of Contents</w:t>
      </w:r>
      <w:bookmarkEnd w:id="3"/>
    </w:p>
    <w:sdt>
      <w:sdtPr>
        <w:rPr>
          <w:rFonts w:ascii="Aptos" w:eastAsiaTheme="minorEastAsia" w:hAnsi="Aptos" w:cstheme="minorBidi"/>
          <w:color w:val="auto"/>
          <w:kern w:val="2"/>
          <w:sz w:val="22"/>
          <w:szCs w:val="22"/>
          <w:lang w:val="en-GB" w:eastAsia="zh-CN"/>
          <w14:ligatures w14:val="standardContextual"/>
        </w:rPr>
        <w:id w:val="1450056387"/>
        <w:docPartObj>
          <w:docPartGallery w:val="Table of Contents"/>
          <w:docPartUnique/>
        </w:docPartObj>
      </w:sdtPr>
      <w:sdtEndPr>
        <w:rPr>
          <w:b/>
          <w:bCs/>
          <w:noProof/>
        </w:rPr>
      </w:sdtEndPr>
      <w:sdtContent>
        <w:p w14:paraId="4D787931" w14:textId="286DE5D6" w:rsidR="00D232D3" w:rsidRDefault="00D232D3">
          <w:pPr>
            <w:pStyle w:val="TOCHeading"/>
          </w:pPr>
        </w:p>
        <w:p w14:paraId="28ADDB6B" w14:textId="245C3DD9" w:rsidR="00813F71" w:rsidRDefault="00D232D3">
          <w:pPr>
            <w:pStyle w:val="TOC1"/>
            <w:tabs>
              <w:tab w:val="right" w:leader="dot" w:pos="9016"/>
            </w:tabs>
            <w:rPr>
              <w:rFonts w:asciiTheme="minorHAnsi" w:hAnsiTheme="minorHAnsi"/>
              <w:noProof/>
              <w:kern w:val="0"/>
              <w:lang w:eastAsia="en-GB"/>
              <w14:ligatures w14:val="none"/>
            </w:rPr>
          </w:pPr>
          <w:r>
            <w:fldChar w:fldCharType="begin"/>
          </w:r>
          <w:r>
            <w:instrText xml:space="preserve"> TOC \o "1-3" \h \z \u </w:instrText>
          </w:r>
          <w:r>
            <w:fldChar w:fldCharType="separate"/>
          </w:r>
          <w:hyperlink w:anchor="_Toc231933924" w:history="1">
            <w:r w:rsidR="00813F71" w:rsidRPr="001543DB">
              <w:rPr>
                <w:rStyle w:val="Hyperlink"/>
                <w:noProof/>
                <w:lang w:bidi="en-GB"/>
              </w:rPr>
              <w:t>ACKNOWLEDGEMENTS</w:t>
            </w:r>
            <w:r w:rsidR="00813F71">
              <w:rPr>
                <w:noProof/>
                <w:webHidden/>
              </w:rPr>
              <w:tab/>
            </w:r>
            <w:r w:rsidR="00813F71">
              <w:rPr>
                <w:noProof/>
                <w:webHidden/>
              </w:rPr>
              <w:fldChar w:fldCharType="begin"/>
            </w:r>
            <w:r w:rsidR="00813F71">
              <w:rPr>
                <w:noProof/>
                <w:webHidden/>
              </w:rPr>
              <w:instrText xml:space="preserve"> PAGEREF _Toc231933924 \h </w:instrText>
            </w:r>
            <w:r w:rsidR="00813F71">
              <w:rPr>
                <w:noProof/>
                <w:webHidden/>
              </w:rPr>
            </w:r>
            <w:r w:rsidR="00813F71">
              <w:rPr>
                <w:noProof/>
                <w:webHidden/>
              </w:rPr>
              <w:fldChar w:fldCharType="separate"/>
            </w:r>
            <w:r w:rsidR="00813F71">
              <w:rPr>
                <w:noProof/>
                <w:webHidden/>
              </w:rPr>
              <w:t>4</w:t>
            </w:r>
            <w:r w:rsidR="00813F71">
              <w:rPr>
                <w:noProof/>
                <w:webHidden/>
              </w:rPr>
              <w:fldChar w:fldCharType="end"/>
            </w:r>
          </w:hyperlink>
        </w:p>
        <w:p w14:paraId="30C762A7" w14:textId="0B41400B" w:rsidR="00813F71" w:rsidRDefault="00813F71">
          <w:pPr>
            <w:pStyle w:val="TOC1"/>
            <w:tabs>
              <w:tab w:val="right" w:leader="dot" w:pos="9016"/>
            </w:tabs>
            <w:rPr>
              <w:rFonts w:asciiTheme="minorHAnsi" w:hAnsiTheme="minorHAnsi"/>
              <w:noProof/>
              <w:kern w:val="0"/>
              <w:lang w:eastAsia="en-GB"/>
              <w14:ligatures w14:val="none"/>
            </w:rPr>
          </w:pPr>
          <w:hyperlink w:anchor="_Toc231933925" w:history="1">
            <w:r w:rsidRPr="001543DB">
              <w:rPr>
                <w:rStyle w:val="Hyperlink"/>
                <w:noProof/>
                <w:lang w:bidi="en-GB"/>
              </w:rPr>
              <w:t>ABSTRACT</w:t>
            </w:r>
            <w:r>
              <w:rPr>
                <w:noProof/>
                <w:webHidden/>
              </w:rPr>
              <w:tab/>
            </w:r>
            <w:r>
              <w:rPr>
                <w:noProof/>
                <w:webHidden/>
              </w:rPr>
              <w:fldChar w:fldCharType="begin"/>
            </w:r>
            <w:r>
              <w:rPr>
                <w:noProof/>
                <w:webHidden/>
              </w:rPr>
              <w:instrText xml:space="preserve"> PAGEREF _Toc231933925 \h </w:instrText>
            </w:r>
            <w:r>
              <w:rPr>
                <w:noProof/>
                <w:webHidden/>
              </w:rPr>
            </w:r>
            <w:r>
              <w:rPr>
                <w:noProof/>
                <w:webHidden/>
              </w:rPr>
              <w:fldChar w:fldCharType="separate"/>
            </w:r>
            <w:r>
              <w:rPr>
                <w:noProof/>
                <w:webHidden/>
              </w:rPr>
              <w:t>5</w:t>
            </w:r>
            <w:r>
              <w:rPr>
                <w:noProof/>
                <w:webHidden/>
              </w:rPr>
              <w:fldChar w:fldCharType="end"/>
            </w:r>
          </w:hyperlink>
        </w:p>
        <w:p w14:paraId="6C205EC8" w14:textId="0774C061" w:rsidR="00813F71" w:rsidRDefault="00813F71">
          <w:pPr>
            <w:pStyle w:val="TOC1"/>
            <w:tabs>
              <w:tab w:val="right" w:leader="dot" w:pos="9016"/>
            </w:tabs>
            <w:rPr>
              <w:rFonts w:asciiTheme="minorHAnsi" w:hAnsiTheme="minorHAnsi"/>
              <w:noProof/>
              <w:kern w:val="0"/>
              <w:lang w:eastAsia="en-GB"/>
              <w14:ligatures w14:val="none"/>
            </w:rPr>
          </w:pPr>
          <w:hyperlink w:anchor="_Toc231933926" w:history="1">
            <w:r w:rsidRPr="001543DB">
              <w:rPr>
                <w:rStyle w:val="Hyperlink"/>
                <w:noProof/>
                <w:lang w:bidi="en-GB"/>
              </w:rPr>
              <w:t>Table of Contents</w:t>
            </w:r>
            <w:r>
              <w:rPr>
                <w:noProof/>
                <w:webHidden/>
              </w:rPr>
              <w:tab/>
            </w:r>
            <w:r>
              <w:rPr>
                <w:noProof/>
                <w:webHidden/>
              </w:rPr>
              <w:fldChar w:fldCharType="begin"/>
            </w:r>
            <w:r>
              <w:rPr>
                <w:noProof/>
                <w:webHidden/>
              </w:rPr>
              <w:instrText xml:space="preserve"> PAGEREF _Toc231933926 \h </w:instrText>
            </w:r>
            <w:r>
              <w:rPr>
                <w:noProof/>
                <w:webHidden/>
              </w:rPr>
            </w:r>
            <w:r>
              <w:rPr>
                <w:noProof/>
                <w:webHidden/>
              </w:rPr>
              <w:fldChar w:fldCharType="separate"/>
            </w:r>
            <w:r>
              <w:rPr>
                <w:noProof/>
                <w:webHidden/>
              </w:rPr>
              <w:t>6</w:t>
            </w:r>
            <w:r>
              <w:rPr>
                <w:noProof/>
                <w:webHidden/>
              </w:rPr>
              <w:fldChar w:fldCharType="end"/>
            </w:r>
          </w:hyperlink>
        </w:p>
        <w:p w14:paraId="30E10EC0" w14:textId="64D02C2A" w:rsidR="00813F71" w:rsidRDefault="00813F71">
          <w:pPr>
            <w:pStyle w:val="TOC1"/>
            <w:tabs>
              <w:tab w:val="right" w:leader="dot" w:pos="9016"/>
            </w:tabs>
            <w:rPr>
              <w:rFonts w:asciiTheme="minorHAnsi" w:hAnsiTheme="minorHAnsi"/>
              <w:noProof/>
              <w:kern w:val="0"/>
              <w:lang w:eastAsia="en-GB"/>
              <w14:ligatures w14:val="none"/>
            </w:rPr>
          </w:pPr>
          <w:hyperlink w:anchor="_Toc231933927" w:history="1">
            <w:r w:rsidRPr="001543DB">
              <w:rPr>
                <w:rStyle w:val="Hyperlink"/>
                <w:noProof/>
                <w:lang w:bidi="en-GB"/>
              </w:rPr>
              <w:t>CHAPTER 1: Introduction</w:t>
            </w:r>
            <w:r>
              <w:rPr>
                <w:noProof/>
                <w:webHidden/>
              </w:rPr>
              <w:tab/>
            </w:r>
            <w:r>
              <w:rPr>
                <w:noProof/>
                <w:webHidden/>
              </w:rPr>
              <w:fldChar w:fldCharType="begin"/>
            </w:r>
            <w:r>
              <w:rPr>
                <w:noProof/>
                <w:webHidden/>
              </w:rPr>
              <w:instrText xml:space="preserve"> PAGEREF _Toc231933927 \h </w:instrText>
            </w:r>
            <w:r>
              <w:rPr>
                <w:noProof/>
                <w:webHidden/>
              </w:rPr>
            </w:r>
            <w:r>
              <w:rPr>
                <w:noProof/>
                <w:webHidden/>
              </w:rPr>
              <w:fldChar w:fldCharType="separate"/>
            </w:r>
            <w:r>
              <w:rPr>
                <w:noProof/>
                <w:webHidden/>
              </w:rPr>
              <w:t>9</w:t>
            </w:r>
            <w:r>
              <w:rPr>
                <w:noProof/>
                <w:webHidden/>
              </w:rPr>
              <w:fldChar w:fldCharType="end"/>
            </w:r>
          </w:hyperlink>
        </w:p>
        <w:p w14:paraId="44FFAB66" w14:textId="5DEDDB43" w:rsidR="00813F71" w:rsidRDefault="00813F71">
          <w:pPr>
            <w:pStyle w:val="TOC2"/>
            <w:tabs>
              <w:tab w:val="right" w:leader="dot" w:pos="9016"/>
            </w:tabs>
            <w:rPr>
              <w:rFonts w:asciiTheme="minorHAnsi" w:hAnsiTheme="minorHAnsi"/>
              <w:noProof/>
              <w:kern w:val="0"/>
              <w:lang w:eastAsia="en-GB"/>
              <w14:ligatures w14:val="none"/>
            </w:rPr>
          </w:pPr>
          <w:hyperlink w:anchor="_Toc231933928" w:history="1">
            <w:r w:rsidRPr="001543DB">
              <w:rPr>
                <w:rStyle w:val="Hyperlink"/>
                <w:noProof/>
              </w:rPr>
              <w:t>1.1 Introduction</w:t>
            </w:r>
            <w:r>
              <w:rPr>
                <w:noProof/>
                <w:webHidden/>
              </w:rPr>
              <w:tab/>
            </w:r>
            <w:r>
              <w:rPr>
                <w:noProof/>
                <w:webHidden/>
              </w:rPr>
              <w:fldChar w:fldCharType="begin"/>
            </w:r>
            <w:r>
              <w:rPr>
                <w:noProof/>
                <w:webHidden/>
              </w:rPr>
              <w:instrText xml:space="preserve"> PAGEREF _Toc231933928 \h </w:instrText>
            </w:r>
            <w:r>
              <w:rPr>
                <w:noProof/>
                <w:webHidden/>
              </w:rPr>
            </w:r>
            <w:r>
              <w:rPr>
                <w:noProof/>
                <w:webHidden/>
              </w:rPr>
              <w:fldChar w:fldCharType="separate"/>
            </w:r>
            <w:r>
              <w:rPr>
                <w:noProof/>
                <w:webHidden/>
              </w:rPr>
              <w:t>9</w:t>
            </w:r>
            <w:r>
              <w:rPr>
                <w:noProof/>
                <w:webHidden/>
              </w:rPr>
              <w:fldChar w:fldCharType="end"/>
            </w:r>
          </w:hyperlink>
        </w:p>
        <w:p w14:paraId="1F5F451E" w14:textId="0DF257A2" w:rsidR="00813F71" w:rsidRDefault="00813F71">
          <w:pPr>
            <w:pStyle w:val="TOC2"/>
            <w:tabs>
              <w:tab w:val="right" w:leader="dot" w:pos="9016"/>
            </w:tabs>
            <w:rPr>
              <w:rFonts w:asciiTheme="minorHAnsi" w:hAnsiTheme="minorHAnsi"/>
              <w:noProof/>
              <w:kern w:val="0"/>
              <w:lang w:eastAsia="en-GB"/>
              <w14:ligatures w14:val="none"/>
            </w:rPr>
          </w:pPr>
          <w:hyperlink w:anchor="_Toc231933929" w:history="1">
            <w:r w:rsidRPr="001543DB">
              <w:rPr>
                <w:rStyle w:val="Hyperlink"/>
                <w:noProof/>
              </w:rPr>
              <w:t>1.2 Definitions and Terminology</w:t>
            </w:r>
            <w:r>
              <w:rPr>
                <w:noProof/>
                <w:webHidden/>
              </w:rPr>
              <w:tab/>
            </w:r>
            <w:r>
              <w:rPr>
                <w:noProof/>
                <w:webHidden/>
              </w:rPr>
              <w:fldChar w:fldCharType="begin"/>
            </w:r>
            <w:r>
              <w:rPr>
                <w:noProof/>
                <w:webHidden/>
              </w:rPr>
              <w:instrText xml:space="preserve"> PAGEREF _Toc231933929 \h </w:instrText>
            </w:r>
            <w:r>
              <w:rPr>
                <w:noProof/>
                <w:webHidden/>
              </w:rPr>
            </w:r>
            <w:r>
              <w:rPr>
                <w:noProof/>
                <w:webHidden/>
              </w:rPr>
              <w:fldChar w:fldCharType="separate"/>
            </w:r>
            <w:r>
              <w:rPr>
                <w:noProof/>
                <w:webHidden/>
              </w:rPr>
              <w:t>10</w:t>
            </w:r>
            <w:r>
              <w:rPr>
                <w:noProof/>
                <w:webHidden/>
              </w:rPr>
              <w:fldChar w:fldCharType="end"/>
            </w:r>
          </w:hyperlink>
        </w:p>
        <w:p w14:paraId="24EB5A4E" w14:textId="14FBF3A8" w:rsidR="00813F71" w:rsidRDefault="00813F71">
          <w:pPr>
            <w:pStyle w:val="TOC2"/>
            <w:tabs>
              <w:tab w:val="right" w:leader="dot" w:pos="9016"/>
            </w:tabs>
            <w:rPr>
              <w:rFonts w:asciiTheme="minorHAnsi" w:hAnsiTheme="minorHAnsi"/>
              <w:noProof/>
              <w:kern w:val="0"/>
              <w:lang w:eastAsia="en-GB"/>
              <w14:ligatures w14:val="none"/>
            </w:rPr>
          </w:pPr>
          <w:hyperlink w:anchor="_Toc231933930" w:history="1">
            <w:r w:rsidRPr="001543DB">
              <w:rPr>
                <w:rStyle w:val="Hyperlink"/>
                <w:noProof/>
              </w:rPr>
              <w:t>1.3 Rationale for Research</w:t>
            </w:r>
            <w:r>
              <w:rPr>
                <w:noProof/>
                <w:webHidden/>
              </w:rPr>
              <w:tab/>
            </w:r>
            <w:r>
              <w:rPr>
                <w:noProof/>
                <w:webHidden/>
              </w:rPr>
              <w:fldChar w:fldCharType="begin"/>
            </w:r>
            <w:r>
              <w:rPr>
                <w:noProof/>
                <w:webHidden/>
              </w:rPr>
              <w:instrText xml:space="preserve"> PAGEREF _Toc231933930 \h </w:instrText>
            </w:r>
            <w:r>
              <w:rPr>
                <w:noProof/>
                <w:webHidden/>
              </w:rPr>
            </w:r>
            <w:r>
              <w:rPr>
                <w:noProof/>
                <w:webHidden/>
              </w:rPr>
              <w:fldChar w:fldCharType="separate"/>
            </w:r>
            <w:r>
              <w:rPr>
                <w:noProof/>
                <w:webHidden/>
              </w:rPr>
              <w:t>11</w:t>
            </w:r>
            <w:r>
              <w:rPr>
                <w:noProof/>
                <w:webHidden/>
              </w:rPr>
              <w:fldChar w:fldCharType="end"/>
            </w:r>
          </w:hyperlink>
        </w:p>
        <w:p w14:paraId="73F423F8" w14:textId="75C61FF3" w:rsidR="00813F71" w:rsidRDefault="00813F71">
          <w:pPr>
            <w:pStyle w:val="TOC2"/>
            <w:tabs>
              <w:tab w:val="right" w:leader="dot" w:pos="9016"/>
            </w:tabs>
            <w:rPr>
              <w:rFonts w:asciiTheme="minorHAnsi" w:hAnsiTheme="minorHAnsi"/>
              <w:noProof/>
              <w:kern w:val="0"/>
              <w:lang w:eastAsia="en-GB"/>
              <w14:ligatures w14:val="none"/>
            </w:rPr>
          </w:pPr>
          <w:hyperlink w:anchor="_Toc231933931" w:history="1">
            <w:r w:rsidRPr="001543DB">
              <w:rPr>
                <w:rStyle w:val="Hyperlink"/>
                <w:noProof/>
              </w:rPr>
              <w:t>1.4 Aim and Objectives</w:t>
            </w:r>
            <w:r>
              <w:rPr>
                <w:noProof/>
                <w:webHidden/>
              </w:rPr>
              <w:tab/>
            </w:r>
            <w:r>
              <w:rPr>
                <w:noProof/>
                <w:webHidden/>
              </w:rPr>
              <w:fldChar w:fldCharType="begin"/>
            </w:r>
            <w:r>
              <w:rPr>
                <w:noProof/>
                <w:webHidden/>
              </w:rPr>
              <w:instrText xml:space="preserve"> PAGEREF _Toc231933931 \h </w:instrText>
            </w:r>
            <w:r>
              <w:rPr>
                <w:noProof/>
                <w:webHidden/>
              </w:rPr>
            </w:r>
            <w:r>
              <w:rPr>
                <w:noProof/>
                <w:webHidden/>
              </w:rPr>
              <w:fldChar w:fldCharType="separate"/>
            </w:r>
            <w:r>
              <w:rPr>
                <w:noProof/>
                <w:webHidden/>
              </w:rPr>
              <w:t>11</w:t>
            </w:r>
            <w:r>
              <w:rPr>
                <w:noProof/>
                <w:webHidden/>
              </w:rPr>
              <w:fldChar w:fldCharType="end"/>
            </w:r>
          </w:hyperlink>
        </w:p>
        <w:p w14:paraId="7814E5CA" w14:textId="16CDC380" w:rsidR="00813F71" w:rsidRDefault="00813F71">
          <w:pPr>
            <w:pStyle w:val="TOC3"/>
            <w:tabs>
              <w:tab w:val="right" w:leader="dot" w:pos="9016"/>
            </w:tabs>
            <w:rPr>
              <w:rFonts w:asciiTheme="minorHAnsi" w:hAnsiTheme="minorHAnsi"/>
              <w:noProof/>
              <w:kern w:val="0"/>
              <w:lang w:eastAsia="en-GB"/>
              <w14:ligatures w14:val="none"/>
            </w:rPr>
          </w:pPr>
          <w:hyperlink w:anchor="_Toc231933932" w:history="1">
            <w:r w:rsidRPr="001543DB">
              <w:rPr>
                <w:rStyle w:val="Hyperlink"/>
                <w:noProof/>
              </w:rPr>
              <w:t>Research Aim</w:t>
            </w:r>
            <w:r>
              <w:rPr>
                <w:noProof/>
                <w:webHidden/>
              </w:rPr>
              <w:tab/>
            </w:r>
            <w:r>
              <w:rPr>
                <w:noProof/>
                <w:webHidden/>
              </w:rPr>
              <w:fldChar w:fldCharType="begin"/>
            </w:r>
            <w:r>
              <w:rPr>
                <w:noProof/>
                <w:webHidden/>
              </w:rPr>
              <w:instrText xml:space="preserve"> PAGEREF _Toc231933932 \h </w:instrText>
            </w:r>
            <w:r>
              <w:rPr>
                <w:noProof/>
                <w:webHidden/>
              </w:rPr>
            </w:r>
            <w:r>
              <w:rPr>
                <w:noProof/>
                <w:webHidden/>
              </w:rPr>
              <w:fldChar w:fldCharType="separate"/>
            </w:r>
            <w:r>
              <w:rPr>
                <w:noProof/>
                <w:webHidden/>
              </w:rPr>
              <w:t>11</w:t>
            </w:r>
            <w:r>
              <w:rPr>
                <w:noProof/>
                <w:webHidden/>
              </w:rPr>
              <w:fldChar w:fldCharType="end"/>
            </w:r>
          </w:hyperlink>
        </w:p>
        <w:p w14:paraId="54C06A98" w14:textId="6DC9059B" w:rsidR="00813F71" w:rsidRDefault="00813F71">
          <w:pPr>
            <w:pStyle w:val="TOC3"/>
            <w:tabs>
              <w:tab w:val="right" w:leader="dot" w:pos="9016"/>
            </w:tabs>
            <w:rPr>
              <w:rFonts w:asciiTheme="minorHAnsi" w:hAnsiTheme="minorHAnsi"/>
              <w:noProof/>
              <w:kern w:val="0"/>
              <w:lang w:eastAsia="en-GB"/>
              <w14:ligatures w14:val="none"/>
            </w:rPr>
          </w:pPr>
          <w:hyperlink w:anchor="_Toc231933933" w:history="1">
            <w:r w:rsidRPr="001543DB">
              <w:rPr>
                <w:rStyle w:val="Hyperlink"/>
                <w:noProof/>
              </w:rPr>
              <w:t>Research Objectives</w:t>
            </w:r>
            <w:r>
              <w:rPr>
                <w:noProof/>
                <w:webHidden/>
              </w:rPr>
              <w:tab/>
            </w:r>
            <w:r>
              <w:rPr>
                <w:noProof/>
                <w:webHidden/>
              </w:rPr>
              <w:fldChar w:fldCharType="begin"/>
            </w:r>
            <w:r>
              <w:rPr>
                <w:noProof/>
                <w:webHidden/>
              </w:rPr>
              <w:instrText xml:space="preserve"> PAGEREF _Toc231933933 \h </w:instrText>
            </w:r>
            <w:r>
              <w:rPr>
                <w:noProof/>
                <w:webHidden/>
              </w:rPr>
            </w:r>
            <w:r>
              <w:rPr>
                <w:noProof/>
                <w:webHidden/>
              </w:rPr>
              <w:fldChar w:fldCharType="separate"/>
            </w:r>
            <w:r>
              <w:rPr>
                <w:noProof/>
                <w:webHidden/>
              </w:rPr>
              <w:t>12</w:t>
            </w:r>
            <w:r>
              <w:rPr>
                <w:noProof/>
                <w:webHidden/>
              </w:rPr>
              <w:fldChar w:fldCharType="end"/>
            </w:r>
          </w:hyperlink>
        </w:p>
        <w:p w14:paraId="74C63EEE" w14:textId="611257B8" w:rsidR="00813F71" w:rsidRDefault="00813F71">
          <w:pPr>
            <w:pStyle w:val="TOC2"/>
            <w:tabs>
              <w:tab w:val="right" w:leader="dot" w:pos="9016"/>
            </w:tabs>
            <w:rPr>
              <w:rFonts w:asciiTheme="minorHAnsi" w:hAnsiTheme="minorHAnsi"/>
              <w:noProof/>
              <w:kern w:val="0"/>
              <w:lang w:eastAsia="en-GB"/>
              <w14:ligatures w14:val="none"/>
            </w:rPr>
          </w:pPr>
          <w:hyperlink w:anchor="_Toc231933934" w:history="1">
            <w:r w:rsidRPr="001543DB">
              <w:rPr>
                <w:rStyle w:val="Hyperlink"/>
                <w:noProof/>
              </w:rPr>
              <w:t>1.5 Conclusion</w:t>
            </w:r>
            <w:r>
              <w:rPr>
                <w:noProof/>
                <w:webHidden/>
              </w:rPr>
              <w:tab/>
            </w:r>
            <w:r>
              <w:rPr>
                <w:noProof/>
                <w:webHidden/>
              </w:rPr>
              <w:fldChar w:fldCharType="begin"/>
            </w:r>
            <w:r>
              <w:rPr>
                <w:noProof/>
                <w:webHidden/>
              </w:rPr>
              <w:instrText xml:space="preserve"> PAGEREF _Toc231933934 \h </w:instrText>
            </w:r>
            <w:r>
              <w:rPr>
                <w:noProof/>
                <w:webHidden/>
              </w:rPr>
            </w:r>
            <w:r>
              <w:rPr>
                <w:noProof/>
                <w:webHidden/>
              </w:rPr>
              <w:fldChar w:fldCharType="separate"/>
            </w:r>
            <w:r>
              <w:rPr>
                <w:noProof/>
                <w:webHidden/>
              </w:rPr>
              <w:t>12</w:t>
            </w:r>
            <w:r>
              <w:rPr>
                <w:noProof/>
                <w:webHidden/>
              </w:rPr>
              <w:fldChar w:fldCharType="end"/>
            </w:r>
          </w:hyperlink>
        </w:p>
        <w:p w14:paraId="74691802" w14:textId="52FDE99F" w:rsidR="00813F71" w:rsidRDefault="00813F71">
          <w:pPr>
            <w:pStyle w:val="TOC1"/>
            <w:tabs>
              <w:tab w:val="right" w:leader="dot" w:pos="9016"/>
            </w:tabs>
            <w:rPr>
              <w:rFonts w:asciiTheme="minorHAnsi" w:hAnsiTheme="minorHAnsi"/>
              <w:noProof/>
              <w:kern w:val="0"/>
              <w:lang w:eastAsia="en-GB"/>
              <w14:ligatures w14:val="none"/>
            </w:rPr>
          </w:pPr>
          <w:hyperlink w:anchor="_Toc231933935" w:history="1">
            <w:r w:rsidRPr="001543DB">
              <w:rPr>
                <w:rStyle w:val="Hyperlink"/>
                <w:noProof/>
                <w:lang w:bidi="en-GB"/>
              </w:rPr>
              <w:t>CHAPTER 2: Background Information and Analysis</w:t>
            </w:r>
            <w:r>
              <w:rPr>
                <w:noProof/>
                <w:webHidden/>
              </w:rPr>
              <w:tab/>
            </w:r>
            <w:r>
              <w:rPr>
                <w:noProof/>
                <w:webHidden/>
              </w:rPr>
              <w:fldChar w:fldCharType="begin"/>
            </w:r>
            <w:r>
              <w:rPr>
                <w:noProof/>
                <w:webHidden/>
              </w:rPr>
              <w:instrText xml:space="preserve"> PAGEREF _Toc231933935 \h </w:instrText>
            </w:r>
            <w:r>
              <w:rPr>
                <w:noProof/>
                <w:webHidden/>
              </w:rPr>
            </w:r>
            <w:r>
              <w:rPr>
                <w:noProof/>
                <w:webHidden/>
              </w:rPr>
              <w:fldChar w:fldCharType="separate"/>
            </w:r>
            <w:r>
              <w:rPr>
                <w:noProof/>
                <w:webHidden/>
              </w:rPr>
              <w:t>13</w:t>
            </w:r>
            <w:r>
              <w:rPr>
                <w:noProof/>
                <w:webHidden/>
              </w:rPr>
              <w:fldChar w:fldCharType="end"/>
            </w:r>
          </w:hyperlink>
        </w:p>
        <w:p w14:paraId="7ECB0620" w14:textId="30A260CF" w:rsidR="00813F71" w:rsidRDefault="00813F71">
          <w:pPr>
            <w:pStyle w:val="TOC2"/>
            <w:tabs>
              <w:tab w:val="right" w:leader="dot" w:pos="9016"/>
            </w:tabs>
            <w:rPr>
              <w:rFonts w:asciiTheme="minorHAnsi" w:hAnsiTheme="minorHAnsi"/>
              <w:noProof/>
              <w:kern w:val="0"/>
              <w:lang w:eastAsia="en-GB"/>
              <w14:ligatures w14:val="none"/>
            </w:rPr>
          </w:pPr>
          <w:hyperlink w:anchor="_Toc231933936" w:history="1">
            <w:r w:rsidRPr="001543DB">
              <w:rPr>
                <w:rStyle w:val="Hyperlink"/>
                <w:noProof/>
              </w:rPr>
              <w:t>2.1 Introduction</w:t>
            </w:r>
            <w:r>
              <w:rPr>
                <w:noProof/>
                <w:webHidden/>
              </w:rPr>
              <w:tab/>
            </w:r>
            <w:r>
              <w:rPr>
                <w:noProof/>
                <w:webHidden/>
              </w:rPr>
              <w:fldChar w:fldCharType="begin"/>
            </w:r>
            <w:r>
              <w:rPr>
                <w:noProof/>
                <w:webHidden/>
              </w:rPr>
              <w:instrText xml:space="preserve"> PAGEREF _Toc231933936 \h </w:instrText>
            </w:r>
            <w:r>
              <w:rPr>
                <w:noProof/>
                <w:webHidden/>
              </w:rPr>
            </w:r>
            <w:r>
              <w:rPr>
                <w:noProof/>
                <w:webHidden/>
              </w:rPr>
              <w:fldChar w:fldCharType="separate"/>
            </w:r>
            <w:r>
              <w:rPr>
                <w:noProof/>
                <w:webHidden/>
              </w:rPr>
              <w:t>13</w:t>
            </w:r>
            <w:r>
              <w:rPr>
                <w:noProof/>
                <w:webHidden/>
              </w:rPr>
              <w:fldChar w:fldCharType="end"/>
            </w:r>
          </w:hyperlink>
        </w:p>
        <w:p w14:paraId="4DB6EE23" w14:textId="6F98B177" w:rsidR="00813F71" w:rsidRDefault="00813F71">
          <w:pPr>
            <w:pStyle w:val="TOC2"/>
            <w:tabs>
              <w:tab w:val="right" w:leader="dot" w:pos="9016"/>
            </w:tabs>
            <w:rPr>
              <w:rFonts w:asciiTheme="minorHAnsi" w:hAnsiTheme="minorHAnsi"/>
              <w:noProof/>
              <w:kern w:val="0"/>
              <w:lang w:eastAsia="en-GB"/>
              <w14:ligatures w14:val="none"/>
            </w:rPr>
          </w:pPr>
          <w:hyperlink w:anchor="_Toc231933937" w:history="1">
            <w:r w:rsidRPr="001543DB">
              <w:rPr>
                <w:rStyle w:val="Hyperlink"/>
                <w:noProof/>
              </w:rPr>
              <w:t>2.2 Historical Background</w:t>
            </w:r>
            <w:r>
              <w:rPr>
                <w:noProof/>
                <w:webHidden/>
              </w:rPr>
              <w:tab/>
            </w:r>
            <w:r>
              <w:rPr>
                <w:noProof/>
                <w:webHidden/>
              </w:rPr>
              <w:fldChar w:fldCharType="begin"/>
            </w:r>
            <w:r>
              <w:rPr>
                <w:noProof/>
                <w:webHidden/>
              </w:rPr>
              <w:instrText xml:space="preserve"> PAGEREF _Toc231933937 \h </w:instrText>
            </w:r>
            <w:r>
              <w:rPr>
                <w:noProof/>
                <w:webHidden/>
              </w:rPr>
            </w:r>
            <w:r>
              <w:rPr>
                <w:noProof/>
                <w:webHidden/>
              </w:rPr>
              <w:fldChar w:fldCharType="separate"/>
            </w:r>
            <w:r>
              <w:rPr>
                <w:noProof/>
                <w:webHidden/>
              </w:rPr>
              <w:t>14</w:t>
            </w:r>
            <w:r>
              <w:rPr>
                <w:noProof/>
                <w:webHidden/>
              </w:rPr>
              <w:fldChar w:fldCharType="end"/>
            </w:r>
          </w:hyperlink>
        </w:p>
        <w:p w14:paraId="7DDA9FEF" w14:textId="7DD94A5A" w:rsidR="00813F71" w:rsidRDefault="00813F71">
          <w:pPr>
            <w:pStyle w:val="TOC2"/>
            <w:tabs>
              <w:tab w:val="right" w:leader="dot" w:pos="9016"/>
            </w:tabs>
            <w:rPr>
              <w:rFonts w:asciiTheme="minorHAnsi" w:hAnsiTheme="minorHAnsi"/>
              <w:noProof/>
              <w:kern w:val="0"/>
              <w:lang w:eastAsia="en-GB"/>
              <w14:ligatures w14:val="none"/>
            </w:rPr>
          </w:pPr>
          <w:hyperlink w:anchor="_Toc231933938" w:history="1">
            <w:r w:rsidRPr="001543DB">
              <w:rPr>
                <w:rStyle w:val="Hyperlink"/>
                <w:noProof/>
              </w:rPr>
              <w:t>2.3 Theoretical Background</w:t>
            </w:r>
            <w:r>
              <w:rPr>
                <w:noProof/>
                <w:webHidden/>
              </w:rPr>
              <w:tab/>
            </w:r>
            <w:r>
              <w:rPr>
                <w:noProof/>
                <w:webHidden/>
              </w:rPr>
              <w:fldChar w:fldCharType="begin"/>
            </w:r>
            <w:r>
              <w:rPr>
                <w:noProof/>
                <w:webHidden/>
              </w:rPr>
              <w:instrText xml:space="preserve"> PAGEREF _Toc231933938 \h </w:instrText>
            </w:r>
            <w:r>
              <w:rPr>
                <w:noProof/>
                <w:webHidden/>
              </w:rPr>
            </w:r>
            <w:r>
              <w:rPr>
                <w:noProof/>
                <w:webHidden/>
              </w:rPr>
              <w:fldChar w:fldCharType="separate"/>
            </w:r>
            <w:r>
              <w:rPr>
                <w:noProof/>
                <w:webHidden/>
              </w:rPr>
              <w:t>15</w:t>
            </w:r>
            <w:r>
              <w:rPr>
                <w:noProof/>
                <w:webHidden/>
              </w:rPr>
              <w:fldChar w:fldCharType="end"/>
            </w:r>
          </w:hyperlink>
        </w:p>
        <w:p w14:paraId="47369141" w14:textId="5A0E89C0" w:rsidR="00813F71" w:rsidRDefault="00813F71">
          <w:pPr>
            <w:pStyle w:val="TOC2"/>
            <w:tabs>
              <w:tab w:val="right" w:leader="dot" w:pos="9016"/>
            </w:tabs>
            <w:rPr>
              <w:rFonts w:asciiTheme="minorHAnsi" w:hAnsiTheme="minorHAnsi"/>
              <w:noProof/>
              <w:kern w:val="0"/>
              <w:lang w:eastAsia="en-GB"/>
              <w14:ligatures w14:val="none"/>
            </w:rPr>
          </w:pPr>
          <w:hyperlink w:anchor="_Toc231933939" w:history="1">
            <w:r w:rsidRPr="001543DB">
              <w:rPr>
                <w:rStyle w:val="Hyperlink"/>
                <w:noProof/>
              </w:rPr>
              <w:t>2.4 International Context</w:t>
            </w:r>
            <w:r>
              <w:rPr>
                <w:noProof/>
                <w:webHidden/>
              </w:rPr>
              <w:tab/>
            </w:r>
            <w:r>
              <w:rPr>
                <w:noProof/>
                <w:webHidden/>
              </w:rPr>
              <w:fldChar w:fldCharType="begin"/>
            </w:r>
            <w:r>
              <w:rPr>
                <w:noProof/>
                <w:webHidden/>
              </w:rPr>
              <w:instrText xml:space="preserve"> PAGEREF _Toc231933939 \h </w:instrText>
            </w:r>
            <w:r>
              <w:rPr>
                <w:noProof/>
                <w:webHidden/>
              </w:rPr>
            </w:r>
            <w:r>
              <w:rPr>
                <w:noProof/>
                <w:webHidden/>
              </w:rPr>
              <w:fldChar w:fldCharType="separate"/>
            </w:r>
            <w:r>
              <w:rPr>
                <w:noProof/>
                <w:webHidden/>
              </w:rPr>
              <w:t>18</w:t>
            </w:r>
            <w:r>
              <w:rPr>
                <w:noProof/>
                <w:webHidden/>
              </w:rPr>
              <w:fldChar w:fldCharType="end"/>
            </w:r>
          </w:hyperlink>
        </w:p>
        <w:p w14:paraId="136F4727" w14:textId="77D5E72B" w:rsidR="00813F71" w:rsidRDefault="00813F71">
          <w:pPr>
            <w:pStyle w:val="TOC2"/>
            <w:tabs>
              <w:tab w:val="right" w:leader="dot" w:pos="9016"/>
            </w:tabs>
            <w:rPr>
              <w:rFonts w:asciiTheme="minorHAnsi" w:hAnsiTheme="minorHAnsi"/>
              <w:noProof/>
              <w:kern w:val="0"/>
              <w:lang w:eastAsia="en-GB"/>
              <w14:ligatures w14:val="none"/>
            </w:rPr>
          </w:pPr>
          <w:hyperlink w:anchor="_Toc231933940" w:history="1">
            <w:r w:rsidRPr="001543DB">
              <w:rPr>
                <w:rStyle w:val="Hyperlink"/>
                <w:noProof/>
              </w:rPr>
              <w:t>2.5 National/Local UK Context</w:t>
            </w:r>
            <w:r>
              <w:rPr>
                <w:noProof/>
                <w:webHidden/>
              </w:rPr>
              <w:tab/>
            </w:r>
            <w:r>
              <w:rPr>
                <w:noProof/>
                <w:webHidden/>
              </w:rPr>
              <w:fldChar w:fldCharType="begin"/>
            </w:r>
            <w:r>
              <w:rPr>
                <w:noProof/>
                <w:webHidden/>
              </w:rPr>
              <w:instrText xml:space="preserve"> PAGEREF _Toc231933940 \h </w:instrText>
            </w:r>
            <w:r>
              <w:rPr>
                <w:noProof/>
                <w:webHidden/>
              </w:rPr>
            </w:r>
            <w:r>
              <w:rPr>
                <w:noProof/>
                <w:webHidden/>
              </w:rPr>
              <w:fldChar w:fldCharType="separate"/>
            </w:r>
            <w:r>
              <w:rPr>
                <w:noProof/>
                <w:webHidden/>
              </w:rPr>
              <w:t>19</w:t>
            </w:r>
            <w:r>
              <w:rPr>
                <w:noProof/>
                <w:webHidden/>
              </w:rPr>
              <w:fldChar w:fldCharType="end"/>
            </w:r>
          </w:hyperlink>
        </w:p>
        <w:p w14:paraId="2F096328" w14:textId="4F9444FF" w:rsidR="00813F71" w:rsidRDefault="00813F71">
          <w:pPr>
            <w:pStyle w:val="TOC2"/>
            <w:tabs>
              <w:tab w:val="right" w:leader="dot" w:pos="9016"/>
            </w:tabs>
            <w:rPr>
              <w:rFonts w:asciiTheme="minorHAnsi" w:hAnsiTheme="minorHAnsi"/>
              <w:noProof/>
              <w:kern w:val="0"/>
              <w:lang w:eastAsia="en-GB"/>
              <w14:ligatures w14:val="none"/>
            </w:rPr>
          </w:pPr>
          <w:hyperlink w:anchor="_Toc231933941" w:history="1">
            <w:r w:rsidRPr="001543DB">
              <w:rPr>
                <w:rStyle w:val="Hyperlink"/>
                <w:noProof/>
              </w:rPr>
              <w:t>2.6 Conclusion</w:t>
            </w:r>
            <w:r>
              <w:rPr>
                <w:noProof/>
                <w:webHidden/>
              </w:rPr>
              <w:tab/>
            </w:r>
            <w:r>
              <w:rPr>
                <w:noProof/>
                <w:webHidden/>
              </w:rPr>
              <w:fldChar w:fldCharType="begin"/>
            </w:r>
            <w:r>
              <w:rPr>
                <w:noProof/>
                <w:webHidden/>
              </w:rPr>
              <w:instrText xml:space="preserve"> PAGEREF _Toc231933941 \h </w:instrText>
            </w:r>
            <w:r>
              <w:rPr>
                <w:noProof/>
                <w:webHidden/>
              </w:rPr>
            </w:r>
            <w:r>
              <w:rPr>
                <w:noProof/>
                <w:webHidden/>
              </w:rPr>
              <w:fldChar w:fldCharType="separate"/>
            </w:r>
            <w:r>
              <w:rPr>
                <w:noProof/>
                <w:webHidden/>
              </w:rPr>
              <w:t>20</w:t>
            </w:r>
            <w:r>
              <w:rPr>
                <w:noProof/>
                <w:webHidden/>
              </w:rPr>
              <w:fldChar w:fldCharType="end"/>
            </w:r>
          </w:hyperlink>
        </w:p>
        <w:p w14:paraId="162DD405" w14:textId="40555EDE" w:rsidR="00813F71" w:rsidRDefault="00813F71">
          <w:pPr>
            <w:pStyle w:val="TOC1"/>
            <w:tabs>
              <w:tab w:val="right" w:leader="dot" w:pos="9016"/>
            </w:tabs>
            <w:rPr>
              <w:rFonts w:asciiTheme="minorHAnsi" w:hAnsiTheme="minorHAnsi"/>
              <w:noProof/>
              <w:kern w:val="0"/>
              <w:lang w:eastAsia="en-GB"/>
              <w14:ligatures w14:val="none"/>
            </w:rPr>
          </w:pPr>
          <w:hyperlink w:anchor="_Toc231933942" w:history="1">
            <w:r w:rsidRPr="001543DB">
              <w:rPr>
                <w:rStyle w:val="Hyperlink"/>
                <w:noProof/>
                <w:lang w:bidi="en-GB"/>
              </w:rPr>
              <w:t>CHAPTER 3: Methods and Search Strategy</w:t>
            </w:r>
            <w:r>
              <w:rPr>
                <w:noProof/>
                <w:webHidden/>
              </w:rPr>
              <w:tab/>
            </w:r>
            <w:r>
              <w:rPr>
                <w:noProof/>
                <w:webHidden/>
              </w:rPr>
              <w:fldChar w:fldCharType="begin"/>
            </w:r>
            <w:r>
              <w:rPr>
                <w:noProof/>
                <w:webHidden/>
              </w:rPr>
              <w:instrText xml:space="preserve"> PAGEREF _Toc231933942 \h </w:instrText>
            </w:r>
            <w:r>
              <w:rPr>
                <w:noProof/>
                <w:webHidden/>
              </w:rPr>
            </w:r>
            <w:r>
              <w:rPr>
                <w:noProof/>
                <w:webHidden/>
              </w:rPr>
              <w:fldChar w:fldCharType="separate"/>
            </w:r>
            <w:r>
              <w:rPr>
                <w:noProof/>
                <w:webHidden/>
              </w:rPr>
              <w:t>21</w:t>
            </w:r>
            <w:r>
              <w:rPr>
                <w:noProof/>
                <w:webHidden/>
              </w:rPr>
              <w:fldChar w:fldCharType="end"/>
            </w:r>
          </w:hyperlink>
        </w:p>
        <w:p w14:paraId="772B792A" w14:textId="58C13679" w:rsidR="00813F71" w:rsidRDefault="00813F71">
          <w:pPr>
            <w:pStyle w:val="TOC2"/>
            <w:tabs>
              <w:tab w:val="right" w:leader="dot" w:pos="9016"/>
            </w:tabs>
            <w:rPr>
              <w:rFonts w:asciiTheme="minorHAnsi" w:hAnsiTheme="minorHAnsi"/>
              <w:noProof/>
              <w:kern w:val="0"/>
              <w:lang w:eastAsia="en-GB"/>
              <w14:ligatures w14:val="none"/>
            </w:rPr>
          </w:pPr>
          <w:hyperlink w:anchor="_Toc231933943" w:history="1">
            <w:r w:rsidRPr="001543DB">
              <w:rPr>
                <w:rStyle w:val="Hyperlink"/>
                <w:noProof/>
              </w:rPr>
              <w:t>3.1 – Introduction</w:t>
            </w:r>
            <w:r>
              <w:rPr>
                <w:noProof/>
                <w:webHidden/>
              </w:rPr>
              <w:tab/>
            </w:r>
            <w:r>
              <w:rPr>
                <w:noProof/>
                <w:webHidden/>
              </w:rPr>
              <w:fldChar w:fldCharType="begin"/>
            </w:r>
            <w:r>
              <w:rPr>
                <w:noProof/>
                <w:webHidden/>
              </w:rPr>
              <w:instrText xml:space="preserve"> PAGEREF _Toc231933943 \h </w:instrText>
            </w:r>
            <w:r>
              <w:rPr>
                <w:noProof/>
                <w:webHidden/>
              </w:rPr>
            </w:r>
            <w:r>
              <w:rPr>
                <w:noProof/>
                <w:webHidden/>
              </w:rPr>
              <w:fldChar w:fldCharType="separate"/>
            </w:r>
            <w:r>
              <w:rPr>
                <w:noProof/>
                <w:webHidden/>
              </w:rPr>
              <w:t>21</w:t>
            </w:r>
            <w:r>
              <w:rPr>
                <w:noProof/>
                <w:webHidden/>
              </w:rPr>
              <w:fldChar w:fldCharType="end"/>
            </w:r>
          </w:hyperlink>
        </w:p>
        <w:p w14:paraId="59D426AF" w14:textId="318169A1" w:rsidR="00813F71" w:rsidRDefault="00813F71">
          <w:pPr>
            <w:pStyle w:val="TOC2"/>
            <w:tabs>
              <w:tab w:val="right" w:leader="dot" w:pos="9016"/>
            </w:tabs>
            <w:rPr>
              <w:rFonts w:asciiTheme="minorHAnsi" w:hAnsiTheme="minorHAnsi"/>
              <w:noProof/>
              <w:kern w:val="0"/>
              <w:lang w:eastAsia="en-GB"/>
              <w14:ligatures w14:val="none"/>
            </w:rPr>
          </w:pPr>
          <w:hyperlink w:anchor="_Toc231933944" w:history="1">
            <w:r w:rsidRPr="001543DB">
              <w:rPr>
                <w:rStyle w:val="Hyperlink"/>
                <w:noProof/>
              </w:rPr>
              <w:t>3.2 – Search Strategy</w:t>
            </w:r>
            <w:r>
              <w:rPr>
                <w:noProof/>
                <w:webHidden/>
              </w:rPr>
              <w:tab/>
            </w:r>
            <w:r>
              <w:rPr>
                <w:noProof/>
                <w:webHidden/>
              </w:rPr>
              <w:fldChar w:fldCharType="begin"/>
            </w:r>
            <w:r>
              <w:rPr>
                <w:noProof/>
                <w:webHidden/>
              </w:rPr>
              <w:instrText xml:space="preserve"> PAGEREF _Toc231933944 \h </w:instrText>
            </w:r>
            <w:r>
              <w:rPr>
                <w:noProof/>
                <w:webHidden/>
              </w:rPr>
            </w:r>
            <w:r>
              <w:rPr>
                <w:noProof/>
                <w:webHidden/>
              </w:rPr>
              <w:fldChar w:fldCharType="separate"/>
            </w:r>
            <w:r>
              <w:rPr>
                <w:noProof/>
                <w:webHidden/>
              </w:rPr>
              <w:t>21</w:t>
            </w:r>
            <w:r>
              <w:rPr>
                <w:noProof/>
                <w:webHidden/>
              </w:rPr>
              <w:fldChar w:fldCharType="end"/>
            </w:r>
          </w:hyperlink>
        </w:p>
        <w:p w14:paraId="3ADCED1A" w14:textId="764E4098" w:rsidR="00813F71" w:rsidRDefault="00813F71">
          <w:pPr>
            <w:pStyle w:val="TOC2"/>
            <w:tabs>
              <w:tab w:val="right" w:leader="dot" w:pos="9016"/>
            </w:tabs>
            <w:rPr>
              <w:rFonts w:asciiTheme="minorHAnsi" w:hAnsiTheme="minorHAnsi"/>
              <w:noProof/>
              <w:kern w:val="0"/>
              <w:lang w:eastAsia="en-GB"/>
              <w14:ligatures w14:val="none"/>
            </w:rPr>
          </w:pPr>
          <w:hyperlink w:anchor="_Toc231933945" w:history="1">
            <w:r w:rsidRPr="001543DB">
              <w:rPr>
                <w:rStyle w:val="Hyperlink"/>
                <w:noProof/>
              </w:rPr>
              <w:t>3.3 – Searching for Information</w:t>
            </w:r>
            <w:r>
              <w:rPr>
                <w:noProof/>
                <w:webHidden/>
              </w:rPr>
              <w:tab/>
            </w:r>
            <w:r>
              <w:rPr>
                <w:noProof/>
                <w:webHidden/>
              </w:rPr>
              <w:fldChar w:fldCharType="begin"/>
            </w:r>
            <w:r>
              <w:rPr>
                <w:noProof/>
                <w:webHidden/>
              </w:rPr>
              <w:instrText xml:space="preserve"> PAGEREF _Toc231933945 \h </w:instrText>
            </w:r>
            <w:r>
              <w:rPr>
                <w:noProof/>
                <w:webHidden/>
              </w:rPr>
            </w:r>
            <w:r>
              <w:rPr>
                <w:noProof/>
                <w:webHidden/>
              </w:rPr>
              <w:fldChar w:fldCharType="separate"/>
            </w:r>
            <w:r>
              <w:rPr>
                <w:noProof/>
                <w:webHidden/>
              </w:rPr>
              <w:t>21</w:t>
            </w:r>
            <w:r>
              <w:rPr>
                <w:noProof/>
                <w:webHidden/>
              </w:rPr>
              <w:fldChar w:fldCharType="end"/>
            </w:r>
          </w:hyperlink>
        </w:p>
        <w:p w14:paraId="4880DD01" w14:textId="5B30012C" w:rsidR="00813F71" w:rsidRDefault="00813F71">
          <w:pPr>
            <w:pStyle w:val="TOC2"/>
            <w:tabs>
              <w:tab w:val="right" w:leader="dot" w:pos="9016"/>
            </w:tabs>
            <w:rPr>
              <w:rFonts w:asciiTheme="minorHAnsi" w:hAnsiTheme="minorHAnsi"/>
              <w:noProof/>
              <w:kern w:val="0"/>
              <w:lang w:eastAsia="en-GB"/>
              <w14:ligatures w14:val="none"/>
            </w:rPr>
          </w:pPr>
          <w:hyperlink w:anchor="_Toc231933946" w:history="1">
            <w:r w:rsidRPr="001543DB">
              <w:rPr>
                <w:rStyle w:val="Hyperlink"/>
                <w:noProof/>
              </w:rPr>
              <w:t>3.4 – Research Validation</w:t>
            </w:r>
            <w:r>
              <w:rPr>
                <w:noProof/>
                <w:webHidden/>
              </w:rPr>
              <w:tab/>
            </w:r>
            <w:r>
              <w:rPr>
                <w:noProof/>
                <w:webHidden/>
              </w:rPr>
              <w:fldChar w:fldCharType="begin"/>
            </w:r>
            <w:r>
              <w:rPr>
                <w:noProof/>
                <w:webHidden/>
              </w:rPr>
              <w:instrText xml:space="preserve"> PAGEREF _Toc231933946 \h </w:instrText>
            </w:r>
            <w:r>
              <w:rPr>
                <w:noProof/>
                <w:webHidden/>
              </w:rPr>
            </w:r>
            <w:r>
              <w:rPr>
                <w:noProof/>
                <w:webHidden/>
              </w:rPr>
              <w:fldChar w:fldCharType="separate"/>
            </w:r>
            <w:r>
              <w:rPr>
                <w:noProof/>
                <w:webHidden/>
              </w:rPr>
              <w:t>22</w:t>
            </w:r>
            <w:r>
              <w:rPr>
                <w:noProof/>
                <w:webHidden/>
              </w:rPr>
              <w:fldChar w:fldCharType="end"/>
            </w:r>
          </w:hyperlink>
        </w:p>
        <w:p w14:paraId="12AB520C" w14:textId="3EFC1AAB" w:rsidR="00813F71" w:rsidRDefault="00813F71">
          <w:pPr>
            <w:pStyle w:val="TOC2"/>
            <w:tabs>
              <w:tab w:val="right" w:leader="dot" w:pos="9016"/>
            </w:tabs>
            <w:rPr>
              <w:rFonts w:asciiTheme="minorHAnsi" w:hAnsiTheme="minorHAnsi"/>
              <w:noProof/>
              <w:kern w:val="0"/>
              <w:lang w:eastAsia="en-GB"/>
              <w14:ligatures w14:val="none"/>
            </w:rPr>
          </w:pPr>
          <w:hyperlink w:anchor="_Toc231933947" w:history="1">
            <w:r w:rsidRPr="001543DB">
              <w:rPr>
                <w:rStyle w:val="Hyperlink"/>
                <w:noProof/>
              </w:rPr>
              <w:t>3.5 - Inclusion and Exclusion Criteria</w:t>
            </w:r>
            <w:r>
              <w:rPr>
                <w:noProof/>
                <w:webHidden/>
              </w:rPr>
              <w:tab/>
            </w:r>
            <w:r>
              <w:rPr>
                <w:noProof/>
                <w:webHidden/>
              </w:rPr>
              <w:fldChar w:fldCharType="begin"/>
            </w:r>
            <w:r>
              <w:rPr>
                <w:noProof/>
                <w:webHidden/>
              </w:rPr>
              <w:instrText xml:space="preserve"> PAGEREF _Toc231933947 \h </w:instrText>
            </w:r>
            <w:r>
              <w:rPr>
                <w:noProof/>
                <w:webHidden/>
              </w:rPr>
            </w:r>
            <w:r>
              <w:rPr>
                <w:noProof/>
                <w:webHidden/>
              </w:rPr>
              <w:fldChar w:fldCharType="separate"/>
            </w:r>
            <w:r>
              <w:rPr>
                <w:noProof/>
                <w:webHidden/>
              </w:rPr>
              <w:t>22</w:t>
            </w:r>
            <w:r>
              <w:rPr>
                <w:noProof/>
                <w:webHidden/>
              </w:rPr>
              <w:fldChar w:fldCharType="end"/>
            </w:r>
          </w:hyperlink>
        </w:p>
        <w:p w14:paraId="5177524D" w14:textId="3C7C0875" w:rsidR="00813F71" w:rsidRDefault="00813F71">
          <w:pPr>
            <w:pStyle w:val="TOC2"/>
            <w:tabs>
              <w:tab w:val="right" w:leader="dot" w:pos="9016"/>
            </w:tabs>
            <w:rPr>
              <w:rFonts w:asciiTheme="minorHAnsi" w:hAnsiTheme="minorHAnsi"/>
              <w:noProof/>
              <w:kern w:val="0"/>
              <w:lang w:eastAsia="en-GB"/>
              <w14:ligatures w14:val="none"/>
            </w:rPr>
          </w:pPr>
          <w:hyperlink w:anchor="_Toc231933948" w:history="1">
            <w:r w:rsidRPr="001543DB">
              <w:rPr>
                <w:rStyle w:val="Hyperlink"/>
                <w:noProof/>
              </w:rPr>
              <w:t>3.6 – Analysing Research</w:t>
            </w:r>
            <w:r>
              <w:rPr>
                <w:noProof/>
                <w:webHidden/>
              </w:rPr>
              <w:tab/>
            </w:r>
            <w:r>
              <w:rPr>
                <w:noProof/>
                <w:webHidden/>
              </w:rPr>
              <w:fldChar w:fldCharType="begin"/>
            </w:r>
            <w:r>
              <w:rPr>
                <w:noProof/>
                <w:webHidden/>
              </w:rPr>
              <w:instrText xml:space="preserve"> PAGEREF _Toc231933948 \h </w:instrText>
            </w:r>
            <w:r>
              <w:rPr>
                <w:noProof/>
                <w:webHidden/>
              </w:rPr>
            </w:r>
            <w:r>
              <w:rPr>
                <w:noProof/>
                <w:webHidden/>
              </w:rPr>
              <w:fldChar w:fldCharType="separate"/>
            </w:r>
            <w:r>
              <w:rPr>
                <w:noProof/>
                <w:webHidden/>
              </w:rPr>
              <w:t>23</w:t>
            </w:r>
            <w:r>
              <w:rPr>
                <w:noProof/>
                <w:webHidden/>
              </w:rPr>
              <w:fldChar w:fldCharType="end"/>
            </w:r>
          </w:hyperlink>
        </w:p>
        <w:p w14:paraId="699D39CC" w14:textId="354A406F" w:rsidR="00813F71" w:rsidRDefault="00813F71">
          <w:pPr>
            <w:pStyle w:val="TOC2"/>
            <w:tabs>
              <w:tab w:val="right" w:leader="dot" w:pos="9016"/>
            </w:tabs>
            <w:rPr>
              <w:rFonts w:asciiTheme="minorHAnsi" w:hAnsiTheme="minorHAnsi"/>
              <w:noProof/>
              <w:kern w:val="0"/>
              <w:lang w:eastAsia="en-GB"/>
              <w14:ligatures w14:val="none"/>
            </w:rPr>
          </w:pPr>
          <w:hyperlink w:anchor="_Toc231933949" w:history="1">
            <w:r w:rsidRPr="001543DB">
              <w:rPr>
                <w:rStyle w:val="Hyperlink"/>
                <w:noProof/>
              </w:rPr>
              <w:t>3.7 – Ethical Considerations</w:t>
            </w:r>
            <w:r>
              <w:rPr>
                <w:noProof/>
                <w:webHidden/>
              </w:rPr>
              <w:tab/>
            </w:r>
            <w:r>
              <w:rPr>
                <w:noProof/>
                <w:webHidden/>
              </w:rPr>
              <w:fldChar w:fldCharType="begin"/>
            </w:r>
            <w:r>
              <w:rPr>
                <w:noProof/>
                <w:webHidden/>
              </w:rPr>
              <w:instrText xml:space="preserve"> PAGEREF _Toc231933949 \h </w:instrText>
            </w:r>
            <w:r>
              <w:rPr>
                <w:noProof/>
                <w:webHidden/>
              </w:rPr>
            </w:r>
            <w:r>
              <w:rPr>
                <w:noProof/>
                <w:webHidden/>
              </w:rPr>
              <w:fldChar w:fldCharType="separate"/>
            </w:r>
            <w:r>
              <w:rPr>
                <w:noProof/>
                <w:webHidden/>
              </w:rPr>
              <w:t>23</w:t>
            </w:r>
            <w:r>
              <w:rPr>
                <w:noProof/>
                <w:webHidden/>
              </w:rPr>
              <w:fldChar w:fldCharType="end"/>
            </w:r>
          </w:hyperlink>
        </w:p>
        <w:p w14:paraId="4FBF418B" w14:textId="224CFBDE" w:rsidR="00813F71" w:rsidRDefault="00813F71">
          <w:pPr>
            <w:pStyle w:val="TOC2"/>
            <w:tabs>
              <w:tab w:val="right" w:leader="dot" w:pos="9016"/>
            </w:tabs>
            <w:rPr>
              <w:rFonts w:asciiTheme="minorHAnsi" w:hAnsiTheme="minorHAnsi"/>
              <w:noProof/>
              <w:kern w:val="0"/>
              <w:lang w:eastAsia="en-GB"/>
              <w14:ligatures w14:val="none"/>
            </w:rPr>
          </w:pPr>
          <w:hyperlink w:anchor="_Toc231933950" w:history="1">
            <w:r w:rsidRPr="001543DB">
              <w:rPr>
                <w:rStyle w:val="Hyperlink"/>
                <w:noProof/>
              </w:rPr>
              <w:t>3.8 – Chapter Conclusion</w:t>
            </w:r>
            <w:r>
              <w:rPr>
                <w:noProof/>
                <w:webHidden/>
              </w:rPr>
              <w:tab/>
            </w:r>
            <w:r>
              <w:rPr>
                <w:noProof/>
                <w:webHidden/>
              </w:rPr>
              <w:fldChar w:fldCharType="begin"/>
            </w:r>
            <w:r>
              <w:rPr>
                <w:noProof/>
                <w:webHidden/>
              </w:rPr>
              <w:instrText xml:space="preserve"> PAGEREF _Toc231933950 \h </w:instrText>
            </w:r>
            <w:r>
              <w:rPr>
                <w:noProof/>
                <w:webHidden/>
              </w:rPr>
            </w:r>
            <w:r>
              <w:rPr>
                <w:noProof/>
                <w:webHidden/>
              </w:rPr>
              <w:fldChar w:fldCharType="separate"/>
            </w:r>
            <w:r>
              <w:rPr>
                <w:noProof/>
                <w:webHidden/>
              </w:rPr>
              <w:t>23</w:t>
            </w:r>
            <w:r>
              <w:rPr>
                <w:noProof/>
                <w:webHidden/>
              </w:rPr>
              <w:fldChar w:fldCharType="end"/>
            </w:r>
          </w:hyperlink>
        </w:p>
        <w:p w14:paraId="181C49E0" w14:textId="3D1401D7" w:rsidR="00813F71" w:rsidRDefault="00813F71" w:rsidP="002C657F">
          <w:pPr>
            <w:pStyle w:val="TOC1"/>
            <w:tabs>
              <w:tab w:val="right" w:leader="dot" w:pos="9016"/>
            </w:tabs>
            <w:rPr>
              <w:rFonts w:asciiTheme="minorHAnsi" w:hAnsiTheme="minorHAnsi"/>
              <w:noProof/>
              <w:kern w:val="0"/>
              <w:lang w:eastAsia="en-GB"/>
              <w14:ligatures w14:val="none"/>
            </w:rPr>
          </w:pPr>
        </w:p>
        <w:p w14:paraId="21CE1B2E" w14:textId="4574B0C2" w:rsidR="00D232D3" w:rsidRDefault="00D232D3">
          <w:r>
            <w:rPr>
              <w:b/>
              <w:bCs/>
              <w:noProof/>
            </w:rPr>
            <w:fldChar w:fldCharType="end"/>
          </w:r>
        </w:p>
      </w:sdtContent>
    </w:sdt>
    <w:p w14:paraId="756C3EE0" w14:textId="20F79D65" w:rsidR="00804B94" w:rsidRDefault="00804B94" w:rsidP="00AC01F9"/>
    <w:p w14:paraId="565DF4AC" w14:textId="77777777" w:rsidR="00AC01F9" w:rsidRDefault="00AC01F9" w:rsidP="00AC01F9"/>
    <w:p w14:paraId="3C16BC88" w14:textId="4F4B909C" w:rsidR="00804B94" w:rsidRDefault="00AC01F9" w:rsidP="00AC01F9">
      <w:pPr>
        <w:spacing w:line="259" w:lineRule="auto"/>
        <w:jc w:val="left"/>
      </w:pPr>
      <w:r>
        <w:br w:type="page"/>
      </w:r>
    </w:p>
    <w:p w14:paraId="69941E5D" w14:textId="3646B24C" w:rsidR="00EF6341" w:rsidRPr="00AC01F9" w:rsidRDefault="00730C3C" w:rsidP="004620D2">
      <w:pPr>
        <w:pStyle w:val="Heading1"/>
      </w:pPr>
      <w:bookmarkStart w:id="4" w:name="_Toc231933927"/>
      <w:bookmarkStart w:id="5" w:name="_Hlk231933991"/>
      <w:r w:rsidRPr="00730C3C">
        <w:lastRenderedPageBreak/>
        <w:t>CHAPTER 1: Introducti</w:t>
      </w:r>
      <w:r w:rsidR="00AC01F9">
        <w:t>on</w:t>
      </w:r>
      <w:bookmarkEnd w:id="4"/>
    </w:p>
    <w:p w14:paraId="18072CD8" w14:textId="3B8ADF0B" w:rsidR="00BD2909" w:rsidRDefault="00BD2909" w:rsidP="00AE0BB5">
      <w:pPr>
        <w:pStyle w:val="Heading2"/>
        <w:rPr>
          <w:rStyle w:val="normaltextrun"/>
        </w:rPr>
      </w:pPr>
      <w:bookmarkStart w:id="6" w:name="_Toc231933928"/>
      <w:r w:rsidRPr="00AE0BB5">
        <w:rPr>
          <w:rStyle w:val="normaltextrun"/>
        </w:rPr>
        <w:t>1.1 Introduction</w:t>
      </w:r>
      <w:bookmarkEnd w:id="6"/>
    </w:p>
    <w:p w14:paraId="6FBDE580" w14:textId="1B81DE7E" w:rsidR="00F312F7" w:rsidRPr="001F32DB" w:rsidRDefault="00F312F7" w:rsidP="001F32DB">
      <w:pPr>
        <w:rPr>
          <w:rFonts w:ascii="Arial" w:hAnsi="Arial" w:cs="Arial"/>
        </w:rPr>
      </w:pPr>
      <w:r w:rsidRPr="001F32DB">
        <w:rPr>
          <w:rFonts w:ascii="Arial" w:hAnsi="Arial" w:cs="Arial"/>
        </w:rPr>
        <w:t>Early diagnosis of older adults with dementia has emerged as a fast-growing healthcare issue because of the rapid increase in the ageing population and the greater prevalence of cognitive disorders on the global scene. The prevalence of dementia is high: more than 57 million individuals are diagnosed annually worldwide, and the numbers are likely to increase tremendously in the next decades (World Health Organisation, 2025). Normal cognitive ageing involves mild, non-progressive changes such as slower processing and minor memory decline, changing without affecting everyday functioning, but on the other hand, early-stage dementia is linked to gradual and progressive deterioration in cognitive functions, accompanied by a loss in functional capabilities. The distinction between normal ageing and early-stage dementia is often unclear, as early symptoms can be subtle and are often mistaken for branches of normal ageing, making intervention and diagnosis slow.</w:t>
      </w:r>
    </w:p>
    <w:p w14:paraId="631A4E78" w14:textId="77777777" w:rsidR="00F312F7" w:rsidRPr="001F32DB" w:rsidRDefault="00F312F7" w:rsidP="001F32DB">
      <w:pPr>
        <w:keepNext/>
        <w:jc w:val="center"/>
        <w:rPr>
          <w:rFonts w:ascii="Arial" w:hAnsi="Arial" w:cs="Arial"/>
        </w:rPr>
      </w:pPr>
      <w:r w:rsidRPr="001F32DB">
        <w:rPr>
          <w:rFonts w:ascii="Arial" w:hAnsi="Arial" w:cs="Arial"/>
          <w:noProof/>
        </w:rPr>
        <w:drawing>
          <wp:inline distT="0" distB="0" distL="0" distR="0" wp14:anchorId="29881560" wp14:editId="64A8C4FC">
            <wp:extent cx="2999489" cy="265154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003450" cy="2655048"/>
                    </a:xfrm>
                    <a:prstGeom prst="rect">
                      <a:avLst/>
                    </a:prstGeom>
                    <a:noFill/>
                  </pic:spPr>
                </pic:pic>
              </a:graphicData>
            </a:graphic>
          </wp:inline>
        </w:drawing>
      </w:r>
    </w:p>
    <w:p w14:paraId="03412BE3" w14:textId="5F9CFD23" w:rsidR="00F312F7" w:rsidRPr="001F32DB" w:rsidRDefault="00F312F7" w:rsidP="001F32DB">
      <w:pPr>
        <w:pStyle w:val="Caption"/>
        <w:spacing w:line="360" w:lineRule="auto"/>
        <w:jc w:val="both"/>
        <w:rPr>
          <w:rFonts w:ascii="Arial" w:hAnsi="Arial" w:cs="Arial"/>
          <w:sz w:val="22"/>
          <w:szCs w:val="22"/>
        </w:rPr>
      </w:pPr>
      <w:r w:rsidRPr="001F32DB">
        <w:rPr>
          <w:rFonts w:ascii="Arial" w:hAnsi="Arial" w:cs="Arial"/>
          <w:sz w:val="22"/>
          <w:szCs w:val="22"/>
        </w:rPr>
        <w:t xml:space="preserve">Figure </w:t>
      </w:r>
      <w:r w:rsidR="00142A15" w:rsidRPr="001F32DB">
        <w:rPr>
          <w:rFonts w:ascii="Arial" w:hAnsi="Arial" w:cs="Arial"/>
          <w:sz w:val="22"/>
          <w:szCs w:val="22"/>
        </w:rPr>
        <w:fldChar w:fldCharType="begin"/>
      </w:r>
      <w:r w:rsidR="00142A15" w:rsidRPr="001F32DB">
        <w:rPr>
          <w:rFonts w:ascii="Arial" w:hAnsi="Arial" w:cs="Arial"/>
          <w:sz w:val="22"/>
          <w:szCs w:val="22"/>
        </w:rPr>
        <w:instrText xml:space="preserve"> SEQ Figure \* ARABIC </w:instrText>
      </w:r>
      <w:r w:rsidR="00142A15" w:rsidRPr="001F32DB">
        <w:rPr>
          <w:rFonts w:ascii="Arial" w:hAnsi="Arial" w:cs="Arial"/>
          <w:sz w:val="22"/>
          <w:szCs w:val="22"/>
        </w:rPr>
        <w:fldChar w:fldCharType="separate"/>
      </w:r>
      <w:r w:rsidR="00813F71" w:rsidRPr="001F32DB">
        <w:rPr>
          <w:rFonts w:ascii="Arial" w:hAnsi="Arial" w:cs="Arial"/>
          <w:noProof/>
          <w:sz w:val="22"/>
          <w:szCs w:val="22"/>
        </w:rPr>
        <w:t>1</w:t>
      </w:r>
      <w:r w:rsidR="00142A15" w:rsidRPr="001F32DB">
        <w:rPr>
          <w:rFonts w:ascii="Arial" w:hAnsi="Arial" w:cs="Arial"/>
          <w:noProof/>
          <w:sz w:val="22"/>
          <w:szCs w:val="22"/>
        </w:rPr>
        <w:fldChar w:fldCharType="end"/>
      </w:r>
      <w:r w:rsidRPr="001F32DB">
        <w:rPr>
          <w:rFonts w:ascii="Arial" w:hAnsi="Arial" w:cs="Arial"/>
          <w:sz w:val="22"/>
          <w:szCs w:val="22"/>
        </w:rPr>
        <w:t xml:space="preserve"> (Springer, 2023)</w:t>
      </w:r>
    </w:p>
    <w:p w14:paraId="763D5238" w14:textId="77777777" w:rsidR="00F312F7" w:rsidRPr="001F32DB" w:rsidRDefault="00F312F7" w:rsidP="001F32DB">
      <w:pPr>
        <w:rPr>
          <w:rFonts w:ascii="Arial" w:hAnsi="Arial" w:cs="Arial"/>
        </w:rPr>
      </w:pPr>
      <w:r w:rsidRPr="001F32DB">
        <w:rPr>
          <w:rFonts w:ascii="Arial" w:hAnsi="Arial" w:cs="Arial"/>
        </w:rPr>
        <w:t xml:space="preserve">Cognitive impairment must be detected promptly because its early detection was associated with planning care, improved symptom management and a better-quality life; better outcomes were reported for both patients and caregivers (Fowler </w:t>
      </w:r>
      <w:r w:rsidRPr="00F812D3">
        <w:rPr>
          <w:rFonts w:ascii="Arial" w:hAnsi="Arial" w:cs="Arial"/>
          <w:i/>
          <w:iCs/>
        </w:rPr>
        <w:t>et al.,</w:t>
      </w:r>
      <w:r w:rsidRPr="001F32DB">
        <w:rPr>
          <w:rFonts w:ascii="Arial" w:hAnsi="Arial" w:cs="Arial"/>
        </w:rPr>
        <w:t xml:space="preserve"> 2025). This process is significant because nursing practitioners spend most of their time with older adults, which puts them in an advantageous position to notice the initial changes in their behaviour and cognition. The structured tools of cognitive assessment, including the Mini-Mental State Examination and Montreal Cognitive Assessment, have been extensively implemented to supplement clinical judgement, but the issues with sensitivity and practicability are still present (Wang </w:t>
      </w:r>
      <w:r w:rsidRPr="00F812D3">
        <w:rPr>
          <w:rFonts w:ascii="Arial" w:hAnsi="Arial" w:cs="Arial"/>
          <w:i/>
          <w:iCs/>
        </w:rPr>
        <w:t>et al</w:t>
      </w:r>
      <w:r w:rsidRPr="001F32DB">
        <w:rPr>
          <w:rFonts w:ascii="Arial" w:hAnsi="Arial" w:cs="Arial"/>
        </w:rPr>
        <w:t xml:space="preserve">., 2022). </w:t>
      </w:r>
      <w:r w:rsidRPr="001F32DB">
        <w:rPr>
          <w:rFonts w:ascii="Arial" w:hAnsi="Arial" w:cs="Arial"/>
        </w:rPr>
        <w:lastRenderedPageBreak/>
        <w:t>This dissertation will be primarily aimed at critically reviewing evidence-based methods of differentiating between normal cognitive and early-stage dementia, particularly in how nursing practise can enhance the accuracy of diagnosis.</w:t>
      </w:r>
    </w:p>
    <w:p w14:paraId="599B79FE" w14:textId="77777777" w:rsidR="00AE0BB5" w:rsidRPr="001F32DB" w:rsidRDefault="00AE0BB5" w:rsidP="001F32DB">
      <w:pPr>
        <w:rPr>
          <w:rFonts w:ascii="Arial" w:hAnsi="Arial" w:cs="Arial"/>
        </w:rPr>
      </w:pPr>
    </w:p>
    <w:p w14:paraId="4BC66D2F" w14:textId="3F78ED37" w:rsidR="00BD2909" w:rsidRPr="001F32DB" w:rsidRDefault="00BD2909" w:rsidP="001F32DB">
      <w:pPr>
        <w:pStyle w:val="Heading2"/>
        <w:jc w:val="both"/>
        <w:rPr>
          <w:rStyle w:val="normaltextrun"/>
          <w:rFonts w:ascii="Arial" w:hAnsi="Arial"/>
          <w:sz w:val="22"/>
          <w:szCs w:val="22"/>
        </w:rPr>
      </w:pPr>
      <w:bookmarkStart w:id="7" w:name="_Toc231933929"/>
      <w:r w:rsidRPr="001F32DB">
        <w:rPr>
          <w:rStyle w:val="normaltextrun"/>
          <w:rFonts w:ascii="Arial" w:hAnsi="Arial"/>
          <w:sz w:val="22"/>
          <w:szCs w:val="22"/>
        </w:rPr>
        <w:t>1.2 Definitions and Terminology</w:t>
      </w:r>
      <w:bookmarkEnd w:id="7"/>
    </w:p>
    <w:p w14:paraId="6C568B97" w14:textId="6A855C78" w:rsidR="00B956B3" w:rsidRPr="001F32DB" w:rsidRDefault="00B956B3" w:rsidP="001F32DB">
      <w:pPr>
        <w:rPr>
          <w:rFonts w:ascii="Arial" w:hAnsi="Arial" w:cs="Arial"/>
        </w:rPr>
      </w:pPr>
      <w:r w:rsidRPr="001F32DB">
        <w:rPr>
          <w:rFonts w:ascii="Arial" w:hAnsi="Arial" w:cs="Arial"/>
        </w:rPr>
        <w:t xml:space="preserve">The definition of Terminology and Concepts is vital in the identification of early stages of dementia in nursing practice. Dementia is a condition marked by progressive cognitive deterioration, which includes loss of memory, impaired thought </w:t>
      </w:r>
      <w:r w:rsidR="00F812D3">
        <w:rPr>
          <w:rFonts w:ascii="Arial" w:hAnsi="Arial" w:cs="Arial"/>
        </w:rPr>
        <w:t>processes</w:t>
      </w:r>
      <w:r w:rsidRPr="001F32DB">
        <w:rPr>
          <w:rFonts w:ascii="Arial" w:hAnsi="Arial" w:cs="Arial"/>
        </w:rPr>
        <w:t xml:space="preserve">, lack of proper orientation, and poor decision-making, which impacts daily life activities (World Health Organisation, 2025). In contrast, age-related cognitive decline entails non-pathological changes, such as slowed processing speed and occasional forgetting, without any significant impact on autonomy. Mild Cognitive Impairment (MCI) entails a condition between normal ageing and dementia, with cognitive dysfunction but with preserved functionality (Bradfield, 2023). </w:t>
      </w:r>
    </w:p>
    <w:p w14:paraId="4F360C80" w14:textId="77777777" w:rsidR="00B956B3" w:rsidRPr="001F32DB" w:rsidRDefault="00B956B3" w:rsidP="001F32DB">
      <w:pPr>
        <w:keepNext/>
        <w:jc w:val="center"/>
        <w:rPr>
          <w:rFonts w:ascii="Arial" w:hAnsi="Arial" w:cs="Arial"/>
        </w:rPr>
      </w:pPr>
      <w:r w:rsidRPr="001F32DB">
        <w:rPr>
          <w:rFonts w:ascii="Arial" w:hAnsi="Arial" w:cs="Arial"/>
          <w:noProof/>
        </w:rPr>
        <w:drawing>
          <wp:inline distT="0" distB="0" distL="0" distR="0" wp14:anchorId="4B63A2C1" wp14:editId="4867910B">
            <wp:extent cx="3292426" cy="3002508"/>
            <wp:effectExtent l="0" t="0" r="3810" b="7620"/>
            <wp:docPr id="1" name="Picture 1" descr="https://continentalhospitals.com/uploads/mceu_113766089117008054948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7" descr="https://continentalhospitals.com/uploads/mceu_11376608911700805494857.jpg"/>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325959" cy="3033088"/>
                    </a:xfrm>
                    <a:prstGeom prst="rect">
                      <a:avLst/>
                    </a:prstGeom>
                    <a:noFill/>
                    <a:ln>
                      <a:noFill/>
                    </a:ln>
                  </pic:spPr>
                </pic:pic>
              </a:graphicData>
            </a:graphic>
          </wp:inline>
        </w:drawing>
      </w:r>
    </w:p>
    <w:p w14:paraId="678A7306" w14:textId="6F383D2E" w:rsidR="00B956B3" w:rsidRPr="001F32DB" w:rsidRDefault="00B956B3" w:rsidP="001F32DB">
      <w:pPr>
        <w:pStyle w:val="Caption"/>
        <w:spacing w:line="360" w:lineRule="auto"/>
        <w:jc w:val="both"/>
        <w:rPr>
          <w:rFonts w:ascii="Arial" w:hAnsi="Arial" w:cs="Arial"/>
          <w:sz w:val="22"/>
          <w:szCs w:val="22"/>
          <w:highlight w:val="yellow"/>
        </w:rPr>
      </w:pPr>
      <w:r w:rsidRPr="001F32DB">
        <w:rPr>
          <w:rFonts w:ascii="Arial" w:hAnsi="Arial" w:cs="Arial"/>
          <w:sz w:val="22"/>
          <w:szCs w:val="22"/>
        </w:rPr>
        <w:t xml:space="preserve">Figure </w:t>
      </w:r>
      <w:r w:rsidR="00142A15" w:rsidRPr="001F32DB">
        <w:rPr>
          <w:rFonts w:ascii="Arial" w:hAnsi="Arial" w:cs="Arial"/>
          <w:sz w:val="22"/>
          <w:szCs w:val="22"/>
        </w:rPr>
        <w:fldChar w:fldCharType="begin"/>
      </w:r>
      <w:r w:rsidR="00142A15" w:rsidRPr="001F32DB">
        <w:rPr>
          <w:rFonts w:ascii="Arial" w:hAnsi="Arial" w:cs="Arial"/>
          <w:sz w:val="22"/>
          <w:szCs w:val="22"/>
        </w:rPr>
        <w:instrText xml:space="preserve"> SEQ Figure \* ARABIC </w:instrText>
      </w:r>
      <w:r w:rsidR="00142A15" w:rsidRPr="001F32DB">
        <w:rPr>
          <w:rFonts w:ascii="Arial" w:hAnsi="Arial" w:cs="Arial"/>
          <w:sz w:val="22"/>
          <w:szCs w:val="22"/>
        </w:rPr>
        <w:fldChar w:fldCharType="separate"/>
      </w:r>
      <w:r w:rsidR="00813F71" w:rsidRPr="001F32DB">
        <w:rPr>
          <w:rFonts w:ascii="Arial" w:hAnsi="Arial" w:cs="Arial"/>
          <w:noProof/>
          <w:sz w:val="22"/>
          <w:szCs w:val="22"/>
        </w:rPr>
        <w:t>2</w:t>
      </w:r>
      <w:r w:rsidR="00142A15" w:rsidRPr="001F32DB">
        <w:rPr>
          <w:rFonts w:ascii="Arial" w:hAnsi="Arial" w:cs="Arial"/>
          <w:noProof/>
          <w:sz w:val="22"/>
          <w:szCs w:val="22"/>
        </w:rPr>
        <w:fldChar w:fldCharType="end"/>
      </w:r>
      <w:r w:rsidRPr="001F32DB">
        <w:rPr>
          <w:rFonts w:ascii="Arial" w:hAnsi="Arial" w:cs="Arial"/>
          <w:sz w:val="22"/>
          <w:szCs w:val="22"/>
        </w:rPr>
        <w:t xml:space="preserve"> (Continental Hospital, 2025)</w:t>
      </w:r>
    </w:p>
    <w:p w14:paraId="456B95EE" w14:textId="77777777" w:rsidR="00B956B3" w:rsidRPr="001F32DB" w:rsidRDefault="00B956B3" w:rsidP="001F32DB">
      <w:pPr>
        <w:rPr>
          <w:rFonts w:ascii="Arial" w:hAnsi="Arial" w:cs="Arial"/>
          <w:highlight w:val="yellow"/>
        </w:rPr>
      </w:pPr>
      <w:r w:rsidRPr="001F32DB">
        <w:rPr>
          <w:rFonts w:ascii="Arial" w:hAnsi="Arial" w:cs="Arial"/>
        </w:rPr>
        <w:t xml:space="preserve">Differentiating among the above conditions is fundamental in identifying early stages of dementia, when symptoms are subtle, however progressive. Cognitive assessment is the systematic evaluation of brain functions such as memory, concentration, and language, utilising evidence-based assessment tools (Cubillos and Rienzo, 2023). Cognitive assessment within nursing practice enables the differentiation of normal and pathological cognitive decline. The most common screening tools used in clinical settings are the Mini-Mental State </w:t>
      </w:r>
      <w:r w:rsidRPr="001F32DB">
        <w:rPr>
          <w:rFonts w:ascii="Arial" w:hAnsi="Arial" w:cs="Arial"/>
        </w:rPr>
        <w:lastRenderedPageBreak/>
        <w:t xml:space="preserve">Examination (MMSE) and Montreal Cognitive Assessment (MoCA) (Wang et al., 2022). Abbreviations commonly utilised include MCI (Mild Cognitive Impairment) and AD (Alzheimer’s disease). </w:t>
      </w:r>
    </w:p>
    <w:p w14:paraId="1D312ECD" w14:textId="77777777" w:rsidR="00F312F7" w:rsidRPr="001F32DB" w:rsidRDefault="00F312F7" w:rsidP="001F32DB">
      <w:pPr>
        <w:rPr>
          <w:rFonts w:ascii="Arial" w:hAnsi="Arial" w:cs="Arial"/>
        </w:rPr>
      </w:pPr>
    </w:p>
    <w:p w14:paraId="75E17D56" w14:textId="02DD1D75" w:rsidR="00BD2909" w:rsidRPr="001F32DB" w:rsidRDefault="00BD2909" w:rsidP="001F32DB">
      <w:pPr>
        <w:pStyle w:val="Heading2"/>
        <w:jc w:val="both"/>
        <w:rPr>
          <w:rStyle w:val="normaltextrun"/>
          <w:rFonts w:ascii="Arial" w:hAnsi="Arial"/>
          <w:sz w:val="22"/>
          <w:szCs w:val="22"/>
        </w:rPr>
      </w:pPr>
      <w:bookmarkStart w:id="8" w:name="_Toc231933930"/>
      <w:r w:rsidRPr="001F32DB">
        <w:rPr>
          <w:rStyle w:val="normaltextrun"/>
          <w:rFonts w:ascii="Arial" w:hAnsi="Arial"/>
          <w:sz w:val="22"/>
          <w:szCs w:val="22"/>
        </w:rPr>
        <w:t>1.3 Rationale for Research</w:t>
      </w:r>
      <w:bookmarkEnd w:id="8"/>
    </w:p>
    <w:p w14:paraId="1E0B3545" w14:textId="3F72618C" w:rsidR="005F78FB" w:rsidRPr="001F32DB" w:rsidRDefault="005F78FB" w:rsidP="001F32DB">
      <w:pPr>
        <w:rPr>
          <w:rFonts w:ascii="Arial" w:hAnsi="Arial" w:cs="Arial"/>
        </w:rPr>
      </w:pPr>
      <w:r w:rsidRPr="001F32DB">
        <w:rPr>
          <w:rFonts w:ascii="Arial" w:hAnsi="Arial" w:cs="Arial"/>
        </w:rPr>
        <w:t xml:space="preserve">This study is justified by the growing need to identify dementia in older adults at an early age more accurately. With the increasing life expectancy among the global population, dementia remains on the rise, posing a big challenge to healthcare systems and highlighting the importance of timely diagnosis and treatment (World Health Organisation, 2025). It is especially applicable to nursing practise because nurses often care for older patients and are better placed to identify early signs of cognitive and behavioural change. Nevertheless, the signs of dementia are often insidious and easily confused with age, so they are not promptly diagnosed and thus do not leave a chance to plan and arrange care </w:t>
      </w:r>
      <w:r w:rsidR="001F32DB">
        <w:rPr>
          <w:rFonts w:ascii="Arial" w:hAnsi="Arial" w:cs="Arial"/>
        </w:rPr>
        <w:t>before</w:t>
      </w:r>
      <w:r w:rsidRPr="001F32DB">
        <w:rPr>
          <w:rFonts w:ascii="Arial" w:hAnsi="Arial" w:cs="Arial"/>
        </w:rPr>
        <w:t xml:space="preserve"> its onset (Fowler et al., 2025).</w:t>
      </w:r>
    </w:p>
    <w:p w14:paraId="6DB9C9E9" w14:textId="57120F5A" w:rsidR="005F78FB" w:rsidRPr="001F32DB" w:rsidRDefault="005F78FB" w:rsidP="001F32DB">
      <w:pPr>
        <w:rPr>
          <w:rFonts w:ascii="Arial" w:hAnsi="Arial" w:cs="Arial"/>
        </w:rPr>
      </w:pPr>
      <w:r w:rsidRPr="001F32DB">
        <w:rPr>
          <w:rFonts w:ascii="Arial" w:hAnsi="Arial" w:cs="Arial"/>
        </w:rPr>
        <w:t xml:space="preserve">Existing literature points to relevant gaps in the diagnosis and appraisal of early-stage dementia. Even though cognitive screening instruments, including MMSE and MoCA, are applicable and popular, the sensitivity of these tests and cultural bias, along with inconsistent implementation in practice, can limit their effectiveness (Chithiramohan et al., 2024). It has been indicated that nursing professionals do not have sufficient resources to train and feel confident about the use of those tools, and this aspect can impact the diagnostic accuracy and patient results (Alharbi et al., 2025). Also, no consensus exists regarding </w:t>
      </w:r>
      <w:r w:rsidR="001F32DB" w:rsidRPr="001F32DB">
        <w:rPr>
          <w:rFonts w:ascii="Arial" w:hAnsi="Arial" w:cs="Arial"/>
        </w:rPr>
        <w:t>clinical</w:t>
      </w:r>
      <w:r w:rsidRPr="001F32DB">
        <w:rPr>
          <w:rFonts w:ascii="Arial" w:hAnsi="Arial" w:cs="Arial"/>
        </w:rPr>
        <w:t xml:space="preserve"> indicators that can best differentiate normal ageing and early cognitive impairment. The current study fills in the existing gaps, however, critically assesses current findings on the assessment strategies and determines the best practises. There is limited consistency in how early-stage dementia is identified in clinical practices, particularly nursing assessments.</w:t>
      </w:r>
    </w:p>
    <w:p w14:paraId="7FA3F3C5" w14:textId="1250CA3C" w:rsidR="00BD2909" w:rsidRPr="001F32DB" w:rsidRDefault="00BD2909" w:rsidP="001F32DB">
      <w:pPr>
        <w:pStyle w:val="Heading2"/>
        <w:jc w:val="both"/>
        <w:rPr>
          <w:rStyle w:val="normaltextrun"/>
          <w:rFonts w:ascii="Arial" w:hAnsi="Arial"/>
          <w:sz w:val="22"/>
          <w:szCs w:val="22"/>
        </w:rPr>
      </w:pPr>
      <w:bookmarkStart w:id="9" w:name="_Toc231933931"/>
      <w:r w:rsidRPr="001F32DB">
        <w:rPr>
          <w:rStyle w:val="normaltextrun"/>
          <w:rFonts w:ascii="Arial" w:hAnsi="Arial"/>
          <w:sz w:val="22"/>
          <w:szCs w:val="22"/>
        </w:rPr>
        <w:t>1.4 Aim and Objectives</w:t>
      </w:r>
      <w:bookmarkEnd w:id="9"/>
    </w:p>
    <w:p w14:paraId="5DD45948" w14:textId="77777777" w:rsidR="005F78FB" w:rsidRPr="001F32DB" w:rsidRDefault="005F78FB" w:rsidP="001F32DB">
      <w:pPr>
        <w:pStyle w:val="Heading3"/>
        <w:rPr>
          <w:rFonts w:ascii="Arial" w:hAnsi="Arial" w:cs="Arial"/>
          <w:sz w:val="22"/>
        </w:rPr>
      </w:pPr>
      <w:bookmarkStart w:id="10" w:name="_Toc231933932"/>
      <w:r w:rsidRPr="001F32DB">
        <w:rPr>
          <w:rFonts w:ascii="Arial" w:hAnsi="Arial" w:cs="Arial"/>
          <w:sz w:val="22"/>
        </w:rPr>
        <w:t>Research Aim</w:t>
      </w:r>
      <w:bookmarkEnd w:id="10"/>
    </w:p>
    <w:p w14:paraId="50F67771" w14:textId="7BB9318F" w:rsidR="005F78FB" w:rsidRPr="001F32DB" w:rsidRDefault="005F78FB" w:rsidP="001F32DB">
      <w:pPr>
        <w:rPr>
          <w:rFonts w:ascii="Arial" w:hAnsi="Arial" w:cs="Arial"/>
        </w:rPr>
      </w:pPr>
      <w:r w:rsidRPr="001F32DB">
        <w:rPr>
          <w:rFonts w:ascii="Arial" w:hAnsi="Arial" w:cs="Arial"/>
        </w:rPr>
        <w:t>The purpose of this research is to critically examine evidence-based approaches to effectively distinguishing normal cognitive ageing from early-stage dementia in older individuals, with a specific emphasis on the role of nursing practitioners in using clinical tools to enhance diagnostic accuracy.</w:t>
      </w:r>
    </w:p>
    <w:p w14:paraId="1A51058A" w14:textId="77777777" w:rsidR="005F78FB" w:rsidRPr="001F32DB" w:rsidRDefault="005F78FB" w:rsidP="001F32DB">
      <w:pPr>
        <w:pStyle w:val="Heading3"/>
        <w:rPr>
          <w:rFonts w:ascii="Arial" w:hAnsi="Arial" w:cs="Arial"/>
          <w:sz w:val="22"/>
        </w:rPr>
      </w:pPr>
      <w:bookmarkStart w:id="11" w:name="_Toc231933933"/>
      <w:r w:rsidRPr="001F32DB">
        <w:rPr>
          <w:rFonts w:ascii="Arial" w:hAnsi="Arial" w:cs="Arial"/>
          <w:sz w:val="22"/>
        </w:rPr>
        <w:lastRenderedPageBreak/>
        <w:t>Research Objectives</w:t>
      </w:r>
      <w:bookmarkEnd w:id="11"/>
    </w:p>
    <w:p w14:paraId="314E50A8" w14:textId="32C7496A" w:rsidR="005F78FB" w:rsidRPr="001F32DB" w:rsidRDefault="005F78FB" w:rsidP="001F32DB">
      <w:pPr>
        <w:pStyle w:val="ListParagraph"/>
        <w:numPr>
          <w:ilvl w:val="0"/>
          <w:numId w:val="108"/>
        </w:numPr>
        <w:spacing w:line="360" w:lineRule="auto"/>
        <w:jc w:val="both"/>
        <w:rPr>
          <w:rFonts w:ascii="Arial" w:hAnsi="Arial" w:cs="Arial"/>
        </w:rPr>
      </w:pPr>
      <w:r w:rsidRPr="001F32DB">
        <w:rPr>
          <w:rFonts w:ascii="Arial" w:hAnsi="Arial" w:cs="Arial"/>
        </w:rPr>
        <w:t>Define and examine the clinical and cognitive markers that differentiate normal ageing from early-stage dementia in older adults.</w:t>
      </w:r>
    </w:p>
    <w:p w14:paraId="2479087C" w14:textId="22582FD1" w:rsidR="005F78FB" w:rsidRPr="001F32DB" w:rsidRDefault="005F78FB" w:rsidP="001F32DB">
      <w:pPr>
        <w:pStyle w:val="ListParagraph"/>
        <w:numPr>
          <w:ilvl w:val="0"/>
          <w:numId w:val="108"/>
        </w:numPr>
        <w:spacing w:line="360" w:lineRule="auto"/>
        <w:jc w:val="both"/>
        <w:rPr>
          <w:rFonts w:ascii="Arial" w:hAnsi="Arial" w:cs="Arial"/>
        </w:rPr>
      </w:pPr>
      <w:r w:rsidRPr="001F32DB">
        <w:rPr>
          <w:rFonts w:ascii="Arial" w:hAnsi="Arial" w:cs="Arial"/>
        </w:rPr>
        <w:t>Analyse current screening tools and assessment practices used in nursing to detect cognitive impairment.</w:t>
      </w:r>
    </w:p>
    <w:p w14:paraId="52475383" w14:textId="2C2F2345" w:rsidR="005F78FB" w:rsidRPr="001F32DB" w:rsidRDefault="005F78FB" w:rsidP="001F32DB">
      <w:pPr>
        <w:pStyle w:val="ListParagraph"/>
        <w:numPr>
          <w:ilvl w:val="0"/>
          <w:numId w:val="108"/>
        </w:numPr>
        <w:spacing w:line="360" w:lineRule="auto"/>
        <w:jc w:val="both"/>
        <w:rPr>
          <w:rFonts w:ascii="Arial" w:hAnsi="Arial" w:cs="Arial"/>
        </w:rPr>
      </w:pPr>
      <w:r w:rsidRPr="001F32DB">
        <w:rPr>
          <w:rFonts w:ascii="Arial" w:hAnsi="Arial" w:cs="Arial"/>
        </w:rPr>
        <w:t>Evaluate the effectiveness and limitations of early recognition strategies in improving patient outcomes.</w:t>
      </w:r>
    </w:p>
    <w:p w14:paraId="155BB9F6" w14:textId="2768C657" w:rsidR="005F78FB" w:rsidRPr="001F32DB" w:rsidRDefault="005F78FB" w:rsidP="001F32DB">
      <w:pPr>
        <w:pStyle w:val="ListParagraph"/>
        <w:numPr>
          <w:ilvl w:val="0"/>
          <w:numId w:val="108"/>
        </w:numPr>
        <w:spacing w:line="360" w:lineRule="auto"/>
        <w:jc w:val="both"/>
        <w:rPr>
          <w:rFonts w:ascii="Arial" w:hAnsi="Arial" w:cs="Arial"/>
        </w:rPr>
      </w:pPr>
      <w:r w:rsidRPr="001F32DB">
        <w:rPr>
          <w:rFonts w:ascii="Arial" w:hAnsi="Arial" w:cs="Arial"/>
        </w:rPr>
        <w:t>Provide evidence-based recommendations to enhance nursing assessment, training, and early intervention for older adults at risk of dementia.</w:t>
      </w:r>
    </w:p>
    <w:p w14:paraId="406B082F" w14:textId="77777777" w:rsidR="00F312F7" w:rsidRPr="001F32DB" w:rsidRDefault="00F312F7" w:rsidP="001F32DB">
      <w:pPr>
        <w:rPr>
          <w:rFonts w:ascii="Arial" w:hAnsi="Arial" w:cs="Arial"/>
        </w:rPr>
      </w:pPr>
    </w:p>
    <w:p w14:paraId="1E1A58B1" w14:textId="6525C93D" w:rsidR="00804B94" w:rsidRPr="001F32DB" w:rsidRDefault="00BD2909" w:rsidP="001F32DB">
      <w:pPr>
        <w:pStyle w:val="Heading2"/>
        <w:jc w:val="both"/>
        <w:rPr>
          <w:rStyle w:val="normaltextrun"/>
          <w:rFonts w:ascii="Arial" w:hAnsi="Arial"/>
          <w:sz w:val="22"/>
          <w:szCs w:val="22"/>
        </w:rPr>
      </w:pPr>
      <w:bookmarkStart w:id="12" w:name="_Toc231933934"/>
      <w:r w:rsidRPr="001F32DB">
        <w:rPr>
          <w:rStyle w:val="normaltextrun"/>
          <w:rFonts w:ascii="Arial" w:hAnsi="Arial"/>
          <w:sz w:val="22"/>
          <w:szCs w:val="22"/>
        </w:rPr>
        <w:t>1.5 Conclusion</w:t>
      </w:r>
      <w:bookmarkEnd w:id="12"/>
    </w:p>
    <w:p w14:paraId="75A62503" w14:textId="238F6265" w:rsidR="00F312F7" w:rsidRPr="001F32DB" w:rsidRDefault="00C773EE" w:rsidP="001F32DB">
      <w:pPr>
        <w:rPr>
          <w:rFonts w:ascii="Arial" w:hAnsi="Arial" w:cs="Arial"/>
        </w:rPr>
      </w:pPr>
      <w:r w:rsidRPr="001F32DB">
        <w:rPr>
          <w:rFonts w:ascii="Arial" w:hAnsi="Arial" w:cs="Arial"/>
        </w:rPr>
        <w:t xml:space="preserve">Chapter 1 has presented the focus of the research on recognising dementia in older adults at its early stages in relation to the significance of differentiating between the normal ageing of cognitive functions and the condition of early-stage cognitive impairment in nursing practice. It identified the main ideas, defined the terms clearly, and explained the topicality of the topic against the backdrop of the increasing prevalence of dementia and clinical difficulties. The research </w:t>
      </w:r>
      <w:r w:rsidR="001F32DB" w:rsidRPr="001F32DB">
        <w:rPr>
          <w:rFonts w:ascii="Arial" w:hAnsi="Arial" w:cs="Arial"/>
        </w:rPr>
        <w:t>aims</w:t>
      </w:r>
      <w:r w:rsidRPr="001F32DB">
        <w:rPr>
          <w:rFonts w:ascii="Arial" w:hAnsi="Arial" w:cs="Arial"/>
        </w:rPr>
        <w:t xml:space="preserve"> and objectives were also provided in the chapter, where there is a requirement to compare existing assessment tools</w:t>
      </w:r>
      <w:r w:rsidR="001F32DB">
        <w:rPr>
          <w:rFonts w:ascii="Arial" w:hAnsi="Arial" w:cs="Arial"/>
        </w:rPr>
        <w:t xml:space="preserve"> and</w:t>
      </w:r>
      <w:r w:rsidRPr="001F32DB">
        <w:rPr>
          <w:rFonts w:ascii="Arial" w:hAnsi="Arial" w:cs="Arial"/>
        </w:rPr>
        <w:t xml:space="preserve"> clinical markers, and improve early detection modalities. All these factors show the importance of upgrading the knowledge and practise of nursing to aid correct and prompt diagnosis. The chapter that follows will give a background and analysis of the subject by looking at the available literature, theoretical viewpoints, and the current practises surrounding dementia recognition. It will provide a solid evidence </w:t>
      </w:r>
      <w:r w:rsidR="001F32DB">
        <w:rPr>
          <w:rFonts w:ascii="Arial" w:hAnsi="Arial" w:cs="Arial"/>
        </w:rPr>
        <w:t>base</w:t>
      </w:r>
      <w:r w:rsidRPr="001F32DB">
        <w:rPr>
          <w:rFonts w:ascii="Arial" w:hAnsi="Arial" w:cs="Arial"/>
        </w:rPr>
        <w:t xml:space="preserve"> on which to justify the research and find some important themes to guide further analysis.</w:t>
      </w:r>
    </w:p>
    <w:p w14:paraId="5E3C622C" w14:textId="77777777" w:rsidR="00AE0BB5" w:rsidRPr="001F32DB" w:rsidRDefault="00AE0BB5" w:rsidP="001F32DB">
      <w:pPr>
        <w:rPr>
          <w:rFonts w:ascii="Arial" w:hAnsi="Arial" w:cs="Arial"/>
        </w:rPr>
      </w:pPr>
    </w:p>
    <w:p w14:paraId="20976BAD" w14:textId="6C0A8FBB" w:rsidR="00AE0BB5" w:rsidRPr="001F32DB" w:rsidRDefault="00AE0BB5" w:rsidP="001F32DB">
      <w:pPr>
        <w:rPr>
          <w:rFonts w:ascii="Arial" w:hAnsi="Arial" w:cs="Arial"/>
        </w:rPr>
      </w:pPr>
      <w:r w:rsidRPr="001F32DB">
        <w:rPr>
          <w:rFonts w:ascii="Arial" w:hAnsi="Arial" w:cs="Arial"/>
        </w:rPr>
        <w:br w:type="page"/>
      </w:r>
    </w:p>
    <w:p w14:paraId="6BA7DF87" w14:textId="1BA221A4" w:rsidR="00BD2909" w:rsidRPr="001F32DB" w:rsidRDefault="000D0641" w:rsidP="001F32DB">
      <w:pPr>
        <w:pStyle w:val="Heading1"/>
        <w:jc w:val="both"/>
        <w:rPr>
          <w:rFonts w:cs="Arial"/>
          <w:sz w:val="22"/>
          <w:szCs w:val="22"/>
        </w:rPr>
      </w:pPr>
      <w:bookmarkStart w:id="13" w:name="_Toc231933935"/>
      <w:r w:rsidRPr="001F32DB">
        <w:rPr>
          <w:rFonts w:cs="Arial"/>
          <w:sz w:val="22"/>
          <w:szCs w:val="22"/>
        </w:rPr>
        <w:lastRenderedPageBreak/>
        <w:t>CHAPTER 2</w:t>
      </w:r>
      <w:r w:rsidR="00D41129" w:rsidRPr="001F32DB">
        <w:rPr>
          <w:rFonts w:cs="Arial"/>
          <w:sz w:val="22"/>
          <w:szCs w:val="22"/>
        </w:rPr>
        <w:t>:</w:t>
      </w:r>
      <w:r w:rsidRPr="001F32DB">
        <w:rPr>
          <w:rFonts w:cs="Arial"/>
          <w:sz w:val="22"/>
          <w:szCs w:val="22"/>
        </w:rPr>
        <w:t xml:space="preserve"> </w:t>
      </w:r>
      <w:r w:rsidR="00BD2909" w:rsidRPr="001F32DB">
        <w:rPr>
          <w:rFonts w:cs="Arial"/>
          <w:sz w:val="22"/>
          <w:szCs w:val="22"/>
        </w:rPr>
        <w:t xml:space="preserve">Background </w:t>
      </w:r>
      <w:r w:rsidR="00F44833" w:rsidRPr="001F32DB">
        <w:rPr>
          <w:rFonts w:cs="Arial"/>
          <w:sz w:val="22"/>
          <w:szCs w:val="22"/>
        </w:rPr>
        <w:t xml:space="preserve">Information and </w:t>
      </w:r>
      <w:r w:rsidR="00BD2909" w:rsidRPr="001F32DB">
        <w:rPr>
          <w:rFonts w:cs="Arial"/>
          <w:sz w:val="22"/>
          <w:szCs w:val="22"/>
        </w:rPr>
        <w:t>Analysis</w:t>
      </w:r>
      <w:bookmarkEnd w:id="13"/>
    </w:p>
    <w:p w14:paraId="56551CA0" w14:textId="19CF8F58" w:rsidR="004463E6" w:rsidRPr="001F32DB" w:rsidRDefault="00BD2909" w:rsidP="001F32DB">
      <w:pPr>
        <w:pStyle w:val="Heading2"/>
        <w:jc w:val="both"/>
        <w:rPr>
          <w:rStyle w:val="eop"/>
          <w:rFonts w:ascii="Arial" w:eastAsia="Calibri Light" w:hAnsi="Arial"/>
          <w:sz w:val="22"/>
          <w:szCs w:val="22"/>
        </w:rPr>
      </w:pPr>
      <w:bookmarkStart w:id="14" w:name="_Toc231933936"/>
      <w:r w:rsidRPr="001F32DB">
        <w:rPr>
          <w:rStyle w:val="normaltextrun"/>
          <w:rFonts w:ascii="Arial" w:hAnsi="Arial"/>
          <w:sz w:val="22"/>
          <w:szCs w:val="22"/>
        </w:rPr>
        <w:t>2.1 Introduction</w:t>
      </w:r>
      <w:bookmarkEnd w:id="14"/>
    </w:p>
    <w:p w14:paraId="453ADE30" w14:textId="77777777" w:rsidR="004463E6" w:rsidRPr="001F32DB" w:rsidRDefault="004463E6" w:rsidP="001F32DB">
      <w:pPr>
        <w:rPr>
          <w:rFonts w:ascii="Arial" w:hAnsi="Arial" w:cs="Arial"/>
        </w:rPr>
      </w:pPr>
      <w:r w:rsidRPr="001F32DB">
        <w:rPr>
          <w:rFonts w:ascii="Arial" w:hAnsi="Arial" w:cs="Arial"/>
        </w:rPr>
        <w:t xml:space="preserve">The chapter is designed to give an in-depth background of the research area, which forms the basis for the conceptualisation of early detection of dementia among the geriatric population. It explores the history of dementia research, including the most significant achievements and milestones that have influenced the modern state of knowledge and clinical practises. The chapter also examines appropriate theoretical frameworks that support the diagnostic differentiation of normal ageing and early-stage cognitive impairment, which offers a critical understanding of models that inform assessment and intervention. </w:t>
      </w:r>
    </w:p>
    <w:p w14:paraId="7E6AB731" w14:textId="77777777" w:rsidR="004463E6" w:rsidRPr="001F32DB" w:rsidRDefault="004463E6" w:rsidP="001F32DB">
      <w:pPr>
        <w:keepNext/>
        <w:jc w:val="center"/>
        <w:rPr>
          <w:rFonts w:ascii="Arial" w:hAnsi="Arial" w:cs="Arial"/>
        </w:rPr>
      </w:pPr>
      <w:r w:rsidRPr="001F32DB">
        <w:rPr>
          <w:rFonts w:ascii="Arial" w:hAnsi="Arial" w:cs="Arial"/>
          <w:noProof/>
          <w:highlight w:val="yellow"/>
        </w:rPr>
        <w:drawing>
          <wp:inline distT="0" distB="0" distL="0" distR="0" wp14:anchorId="1ED6C9E1" wp14:editId="310B7AB5">
            <wp:extent cx="3223762" cy="4664190"/>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233804" cy="4678718"/>
                    </a:xfrm>
                    <a:prstGeom prst="rect">
                      <a:avLst/>
                    </a:prstGeom>
                    <a:noFill/>
                  </pic:spPr>
                </pic:pic>
              </a:graphicData>
            </a:graphic>
          </wp:inline>
        </w:drawing>
      </w:r>
    </w:p>
    <w:p w14:paraId="5F02D83F" w14:textId="61C369F4" w:rsidR="004463E6" w:rsidRPr="001F32DB" w:rsidRDefault="004463E6" w:rsidP="001F32DB">
      <w:pPr>
        <w:pStyle w:val="Caption"/>
        <w:spacing w:line="360" w:lineRule="auto"/>
        <w:jc w:val="both"/>
        <w:rPr>
          <w:rFonts w:ascii="Arial" w:hAnsi="Arial" w:cs="Arial"/>
          <w:sz w:val="22"/>
          <w:szCs w:val="22"/>
          <w:highlight w:val="yellow"/>
        </w:rPr>
      </w:pPr>
      <w:r w:rsidRPr="001F32DB">
        <w:rPr>
          <w:rFonts w:ascii="Arial" w:hAnsi="Arial" w:cs="Arial"/>
          <w:sz w:val="22"/>
          <w:szCs w:val="22"/>
        </w:rPr>
        <w:t xml:space="preserve">Figure </w:t>
      </w:r>
      <w:r w:rsidR="00142A15" w:rsidRPr="001F32DB">
        <w:rPr>
          <w:rFonts w:ascii="Arial" w:hAnsi="Arial" w:cs="Arial"/>
          <w:sz w:val="22"/>
          <w:szCs w:val="22"/>
        </w:rPr>
        <w:fldChar w:fldCharType="begin"/>
      </w:r>
      <w:r w:rsidR="00142A15" w:rsidRPr="001F32DB">
        <w:rPr>
          <w:rFonts w:ascii="Arial" w:hAnsi="Arial" w:cs="Arial"/>
          <w:sz w:val="22"/>
          <w:szCs w:val="22"/>
        </w:rPr>
        <w:instrText xml:space="preserve"> SEQ Figure \* ARABIC </w:instrText>
      </w:r>
      <w:r w:rsidR="00142A15" w:rsidRPr="001F32DB">
        <w:rPr>
          <w:rFonts w:ascii="Arial" w:hAnsi="Arial" w:cs="Arial"/>
          <w:sz w:val="22"/>
          <w:szCs w:val="22"/>
        </w:rPr>
        <w:fldChar w:fldCharType="separate"/>
      </w:r>
      <w:r w:rsidR="00813F71" w:rsidRPr="001F32DB">
        <w:rPr>
          <w:rFonts w:ascii="Arial" w:hAnsi="Arial" w:cs="Arial"/>
          <w:noProof/>
          <w:sz w:val="22"/>
          <w:szCs w:val="22"/>
        </w:rPr>
        <w:t>3</w:t>
      </w:r>
      <w:r w:rsidR="00142A15" w:rsidRPr="001F32DB">
        <w:rPr>
          <w:rFonts w:ascii="Arial" w:hAnsi="Arial" w:cs="Arial"/>
          <w:noProof/>
          <w:sz w:val="22"/>
          <w:szCs w:val="22"/>
        </w:rPr>
        <w:fldChar w:fldCharType="end"/>
      </w:r>
      <w:r w:rsidRPr="001F32DB">
        <w:rPr>
          <w:rFonts w:ascii="Arial" w:hAnsi="Arial" w:cs="Arial"/>
          <w:sz w:val="22"/>
          <w:szCs w:val="22"/>
        </w:rPr>
        <w:t xml:space="preserve"> (Taylor &amp; Francis, 2025)</w:t>
      </w:r>
    </w:p>
    <w:p w14:paraId="0B2ED610" w14:textId="77777777" w:rsidR="004463E6" w:rsidRPr="001F32DB" w:rsidRDefault="004463E6" w:rsidP="001F32DB">
      <w:pPr>
        <w:rPr>
          <w:rFonts w:ascii="Arial" w:hAnsi="Arial" w:cs="Arial"/>
        </w:rPr>
      </w:pPr>
      <w:r w:rsidRPr="001F32DB">
        <w:rPr>
          <w:rFonts w:ascii="Arial" w:hAnsi="Arial" w:cs="Arial"/>
        </w:rPr>
        <w:t xml:space="preserve">Secondly, it contextualises the subject matter at the international and national levels, as well as in policies, practises, and emerging practises that shape dementia care and nursing participation. This chapter provides the research with a solid conceptual foundation by including historical, theoretical, and contextual information, proving the applicability of early </w:t>
      </w:r>
      <w:r w:rsidRPr="001F32DB">
        <w:rPr>
          <w:rFonts w:ascii="Arial" w:hAnsi="Arial" w:cs="Arial"/>
        </w:rPr>
        <w:lastRenderedPageBreak/>
        <w:t>recognition in enhancing patient outcomes. This background knowledge will be used in the next chapter, which will make up the research methodology.</w:t>
      </w:r>
    </w:p>
    <w:p w14:paraId="4ABADDA3" w14:textId="77777777" w:rsidR="004463E6" w:rsidRPr="001F32DB" w:rsidRDefault="004463E6" w:rsidP="001F32DB">
      <w:pPr>
        <w:rPr>
          <w:rFonts w:ascii="Arial" w:hAnsi="Arial" w:cs="Arial"/>
        </w:rPr>
      </w:pPr>
    </w:p>
    <w:p w14:paraId="17F08F5F" w14:textId="329CF86A" w:rsidR="004463E6" w:rsidRPr="001F32DB" w:rsidRDefault="00BD2909" w:rsidP="001F32DB">
      <w:pPr>
        <w:pStyle w:val="Heading2"/>
        <w:jc w:val="both"/>
        <w:rPr>
          <w:rStyle w:val="eop"/>
          <w:rFonts w:ascii="Arial" w:eastAsia="Calibri Light" w:hAnsi="Arial"/>
          <w:sz w:val="22"/>
          <w:szCs w:val="22"/>
        </w:rPr>
      </w:pPr>
      <w:bookmarkStart w:id="15" w:name="_Toc231933937"/>
      <w:r w:rsidRPr="001F32DB">
        <w:rPr>
          <w:rStyle w:val="normaltextrun"/>
          <w:rFonts w:ascii="Arial" w:hAnsi="Arial"/>
          <w:sz w:val="22"/>
          <w:szCs w:val="22"/>
        </w:rPr>
        <w:t>2.2 Historical Background</w:t>
      </w:r>
      <w:bookmarkEnd w:id="15"/>
    </w:p>
    <w:p w14:paraId="78FA7300" w14:textId="77777777" w:rsidR="00CE55A9" w:rsidRPr="001F32DB" w:rsidRDefault="00CE55A9" w:rsidP="001F32DB">
      <w:pPr>
        <w:rPr>
          <w:rFonts w:ascii="Arial" w:hAnsi="Arial" w:cs="Arial"/>
        </w:rPr>
      </w:pPr>
      <w:r w:rsidRPr="001F32DB">
        <w:rPr>
          <w:rFonts w:ascii="Arial" w:hAnsi="Arial" w:cs="Arial"/>
        </w:rPr>
        <w:t>The history of dementia recognition has changed substantially over the years, from the initial descriptive observations to systematic clinical judgement methods employed in contemporary practice. The word dementia finds its origins in Latin demens, which translates to out of mind, and was previously a generalised label of cognitive decline in relation to ageing. Dementia started to be distinguished in the 19</w:t>
      </w:r>
      <w:r w:rsidRPr="001F32DB">
        <w:rPr>
          <w:rFonts w:ascii="Arial" w:hAnsi="Arial" w:cs="Arial"/>
          <w:vertAlign w:val="superscript"/>
        </w:rPr>
        <w:t>th</w:t>
      </w:r>
      <w:r w:rsidRPr="001F32DB">
        <w:rPr>
          <w:rFonts w:ascii="Arial" w:hAnsi="Arial" w:cs="Arial"/>
        </w:rPr>
        <w:t xml:space="preserve"> and early 20</w:t>
      </w:r>
      <w:r w:rsidRPr="001F32DB">
        <w:rPr>
          <w:rFonts w:ascii="Arial" w:hAnsi="Arial" w:cs="Arial"/>
          <w:vertAlign w:val="superscript"/>
        </w:rPr>
        <w:t>th</w:t>
      </w:r>
      <w:r w:rsidRPr="001F32DB">
        <w:rPr>
          <w:rFonts w:ascii="Arial" w:hAnsi="Arial" w:cs="Arial"/>
        </w:rPr>
        <w:t xml:space="preserve"> centuries, with Alois Alzheimer discovering new neuropathological signs, such as amyloid plaques and tangles of neurofibrils in a patient who had progressive memory impairment (Behl, 2023). This was a decisive point in clarifying the difference between the pathological failure of cognitive processing and the passage of age. Earlier research in the 1970s and 1980s broke this notion, and nowadays, dementia has become a separate clinical phenomenon that needs diagnosis and treatment (Collins and Fletcher, 2024).</w:t>
      </w:r>
    </w:p>
    <w:p w14:paraId="3B1AAE2D" w14:textId="77777777" w:rsidR="00CE55A9" w:rsidRPr="001F32DB" w:rsidRDefault="00CE55A9" w:rsidP="001F32DB">
      <w:pPr>
        <w:keepNext/>
        <w:rPr>
          <w:rFonts w:ascii="Arial" w:hAnsi="Arial" w:cs="Arial"/>
        </w:rPr>
      </w:pPr>
      <w:r w:rsidRPr="001F32DB">
        <w:rPr>
          <w:rFonts w:ascii="Arial" w:hAnsi="Arial" w:cs="Arial"/>
          <w:noProof/>
        </w:rPr>
        <w:drawing>
          <wp:inline distT="0" distB="0" distL="0" distR="0" wp14:anchorId="654A2F1B" wp14:editId="69FE1CC3">
            <wp:extent cx="5877041" cy="230647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927279" cy="2326188"/>
                    </a:xfrm>
                    <a:prstGeom prst="rect">
                      <a:avLst/>
                    </a:prstGeom>
                    <a:noFill/>
                  </pic:spPr>
                </pic:pic>
              </a:graphicData>
            </a:graphic>
          </wp:inline>
        </w:drawing>
      </w:r>
    </w:p>
    <w:p w14:paraId="0998D2D6" w14:textId="72A31683" w:rsidR="00CE55A9" w:rsidRPr="001F32DB" w:rsidRDefault="00CE55A9" w:rsidP="001F32DB">
      <w:pPr>
        <w:pStyle w:val="Caption"/>
        <w:spacing w:line="360" w:lineRule="auto"/>
        <w:jc w:val="both"/>
        <w:rPr>
          <w:rFonts w:ascii="Arial" w:hAnsi="Arial" w:cs="Arial"/>
          <w:sz w:val="22"/>
          <w:szCs w:val="22"/>
        </w:rPr>
      </w:pPr>
      <w:r w:rsidRPr="001F32DB">
        <w:rPr>
          <w:rFonts w:ascii="Arial" w:hAnsi="Arial" w:cs="Arial"/>
          <w:sz w:val="22"/>
          <w:szCs w:val="22"/>
        </w:rPr>
        <w:t xml:space="preserve">Figure </w:t>
      </w:r>
      <w:r w:rsidR="00142A15" w:rsidRPr="001F32DB">
        <w:rPr>
          <w:rFonts w:ascii="Arial" w:hAnsi="Arial" w:cs="Arial"/>
          <w:sz w:val="22"/>
          <w:szCs w:val="22"/>
        </w:rPr>
        <w:fldChar w:fldCharType="begin"/>
      </w:r>
      <w:r w:rsidR="00142A15" w:rsidRPr="001F32DB">
        <w:rPr>
          <w:rFonts w:ascii="Arial" w:hAnsi="Arial" w:cs="Arial"/>
          <w:sz w:val="22"/>
          <w:szCs w:val="22"/>
        </w:rPr>
        <w:instrText xml:space="preserve"> SEQ Figure \* ARABIC </w:instrText>
      </w:r>
      <w:r w:rsidR="00142A15" w:rsidRPr="001F32DB">
        <w:rPr>
          <w:rFonts w:ascii="Arial" w:hAnsi="Arial" w:cs="Arial"/>
          <w:sz w:val="22"/>
          <w:szCs w:val="22"/>
        </w:rPr>
        <w:fldChar w:fldCharType="separate"/>
      </w:r>
      <w:r w:rsidR="00813F71" w:rsidRPr="001F32DB">
        <w:rPr>
          <w:rFonts w:ascii="Arial" w:hAnsi="Arial" w:cs="Arial"/>
          <w:noProof/>
          <w:sz w:val="22"/>
          <w:szCs w:val="22"/>
        </w:rPr>
        <w:t>4</w:t>
      </w:r>
      <w:r w:rsidR="00142A15" w:rsidRPr="001F32DB">
        <w:rPr>
          <w:rFonts w:ascii="Arial" w:hAnsi="Arial" w:cs="Arial"/>
          <w:noProof/>
          <w:sz w:val="22"/>
          <w:szCs w:val="22"/>
        </w:rPr>
        <w:fldChar w:fldCharType="end"/>
      </w:r>
      <w:r w:rsidRPr="001F32DB">
        <w:rPr>
          <w:rFonts w:ascii="Arial" w:hAnsi="Arial" w:cs="Arial"/>
          <w:sz w:val="22"/>
          <w:szCs w:val="22"/>
        </w:rPr>
        <w:t xml:space="preserve"> (The University of Queensland, 2017)</w:t>
      </w:r>
    </w:p>
    <w:p w14:paraId="46DD1117" w14:textId="29A213AB" w:rsidR="00CE55A9" w:rsidRPr="001F32DB" w:rsidRDefault="00CE55A9" w:rsidP="001F32DB">
      <w:pPr>
        <w:rPr>
          <w:rFonts w:ascii="Arial" w:hAnsi="Arial" w:cs="Arial"/>
        </w:rPr>
      </w:pPr>
      <w:r w:rsidRPr="001F32DB">
        <w:rPr>
          <w:rFonts w:ascii="Arial" w:hAnsi="Arial" w:cs="Arial"/>
        </w:rPr>
        <w:t xml:space="preserve">The field was further enhanced by the development of the standardised diagnostic criteria. With the introduction of the Diagnostic and Statistical Manual of Mental Disorders (DSM) criteria and the International Classification of Diseases (ICD), the dementia classification and diagnosis became more consistent. Simultaneously, </w:t>
      </w:r>
      <w:r w:rsidR="001F32DB">
        <w:rPr>
          <w:rFonts w:ascii="Arial" w:hAnsi="Arial" w:cs="Arial"/>
        </w:rPr>
        <w:t>clinicians</w:t>
      </w:r>
      <w:r w:rsidRPr="001F32DB">
        <w:rPr>
          <w:rFonts w:ascii="Arial" w:hAnsi="Arial" w:cs="Arial"/>
        </w:rPr>
        <w:t xml:space="preserve"> received a convenient way of measuring cognitive impairment through cognitive screening tests, including the Mini-Mental State Examination (MMSE) (Wang et al., 2022). More recently, a new assessment </w:t>
      </w:r>
      <w:r w:rsidR="001F32DB">
        <w:rPr>
          <w:rFonts w:ascii="Arial" w:hAnsi="Arial" w:cs="Arial"/>
        </w:rPr>
        <w:t>was presented</w:t>
      </w:r>
      <w:r w:rsidR="00E833CE">
        <w:rPr>
          <w:rFonts w:ascii="Arial" w:hAnsi="Arial" w:cs="Arial"/>
        </w:rPr>
        <w:t>:</w:t>
      </w:r>
      <w:r w:rsidRPr="001F32DB">
        <w:rPr>
          <w:rFonts w:ascii="Arial" w:hAnsi="Arial" w:cs="Arial"/>
        </w:rPr>
        <w:t xml:space="preserve"> the Montreal Cognitive Assessment (MoCA) to enhance sensitivity in identifying mild cognitive impairment and early-stage dementia to overcome shortcomings established in </w:t>
      </w:r>
      <w:r w:rsidRPr="001F32DB">
        <w:rPr>
          <w:rFonts w:ascii="Arial" w:hAnsi="Arial" w:cs="Arial"/>
        </w:rPr>
        <w:lastRenderedPageBreak/>
        <w:t>other instruments (Carton et al., 2025). The developments have played a critical role in changing the emphasis to early detection and the distinction between normal ageing of the mind and cognitive ageing.</w:t>
      </w:r>
    </w:p>
    <w:p w14:paraId="4AF2B9BD" w14:textId="51D5B8CD" w:rsidR="004463E6" w:rsidRPr="001F32DB" w:rsidRDefault="00CE55A9" w:rsidP="001F32DB">
      <w:pPr>
        <w:rPr>
          <w:rFonts w:ascii="Arial" w:hAnsi="Arial" w:cs="Arial"/>
        </w:rPr>
      </w:pPr>
      <w:r w:rsidRPr="001F32DB">
        <w:rPr>
          <w:rFonts w:ascii="Arial" w:hAnsi="Arial" w:cs="Arial"/>
        </w:rPr>
        <w:t xml:space="preserve">Organisational contributions have also been influential to present-day knowledge and practise. The World Health Organisation has been at the forefront in stating dementia as a global public health priority to promote early diagnosis and integrated care approaches (World Health Organisation, 2025). Likewise, the Alzheimer's Association and Alzheimer's Disease International have helped to raise awareness, </w:t>
      </w:r>
      <w:r w:rsidR="001F32DB">
        <w:rPr>
          <w:rFonts w:ascii="Arial" w:hAnsi="Arial" w:cs="Arial"/>
        </w:rPr>
        <w:t>fund</w:t>
      </w:r>
      <w:r w:rsidRPr="001F32DB">
        <w:rPr>
          <w:rFonts w:ascii="Arial" w:hAnsi="Arial" w:cs="Arial"/>
        </w:rPr>
        <w:t xml:space="preserve"> research and come up with clinical guidelines that help support early recognition and intervention. These organisations have particularly focused on how timely diagnosis is relevant to achieving a better outcome and less burden on healthcare systems. Altogether, the progress in history has turned dementia, a poorly comprehended side effect of ageing, into a clear clinical picture with a developed diagnostic system. The work of major players, diagnostic systems, and organisations has provided the basis of modern nursing practise in which early identification and proper distinction between normal ageing and the </w:t>
      </w:r>
      <w:r w:rsidR="001F32DB">
        <w:rPr>
          <w:rFonts w:ascii="Arial" w:hAnsi="Arial" w:cs="Arial"/>
        </w:rPr>
        <w:t>disease</w:t>
      </w:r>
      <w:r w:rsidRPr="001F32DB">
        <w:rPr>
          <w:rFonts w:ascii="Arial" w:hAnsi="Arial" w:cs="Arial"/>
        </w:rPr>
        <w:t xml:space="preserve"> are now viewed as vital aspects of quality care.</w:t>
      </w:r>
    </w:p>
    <w:p w14:paraId="1787DF7C" w14:textId="11EC4A13" w:rsidR="00BD2909" w:rsidRPr="001F32DB" w:rsidRDefault="00BD2909" w:rsidP="001F32DB">
      <w:pPr>
        <w:pStyle w:val="Heading2"/>
        <w:jc w:val="both"/>
        <w:rPr>
          <w:rStyle w:val="normaltextrun"/>
          <w:rFonts w:ascii="Arial" w:hAnsi="Arial"/>
          <w:sz w:val="22"/>
          <w:szCs w:val="22"/>
        </w:rPr>
      </w:pPr>
      <w:bookmarkStart w:id="16" w:name="_Toc231933938"/>
      <w:r w:rsidRPr="001F32DB">
        <w:rPr>
          <w:rStyle w:val="normaltextrun"/>
          <w:rFonts w:ascii="Arial" w:hAnsi="Arial"/>
          <w:sz w:val="22"/>
          <w:szCs w:val="22"/>
        </w:rPr>
        <w:t>2.3 Theoretical Backgroun</w:t>
      </w:r>
      <w:r w:rsidR="004463E6" w:rsidRPr="001F32DB">
        <w:rPr>
          <w:rStyle w:val="normaltextrun"/>
          <w:rFonts w:ascii="Arial" w:hAnsi="Arial"/>
          <w:sz w:val="22"/>
          <w:szCs w:val="22"/>
        </w:rPr>
        <w:t>d</w:t>
      </w:r>
      <w:bookmarkEnd w:id="16"/>
    </w:p>
    <w:p w14:paraId="17A31DCE" w14:textId="6C2D12B9" w:rsidR="00C42324" w:rsidRPr="001F32DB" w:rsidRDefault="00C42324" w:rsidP="001F32DB">
      <w:pPr>
        <w:rPr>
          <w:rFonts w:ascii="Arial" w:hAnsi="Arial" w:cs="Arial"/>
        </w:rPr>
      </w:pPr>
      <w:r w:rsidRPr="001F32DB">
        <w:rPr>
          <w:rFonts w:ascii="Arial" w:hAnsi="Arial" w:cs="Arial"/>
        </w:rPr>
        <w:t xml:space="preserve">The conceptual literature that underlies the early identification of dementia includes </w:t>
      </w:r>
      <w:r w:rsidR="001F32DB" w:rsidRPr="001F32DB">
        <w:rPr>
          <w:rFonts w:ascii="Arial" w:hAnsi="Arial" w:cs="Arial"/>
        </w:rPr>
        <w:t>several</w:t>
      </w:r>
      <w:r w:rsidRPr="001F32DB">
        <w:rPr>
          <w:rFonts w:ascii="Arial" w:hAnsi="Arial" w:cs="Arial"/>
        </w:rPr>
        <w:t xml:space="preserve"> important models that describe cognitive ageing, impairment, and development to dementia. The cognitive reserve theory is one of the most referenced models that may imply that academically cultured individuals with occupations related to rather complicated roles </w:t>
      </w:r>
      <w:r w:rsidR="001F32DB" w:rsidRPr="001F32DB">
        <w:rPr>
          <w:rFonts w:ascii="Arial" w:hAnsi="Arial" w:cs="Arial"/>
        </w:rPr>
        <w:t>can withstand</w:t>
      </w:r>
      <w:r w:rsidRPr="001F32DB">
        <w:rPr>
          <w:rFonts w:ascii="Arial" w:hAnsi="Arial" w:cs="Arial"/>
        </w:rPr>
        <w:t xml:space="preserve"> underlying neuropathology, thus putting off the expression of the symptoms of dementia (Oosterhuis et al., 2023). The theory is especially useful in explaining why some geriatric patients with severe brain lesions can have periods of functional independence. Nevertheless, cognitive reserve theory has faced criticism on its variability and difficulties in operationalising the concept in clinical practise. Akimova et al. (2025) state that while cognitive reserve theory explains delayed symptom onset, it may make early detection more difficult in individuals with high cognitive resilience. This is directly relevant to this study as it highlights the importance of accurate early detection in nursing practice.</w:t>
      </w:r>
    </w:p>
    <w:p w14:paraId="67BB18D6" w14:textId="77777777" w:rsidR="00C42324" w:rsidRPr="001F32DB" w:rsidRDefault="00C42324" w:rsidP="001F32DB">
      <w:pPr>
        <w:keepNext/>
        <w:rPr>
          <w:rFonts w:ascii="Arial" w:hAnsi="Arial" w:cs="Arial"/>
        </w:rPr>
      </w:pPr>
      <w:r w:rsidRPr="001F32DB">
        <w:rPr>
          <w:rFonts w:ascii="Arial" w:hAnsi="Arial" w:cs="Arial"/>
          <w:noProof/>
        </w:rPr>
        <w:lastRenderedPageBreak/>
        <w:drawing>
          <wp:inline distT="0" distB="0" distL="0" distR="0" wp14:anchorId="64B1D081" wp14:editId="1498D269">
            <wp:extent cx="5943600" cy="6201266"/>
            <wp:effectExtent l="0" t="0" r="0" b="9525"/>
            <wp:docPr id="7" name="Picture 7" descr="https://static.cambridge.org/binary/version/id/urn:cambridge.org:id:binary:20190710091318913-0820:S1355617719000250:S1355617719000250_fig1g.gif?pub-status=l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3" descr="https://static.cambridge.org/binary/version/id/urn:cambridge.org:id:binary:20190710091318913-0820:S1355617719000250:S1355617719000250_fig1g.gif?pub-status=live"/>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943600" cy="6201266"/>
                    </a:xfrm>
                    <a:prstGeom prst="rect">
                      <a:avLst/>
                    </a:prstGeom>
                    <a:noFill/>
                    <a:ln>
                      <a:noFill/>
                    </a:ln>
                  </pic:spPr>
                </pic:pic>
              </a:graphicData>
            </a:graphic>
          </wp:inline>
        </w:drawing>
      </w:r>
    </w:p>
    <w:p w14:paraId="0FB4C201" w14:textId="612DBE24" w:rsidR="00C42324" w:rsidRPr="001F32DB" w:rsidRDefault="00C42324" w:rsidP="001F32DB">
      <w:pPr>
        <w:pStyle w:val="Caption"/>
        <w:spacing w:line="360" w:lineRule="auto"/>
        <w:jc w:val="both"/>
        <w:rPr>
          <w:rFonts w:ascii="Arial" w:hAnsi="Arial" w:cs="Arial"/>
          <w:sz w:val="22"/>
          <w:szCs w:val="22"/>
        </w:rPr>
      </w:pPr>
      <w:r w:rsidRPr="001F32DB">
        <w:rPr>
          <w:rFonts w:ascii="Arial" w:hAnsi="Arial" w:cs="Arial"/>
          <w:sz w:val="22"/>
          <w:szCs w:val="22"/>
        </w:rPr>
        <w:t xml:space="preserve">Figure </w:t>
      </w:r>
      <w:r w:rsidR="00142A15" w:rsidRPr="001F32DB">
        <w:rPr>
          <w:rFonts w:ascii="Arial" w:hAnsi="Arial" w:cs="Arial"/>
          <w:sz w:val="22"/>
          <w:szCs w:val="22"/>
        </w:rPr>
        <w:fldChar w:fldCharType="begin"/>
      </w:r>
      <w:r w:rsidR="00142A15" w:rsidRPr="001F32DB">
        <w:rPr>
          <w:rFonts w:ascii="Arial" w:hAnsi="Arial" w:cs="Arial"/>
          <w:sz w:val="22"/>
          <w:szCs w:val="22"/>
        </w:rPr>
        <w:instrText xml:space="preserve"> SEQ Figure \* ARABIC </w:instrText>
      </w:r>
      <w:r w:rsidR="00142A15" w:rsidRPr="001F32DB">
        <w:rPr>
          <w:rFonts w:ascii="Arial" w:hAnsi="Arial" w:cs="Arial"/>
          <w:sz w:val="22"/>
          <w:szCs w:val="22"/>
        </w:rPr>
        <w:fldChar w:fldCharType="separate"/>
      </w:r>
      <w:r w:rsidR="00813F71" w:rsidRPr="001F32DB">
        <w:rPr>
          <w:rFonts w:ascii="Arial" w:hAnsi="Arial" w:cs="Arial"/>
          <w:noProof/>
          <w:sz w:val="22"/>
          <w:szCs w:val="22"/>
        </w:rPr>
        <w:t>5</w:t>
      </w:r>
      <w:r w:rsidR="00142A15" w:rsidRPr="001F32DB">
        <w:rPr>
          <w:rFonts w:ascii="Arial" w:hAnsi="Arial" w:cs="Arial"/>
          <w:noProof/>
          <w:sz w:val="22"/>
          <w:szCs w:val="22"/>
        </w:rPr>
        <w:fldChar w:fldCharType="end"/>
      </w:r>
      <w:r w:rsidRPr="001F32DB">
        <w:rPr>
          <w:rFonts w:ascii="Arial" w:hAnsi="Arial" w:cs="Arial"/>
          <w:sz w:val="22"/>
          <w:szCs w:val="22"/>
        </w:rPr>
        <w:t xml:space="preserve"> (Cambridge University Press</w:t>
      </w:r>
      <w:r w:rsidRPr="001F32DB">
        <w:rPr>
          <w:rFonts w:ascii="Arial" w:hAnsi="Arial" w:cs="Arial"/>
          <w:noProof/>
          <w:sz w:val="22"/>
          <w:szCs w:val="22"/>
        </w:rPr>
        <w:t>, 2019)</w:t>
      </w:r>
    </w:p>
    <w:p w14:paraId="2483684C" w14:textId="66405112" w:rsidR="00C42324" w:rsidRPr="001F32DB" w:rsidRDefault="00C42324" w:rsidP="001F32DB">
      <w:pPr>
        <w:rPr>
          <w:rFonts w:ascii="Arial" w:hAnsi="Arial" w:cs="Arial"/>
        </w:rPr>
      </w:pPr>
      <w:r w:rsidRPr="001F32DB">
        <w:rPr>
          <w:rFonts w:ascii="Arial" w:hAnsi="Arial" w:cs="Arial"/>
        </w:rPr>
        <w:t xml:space="preserve">The other paradigm on which it is based is the neurodegenerative disease model, which focuses on the biological processes that underlie dementia, especially Alzheimer's disease. This model emphasises the beta-amyloid sheet aggregates, tau </w:t>
      </w:r>
      <w:r w:rsidR="001F32DB">
        <w:rPr>
          <w:rFonts w:ascii="Arial" w:hAnsi="Arial" w:cs="Arial"/>
        </w:rPr>
        <w:t>pathology</w:t>
      </w:r>
      <w:r w:rsidRPr="001F32DB">
        <w:rPr>
          <w:rFonts w:ascii="Arial" w:hAnsi="Arial" w:cs="Arial"/>
        </w:rPr>
        <w:t xml:space="preserve">, and neuronal death as the major factors of cognitive impairments (Chai et al., 2022). Its robustness </w:t>
      </w:r>
      <w:r w:rsidR="001F32DB">
        <w:rPr>
          <w:rFonts w:ascii="Arial" w:hAnsi="Arial" w:cs="Arial"/>
        </w:rPr>
        <w:t>lies in providing</w:t>
      </w:r>
      <w:r w:rsidRPr="001F32DB">
        <w:rPr>
          <w:rFonts w:ascii="Arial" w:hAnsi="Arial" w:cs="Arial"/>
        </w:rPr>
        <w:t xml:space="preserve"> quantifiable and objective indicators that can inform early detection priorities and biomarker interventions. Nevertheless, critics suggest that the neurodegenerative model is reductionist, in which it overemphasises pathology and underestimates the environmental and psychosocial factors (Pasko et al., 2022). In addition, not every individual with severe </w:t>
      </w:r>
      <w:r w:rsidRPr="001F32DB">
        <w:rPr>
          <w:rFonts w:ascii="Arial" w:hAnsi="Arial" w:cs="Arial"/>
        </w:rPr>
        <w:lastRenderedPageBreak/>
        <w:t>neuropathology has severe cognitive impairment, which questions the predictive validity of a purely biological approach.</w:t>
      </w:r>
    </w:p>
    <w:p w14:paraId="6044ED78" w14:textId="77777777" w:rsidR="00C42324" w:rsidRPr="001F32DB" w:rsidRDefault="00C42324" w:rsidP="001F32DB">
      <w:pPr>
        <w:keepNext/>
        <w:rPr>
          <w:rFonts w:ascii="Arial" w:hAnsi="Arial" w:cs="Arial"/>
        </w:rPr>
      </w:pPr>
      <w:r w:rsidRPr="001F32DB">
        <w:rPr>
          <w:rFonts w:ascii="Arial" w:hAnsi="Arial" w:cs="Arial"/>
          <w:noProof/>
        </w:rPr>
        <w:drawing>
          <wp:inline distT="0" distB="0" distL="0" distR="0" wp14:anchorId="45CCCF0D" wp14:editId="5D2FF572">
            <wp:extent cx="5454618" cy="3491345"/>
            <wp:effectExtent l="0" t="0" r="0" b="0"/>
            <wp:docPr id="8" name="Picture 8" descr="https://www.labtoo.com/hubfs/Neuro_EN-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5" descr="https://www.labtoo.com/hubfs/Neuro_EN-1.png"/>
                    <pic:cNvPicPr>
                      <a:picLocks noChangeAspect="1" noChangeArrowheads="1"/>
                    </pic:cNvPicPr>
                  </pic:nvPicPr>
                  <pic:blipFill>
                    <a:blip r:embed="rId14">
                      <a:extLst>
                        <a:ext uri="{28A0092B-C50C-407E-A947-70E740481C1C}">
                          <a14:useLocalDpi xmlns:a14="http://schemas.microsoft.com/office/drawing/2010/main" val="0"/>
                        </a:ext>
                      </a:extLst>
                    </a:blip>
                    <a:srcRect b="9614"/>
                    <a:stretch>
                      <a:fillRect/>
                    </a:stretch>
                  </pic:blipFill>
                  <pic:spPr bwMode="auto">
                    <a:xfrm>
                      <a:off x="0" y="0"/>
                      <a:ext cx="5454650" cy="3491366"/>
                    </a:xfrm>
                    <a:prstGeom prst="rect">
                      <a:avLst/>
                    </a:prstGeom>
                    <a:noFill/>
                    <a:ln>
                      <a:noFill/>
                    </a:ln>
                    <a:extLst>
                      <a:ext uri="{53640926-AAD7-44D8-BBD7-CCE9431645EC}">
                        <a14:shadowObscured xmlns:a14="http://schemas.microsoft.com/office/drawing/2010/main"/>
                      </a:ext>
                    </a:extLst>
                  </pic:spPr>
                </pic:pic>
              </a:graphicData>
            </a:graphic>
          </wp:inline>
        </w:drawing>
      </w:r>
    </w:p>
    <w:p w14:paraId="4F5707D5" w14:textId="339C47CE" w:rsidR="00C42324" w:rsidRPr="001F32DB" w:rsidRDefault="00C42324" w:rsidP="001F32DB">
      <w:pPr>
        <w:pStyle w:val="Caption"/>
        <w:spacing w:line="360" w:lineRule="auto"/>
        <w:jc w:val="both"/>
        <w:rPr>
          <w:rFonts w:ascii="Arial" w:hAnsi="Arial" w:cs="Arial"/>
          <w:sz w:val="22"/>
          <w:szCs w:val="22"/>
        </w:rPr>
      </w:pPr>
      <w:r w:rsidRPr="001F32DB">
        <w:rPr>
          <w:rFonts w:ascii="Arial" w:hAnsi="Arial" w:cs="Arial"/>
          <w:sz w:val="22"/>
          <w:szCs w:val="22"/>
        </w:rPr>
        <w:t xml:space="preserve">Figure </w:t>
      </w:r>
      <w:r w:rsidR="00142A15" w:rsidRPr="001F32DB">
        <w:rPr>
          <w:rFonts w:ascii="Arial" w:hAnsi="Arial" w:cs="Arial"/>
          <w:sz w:val="22"/>
          <w:szCs w:val="22"/>
        </w:rPr>
        <w:fldChar w:fldCharType="begin"/>
      </w:r>
      <w:r w:rsidR="00142A15" w:rsidRPr="001F32DB">
        <w:rPr>
          <w:rFonts w:ascii="Arial" w:hAnsi="Arial" w:cs="Arial"/>
          <w:sz w:val="22"/>
          <w:szCs w:val="22"/>
        </w:rPr>
        <w:instrText xml:space="preserve"> SEQ Figure \* ARABIC </w:instrText>
      </w:r>
      <w:r w:rsidR="00142A15" w:rsidRPr="001F32DB">
        <w:rPr>
          <w:rFonts w:ascii="Arial" w:hAnsi="Arial" w:cs="Arial"/>
          <w:sz w:val="22"/>
          <w:szCs w:val="22"/>
        </w:rPr>
        <w:fldChar w:fldCharType="separate"/>
      </w:r>
      <w:r w:rsidR="00813F71" w:rsidRPr="001F32DB">
        <w:rPr>
          <w:rFonts w:ascii="Arial" w:hAnsi="Arial" w:cs="Arial"/>
          <w:noProof/>
          <w:sz w:val="22"/>
          <w:szCs w:val="22"/>
        </w:rPr>
        <w:t>6</w:t>
      </w:r>
      <w:r w:rsidR="00142A15" w:rsidRPr="001F32DB">
        <w:rPr>
          <w:rFonts w:ascii="Arial" w:hAnsi="Arial" w:cs="Arial"/>
          <w:noProof/>
          <w:sz w:val="22"/>
          <w:szCs w:val="22"/>
        </w:rPr>
        <w:fldChar w:fldCharType="end"/>
      </w:r>
      <w:r w:rsidRPr="001F32DB">
        <w:rPr>
          <w:rFonts w:ascii="Arial" w:hAnsi="Arial" w:cs="Arial"/>
          <w:sz w:val="22"/>
          <w:szCs w:val="22"/>
        </w:rPr>
        <w:t xml:space="preserve"> (Labtoo, 2022)</w:t>
      </w:r>
    </w:p>
    <w:p w14:paraId="58D45E27" w14:textId="77777777" w:rsidR="00C42324" w:rsidRPr="001F32DB" w:rsidRDefault="00C42324" w:rsidP="001F32DB">
      <w:pPr>
        <w:rPr>
          <w:rFonts w:ascii="Arial" w:hAnsi="Arial" w:cs="Arial"/>
        </w:rPr>
      </w:pPr>
      <w:r w:rsidRPr="001F32DB">
        <w:rPr>
          <w:rFonts w:ascii="Arial" w:hAnsi="Arial" w:cs="Arial"/>
        </w:rPr>
        <w:t>The continuum model of cognitive ageing is relevant to these views by theorising normal ageing, mild cognitive impairment (MCI), and dementia as existing along a scale and not as separate features (O'Connor et al., 2023). This paradigm led to the creation of sensitive cognitive screening instruments, including the Montreal Cognitive Assessment (MoCA), which is meant to identify minor functional impairments in people before much deterioration has impacted their functions (Wang et al., 2022). However, the continuum model is discussed, and opponents state that it might result in unclear demarcation of diagnoses, and thus, possibly in overdiagnosis and providing patients and their caregivers with unwarranted anxiety. Studies also show that the use of this model might lead to inconsistent interpretation by practitioners, especially those nurses who lack any specialist training in cognitive assessment (Visser et al., 2025).</w:t>
      </w:r>
    </w:p>
    <w:p w14:paraId="30E262C4" w14:textId="0F1F5EB3" w:rsidR="004463E6" w:rsidRPr="001F32DB" w:rsidRDefault="00C42324" w:rsidP="001F32DB">
      <w:pPr>
        <w:rPr>
          <w:rFonts w:ascii="Arial" w:hAnsi="Arial" w:cs="Arial"/>
        </w:rPr>
      </w:pPr>
      <w:r w:rsidRPr="001F32DB">
        <w:rPr>
          <w:rFonts w:ascii="Arial" w:hAnsi="Arial" w:cs="Arial"/>
        </w:rPr>
        <w:t xml:space="preserve">These theories are used in combination </w:t>
      </w:r>
      <w:r w:rsidR="001F32DB" w:rsidRPr="001F32DB">
        <w:rPr>
          <w:rFonts w:ascii="Arial" w:hAnsi="Arial" w:cs="Arial"/>
        </w:rPr>
        <w:t>and</w:t>
      </w:r>
      <w:r w:rsidRPr="001F32DB">
        <w:rPr>
          <w:rFonts w:ascii="Arial" w:hAnsi="Arial" w:cs="Arial"/>
        </w:rPr>
        <w:t xml:space="preserve"> have limitations as shown by their empirical applications. An example is that papers that combine cognitive and neurodegenerative theories indicate that some individuals who have a larger reserve can be diagnosed with progressive pathology but with similar functional capabilities, making them difficult to detect earlier (Huang et al., 2025). Longitudinal studies have also utilised the continuum model to determine the progression between MCI and dementia, which points to the usefulness of the </w:t>
      </w:r>
      <w:r w:rsidRPr="001F32DB">
        <w:rPr>
          <w:rFonts w:ascii="Arial" w:hAnsi="Arial" w:cs="Arial"/>
        </w:rPr>
        <w:lastRenderedPageBreak/>
        <w:t xml:space="preserve">model in research but raises practical issues related to clinical classification (Lee, 2023). Overall, these theories explain the understanding of dementia and its progression on a fundamental level; however, the limitation reduces the reliability of the model in distinguishing between normal ageing and early-stage dementia in clinical settings. </w:t>
      </w:r>
    </w:p>
    <w:p w14:paraId="302C6B72" w14:textId="77F3C4F4" w:rsidR="00BD2909" w:rsidRPr="001F32DB" w:rsidRDefault="00BD2909" w:rsidP="001F32DB">
      <w:pPr>
        <w:pStyle w:val="Heading2"/>
        <w:jc w:val="both"/>
        <w:rPr>
          <w:rStyle w:val="normaltextrun"/>
          <w:rFonts w:ascii="Arial" w:hAnsi="Arial"/>
          <w:sz w:val="22"/>
          <w:szCs w:val="22"/>
        </w:rPr>
      </w:pPr>
      <w:bookmarkStart w:id="17" w:name="_Toc231933939"/>
      <w:r w:rsidRPr="001F32DB">
        <w:rPr>
          <w:rStyle w:val="normaltextrun"/>
          <w:rFonts w:ascii="Arial" w:hAnsi="Arial"/>
          <w:sz w:val="22"/>
          <w:szCs w:val="22"/>
        </w:rPr>
        <w:t>2.4 International Context</w:t>
      </w:r>
      <w:bookmarkEnd w:id="17"/>
    </w:p>
    <w:p w14:paraId="6306A874" w14:textId="77777777" w:rsidR="00C42324" w:rsidRPr="001F32DB" w:rsidRDefault="00C42324" w:rsidP="001F32DB">
      <w:pPr>
        <w:rPr>
          <w:rFonts w:ascii="Arial" w:hAnsi="Arial" w:cs="Arial"/>
        </w:rPr>
      </w:pPr>
      <w:r w:rsidRPr="001F32DB">
        <w:rPr>
          <w:rFonts w:ascii="Arial" w:hAnsi="Arial" w:cs="Arial"/>
        </w:rPr>
        <w:t>Dementia has begun to be accepted as a problem by global public health, and there is a marked diversity in Forms of addressing early recognition, care, and support of affected individuals across nations. Such innovations as dementia-specific villages have been created in the Netherlands, where residents have safe and stimulating conditions, and people can become independent in these villages, although adequate care is offered (Chadborn et al., 2024). This model is a person-centred method which places emphasis on quality of life and social interrelationships and shows how the environment and society can be modified to assist people with cognitive impairment. Likewise, other nations like Japan and Sweden have established community-based memory clinics and systematic home-visit schemes to access early detection and continued supervision of elderly people, as it has been observed that primary healthcare is critical in identifying dementia at its early stages (Baba et al., 2024). Overall, these approaches demonstrated that early detection strategies must be adapted to healthcare systems and resource availability.</w:t>
      </w:r>
    </w:p>
    <w:p w14:paraId="117963C1" w14:textId="7D8BC45C" w:rsidR="00C42324" w:rsidRPr="001F32DB" w:rsidRDefault="00C42324" w:rsidP="001F32DB">
      <w:pPr>
        <w:rPr>
          <w:rFonts w:ascii="Arial" w:hAnsi="Arial" w:cs="Arial"/>
        </w:rPr>
      </w:pPr>
      <w:r w:rsidRPr="001F32DB">
        <w:rPr>
          <w:rFonts w:ascii="Arial" w:hAnsi="Arial" w:cs="Arial"/>
        </w:rPr>
        <w:t>Early diagnosis and early intervention are becoming a priority in policies internationally. Global Action Plan on the Public Health Response to Dementia 20172025 by the World Health Organisation proposes early identification, follow-up care trajectories, and staff education to enhance the management of dementia globally (World Health Organisation, 2017). Nations vary in how much these recommendations are operationalised</w:t>
      </w:r>
      <w:r w:rsidR="001F32DB">
        <w:rPr>
          <w:rFonts w:ascii="Arial" w:hAnsi="Arial" w:cs="Arial"/>
        </w:rPr>
        <w:t>; for example,</w:t>
      </w:r>
      <w:r w:rsidRPr="001F32DB">
        <w:rPr>
          <w:rFonts w:ascii="Arial" w:hAnsi="Arial" w:cs="Arial"/>
        </w:rPr>
        <w:t xml:space="preserve"> the UK has invested in memory assessment services as well as national dementia strategies, whilst low- and middle-income countries may have issues in terms of resources, lack of awareness, and untrained staff (Smith and Surr, 2024).</w:t>
      </w:r>
    </w:p>
    <w:p w14:paraId="5DD7B6FB" w14:textId="4180C4C8" w:rsidR="004463E6" w:rsidRPr="001F32DB" w:rsidRDefault="00C42324" w:rsidP="001F32DB">
      <w:pPr>
        <w:rPr>
          <w:rFonts w:ascii="Arial" w:hAnsi="Arial" w:cs="Arial"/>
        </w:rPr>
      </w:pPr>
      <w:r w:rsidRPr="001F32DB">
        <w:rPr>
          <w:rFonts w:ascii="Arial" w:hAnsi="Arial" w:cs="Arial"/>
        </w:rPr>
        <w:t>Comparison brings out similarities and differences. Higher-income countries tend to use structured screening</w:t>
      </w:r>
      <w:r w:rsidR="001F32DB">
        <w:rPr>
          <w:rFonts w:ascii="Arial" w:hAnsi="Arial" w:cs="Arial"/>
        </w:rPr>
        <w:t>,</w:t>
      </w:r>
      <w:r w:rsidRPr="001F32DB">
        <w:rPr>
          <w:rFonts w:ascii="Arial" w:hAnsi="Arial" w:cs="Arial"/>
        </w:rPr>
        <w:t xml:space="preserve"> early intervention and multidisciplinary models, and </w:t>
      </w:r>
      <w:r w:rsidR="001F32DB">
        <w:rPr>
          <w:rFonts w:ascii="Arial" w:hAnsi="Arial" w:cs="Arial"/>
        </w:rPr>
        <w:t>settings</w:t>
      </w:r>
      <w:r w:rsidRPr="001F32DB">
        <w:rPr>
          <w:rFonts w:ascii="Arial" w:hAnsi="Arial" w:cs="Arial"/>
        </w:rPr>
        <w:t xml:space="preserve"> with fewer resources will have to depend more on family caregivers and community awareness of cognitive impairment. The European Dementia Monitor and Alzheimer's Disease International efforts are cross-national initiatives that strive to exchange best practices, standardise policies, and fund research on a novel care model (Saunders et al., 2022). Primary care nurse training at the national level in Denmark has enhanced the rate of early identification, whereas in India, pilots with mobile technology can be used to perform cognitive screening on the rural population, but cultural stigma and lack of awareness pose obstacles (Bray et al., 2025). The </w:t>
      </w:r>
      <w:r w:rsidRPr="001F32DB">
        <w:rPr>
          <w:rFonts w:ascii="Arial" w:hAnsi="Arial" w:cs="Arial"/>
        </w:rPr>
        <w:lastRenderedPageBreak/>
        <w:t>Dutch dementia villages, Japanese community clinics and UK memory services all share the essentials of a contextual, situation-specific approach that considers early detection, patient autonomy and support of the caregivers. In general, these international experiences have highlighted that although the objective is to recognise dementia at its early stages, strategies need to consider cultural, economic and healthcare system contexts.</w:t>
      </w:r>
    </w:p>
    <w:p w14:paraId="09099AFE" w14:textId="37939C37" w:rsidR="00BD2909" w:rsidRPr="001F32DB" w:rsidRDefault="00BD2909" w:rsidP="001F32DB">
      <w:pPr>
        <w:pStyle w:val="Heading2"/>
        <w:jc w:val="both"/>
        <w:rPr>
          <w:rStyle w:val="normaltextrun"/>
          <w:rFonts w:ascii="Arial" w:hAnsi="Arial"/>
          <w:sz w:val="22"/>
          <w:szCs w:val="22"/>
        </w:rPr>
      </w:pPr>
      <w:bookmarkStart w:id="18" w:name="_Toc231933940"/>
      <w:r w:rsidRPr="001F32DB">
        <w:rPr>
          <w:rStyle w:val="normaltextrun"/>
          <w:rFonts w:ascii="Arial" w:hAnsi="Arial"/>
          <w:sz w:val="22"/>
          <w:szCs w:val="22"/>
        </w:rPr>
        <w:t>2.5 National/Local UK Context</w:t>
      </w:r>
      <w:bookmarkEnd w:id="18"/>
    </w:p>
    <w:p w14:paraId="5FCB7298" w14:textId="736B790C" w:rsidR="00C42324" w:rsidRPr="001F32DB" w:rsidRDefault="00C42324" w:rsidP="001F32DB">
      <w:pPr>
        <w:rPr>
          <w:rFonts w:ascii="Arial" w:hAnsi="Arial" w:cs="Arial"/>
        </w:rPr>
      </w:pPr>
      <w:r w:rsidRPr="001F32DB">
        <w:rPr>
          <w:rFonts w:ascii="Arial" w:hAnsi="Arial" w:cs="Arial"/>
        </w:rPr>
        <w:t xml:space="preserve">Dementia has recently assumed a central role as a public health concern in the United Kingdom due to the rising incidence of age-associated cancer and the rising prevalence of </w:t>
      </w:r>
      <w:r w:rsidR="001F32DB">
        <w:rPr>
          <w:rFonts w:ascii="Arial" w:hAnsi="Arial" w:cs="Arial"/>
        </w:rPr>
        <w:t>age-related mental</w:t>
      </w:r>
      <w:r w:rsidRPr="001F32DB">
        <w:rPr>
          <w:rFonts w:ascii="Arial" w:hAnsi="Arial" w:cs="Arial"/>
        </w:rPr>
        <w:t xml:space="preserve"> illnesses. Dementia influences more than 900,000 individuals in the UK, with the estimates suggesting its increase to above 1.5 million by 2040 (Reeves et al., 2023). National strategies revolve around early recognition and early diagnosis because early intervention has the potential to enhance planning of care, access to support services, and quality of life of both patients and caregivers. The UK strategy focuses on individual care provision, multidisciplinary teamwork, and </w:t>
      </w:r>
      <w:r w:rsidR="001F32DB">
        <w:rPr>
          <w:rFonts w:ascii="Arial" w:hAnsi="Arial" w:cs="Arial"/>
        </w:rPr>
        <w:t>integration</w:t>
      </w:r>
      <w:r w:rsidRPr="001F32DB">
        <w:rPr>
          <w:rFonts w:ascii="Arial" w:hAnsi="Arial" w:cs="Arial"/>
        </w:rPr>
        <w:t xml:space="preserve"> of health and social care services to deal efficiently with cognitive impairment. The major role in this arrangement is played by nursing practitioners, who often perform assessments, oversee cognitive alterations, and plan care both in primary and secondary care (Sorsgaard et al., 2024).</w:t>
      </w:r>
    </w:p>
    <w:p w14:paraId="1AF82D74" w14:textId="49315FB7" w:rsidR="00C42324" w:rsidRPr="001F32DB" w:rsidRDefault="00C42324" w:rsidP="001F32DB">
      <w:pPr>
        <w:rPr>
          <w:rFonts w:ascii="Arial" w:hAnsi="Arial" w:cs="Arial"/>
        </w:rPr>
      </w:pPr>
      <w:r w:rsidRPr="001F32DB">
        <w:rPr>
          <w:rFonts w:ascii="Arial" w:hAnsi="Arial" w:cs="Arial"/>
        </w:rPr>
        <w:t xml:space="preserve">Dementia care is influenced by policies and legislation on a national level. The Prime Minister's Challenge on Dementia 2020 updated the National Dementia Strategy that encourages early diagnosis, training of the workforce, and interventions in the community (Giebel et al., 2025). Such undertakings promote standardised cognitive assessment </w:t>
      </w:r>
      <w:r w:rsidR="001F32DB">
        <w:rPr>
          <w:rFonts w:ascii="Arial" w:hAnsi="Arial" w:cs="Arial"/>
        </w:rPr>
        <w:t>in</w:t>
      </w:r>
      <w:r w:rsidRPr="001F32DB">
        <w:rPr>
          <w:rFonts w:ascii="Arial" w:hAnsi="Arial" w:cs="Arial"/>
        </w:rPr>
        <w:t xml:space="preserve"> primary care and development of memory clinics offering organised routes of assessment, surveillance and referral. Besides, both the Care Act 2014 and the Health and Social Care Act 2012 introduce the statutory obligations of the local authorities and healthcare organisations to deliver appropriate care, protection, and person-centred treatment of older adults with cognitive impairment (England, 2022). All these policies support the significance of early assessment and health care providers, especially nurses, in adopting evidence-based assessment and intervention practises. On a local level, the implementation is provided differently in regions based on resource availability, services, and demographics of the population. </w:t>
      </w:r>
    </w:p>
    <w:p w14:paraId="34DCCC70" w14:textId="0409F8A3" w:rsidR="004463E6" w:rsidRPr="001F32DB" w:rsidRDefault="00C42324" w:rsidP="001F32DB">
      <w:pPr>
        <w:rPr>
          <w:rFonts w:ascii="Arial" w:hAnsi="Arial" w:cs="Arial"/>
        </w:rPr>
      </w:pPr>
      <w:r w:rsidRPr="001F32DB">
        <w:rPr>
          <w:rFonts w:ascii="Arial" w:hAnsi="Arial" w:cs="Arial"/>
        </w:rPr>
        <w:t xml:space="preserve">For example, London and Manchester have incorporated nurse-led cognitive screening into their memory assessment services that can be performed during primary care and enhance the rate of early diagnosis and referrals (Smith and Surr, 2024). Rural settings, in its turn, are characterised by such issues as insufficient access to expert services, shortages of staff, and deficient patient and caregiver awareness. Community-based cognitive health programmes, collaboration with voluntary organisations, and dementia-friendly hospital programmes are </w:t>
      </w:r>
      <w:r w:rsidRPr="001F32DB">
        <w:rPr>
          <w:rFonts w:ascii="Arial" w:hAnsi="Arial" w:cs="Arial"/>
        </w:rPr>
        <w:lastRenderedPageBreak/>
        <w:t xml:space="preserve">local initiatives that are meant to address these disparities and build specific support to cater to the needs of the regions (Agbana, 2025). The UK situation, at large, depicts a full implementation of dementia awareness and intervention strategies that integrate the national policy frameworks, systematic clinical pathways, and </w:t>
      </w:r>
      <w:r w:rsidR="001F32DB" w:rsidRPr="001F32DB">
        <w:rPr>
          <w:rFonts w:ascii="Arial" w:hAnsi="Arial" w:cs="Arial"/>
        </w:rPr>
        <w:t>locally oriented</w:t>
      </w:r>
      <w:r w:rsidRPr="001F32DB">
        <w:rPr>
          <w:rFonts w:ascii="Arial" w:hAnsi="Arial" w:cs="Arial"/>
        </w:rPr>
        <w:t xml:space="preserve"> efforts and interventions. Although some achievements have been realised in terms of standardisation of early detection and care, there are still issues in equitable access, especially in the underserved areas. The nursing practise, policy and community support integration remain significant in improving the overall results and promoting earlier identification of individuals with dementia risk.</w:t>
      </w:r>
    </w:p>
    <w:p w14:paraId="44658AF6" w14:textId="159BB217" w:rsidR="00BD2909" w:rsidRPr="001F32DB" w:rsidRDefault="00BD2909" w:rsidP="001F32DB">
      <w:pPr>
        <w:pStyle w:val="Heading2"/>
        <w:jc w:val="both"/>
        <w:rPr>
          <w:rStyle w:val="normaltextrun"/>
          <w:rFonts w:ascii="Arial" w:hAnsi="Arial"/>
          <w:sz w:val="22"/>
          <w:szCs w:val="22"/>
        </w:rPr>
      </w:pPr>
      <w:bookmarkStart w:id="19" w:name="_Toc231933941"/>
      <w:r w:rsidRPr="001F32DB">
        <w:rPr>
          <w:rStyle w:val="normaltextrun"/>
          <w:rFonts w:ascii="Arial" w:hAnsi="Arial"/>
          <w:sz w:val="22"/>
          <w:szCs w:val="22"/>
        </w:rPr>
        <w:t>2.6 Conclusion</w:t>
      </w:r>
      <w:bookmarkEnd w:id="19"/>
    </w:p>
    <w:p w14:paraId="60D9F7F6" w14:textId="1934D60F" w:rsidR="00C42324" w:rsidRPr="001F32DB" w:rsidRDefault="00C42324" w:rsidP="001F32DB">
      <w:pPr>
        <w:rPr>
          <w:rFonts w:ascii="Arial" w:hAnsi="Arial" w:cs="Arial"/>
        </w:rPr>
      </w:pPr>
      <w:r w:rsidRPr="001F32DB">
        <w:rPr>
          <w:rFonts w:ascii="Arial" w:hAnsi="Arial" w:cs="Arial"/>
        </w:rPr>
        <w:t>The background chapter has presented an in-depth summary of the historical, theoretical, global, and country-specific situation in early dementia recognition. It made a notable emphasis on the progression of the study on dementia, pivotal figures, and how clinical assessment models have evolved to guide nursing practise. The chapter is also critical of foundational theories, illustrating how they have been used and constrained to inform early detection strategies. The comparisons of international practises, such as innovative care models and international initiatives, with the UK policies and local approaches highlighted the significance of context-specific planning for effective dementia management. This literature review is a full scope that can be used to formulate a knowledge base and inform the research design, which involves selecting methods and evaluation approaches to be used. This understanding would inform the systematic section in Chapter 3, where the research would be based on known evidence and be able to fill gaps in the nursing practise.</w:t>
      </w:r>
    </w:p>
    <w:p w14:paraId="110BE830" w14:textId="77777777" w:rsidR="004463E6" w:rsidRPr="001F32DB" w:rsidRDefault="004463E6" w:rsidP="001F32DB">
      <w:pPr>
        <w:rPr>
          <w:rFonts w:ascii="Arial" w:hAnsi="Arial" w:cs="Arial"/>
        </w:rPr>
      </w:pPr>
    </w:p>
    <w:p w14:paraId="0A075791" w14:textId="385AB4F0" w:rsidR="00880B2D" w:rsidRPr="001F32DB" w:rsidRDefault="00880B2D" w:rsidP="001F32DB">
      <w:pPr>
        <w:rPr>
          <w:rFonts w:ascii="Arial" w:hAnsi="Arial" w:cs="Arial"/>
        </w:rPr>
      </w:pPr>
    </w:p>
    <w:p w14:paraId="0ADC38C7" w14:textId="3D7AD8C0" w:rsidR="00E65AF0" w:rsidRPr="001F32DB" w:rsidRDefault="00E65AF0" w:rsidP="001F32DB">
      <w:pPr>
        <w:rPr>
          <w:rFonts w:ascii="Arial" w:hAnsi="Arial" w:cs="Arial"/>
        </w:rPr>
      </w:pPr>
      <w:r w:rsidRPr="001F32DB">
        <w:rPr>
          <w:rFonts w:ascii="Arial" w:hAnsi="Arial" w:cs="Arial"/>
        </w:rPr>
        <w:br w:type="page"/>
      </w:r>
    </w:p>
    <w:p w14:paraId="6F7343CF" w14:textId="77777777" w:rsidR="00E65AF0" w:rsidRDefault="00E65AF0" w:rsidP="00E65AF0">
      <w:pPr>
        <w:pStyle w:val="Heading1"/>
      </w:pPr>
      <w:bookmarkStart w:id="20" w:name="_Toc231933942"/>
      <w:r>
        <w:lastRenderedPageBreak/>
        <w:t>CHAPTER 3: Methods and Search Strategy</w:t>
      </w:r>
      <w:bookmarkEnd w:id="20"/>
      <w:r>
        <w:t xml:space="preserve"> </w:t>
      </w:r>
    </w:p>
    <w:p w14:paraId="33FD598E" w14:textId="77777777" w:rsidR="00E65AF0" w:rsidRDefault="00E65AF0" w:rsidP="00E65AF0">
      <w:pPr>
        <w:pStyle w:val="Heading2"/>
      </w:pPr>
      <w:bookmarkStart w:id="21" w:name="_Toc231933943"/>
      <w:r>
        <w:t>3.1 – Introduction</w:t>
      </w:r>
      <w:bookmarkEnd w:id="21"/>
    </w:p>
    <w:p w14:paraId="4A624CC5" w14:textId="0E683344" w:rsidR="00E65AF0" w:rsidRPr="001F32DB" w:rsidRDefault="00E65AF0" w:rsidP="001F32DB">
      <w:pPr>
        <w:rPr>
          <w:rFonts w:ascii="Arial" w:hAnsi="Arial" w:cs="Arial"/>
        </w:rPr>
      </w:pPr>
      <w:r w:rsidRPr="001F32DB">
        <w:rPr>
          <w:rFonts w:ascii="Arial" w:hAnsi="Arial" w:cs="Arial"/>
        </w:rPr>
        <w:t>This chapter discusses the process used for the secondary research investigation of early dementia identification among older adults. The study uses a descriptive and literature-based approach, systematic identification, selection and analysis of peer-reviewed academic literature related to dementia recognition, assessment of cognition and nursing practice. This chapter details each of the student's research steps; the academic methodology poster offers a visual overview of the research process. Secondary research is suitable for compiling together the knowledge that has been generated before and looking for patterns of studies (Ralph and Baltes, 2022). The methods discussed will inform the thematic findings and analysis presented in Chapter 4.</w:t>
      </w:r>
    </w:p>
    <w:p w14:paraId="382803CC" w14:textId="77777777" w:rsidR="00E65AF0" w:rsidRPr="001F32DB" w:rsidRDefault="00E65AF0" w:rsidP="001F32DB">
      <w:pPr>
        <w:pStyle w:val="Heading2"/>
        <w:jc w:val="both"/>
        <w:rPr>
          <w:rFonts w:ascii="Arial" w:hAnsi="Arial"/>
          <w:sz w:val="22"/>
          <w:szCs w:val="22"/>
        </w:rPr>
      </w:pPr>
      <w:bookmarkStart w:id="22" w:name="_Toc231933944"/>
      <w:r w:rsidRPr="001F32DB">
        <w:rPr>
          <w:rFonts w:ascii="Arial" w:hAnsi="Arial"/>
          <w:sz w:val="22"/>
          <w:szCs w:val="22"/>
        </w:rPr>
        <w:t>3.2 – Search Strategy</w:t>
      </w:r>
      <w:bookmarkEnd w:id="22"/>
    </w:p>
    <w:p w14:paraId="4B3B0D49" w14:textId="7C3B6E67" w:rsidR="00E65AF0" w:rsidRPr="001F32DB" w:rsidRDefault="00E65AF0" w:rsidP="001F32DB">
      <w:pPr>
        <w:rPr>
          <w:rFonts w:ascii="Arial" w:hAnsi="Arial" w:cs="Arial"/>
        </w:rPr>
      </w:pPr>
      <w:r w:rsidRPr="001F32DB">
        <w:rPr>
          <w:rFonts w:ascii="Arial" w:hAnsi="Arial" w:cs="Arial"/>
        </w:rPr>
        <w:t>The research title and objectives were used to create a structured search strategy using the following keywords: “dementia”, “normal ageing”, “cognitive impairment”, “early recognition”, “nursing practice”, “cognitive assessment”. To enhance search sensitivity, additional search terms were used related to the profession, including “mild cognitive impairment,” “screening tools,” and “older adults.” Boolean operators were used to narrow results down</w:t>
      </w:r>
      <w:r w:rsidR="001F32DB">
        <w:rPr>
          <w:rFonts w:ascii="Arial" w:hAnsi="Arial" w:cs="Arial"/>
        </w:rPr>
        <w:t>:</w:t>
      </w:r>
      <w:r w:rsidRPr="001F32DB">
        <w:rPr>
          <w:rFonts w:ascii="Arial" w:hAnsi="Arial" w:cs="Arial"/>
        </w:rPr>
        <w:t xml:space="preserve"> "AND" added concepts to combine and "OR" added alternatives of terms, and "NOT" was added to exclude irrelevant studies. A systematic approach to searching was employed to capture combinations of keywords, database outputs, and articles that would be relevant to the process of reviewing to provide transparency and consistency in the search process (Haddaway et al., 2022).</w:t>
      </w:r>
    </w:p>
    <w:p w14:paraId="33797B6B" w14:textId="77777777" w:rsidR="00E65AF0" w:rsidRPr="001F32DB" w:rsidRDefault="00E65AF0" w:rsidP="001F32DB">
      <w:pPr>
        <w:pStyle w:val="Heading2"/>
        <w:jc w:val="both"/>
        <w:rPr>
          <w:rFonts w:ascii="Arial" w:hAnsi="Arial"/>
          <w:sz w:val="22"/>
          <w:szCs w:val="22"/>
        </w:rPr>
      </w:pPr>
      <w:bookmarkStart w:id="23" w:name="_Toc231933945"/>
      <w:r w:rsidRPr="001F32DB">
        <w:rPr>
          <w:rFonts w:ascii="Arial" w:hAnsi="Arial"/>
          <w:sz w:val="22"/>
          <w:szCs w:val="22"/>
        </w:rPr>
        <w:t>3.3 – Searching for Information</w:t>
      </w:r>
      <w:bookmarkEnd w:id="23"/>
    </w:p>
    <w:p w14:paraId="56807FCD" w14:textId="2E4ADA33" w:rsidR="00E65AF0" w:rsidRPr="001F32DB" w:rsidRDefault="00E65AF0" w:rsidP="001F32DB">
      <w:pPr>
        <w:rPr>
          <w:rFonts w:ascii="Arial" w:hAnsi="Arial" w:cs="Arial"/>
        </w:rPr>
      </w:pPr>
      <w:r w:rsidRPr="001F32DB">
        <w:rPr>
          <w:rFonts w:ascii="Arial" w:hAnsi="Arial" w:cs="Arial"/>
        </w:rPr>
        <w:t xml:space="preserve">Recognition databases for the healthcare and multidisciplinary fields, such as PubMed, CINAHL, PsycINFO and Google Scholar, were used to identify academic literature. These databases were chosen as they contain credible and relevant literature for the study (for the topic of nursing, medicine, psychology and dementia research). The use of PubMed and CINAHL proved especially useful in locating evidence-based nursing and clinical studies, and PsycINFO </w:t>
      </w:r>
      <w:r w:rsidR="001F32DB">
        <w:rPr>
          <w:rFonts w:ascii="Arial" w:hAnsi="Arial" w:cs="Arial"/>
        </w:rPr>
        <w:t>helped locate</w:t>
      </w:r>
      <w:r w:rsidRPr="001F32DB">
        <w:rPr>
          <w:rFonts w:ascii="Arial" w:hAnsi="Arial" w:cs="Arial"/>
        </w:rPr>
        <w:t xml:space="preserve"> cognitive and behavioural studies. The search was expanded using Google Scholar to find more relevant sources. Employing several databases allowed </w:t>
      </w:r>
      <w:r w:rsidR="001F32DB">
        <w:rPr>
          <w:rFonts w:ascii="Arial" w:hAnsi="Arial" w:cs="Arial"/>
        </w:rPr>
        <w:t xml:space="preserve">the </w:t>
      </w:r>
      <w:r w:rsidRPr="001F32DB">
        <w:rPr>
          <w:rFonts w:ascii="Arial" w:hAnsi="Arial" w:cs="Arial"/>
        </w:rPr>
        <w:t>literature review process to be comprehensive and reliable (Shaheen et al., 2023).</w:t>
      </w:r>
    </w:p>
    <w:p w14:paraId="7D6776E6" w14:textId="23828C13" w:rsidR="00E65AF0" w:rsidRPr="001F32DB" w:rsidRDefault="00E65AF0" w:rsidP="001F32DB">
      <w:pPr>
        <w:rPr>
          <w:rFonts w:ascii="Arial" w:hAnsi="Arial" w:cs="Arial"/>
        </w:rPr>
      </w:pPr>
      <w:r w:rsidRPr="001F32DB">
        <w:rPr>
          <w:rFonts w:ascii="Arial" w:hAnsi="Arial" w:cs="Arial"/>
        </w:rPr>
        <w:t xml:space="preserve">Multiple filters have been used to improve the relevance and quality of results. Articles had to be peer-reviewed and published in English over the past decade, online, and deal with the </w:t>
      </w:r>
      <w:r w:rsidRPr="001F32DB">
        <w:rPr>
          <w:rFonts w:ascii="Arial" w:hAnsi="Arial" w:cs="Arial"/>
        </w:rPr>
        <w:lastRenderedPageBreak/>
        <w:t>detection or cognition assessment of older people who have been diagnosed with dementia. In the search process, keywords/phrases were modified when the search results were either too general or too specific. To ensure transparency and organisation during the review process, a detailed record was kept of databases searched, search terms, inclusion decisions and selected studies in Appendix 1: Source Tracking Table.</w:t>
      </w:r>
    </w:p>
    <w:p w14:paraId="054963B3" w14:textId="77777777" w:rsidR="00E65AF0" w:rsidRPr="001F32DB" w:rsidRDefault="00E65AF0" w:rsidP="001F32DB">
      <w:pPr>
        <w:pStyle w:val="Heading2"/>
        <w:jc w:val="both"/>
        <w:rPr>
          <w:rFonts w:ascii="Arial" w:hAnsi="Arial"/>
          <w:sz w:val="22"/>
          <w:szCs w:val="22"/>
        </w:rPr>
      </w:pPr>
      <w:bookmarkStart w:id="24" w:name="_Toc231933946"/>
      <w:r w:rsidRPr="001F32DB">
        <w:rPr>
          <w:rFonts w:ascii="Arial" w:hAnsi="Arial"/>
          <w:sz w:val="22"/>
          <w:szCs w:val="22"/>
        </w:rPr>
        <w:t>3.4 – Research Validation</w:t>
      </w:r>
      <w:bookmarkEnd w:id="24"/>
    </w:p>
    <w:p w14:paraId="05A2EBBB" w14:textId="6244721E" w:rsidR="00E65AF0" w:rsidRPr="001F32DB" w:rsidRDefault="00E65AF0" w:rsidP="001F32DB">
      <w:pPr>
        <w:rPr>
          <w:rFonts w:ascii="Arial" w:hAnsi="Arial" w:cs="Arial"/>
        </w:rPr>
      </w:pPr>
      <w:r w:rsidRPr="001F32DB">
        <w:rPr>
          <w:rFonts w:ascii="Arial" w:hAnsi="Arial" w:cs="Arial"/>
        </w:rPr>
        <w:t>Research validation was carried out to make sure that the study included only credible and relevant sources. Initial screening included reading the titles, abstracts, introduction and conclusions of articles to determine their relevance to dementia diagnosis, cognitive screening and nursing practice. This process was very effective with regard to the exclusion of unrelated or poor-quality studies. Then, the selected literature was evaluated using the CRAAP test instrument, designed to measure the quality and reliability of the literature. The results of the assessment were written and documented in Appendix 2: CRAAP Test Table (Muis et al., 2022). Sources that highly matched the standards for currency, relevance and authority were prioritised. Peer-reviewed studies from the last ten years by reputable health sciences researchers were deemed to be more appropriate than more dated or non-academic studies with less evidence or methodological clarity.</w:t>
      </w:r>
    </w:p>
    <w:p w14:paraId="563A27FE" w14:textId="77777777" w:rsidR="00E65AF0" w:rsidRPr="001F32DB" w:rsidRDefault="00E65AF0" w:rsidP="001F32DB">
      <w:pPr>
        <w:pStyle w:val="Heading2"/>
        <w:jc w:val="both"/>
        <w:rPr>
          <w:rFonts w:ascii="Arial" w:hAnsi="Arial"/>
          <w:sz w:val="22"/>
          <w:szCs w:val="22"/>
        </w:rPr>
      </w:pPr>
      <w:bookmarkStart w:id="25" w:name="_Toc231933947"/>
      <w:r w:rsidRPr="001F32DB">
        <w:rPr>
          <w:rFonts w:ascii="Arial" w:hAnsi="Arial"/>
          <w:sz w:val="22"/>
          <w:szCs w:val="22"/>
        </w:rPr>
        <w:t>3.5 - Inclusion and Exclusion Criteria</w:t>
      </w:r>
      <w:bookmarkEnd w:id="25"/>
    </w:p>
    <w:p w14:paraId="43BAE3D2" w14:textId="439E2547" w:rsidR="001F32DB" w:rsidRPr="001F32DB" w:rsidRDefault="00E65AF0" w:rsidP="001F32DB">
      <w:pPr>
        <w:rPr>
          <w:rFonts w:ascii="Arial" w:hAnsi="Arial" w:cs="Arial"/>
        </w:rPr>
      </w:pPr>
      <w:r w:rsidRPr="001F32DB">
        <w:rPr>
          <w:rFonts w:ascii="Arial" w:hAnsi="Arial" w:cs="Arial"/>
        </w:rPr>
        <w:t xml:space="preserve">The inclusion criteria excluded articles that were not peer-reviewed, were published more than a decade ago, were written in a language other than English, were not available online, or were not related to the detection of dementia or cognitive assessment among older persons. The studies were limited to those of relevance to healthcare and nursing practice in the UK to ensure their relevance. The criteria for exclusion </w:t>
      </w:r>
      <w:r w:rsidR="001F32DB" w:rsidRPr="001F32DB">
        <w:rPr>
          <w:rFonts w:ascii="Arial" w:hAnsi="Arial" w:cs="Arial"/>
        </w:rPr>
        <w:t>were</w:t>
      </w:r>
      <w:r w:rsidRPr="001F32DB">
        <w:rPr>
          <w:rFonts w:ascii="Arial" w:hAnsi="Arial" w:cs="Arial"/>
        </w:rPr>
        <w:t xml:space="preserve"> non-peer-reviewed papers, opinion blogs, papers published older than 10 years, papers that were not relevant to the context in the UK and those that were not available online. By applying these criteria, the quality, reliability, and focus of the research were ensured, and only current and academically credible evidence informed the study findings (Shaheen et al., 2023).</w:t>
      </w:r>
      <w:bookmarkStart w:id="26" w:name="_Toc231933948"/>
    </w:p>
    <w:p w14:paraId="20EDE7D4" w14:textId="76DAD218" w:rsidR="00E65AF0" w:rsidRPr="001F32DB" w:rsidRDefault="00E65AF0" w:rsidP="001F32DB">
      <w:pPr>
        <w:pStyle w:val="Heading2"/>
        <w:jc w:val="both"/>
        <w:rPr>
          <w:rFonts w:ascii="Arial" w:hAnsi="Arial"/>
          <w:sz w:val="22"/>
          <w:szCs w:val="22"/>
        </w:rPr>
      </w:pPr>
      <w:r w:rsidRPr="001F32DB">
        <w:rPr>
          <w:rFonts w:ascii="Arial" w:hAnsi="Arial"/>
          <w:sz w:val="22"/>
          <w:szCs w:val="22"/>
        </w:rPr>
        <w:t>3.6 – Analysing Research</w:t>
      </w:r>
      <w:bookmarkEnd w:id="26"/>
    </w:p>
    <w:p w14:paraId="6E8606C0" w14:textId="73C2C7ED" w:rsidR="00E65AF0" w:rsidRPr="001F32DB" w:rsidRDefault="00E65AF0" w:rsidP="001F32DB">
      <w:pPr>
        <w:rPr>
          <w:rFonts w:ascii="Arial" w:hAnsi="Arial" w:cs="Arial"/>
        </w:rPr>
      </w:pPr>
      <w:r w:rsidRPr="001F32DB">
        <w:rPr>
          <w:rFonts w:ascii="Arial" w:hAnsi="Arial" w:cs="Arial"/>
        </w:rPr>
        <w:t xml:space="preserve">The selected literature was analysed in a structured and organised way employing a thematic coding technique. To determine repeated concepts, findings and issues of dementia recognition, cognitive assessment and nursing practice discussed in each article, each article was reviewed in detail. Recurring words, phrases and patterns were identified in the studies, and initial codes were generated from these. These codes covered recognition memory, </w:t>
      </w:r>
      <w:r w:rsidRPr="001F32DB">
        <w:rPr>
          <w:rFonts w:ascii="Arial" w:hAnsi="Arial" w:cs="Arial"/>
        </w:rPr>
        <w:lastRenderedPageBreak/>
        <w:t>screening accuracy, barriers to diagnosis, readiness to provide services, and cultural factors and dementia care. After coding, similar codes were amalgamated into larger themes relating to the overall purpose and objectives of the research. The process helped to identify key themes around clinical and cognitive markers, assessment tools employed in primary care settings, and effectiveness and challenges of early recognition strategies. Codes were recorded in tables and spreadsheets to support organisation and consistency and to facilitate comparative analysis of findings from across studies and to monitor theme development.</w:t>
      </w:r>
    </w:p>
    <w:p w14:paraId="26BDDAA1" w14:textId="77777777" w:rsidR="00E65AF0" w:rsidRPr="001F32DB" w:rsidRDefault="00E65AF0" w:rsidP="001F32DB">
      <w:pPr>
        <w:pStyle w:val="Heading2"/>
        <w:jc w:val="both"/>
        <w:rPr>
          <w:rFonts w:ascii="Arial" w:hAnsi="Arial"/>
          <w:sz w:val="22"/>
          <w:szCs w:val="22"/>
        </w:rPr>
      </w:pPr>
      <w:bookmarkStart w:id="27" w:name="_Toc231933949"/>
      <w:r w:rsidRPr="001F32DB">
        <w:rPr>
          <w:rFonts w:ascii="Arial" w:hAnsi="Arial"/>
          <w:sz w:val="22"/>
          <w:szCs w:val="22"/>
        </w:rPr>
        <w:t>3.7 – Ethical Considerations</w:t>
      </w:r>
      <w:bookmarkEnd w:id="27"/>
    </w:p>
    <w:p w14:paraId="2C2B4C48" w14:textId="779946D0" w:rsidR="00E65AF0" w:rsidRPr="001F32DB" w:rsidRDefault="00E65AF0" w:rsidP="001F32DB">
      <w:pPr>
        <w:rPr>
          <w:rFonts w:ascii="Arial" w:hAnsi="Arial" w:cs="Arial"/>
        </w:rPr>
      </w:pPr>
      <w:r w:rsidRPr="001F32DB">
        <w:rPr>
          <w:rFonts w:ascii="Arial" w:hAnsi="Arial" w:cs="Arial"/>
        </w:rPr>
        <w:t xml:space="preserve">This study was secondary, and no primary data were collected from the participants, thereby reducing the ethical risks of primary research. Ethical responsibility was upheld by giving appropriate credit to all sources, using a Harvard </w:t>
      </w:r>
      <w:r w:rsidR="001F32DB" w:rsidRPr="001F32DB">
        <w:rPr>
          <w:rFonts w:ascii="Arial" w:hAnsi="Arial" w:cs="Arial"/>
        </w:rPr>
        <w:t>always referencing system</w:t>
      </w:r>
      <w:r w:rsidRPr="001F32DB">
        <w:rPr>
          <w:rFonts w:ascii="Arial" w:hAnsi="Arial" w:cs="Arial"/>
        </w:rPr>
        <w:t xml:space="preserve"> and avoiding plagiarism or misquoting of findings. The research also sought to provide transparency in </w:t>
      </w:r>
      <w:r w:rsidR="001F32DB">
        <w:rPr>
          <w:rFonts w:ascii="Arial" w:hAnsi="Arial" w:cs="Arial"/>
        </w:rPr>
        <w:t>the systematic selection of the literature and an objective presentation of evidence without violating the rules of logic or the researchers' personal biases</w:t>
      </w:r>
      <w:r w:rsidRPr="001F32DB">
        <w:rPr>
          <w:rFonts w:ascii="Arial" w:hAnsi="Arial" w:cs="Arial"/>
        </w:rPr>
        <w:t>. Academic integrity and fairness in interpreting published research are fundamental to ensuring credibility, reliability and trustworthiness in secondary research within academic investigation (Zhaksylyk et al., 2023).</w:t>
      </w:r>
    </w:p>
    <w:p w14:paraId="141A24B9" w14:textId="77777777" w:rsidR="00E65AF0" w:rsidRPr="001F32DB" w:rsidRDefault="00E65AF0" w:rsidP="001F32DB">
      <w:pPr>
        <w:pStyle w:val="Heading2"/>
        <w:jc w:val="both"/>
        <w:rPr>
          <w:rFonts w:ascii="Arial" w:hAnsi="Arial"/>
          <w:sz w:val="22"/>
          <w:szCs w:val="22"/>
        </w:rPr>
      </w:pPr>
      <w:bookmarkStart w:id="28" w:name="_Toc231933950"/>
      <w:r w:rsidRPr="001F32DB">
        <w:rPr>
          <w:rFonts w:ascii="Arial" w:hAnsi="Arial"/>
          <w:sz w:val="22"/>
          <w:szCs w:val="22"/>
        </w:rPr>
        <w:t>3.8 – Chapter Conclusion</w:t>
      </w:r>
      <w:bookmarkEnd w:id="28"/>
    </w:p>
    <w:p w14:paraId="6592C15B" w14:textId="4198B65A" w:rsidR="00A77835" w:rsidRPr="001F32DB" w:rsidRDefault="00E65AF0" w:rsidP="001F32DB">
      <w:pPr>
        <w:rPr>
          <w:rFonts w:ascii="Arial" w:hAnsi="Arial" w:cs="Arial"/>
        </w:rPr>
      </w:pPr>
      <w:r w:rsidRPr="001F32DB">
        <w:rPr>
          <w:rFonts w:ascii="Arial" w:hAnsi="Arial" w:cs="Arial"/>
        </w:rPr>
        <w:t xml:space="preserve">The methodology employed </w:t>
      </w:r>
      <w:r w:rsidR="001F32DB">
        <w:rPr>
          <w:rFonts w:ascii="Arial" w:hAnsi="Arial" w:cs="Arial"/>
        </w:rPr>
        <w:t>to identify, evaluate, and analyse</w:t>
      </w:r>
      <w:r w:rsidRPr="001F32DB">
        <w:rPr>
          <w:rFonts w:ascii="Arial" w:hAnsi="Arial" w:cs="Arial"/>
        </w:rPr>
        <w:t xml:space="preserve"> literature on early dementia recognition in older people was described in this chapter. It described how data were searched, how databases were chosen, inclusion and exclusion criteria, validation procedures, and ethical issues were observed to ensure the quality and relevance of research. Systematic searching and structured analysis were emphasised as helpful to credible findings for the chapter, as well. The results of the literature analysis will be presented in the fourth chapter and clearly organised in themes, directly related to the research aim and objectives.</w:t>
      </w:r>
    </w:p>
    <w:p w14:paraId="4B842BE9" w14:textId="666CFFC1" w:rsidR="00E65AF0" w:rsidRPr="005446BF" w:rsidRDefault="00E65AF0" w:rsidP="00A77835">
      <w:pPr>
        <w:spacing w:line="259" w:lineRule="auto"/>
        <w:jc w:val="left"/>
      </w:pPr>
      <w:r>
        <w:br w:type="page"/>
      </w:r>
    </w:p>
    <w:bookmarkEnd w:id="5"/>
    <w:p w14:paraId="76FCEB00" w14:textId="77777777" w:rsidR="00F12451" w:rsidRDefault="00F12451" w:rsidP="007502B3">
      <w:pPr>
        <w:pStyle w:val="Heading1"/>
        <w:sectPr w:rsidR="00F12451">
          <w:headerReference w:type="default" r:id="rId15"/>
          <w:headerReference w:type="first" r:id="rId16"/>
          <w:pgSz w:w="11906" w:h="16838"/>
          <w:pgMar w:top="1440" w:right="1440" w:bottom="1440" w:left="1440" w:header="708" w:footer="708" w:gutter="0"/>
          <w:cols w:space="708"/>
          <w:docGrid w:linePitch="360"/>
        </w:sectPr>
      </w:pPr>
    </w:p>
    <w:p w14:paraId="6D7584F3" w14:textId="4C752F40" w:rsidR="00621776" w:rsidRPr="008C38C3" w:rsidRDefault="00621776" w:rsidP="007502B3">
      <w:pPr>
        <w:pStyle w:val="Heading1"/>
      </w:pPr>
      <w:bookmarkStart w:id="29" w:name="_Toc231933988"/>
      <w:r w:rsidRPr="008C38C3">
        <w:lastRenderedPageBreak/>
        <w:t>6.2 – Appendices</w:t>
      </w:r>
      <w:bookmarkEnd w:id="29"/>
    </w:p>
    <w:p w14:paraId="70C7CA0C" w14:textId="4C55D7EB" w:rsidR="008C38C3" w:rsidRDefault="00446DBE" w:rsidP="00446DBE">
      <w:pPr>
        <w:pStyle w:val="Heading2"/>
      </w:pPr>
      <w:bookmarkStart w:id="30" w:name="_Toc231933989"/>
      <w:r w:rsidRPr="00446DBE">
        <w:t>Appendix 1: Source Tracking Table</w:t>
      </w:r>
      <w:bookmarkEnd w:id="30"/>
    </w:p>
    <w:tbl>
      <w:tblPr>
        <w:tblStyle w:val="TableGrid"/>
        <w:tblW w:w="0" w:type="auto"/>
        <w:tblLook w:val="04A0" w:firstRow="1" w:lastRow="0" w:firstColumn="1" w:lastColumn="0" w:noHBand="0" w:noVBand="1"/>
      </w:tblPr>
      <w:tblGrid>
        <w:gridCol w:w="1055"/>
        <w:gridCol w:w="1466"/>
        <w:gridCol w:w="3526"/>
        <w:gridCol w:w="4847"/>
        <w:gridCol w:w="3054"/>
      </w:tblGrid>
      <w:tr w:rsidR="00446DBE" w14:paraId="45991E6F" w14:textId="77777777" w:rsidTr="00813F71">
        <w:tc>
          <w:tcPr>
            <w:tcW w:w="1056" w:type="dxa"/>
          </w:tcPr>
          <w:p w14:paraId="151278AF" w14:textId="77777777" w:rsidR="00446DBE" w:rsidRPr="004547B1" w:rsidRDefault="00446DBE" w:rsidP="00813F71">
            <w:bookmarkStart w:id="31" w:name="_Hlk231935056"/>
          </w:p>
        </w:tc>
        <w:tc>
          <w:tcPr>
            <w:tcW w:w="1466" w:type="dxa"/>
            <w:hideMark/>
          </w:tcPr>
          <w:p w14:paraId="00AC8308" w14:textId="77777777" w:rsidR="00446DBE" w:rsidRPr="004547B1" w:rsidRDefault="00446DBE" w:rsidP="00813F71">
            <w:r w:rsidRPr="004547B1">
              <w:t>Author &amp; Year</w:t>
            </w:r>
          </w:p>
        </w:tc>
        <w:tc>
          <w:tcPr>
            <w:tcW w:w="0" w:type="auto"/>
            <w:hideMark/>
          </w:tcPr>
          <w:p w14:paraId="752B78E2" w14:textId="77777777" w:rsidR="00446DBE" w:rsidRPr="004547B1" w:rsidRDefault="00446DBE" w:rsidP="00813F71">
            <w:r w:rsidRPr="004547B1">
              <w:t>Article Title</w:t>
            </w:r>
          </w:p>
        </w:tc>
        <w:tc>
          <w:tcPr>
            <w:tcW w:w="0" w:type="auto"/>
            <w:hideMark/>
          </w:tcPr>
          <w:p w14:paraId="1FC97209" w14:textId="77777777" w:rsidR="00446DBE" w:rsidRPr="004547B1" w:rsidRDefault="00446DBE" w:rsidP="00813F71">
            <w:r w:rsidRPr="004547B1">
              <w:t>Article Summary</w:t>
            </w:r>
          </w:p>
        </w:tc>
        <w:tc>
          <w:tcPr>
            <w:tcW w:w="0" w:type="auto"/>
            <w:hideMark/>
          </w:tcPr>
          <w:p w14:paraId="0E2892EC" w14:textId="77777777" w:rsidR="00446DBE" w:rsidRPr="004547B1" w:rsidRDefault="00446DBE" w:rsidP="00813F71">
            <w:r w:rsidRPr="004547B1">
              <w:t>Keywords/Codes</w:t>
            </w:r>
          </w:p>
        </w:tc>
      </w:tr>
      <w:tr w:rsidR="00446DBE" w14:paraId="356CD729" w14:textId="77777777" w:rsidTr="00813F71">
        <w:tc>
          <w:tcPr>
            <w:tcW w:w="1056" w:type="dxa"/>
          </w:tcPr>
          <w:p w14:paraId="1E3152BB" w14:textId="77777777" w:rsidR="00446DBE" w:rsidRPr="004547B1" w:rsidRDefault="00446DBE" w:rsidP="00813F71">
            <w:pPr>
              <w:rPr>
                <w:b/>
                <w:bCs/>
              </w:rPr>
            </w:pPr>
            <w:r>
              <w:rPr>
                <w:b/>
                <w:bCs/>
              </w:rPr>
              <w:t>Article 1</w:t>
            </w:r>
          </w:p>
        </w:tc>
        <w:tc>
          <w:tcPr>
            <w:tcW w:w="1466" w:type="dxa"/>
            <w:hideMark/>
          </w:tcPr>
          <w:p w14:paraId="653F9192" w14:textId="77777777" w:rsidR="00446DBE" w:rsidRPr="004547B1" w:rsidRDefault="00446DBE" w:rsidP="00813F71">
            <w:r w:rsidRPr="004547B1">
              <w:t>Stothart et al. (2021)</w:t>
            </w:r>
          </w:p>
        </w:tc>
        <w:tc>
          <w:tcPr>
            <w:tcW w:w="0" w:type="auto"/>
            <w:hideMark/>
          </w:tcPr>
          <w:p w14:paraId="52C06C5F" w14:textId="77777777" w:rsidR="00446DBE" w:rsidRPr="004547B1" w:rsidRDefault="00446DBE" w:rsidP="00813F71">
            <w:r w:rsidRPr="004547B1">
              <w:t>A passive and objective measure of recognition memory in Alzheimer’s disease using Fastball memory assessment.</w:t>
            </w:r>
          </w:p>
        </w:tc>
        <w:tc>
          <w:tcPr>
            <w:tcW w:w="0" w:type="auto"/>
            <w:hideMark/>
          </w:tcPr>
          <w:p w14:paraId="3B0A6CA7" w14:textId="77777777" w:rsidR="00446DBE" w:rsidRPr="004547B1" w:rsidRDefault="00446DBE" w:rsidP="00813F71">
            <w:r w:rsidRPr="00A277CF">
              <w:t>The study examined the Fastball EEG memory assessment as an early diagnostic tool for Alzheimer’s disease. Findings showed that EEG-based recognition memory testing identified cognitive impairment more effectively than behavioural tests. The method was passive, rapid, non-invasive, and suitable for scalable dementia screening.</w:t>
            </w:r>
          </w:p>
        </w:tc>
        <w:tc>
          <w:tcPr>
            <w:tcW w:w="0" w:type="auto"/>
            <w:hideMark/>
          </w:tcPr>
          <w:p w14:paraId="19F70AFA" w14:textId="77777777" w:rsidR="00446DBE" w:rsidRPr="004547B1" w:rsidRDefault="00446DBE" w:rsidP="00813F71">
            <w:r w:rsidRPr="004547B1">
              <w:t>EEG; Fastball; Recognition Memory; Alzheimer's Disease; Functional Biomarker; Passive Assessment; Early Diagnosis</w:t>
            </w:r>
          </w:p>
        </w:tc>
      </w:tr>
      <w:tr w:rsidR="00446DBE" w14:paraId="14F3A954" w14:textId="77777777" w:rsidTr="007E534E">
        <w:tc>
          <w:tcPr>
            <w:tcW w:w="1056" w:type="dxa"/>
          </w:tcPr>
          <w:p w14:paraId="2B871E88" w14:textId="77777777" w:rsidR="00446DBE" w:rsidRPr="004547B1" w:rsidRDefault="00446DBE" w:rsidP="00813F71">
            <w:pPr>
              <w:rPr>
                <w:b/>
                <w:bCs/>
              </w:rPr>
            </w:pPr>
            <w:r w:rsidRPr="004547B1">
              <w:rPr>
                <w:b/>
                <w:bCs/>
              </w:rPr>
              <w:t>CRAAP Notes</w:t>
            </w:r>
          </w:p>
        </w:tc>
        <w:tc>
          <w:tcPr>
            <w:tcW w:w="9996" w:type="dxa"/>
            <w:gridSpan w:val="3"/>
            <w:hideMark/>
          </w:tcPr>
          <w:p w14:paraId="79AB0AB0" w14:textId="77777777" w:rsidR="00446DBE" w:rsidRPr="004547B1" w:rsidRDefault="00446DBE" w:rsidP="00813F71">
            <w:r w:rsidRPr="00E51897">
              <w:t>A recent peer-reviewed journal article published in Brain. Highly relevant to early dementia detection and diagnostic innovation. Conducted by recognised neuroscience researchers using evidence-based methods.</w:t>
            </w:r>
          </w:p>
        </w:tc>
        <w:tc>
          <w:tcPr>
            <w:tcW w:w="0" w:type="auto"/>
            <w:hideMark/>
          </w:tcPr>
          <w:p w14:paraId="31C6067D" w14:textId="77777777" w:rsidR="00446DBE" w:rsidRPr="004547B1" w:rsidRDefault="00446DBE" w:rsidP="00813F71">
            <w:r w:rsidRPr="004547B1">
              <w:rPr>
                <w:b/>
                <w:bCs/>
              </w:rPr>
              <w:t>CRAAP Score:</w:t>
            </w:r>
            <w:r w:rsidRPr="004547B1">
              <w:t> 5/5</w:t>
            </w:r>
          </w:p>
        </w:tc>
      </w:tr>
      <w:tr w:rsidR="00446DBE" w14:paraId="5C79640D" w14:textId="77777777" w:rsidTr="00813F71">
        <w:tc>
          <w:tcPr>
            <w:tcW w:w="1056" w:type="dxa"/>
          </w:tcPr>
          <w:p w14:paraId="62B3ACAB" w14:textId="77777777" w:rsidR="00446DBE" w:rsidRPr="004547B1" w:rsidRDefault="00446DBE" w:rsidP="00813F71">
            <w:pPr>
              <w:rPr>
                <w:b/>
                <w:bCs/>
              </w:rPr>
            </w:pPr>
            <w:r w:rsidRPr="004547B1">
              <w:rPr>
                <w:b/>
                <w:bCs/>
              </w:rPr>
              <w:t>Article 2</w:t>
            </w:r>
          </w:p>
        </w:tc>
        <w:tc>
          <w:tcPr>
            <w:tcW w:w="1466" w:type="dxa"/>
            <w:hideMark/>
          </w:tcPr>
          <w:p w14:paraId="21F3FBF5" w14:textId="77777777" w:rsidR="00446DBE" w:rsidRPr="004547B1" w:rsidRDefault="00446DBE" w:rsidP="00813F71">
            <w:r w:rsidRPr="004547B1">
              <w:t>Keshavan et al. (2021)</w:t>
            </w:r>
          </w:p>
        </w:tc>
        <w:tc>
          <w:tcPr>
            <w:tcW w:w="0" w:type="auto"/>
            <w:hideMark/>
          </w:tcPr>
          <w:p w14:paraId="2815A5B2" w14:textId="77777777" w:rsidR="00446DBE" w:rsidRPr="004547B1" w:rsidRDefault="00446DBE" w:rsidP="00813F71">
            <w:r w:rsidRPr="004547B1">
              <w:t>Population-based blood screening for preclinical Alzheimer’s disease in a British birth cohort at age 70.</w:t>
            </w:r>
          </w:p>
        </w:tc>
        <w:tc>
          <w:tcPr>
            <w:tcW w:w="0" w:type="auto"/>
            <w:hideMark/>
          </w:tcPr>
          <w:p w14:paraId="61826046" w14:textId="77777777" w:rsidR="00446DBE" w:rsidRPr="004547B1" w:rsidRDefault="00446DBE" w:rsidP="00813F71">
            <w:r w:rsidRPr="004547B1">
              <w:t xml:space="preserve">This study compared different blood-based techniques to detect brain amyloid positivity. It found that mass spectrometry measures of plasma amyloid-β significantly outperformed other blood tests and a clinical model (age, sex, </w:t>
            </w:r>
            <w:r w:rsidRPr="004547B1">
              <w:lastRenderedPageBreak/>
              <w:t>APOE), offering a potential screening method to reduce the need for costly PET scans for preclinical Alzheimer's.</w:t>
            </w:r>
          </w:p>
        </w:tc>
        <w:tc>
          <w:tcPr>
            <w:tcW w:w="0" w:type="auto"/>
            <w:hideMark/>
          </w:tcPr>
          <w:p w14:paraId="61B449A0" w14:textId="77777777" w:rsidR="00446DBE" w:rsidRPr="004547B1" w:rsidRDefault="00446DBE" w:rsidP="00813F71">
            <w:r w:rsidRPr="004547B1">
              <w:lastRenderedPageBreak/>
              <w:t>Blood Biomarker; Mass Spectrometry; Amyloid-beta; Preclinical Alzheimer's Disease; PET; Screening; Insight 46</w:t>
            </w:r>
          </w:p>
        </w:tc>
      </w:tr>
      <w:tr w:rsidR="00446DBE" w14:paraId="098DD3F7" w14:textId="77777777" w:rsidTr="007E534E">
        <w:tc>
          <w:tcPr>
            <w:tcW w:w="1056" w:type="dxa"/>
          </w:tcPr>
          <w:p w14:paraId="38003A43" w14:textId="77777777" w:rsidR="00446DBE" w:rsidRPr="004547B1" w:rsidRDefault="00446DBE" w:rsidP="00813F71">
            <w:pPr>
              <w:rPr>
                <w:b/>
                <w:bCs/>
              </w:rPr>
            </w:pPr>
            <w:r w:rsidRPr="004547B1">
              <w:rPr>
                <w:b/>
                <w:bCs/>
              </w:rPr>
              <w:t>CRAAP Notes</w:t>
            </w:r>
          </w:p>
        </w:tc>
        <w:tc>
          <w:tcPr>
            <w:tcW w:w="9996" w:type="dxa"/>
            <w:gridSpan w:val="3"/>
            <w:hideMark/>
          </w:tcPr>
          <w:p w14:paraId="7BC7F99F" w14:textId="77777777" w:rsidR="00446DBE" w:rsidRPr="004547B1" w:rsidRDefault="00446DBE" w:rsidP="00813F71">
            <w:r w:rsidRPr="000E2971">
              <w:t>Published in a high-impact neurology journal and based on a large UK cohort. Directly relevant to dementia risk prediction and screening. Evidence is statistically robust and current.</w:t>
            </w:r>
          </w:p>
        </w:tc>
        <w:tc>
          <w:tcPr>
            <w:tcW w:w="0" w:type="auto"/>
            <w:hideMark/>
          </w:tcPr>
          <w:p w14:paraId="41C04E6F" w14:textId="77777777" w:rsidR="00446DBE" w:rsidRPr="004547B1" w:rsidRDefault="00446DBE" w:rsidP="00813F71">
            <w:r w:rsidRPr="004547B1">
              <w:rPr>
                <w:b/>
                <w:bCs/>
              </w:rPr>
              <w:t>CRAAP Score:</w:t>
            </w:r>
            <w:r w:rsidRPr="004547B1">
              <w:t> 5/5</w:t>
            </w:r>
          </w:p>
        </w:tc>
      </w:tr>
      <w:tr w:rsidR="00446DBE" w14:paraId="095A993A" w14:textId="77777777" w:rsidTr="00813F71">
        <w:tc>
          <w:tcPr>
            <w:tcW w:w="1056" w:type="dxa"/>
          </w:tcPr>
          <w:p w14:paraId="210963D4" w14:textId="77777777" w:rsidR="00446DBE" w:rsidRPr="004547B1" w:rsidRDefault="00446DBE" w:rsidP="00813F71">
            <w:pPr>
              <w:rPr>
                <w:b/>
                <w:bCs/>
              </w:rPr>
            </w:pPr>
            <w:r w:rsidRPr="004547B1">
              <w:rPr>
                <w:b/>
                <w:bCs/>
              </w:rPr>
              <w:t>Article 3</w:t>
            </w:r>
          </w:p>
        </w:tc>
        <w:tc>
          <w:tcPr>
            <w:tcW w:w="1466" w:type="dxa"/>
            <w:hideMark/>
          </w:tcPr>
          <w:p w14:paraId="00477F3B" w14:textId="77777777" w:rsidR="00446DBE" w:rsidRPr="004547B1" w:rsidRDefault="00446DBE" w:rsidP="00813F71">
            <w:r w:rsidRPr="004547B1">
              <w:t>Ereira et al. (2024)</w:t>
            </w:r>
          </w:p>
        </w:tc>
        <w:tc>
          <w:tcPr>
            <w:tcW w:w="0" w:type="auto"/>
            <w:hideMark/>
          </w:tcPr>
          <w:p w14:paraId="51E8AB49" w14:textId="77777777" w:rsidR="00446DBE" w:rsidRPr="004547B1" w:rsidRDefault="00446DBE" w:rsidP="00813F71">
            <w:r w:rsidRPr="004547B1">
              <w:t>Early detection of dementia with default-mode network effective connectivity.</w:t>
            </w:r>
          </w:p>
        </w:tc>
        <w:tc>
          <w:tcPr>
            <w:tcW w:w="0" w:type="auto"/>
            <w:hideMark/>
          </w:tcPr>
          <w:p w14:paraId="65FFF9D8" w14:textId="77777777" w:rsidR="00446DBE" w:rsidRPr="004547B1" w:rsidRDefault="00446DBE" w:rsidP="00813F71">
            <w:r w:rsidRPr="004547B1">
              <w:t>Using resting-state fMRI data from UK Biobank, this study found that a model of effective connectivity (dysconnectivity) within the brain's default-mode network could predict a future dementia diagnosis up to nine years in advance (AUC = 0.82), outperforming models based on brain structure or functional connectivity.</w:t>
            </w:r>
          </w:p>
        </w:tc>
        <w:tc>
          <w:tcPr>
            <w:tcW w:w="0" w:type="auto"/>
            <w:hideMark/>
          </w:tcPr>
          <w:p w14:paraId="2820B208" w14:textId="77777777" w:rsidR="00446DBE" w:rsidRPr="004547B1" w:rsidRDefault="00446DBE" w:rsidP="00813F71">
            <w:r w:rsidRPr="004547B1">
              <w:t>fMRI; Default Mode Network; Effective Connectivity; Dementia Prediction; UK Biobank; Early Detection; Polygenic Risk</w:t>
            </w:r>
          </w:p>
        </w:tc>
      </w:tr>
      <w:tr w:rsidR="00446DBE" w14:paraId="2EC1C21F" w14:textId="77777777" w:rsidTr="007E534E">
        <w:tc>
          <w:tcPr>
            <w:tcW w:w="1056" w:type="dxa"/>
          </w:tcPr>
          <w:p w14:paraId="73B50203" w14:textId="77777777" w:rsidR="00446DBE" w:rsidRPr="004547B1" w:rsidRDefault="00446DBE" w:rsidP="00813F71">
            <w:pPr>
              <w:rPr>
                <w:b/>
                <w:bCs/>
              </w:rPr>
            </w:pPr>
            <w:r w:rsidRPr="004547B1">
              <w:rPr>
                <w:b/>
                <w:bCs/>
              </w:rPr>
              <w:t>CRAAP Notes</w:t>
            </w:r>
          </w:p>
        </w:tc>
        <w:tc>
          <w:tcPr>
            <w:tcW w:w="9996" w:type="dxa"/>
            <w:gridSpan w:val="3"/>
            <w:hideMark/>
          </w:tcPr>
          <w:p w14:paraId="021B12EC" w14:textId="77777777" w:rsidR="00446DBE" w:rsidRPr="004547B1" w:rsidRDefault="00446DBE" w:rsidP="00813F71">
            <w:r w:rsidRPr="007A7415">
              <w:t>Very recent article from Nature Mental Health. Strong methodological quality with UK Biobank data. Highly relevant for predictive neuroscience approaches in dementia.</w:t>
            </w:r>
          </w:p>
        </w:tc>
        <w:tc>
          <w:tcPr>
            <w:tcW w:w="0" w:type="auto"/>
            <w:hideMark/>
          </w:tcPr>
          <w:p w14:paraId="63B19584" w14:textId="77777777" w:rsidR="00446DBE" w:rsidRPr="004547B1" w:rsidRDefault="00446DBE" w:rsidP="00813F71">
            <w:r w:rsidRPr="004547B1">
              <w:rPr>
                <w:b/>
                <w:bCs/>
              </w:rPr>
              <w:t>CRAAP Score:</w:t>
            </w:r>
            <w:r w:rsidRPr="004547B1">
              <w:t> 5/5</w:t>
            </w:r>
          </w:p>
        </w:tc>
      </w:tr>
      <w:tr w:rsidR="00446DBE" w14:paraId="216278F6" w14:textId="77777777" w:rsidTr="00813F71">
        <w:tc>
          <w:tcPr>
            <w:tcW w:w="1056" w:type="dxa"/>
          </w:tcPr>
          <w:p w14:paraId="5A40EF95" w14:textId="77777777" w:rsidR="00446DBE" w:rsidRPr="004547B1" w:rsidRDefault="00446DBE" w:rsidP="00813F71">
            <w:pPr>
              <w:rPr>
                <w:b/>
                <w:bCs/>
              </w:rPr>
            </w:pPr>
            <w:r w:rsidRPr="004547B1">
              <w:rPr>
                <w:b/>
                <w:bCs/>
              </w:rPr>
              <w:t>Article 4</w:t>
            </w:r>
          </w:p>
        </w:tc>
        <w:tc>
          <w:tcPr>
            <w:tcW w:w="1466" w:type="dxa"/>
            <w:hideMark/>
          </w:tcPr>
          <w:p w14:paraId="08341C8C" w14:textId="77777777" w:rsidR="00446DBE" w:rsidRPr="004547B1" w:rsidRDefault="00446DBE" w:rsidP="00813F71">
            <w:r w:rsidRPr="004547B1">
              <w:t>Creavin et al. (2021)</w:t>
            </w:r>
          </w:p>
        </w:tc>
        <w:tc>
          <w:tcPr>
            <w:tcW w:w="0" w:type="auto"/>
            <w:hideMark/>
          </w:tcPr>
          <w:p w14:paraId="5237CC2C" w14:textId="77777777" w:rsidR="00446DBE" w:rsidRPr="004547B1" w:rsidRDefault="00446DBE" w:rsidP="00813F71">
            <w:r w:rsidRPr="004547B1">
              <w:t>Clinical judgment of GPs for the diagnosis of dementia: a diagnostic test accuracy study.</w:t>
            </w:r>
          </w:p>
        </w:tc>
        <w:tc>
          <w:tcPr>
            <w:tcW w:w="0" w:type="auto"/>
            <w:hideMark/>
          </w:tcPr>
          <w:p w14:paraId="41A09F5B" w14:textId="77777777" w:rsidR="00446DBE" w:rsidRPr="004547B1" w:rsidRDefault="00446DBE" w:rsidP="00813F71">
            <w:r w:rsidRPr="004547B1">
              <w:t>This study assessed the accuracy of GP clinical judgment for diagnosing dementia. The research found that a GP's judgment was highly specific (89%)—meaning if a GP says a patient has dementia, it is likely correct—but had low sensitivity (56%)—meaning it would miss many actual dementia cases.</w:t>
            </w:r>
          </w:p>
        </w:tc>
        <w:tc>
          <w:tcPr>
            <w:tcW w:w="0" w:type="auto"/>
            <w:hideMark/>
          </w:tcPr>
          <w:p w14:paraId="4A0E4B10" w14:textId="77777777" w:rsidR="00446DBE" w:rsidRPr="004547B1" w:rsidRDefault="00446DBE" w:rsidP="00813F71">
            <w:r w:rsidRPr="004547B1">
              <w:t>General Practitioner; GP Clinical Judgment; Dementia Diagnosis; Diagnostic Accuracy; Primary Care; Sensitivity and Specificity</w:t>
            </w:r>
          </w:p>
        </w:tc>
      </w:tr>
      <w:tr w:rsidR="00446DBE" w14:paraId="5B52F5FE" w14:textId="77777777" w:rsidTr="007E534E">
        <w:tc>
          <w:tcPr>
            <w:tcW w:w="1056" w:type="dxa"/>
          </w:tcPr>
          <w:p w14:paraId="59C7282B" w14:textId="77777777" w:rsidR="00446DBE" w:rsidRPr="004547B1" w:rsidRDefault="00446DBE" w:rsidP="00813F71">
            <w:pPr>
              <w:rPr>
                <w:b/>
                <w:bCs/>
              </w:rPr>
            </w:pPr>
            <w:r w:rsidRPr="004547B1">
              <w:rPr>
                <w:b/>
                <w:bCs/>
              </w:rPr>
              <w:lastRenderedPageBreak/>
              <w:t>CRAAP Notes</w:t>
            </w:r>
          </w:p>
        </w:tc>
        <w:tc>
          <w:tcPr>
            <w:tcW w:w="9996" w:type="dxa"/>
            <w:gridSpan w:val="3"/>
            <w:hideMark/>
          </w:tcPr>
          <w:p w14:paraId="485CD94E" w14:textId="77777777" w:rsidR="00446DBE" w:rsidRPr="004547B1" w:rsidRDefault="00446DBE" w:rsidP="00813F71">
            <w:r w:rsidRPr="00122D82">
              <w:t>Peer-reviewed UK primary care study with clear diagnostic methodology. Relevant for examining the role of GPs in dementia diagnosis. Findings are evidence-based and applicable to healthcare practice.</w:t>
            </w:r>
          </w:p>
        </w:tc>
        <w:tc>
          <w:tcPr>
            <w:tcW w:w="0" w:type="auto"/>
            <w:hideMark/>
          </w:tcPr>
          <w:p w14:paraId="2D095D74" w14:textId="77777777" w:rsidR="00446DBE" w:rsidRPr="004547B1" w:rsidRDefault="00446DBE" w:rsidP="00813F71">
            <w:r w:rsidRPr="004547B1">
              <w:rPr>
                <w:b/>
                <w:bCs/>
              </w:rPr>
              <w:t>CRAAP Score:</w:t>
            </w:r>
            <w:r w:rsidRPr="004547B1">
              <w:t> 5/5</w:t>
            </w:r>
          </w:p>
        </w:tc>
      </w:tr>
      <w:tr w:rsidR="00446DBE" w14:paraId="7D2B55DD" w14:textId="77777777" w:rsidTr="00813F71">
        <w:tc>
          <w:tcPr>
            <w:tcW w:w="1056" w:type="dxa"/>
          </w:tcPr>
          <w:p w14:paraId="18B3FCB9" w14:textId="77777777" w:rsidR="00446DBE" w:rsidRPr="004547B1" w:rsidRDefault="00446DBE" w:rsidP="00813F71">
            <w:pPr>
              <w:rPr>
                <w:b/>
                <w:bCs/>
              </w:rPr>
            </w:pPr>
            <w:r w:rsidRPr="004547B1">
              <w:rPr>
                <w:b/>
                <w:bCs/>
              </w:rPr>
              <w:t>Article 5</w:t>
            </w:r>
          </w:p>
        </w:tc>
        <w:tc>
          <w:tcPr>
            <w:tcW w:w="1466" w:type="dxa"/>
            <w:hideMark/>
          </w:tcPr>
          <w:p w14:paraId="4BF30AD1" w14:textId="77777777" w:rsidR="00446DBE" w:rsidRPr="004547B1" w:rsidRDefault="00446DBE" w:rsidP="00813F71">
            <w:r w:rsidRPr="004547B1">
              <w:t>Creavin et al. (2023)</w:t>
            </w:r>
          </w:p>
        </w:tc>
        <w:tc>
          <w:tcPr>
            <w:tcW w:w="0" w:type="auto"/>
            <w:hideMark/>
          </w:tcPr>
          <w:p w14:paraId="45F2C3F3" w14:textId="3F1DBCF9" w:rsidR="00446DBE" w:rsidRPr="004547B1" w:rsidRDefault="00446DBE" w:rsidP="00813F71">
            <w:r w:rsidRPr="004547B1">
              <w:t>A diagnostic test accuracy study investigating general practitioner clinical impression and brief cognitive assessments for dementia in primary care, compared to speciali</w:t>
            </w:r>
            <w:r w:rsidR="00692DA1">
              <w:t>s</w:t>
            </w:r>
            <w:r w:rsidRPr="004547B1">
              <w:t>ed assessment.</w:t>
            </w:r>
          </w:p>
        </w:tc>
        <w:tc>
          <w:tcPr>
            <w:tcW w:w="0" w:type="auto"/>
            <w:hideMark/>
          </w:tcPr>
          <w:p w14:paraId="0D541AD2" w14:textId="77777777" w:rsidR="00446DBE" w:rsidRPr="004547B1" w:rsidRDefault="00446DBE" w:rsidP="00813F71">
            <w:r w:rsidRPr="004547B1">
              <w:t>This study compared the accuracy of 16 brief cognitive tests and GP judgment for dementia in primary care. It found that brief tests like the MoCA were highly sensitive but not specific, while combining tests with GP judgment improved specificity. The study proposed an efficient, time-saving diagnostic strategy for primary care.</w:t>
            </w:r>
          </w:p>
        </w:tc>
        <w:tc>
          <w:tcPr>
            <w:tcW w:w="0" w:type="auto"/>
            <w:hideMark/>
          </w:tcPr>
          <w:p w14:paraId="6E95A016" w14:textId="77777777" w:rsidR="00446DBE" w:rsidRPr="004547B1" w:rsidRDefault="00446DBE" w:rsidP="00813F71">
            <w:r w:rsidRPr="004547B1">
              <w:t>Primary Care; Dementia Diagnosis; Cognitive Tests (MoCA, 6CIT); GP Judgement; Diagnostic Test Accuracy; Screening</w:t>
            </w:r>
          </w:p>
        </w:tc>
      </w:tr>
      <w:tr w:rsidR="00446DBE" w14:paraId="52E7DEA6" w14:textId="77777777" w:rsidTr="007E534E">
        <w:tc>
          <w:tcPr>
            <w:tcW w:w="1056" w:type="dxa"/>
          </w:tcPr>
          <w:p w14:paraId="0289F274" w14:textId="77777777" w:rsidR="00446DBE" w:rsidRPr="004547B1" w:rsidRDefault="00446DBE" w:rsidP="00813F71">
            <w:pPr>
              <w:rPr>
                <w:b/>
                <w:bCs/>
              </w:rPr>
            </w:pPr>
            <w:r w:rsidRPr="004547B1">
              <w:rPr>
                <w:b/>
                <w:bCs/>
              </w:rPr>
              <w:t>CRAAP Notes</w:t>
            </w:r>
          </w:p>
        </w:tc>
        <w:tc>
          <w:tcPr>
            <w:tcW w:w="9996" w:type="dxa"/>
            <w:gridSpan w:val="3"/>
            <w:hideMark/>
          </w:tcPr>
          <w:p w14:paraId="012706AA" w14:textId="77777777" w:rsidR="00446DBE" w:rsidRPr="004547B1" w:rsidRDefault="00446DBE" w:rsidP="00813F71">
            <w:r w:rsidRPr="00812D61">
              <w:t>Recent and highly relevant diagnostic accuracy research. Conducted in UK primary care settings with specialist comparison standards. Reliable evidence for clinical assessment practices.</w:t>
            </w:r>
          </w:p>
        </w:tc>
        <w:tc>
          <w:tcPr>
            <w:tcW w:w="0" w:type="auto"/>
            <w:hideMark/>
          </w:tcPr>
          <w:p w14:paraId="513755EA" w14:textId="77777777" w:rsidR="00446DBE" w:rsidRPr="004547B1" w:rsidRDefault="00446DBE" w:rsidP="00813F71">
            <w:r w:rsidRPr="004547B1">
              <w:rPr>
                <w:b/>
                <w:bCs/>
              </w:rPr>
              <w:t>CRAAP Score:</w:t>
            </w:r>
            <w:r w:rsidRPr="004547B1">
              <w:t> 5/5</w:t>
            </w:r>
          </w:p>
        </w:tc>
      </w:tr>
      <w:tr w:rsidR="00446DBE" w14:paraId="30C9321E" w14:textId="77777777" w:rsidTr="00813F71">
        <w:tc>
          <w:tcPr>
            <w:tcW w:w="1056" w:type="dxa"/>
          </w:tcPr>
          <w:p w14:paraId="24555B93" w14:textId="77777777" w:rsidR="00446DBE" w:rsidRPr="004547B1" w:rsidRDefault="00446DBE" w:rsidP="00813F71">
            <w:pPr>
              <w:rPr>
                <w:b/>
                <w:bCs/>
              </w:rPr>
            </w:pPr>
            <w:r w:rsidRPr="004547B1">
              <w:rPr>
                <w:b/>
                <w:bCs/>
              </w:rPr>
              <w:t>Article 6</w:t>
            </w:r>
          </w:p>
        </w:tc>
        <w:tc>
          <w:tcPr>
            <w:tcW w:w="1466" w:type="dxa"/>
            <w:hideMark/>
          </w:tcPr>
          <w:p w14:paraId="79A6E500" w14:textId="77777777" w:rsidR="00446DBE" w:rsidRPr="004547B1" w:rsidRDefault="00446DBE" w:rsidP="00813F71">
            <w:r w:rsidRPr="004547B1">
              <w:t>Chingono et al. (2025)</w:t>
            </w:r>
          </w:p>
        </w:tc>
        <w:tc>
          <w:tcPr>
            <w:tcW w:w="0" w:type="auto"/>
            <w:hideMark/>
          </w:tcPr>
          <w:p w14:paraId="12AC1F99" w14:textId="77777777" w:rsidR="00446DBE" w:rsidRPr="004547B1" w:rsidRDefault="00446DBE" w:rsidP="00813F71">
            <w:r w:rsidRPr="004547B1">
              <w:t>Informant accuracy of IQCODE, AD8 and GPCOGi for diagnosis of dementia: does your friend know best?</w:t>
            </w:r>
          </w:p>
        </w:tc>
        <w:tc>
          <w:tcPr>
            <w:tcW w:w="0" w:type="auto"/>
            <w:hideMark/>
          </w:tcPr>
          <w:p w14:paraId="7044E7F4" w14:textId="77777777" w:rsidR="00446DBE" w:rsidRPr="004547B1" w:rsidRDefault="00446DBE" w:rsidP="00813F71">
            <w:r w:rsidRPr="004547B1">
              <w:t>This study investigated whether the accuracy of informant questionnaires (IQCODE, AD8, GPCOGi) for dementia diagnosis differs based on the informant's relationship to the patient. It found that while all informant types were useful for ruling </w:t>
            </w:r>
            <w:r w:rsidRPr="004547B1">
              <w:rPr>
                <w:i/>
                <w:iCs/>
              </w:rPr>
              <w:t>out</w:t>
            </w:r>
            <w:r w:rsidRPr="004547B1">
              <w:t> dementia, friends had significantly higher specificity (fewer false positives) than spouses or adult descendants.</w:t>
            </w:r>
          </w:p>
        </w:tc>
        <w:tc>
          <w:tcPr>
            <w:tcW w:w="0" w:type="auto"/>
            <w:hideMark/>
          </w:tcPr>
          <w:p w14:paraId="1E835E66" w14:textId="77777777" w:rsidR="00446DBE" w:rsidRPr="004547B1" w:rsidRDefault="00446DBE" w:rsidP="00813F71">
            <w:r w:rsidRPr="004547B1">
              <w:t>Informant Report; IQCODE; AD8; GPCOG; Dementia Diagnosis; Primary Care; Spouse vs. Child vs. Friend</w:t>
            </w:r>
          </w:p>
        </w:tc>
      </w:tr>
      <w:tr w:rsidR="00446DBE" w14:paraId="191D347C" w14:textId="77777777" w:rsidTr="007E534E">
        <w:tc>
          <w:tcPr>
            <w:tcW w:w="1056" w:type="dxa"/>
          </w:tcPr>
          <w:p w14:paraId="3194722E" w14:textId="77777777" w:rsidR="00446DBE" w:rsidRPr="004547B1" w:rsidRDefault="00446DBE" w:rsidP="00813F71">
            <w:pPr>
              <w:rPr>
                <w:b/>
                <w:bCs/>
              </w:rPr>
            </w:pPr>
            <w:r w:rsidRPr="004547B1">
              <w:rPr>
                <w:b/>
                <w:bCs/>
              </w:rPr>
              <w:t>CRAAP Notes</w:t>
            </w:r>
          </w:p>
        </w:tc>
        <w:tc>
          <w:tcPr>
            <w:tcW w:w="9996" w:type="dxa"/>
            <w:gridSpan w:val="3"/>
            <w:hideMark/>
          </w:tcPr>
          <w:p w14:paraId="26ED1AEA" w14:textId="77777777" w:rsidR="00446DBE" w:rsidRPr="004547B1" w:rsidRDefault="00446DBE" w:rsidP="00813F71">
            <w:r w:rsidRPr="004A5FAD">
              <w:t>Current peer-reviewed article focusing on practical dementia screening approaches in primary care. Relevant to informant reliability and community diagnosis. Strong evidence base and UK relevance.</w:t>
            </w:r>
          </w:p>
        </w:tc>
        <w:tc>
          <w:tcPr>
            <w:tcW w:w="0" w:type="auto"/>
            <w:hideMark/>
          </w:tcPr>
          <w:p w14:paraId="712E526E" w14:textId="77777777" w:rsidR="00446DBE" w:rsidRPr="004547B1" w:rsidRDefault="00446DBE" w:rsidP="00813F71">
            <w:r w:rsidRPr="004547B1">
              <w:rPr>
                <w:b/>
                <w:bCs/>
              </w:rPr>
              <w:t>CRAAP Score:</w:t>
            </w:r>
            <w:r w:rsidRPr="004547B1">
              <w:t> 5/5</w:t>
            </w:r>
          </w:p>
        </w:tc>
      </w:tr>
      <w:tr w:rsidR="00446DBE" w14:paraId="25C820CE" w14:textId="77777777" w:rsidTr="00813F71">
        <w:tc>
          <w:tcPr>
            <w:tcW w:w="1056" w:type="dxa"/>
          </w:tcPr>
          <w:p w14:paraId="10732987" w14:textId="17F47944" w:rsidR="00446DBE" w:rsidRPr="004547B1" w:rsidRDefault="00DB7F42" w:rsidP="00813F71">
            <w:pPr>
              <w:rPr>
                <w:b/>
                <w:bCs/>
              </w:rPr>
            </w:pPr>
            <w:r w:rsidRPr="004547B1">
              <w:rPr>
                <w:b/>
                <w:bCs/>
              </w:rPr>
              <w:lastRenderedPageBreak/>
              <w:t>Article 7</w:t>
            </w:r>
          </w:p>
        </w:tc>
        <w:tc>
          <w:tcPr>
            <w:tcW w:w="1466" w:type="dxa"/>
            <w:hideMark/>
          </w:tcPr>
          <w:p w14:paraId="2D0CE787" w14:textId="20903D01" w:rsidR="00446DBE" w:rsidRPr="004547B1" w:rsidRDefault="00446DBE" w:rsidP="00813F71">
            <w:r w:rsidRPr="004547B1">
              <w:t>Jones et al. (2023)</w:t>
            </w:r>
          </w:p>
        </w:tc>
        <w:tc>
          <w:tcPr>
            <w:tcW w:w="0" w:type="auto"/>
            <w:hideMark/>
          </w:tcPr>
          <w:p w14:paraId="631AE475" w14:textId="77777777" w:rsidR="00446DBE" w:rsidRPr="004547B1" w:rsidRDefault="00446DBE" w:rsidP="00813F71">
            <w:r w:rsidRPr="004547B1">
              <w:t>Dementia prevention and the GP’s role: a qualitative interview study.</w:t>
            </w:r>
          </w:p>
        </w:tc>
        <w:tc>
          <w:tcPr>
            <w:tcW w:w="0" w:type="auto"/>
            <w:hideMark/>
          </w:tcPr>
          <w:p w14:paraId="19BB421C" w14:textId="77777777" w:rsidR="00446DBE" w:rsidRPr="004547B1" w:rsidRDefault="00446DBE" w:rsidP="00813F71">
            <w:r w:rsidRPr="004547B1">
              <w:t>This qualitative study explored UK GPs' views on their role in dementia prevention. GPs reported rarely discussing dementia risk explicitly due to lack of time, knowledge, and fear of causing anxiety. They suggested using "brain health" as a more positive term and integrating prevention into existing reviews for long-term conditions.</w:t>
            </w:r>
          </w:p>
        </w:tc>
        <w:tc>
          <w:tcPr>
            <w:tcW w:w="0" w:type="auto"/>
            <w:hideMark/>
          </w:tcPr>
          <w:p w14:paraId="3FE3EB56" w14:textId="77777777" w:rsidR="00446DBE" w:rsidRPr="004547B1" w:rsidRDefault="00446DBE" w:rsidP="00813F71">
            <w:r w:rsidRPr="004547B1">
              <w:t>Dementia Prevention; GP Role; Primary Care; Brain Health; Qualitative Research; Modifiable Risk Factors; Health Communication</w:t>
            </w:r>
          </w:p>
        </w:tc>
      </w:tr>
      <w:tr w:rsidR="00446DBE" w14:paraId="22B4AF17" w14:textId="77777777" w:rsidTr="007E534E">
        <w:tc>
          <w:tcPr>
            <w:tcW w:w="1056" w:type="dxa"/>
          </w:tcPr>
          <w:p w14:paraId="099F3B28" w14:textId="77777777" w:rsidR="00446DBE" w:rsidRPr="004547B1" w:rsidRDefault="00446DBE" w:rsidP="00813F71">
            <w:pPr>
              <w:rPr>
                <w:b/>
                <w:bCs/>
              </w:rPr>
            </w:pPr>
            <w:r w:rsidRPr="004547B1">
              <w:rPr>
                <w:b/>
                <w:bCs/>
              </w:rPr>
              <w:t>CRAAP Notes</w:t>
            </w:r>
          </w:p>
        </w:tc>
        <w:tc>
          <w:tcPr>
            <w:tcW w:w="9996" w:type="dxa"/>
            <w:gridSpan w:val="3"/>
            <w:hideMark/>
          </w:tcPr>
          <w:p w14:paraId="3CAD2979" w14:textId="77777777" w:rsidR="00446DBE" w:rsidRPr="004547B1" w:rsidRDefault="00446DBE" w:rsidP="00813F71">
            <w:r w:rsidRPr="001D2EDA">
              <w:t>Peer-reviewed qualitative UK study with strong relevance to prevention strategies in primary care. Provides valuable practitioner perspectives and contextual evidence.</w:t>
            </w:r>
          </w:p>
        </w:tc>
        <w:tc>
          <w:tcPr>
            <w:tcW w:w="0" w:type="auto"/>
            <w:hideMark/>
          </w:tcPr>
          <w:p w14:paraId="5A1CECC9" w14:textId="77777777" w:rsidR="00446DBE" w:rsidRPr="004547B1" w:rsidRDefault="00446DBE" w:rsidP="00813F71">
            <w:r w:rsidRPr="004547B1">
              <w:rPr>
                <w:b/>
                <w:bCs/>
              </w:rPr>
              <w:t>CRAAP Score:</w:t>
            </w:r>
            <w:r w:rsidRPr="004547B1">
              <w:t> 5/5</w:t>
            </w:r>
          </w:p>
        </w:tc>
      </w:tr>
      <w:tr w:rsidR="00446DBE" w14:paraId="2379A5D7" w14:textId="77777777" w:rsidTr="00813F71">
        <w:tc>
          <w:tcPr>
            <w:tcW w:w="1056" w:type="dxa"/>
          </w:tcPr>
          <w:p w14:paraId="08ADD78E" w14:textId="77777777" w:rsidR="00446DBE" w:rsidRPr="004547B1" w:rsidRDefault="00446DBE" w:rsidP="00813F71">
            <w:pPr>
              <w:rPr>
                <w:b/>
                <w:bCs/>
              </w:rPr>
            </w:pPr>
            <w:r w:rsidRPr="004547B1">
              <w:rPr>
                <w:b/>
                <w:bCs/>
              </w:rPr>
              <w:t>Article 8</w:t>
            </w:r>
          </w:p>
        </w:tc>
        <w:tc>
          <w:tcPr>
            <w:tcW w:w="1466" w:type="dxa"/>
            <w:hideMark/>
          </w:tcPr>
          <w:p w14:paraId="10332008" w14:textId="77777777" w:rsidR="00446DBE" w:rsidRPr="004547B1" w:rsidRDefault="00446DBE" w:rsidP="00813F71">
            <w:r w:rsidRPr="004547B1">
              <w:t>Bajwa et al. (2025)</w:t>
            </w:r>
          </w:p>
        </w:tc>
        <w:tc>
          <w:tcPr>
            <w:tcW w:w="0" w:type="auto"/>
            <w:hideMark/>
          </w:tcPr>
          <w:p w14:paraId="14608449" w14:textId="77777777" w:rsidR="00446DBE" w:rsidRPr="004547B1" w:rsidRDefault="00446DBE" w:rsidP="00813F71">
            <w:r w:rsidRPr="004547B1">
              <w:t>Qualitative study exploring knowledge and attitudes towards dementia risk prediction, barriers to dementia services and service improvement recommendations with diverse populations in England.</w:t>
            </w:r>
          </w:p>
        </w:tc>
        <w:tc>
          <w:tcPr>
            <w:tcW w:w="0" w:type="auto"/>
            <w:hideMark/>
          </w:tcPr>
          <w:p w14:paraId="55BFB2E5" w14:textId="77777777" w:rsidR="00446DBE" w:rsidRPr="004547B1" w:rsidRDefault="00446DBE" w:rsidP="00813F71">
            <w:r w:rsidRPr="004547B1">
              <w:t>This qualitative study with 147 participants from low-income and ethnically diverse groups in England explored dementia knowledge and attitudes. It found low awareness of risk prediction, cautious optimism about its use, and significant barriers to services including stigma, language, and cultural views. It provided recommendations for culturally aware services.</w:t>
            </w:r>
          </w:p>
        </w:tc>
        <w:tc>
          <w:tcPr>
            <w:tcW w:w="0" w:type="auto"/>
            <w:hideMark/>
          </w:tcPr>
          <w:p w14:paraId="363ED4E2" w14:textId="77777777" w:rsidR="00446DBE" w:rsidRPr="004547B1" w:rsidRDefault="00446DBE" w:rsidP="00813F71">
            <w:r w:rsidRPr="004547B1">
              <w:t>Ethnic Diversity; Health Inequalities; Dementia Risk Prediction; Barriers to Care; Service Improvement; Qualitative Research; Stigma</w:t>
            </w:r>
          </w:p>
        </w:tc>
      </w:tr>
      <w:tr w:rsidR="00446DBE" w14:paraId="7C9C87AB" w14:textId="77777777" w:rsidTr="007E534E">
        <w:tc>
          <w:tcPr>
            <w:tcW w:w="1056" w:type="dxa"/>
          </w:tcPr>
          <w:p w14:paraId="0CDBE461" w14:textId="77777777" w:rsidR="00446DBE" w:rsidRPr="004547B1" w:rsidRDefault="00446DBE" w:rsidP="00813F71">
            <w:pPr>
              <w:rPr>
                <w:b/>
                <w:bCs/>
              </w:rPr>
            </w:pPr>
            <w:r w:rsidRPr="004547B1">
              <w:rPr>
                <w:b/>
                <w:bCs/>
              </w:rPr>
              <w:t>CRAAP Notes</w:t>
            </w:r>
          </w:p>
        </w:tc>
        <w:tc>
          <w:tcPr>
            <w:tcW w:w="9996" w:type="dxa"/>
            <w:gridSpan w:val="3"/>
            <w:hideMark/>
          </w:tcPr>
          <w:p w14:paraId="6AD50459" w14:textId="77777777" w:rsidR="00446DBE" w:rsidRPr="004547B1" w:rsidRDefault="00446DBE" w:rsidP="00813F71">
            <w:r w:rsidRPr="00FF7B33">
              <w:t>Recent BMJ Open study with strong methodological transparency and focus on inclusivity in dementia services. Highly relevant to healthcare access and equity issues.</w:t>
            </w:r>
          </w:p>
        </w:tc>
        <w:tc>
          <w:tcPr>
            <w:tcW w:w="0" w:type="auto"/>
            <w:hideMark/>
          </w:tcPr>
          <w:p w14:paraId="0914C37F" w14:textId="77777777" w:rsidR="00446DBE" w:rsidRPr="004547B1" w:rsidRDefault="00446DBE" w:rsidP="00813F71">
            <w:r w:rsidRPr="004547B1">
              <w:rPr>
                <w:b/>
                <w:bCs/>
              </w:rPr>
              <w:t>CRAAP Score:</w:t>
            </w:r>
            <w:r w:rsidRPr="004547B1">
              <w:t> 5/5</w:t>
            </w:r>
          </w:p>
        </w:tc>
      </w:tr>
      <w:tr w:rsidR="00446DBE" w14:paraId="23F85307" w14:textId="77777777" w:rsidTr="00813F71">
        <w:tc>
          <w:tcPr>
            <w:tcW w:w="1056" w:type="dxa"/>
          </w:tcPr>
          <w:p w14:paraId="1C0DB597" w14:textId="77777777" w:rsidR="00446DBE" w:rsidRPr="004547B1" w:rsidRDefault="00446DBE" w:rsidP="00813F71">
            <w:pPr>
              <w:rPr>
                <w:b/>
                <w:bCs/>
              </w:rPr>
            </w:pPr>
            <w:r w:rsidRPr="004547B1">
              <w:rPr>
                <w:b/>
                <w:bCs/>
              </w:rPr>
              <w:t>Article 9</w:t>
            </w:r>
          </w:p>
        </w:tc>
        <w:tc>
          <w:tcPr>
            <w:tcW w:w="1466" w:type="dxa"/>
            <w:hideMark/>
          </w:tcPr>
          <w:p w14:paraId="54FC2F1B" w14:textId="77777777" w:rsidR="00446DBE" w:rsidRPr="004547B1" w:rsidRDefault="00446DBE" w:rsidP="00813F71">
            <w:r w:rsidRPr="004547B1">
              <w:t>Kelsey et al. (2026)</w:t>
            </w:r>
          </w:p>
        </w:tc>
        <w:tc>
          <w:tcPr>
            <w:tcW w:w="0" w:type="auto"/>
            <w:hideMark/>
          </w:tcPr>
          <w:p w14:paraId="69A8030F" w14:textId="77777777" w:rsidR="00446DBE" w:rsidRPr="004547B1" w:rsidRDefault="00446DBE" w:rsidP="00813F71">
            <w:r w:rsidRPr="004547B1">
              <w:t>A national survey of dementia diagnosis and care in English memory services.</w:t>
            </w:r>
          </w:p>
        </w:tc>
        <w:tc>
          <w:tcPr>
            <w:tcW w:w="0" w:type="auto"/>
            <w:hideMark/>
          </w:tcPr>
          <w:p w14:paraId="6D8A57FF" w14:textId="77777777" w:rsidR="00446DBE" w:rsidRPr="004547B1" w:rsidRDefault="00446DBE" w:rsidP="00813F71">
            <w:r w:rsidRPr="004547B1">
              <w:t xml:space="preserve">This national survey of 139 English memory services identified significant geographical inequalities in dementia diagnosis and care. It </w:t>
            </w:r>
            <w:r w:rsidRPr="004547B1">
              <w:lastRenderedPageBreak/>
              <w:t>found that acute trust-based services felt readier for new disease-modifying treatments, while mental health/community trusts offered more post-diagnostic psychological therapy. Rurality and region predicted lower diagnosis rates.</w:t>
            </w:r>
          </w:p>
        </w:tc>
        <w:tc>
          <w:tcPr>
            <w:tcW w:w="0" w:type="auto"/>
            <w:hideMark/>
          </w:tcPr>
          <w:p w14:paraId="6F5ED402" w14:textId="77777777" w:rsidR="00446DBE" w:rsidRPr="004547B1" w:rsidRDefault="00446DBE" w:rsidP="00813F71">
            <w:r w:rsidRPr="004547B1">
              <w:lastRenderedPageBreak/>
              <w:t>Memory Services; NHS; Dementia Diagnosis; Post-Diagnostic Care; Disease-</w:t>
            </w:r>
            <w:r w:rsidRPr="004547B1">
              <w:lastRenderedPageBreak/>
              <w:t>Modifying Treatments; Health Inequalities; Workforce; National Survey</w:t>
            </w:r>
          </w:p>
        </w:tc>
      </w:tr>
      <w:tr w:rsidR="00387E33" w14:paraId="5875046D" w14:textId="77777777" w:rsidTr="0010798A">
        <w:tc>
          <w:tcPr>
            <w:tcW w:w="1056" w:type="dxa"/>
          </w:tcPr>
          <w:p w14:paraId="42D94728" w14:textId="2C2C43FC" w:rsidR="00387E33" w:rsidRPr="004547B1" w:rsidRDefault="00387E33" w:rsidP="00813F71">
            <w:pPr>
              <w:rPr>
                <w:b/>
                <w:bCs/>
              </w:rPr>
            </w:pPr>
            <w:r w:rsidRPr="004547B1">
              <w:rPr>
                <w:b/>
                <w:bCs/>
              </w:rPr>
              <w:lastRenderedPageBreak/>
              <w:t>CRAAP Notes</w:t>
            </w:r>
          </w:p>
        </w:tc>
        <w:tc>
          <w:tcPr>
            <w:tcW w:w="9996" w:type="dxa"/>
            <w:gridSpan w:val="3"/>
          </w:tcPr>
          <w:p w14:paraId="36B5011E" w14:textId="008B87EA" w:rsidR="00387E33" w:rsidRPr="004547B1" w:rsidRDefault="00387E33" w:rsidP="00813F71">
            <w:r w:rsidRPr="0074040B">
              <w:t>Very recent national-level study with extensive NHS service data. Strong relevance to dementia care systems, diagnosis access, and policy planning in England.</w:t>
            </w:r>
          </w:p>
        </w:tc>
        <w:tc>
          <w:tcPr>
            <w:tcW w:w="0" w:type="auto"/>
          </w:tcPr>
          <w:p w14:paraId="58F8B643" w14:textId="7C0AAEE2" w:rsidR="00387E33" w:rsidRPr="004547B1" w:rsidRDefault="00387E33" w:rsidP="00813F71">
            <w:r w:rsidRPr="004547B1">
              <w:rPr>
                <w:b/>
                <w:bCs/>
              </w:rPr>
              <w:t>CRAAP Score:</w:t>
            </w:r>
            <w:r w:rsidRPr="004547B1">
              <w:t> 5/5</w:t>
            </w:r>
          </w:p>
        </w:tc>
      </w:tr>
      <w:tr w:rsidR="00387E33" w14:paraId="097C507A" w14:textId="77777777" w:rsidTr="00813F71">
        <w:tc>
          <w:tcPr>
            <w:tcW w:w="1056" w:type="dxa"/>
          </w:tcPr>
          <w:p w14:paraId="3F7B91C6" w14:textId="1B6C1977" w:rsidR="00387E33" w:rsidRPr="004547B1" w:rsidRDefault="0010798A" w:rsidP="003776CC">
            <w:r w:rsidRPr="0010798A">
              <w:t>Article 1</w:t>
            </w:r>
            <w:r>
              <w:t>0</w:t>
            </w:r>
          </w:p>
        </w:tc>
        <w:tc>
          <w:tcPr>
            <w:tcW w:w="1466" w:type="dxa"/>
          </w:tcPr>
          <w:p w14:paraId="02941CF8" w14:textId="37E8407A" w:rsidR="00387E33" w:rsidRPr="004547B1" w:rsidRDefault="0010798A" w:rsidP="003776CC">
            <w:r w:rsidRPr="0010798A">
              <w:t>Smith and Surr,</w:t>
            </w:r>
            <w:r>
              <w:t xml:space="preserve"> </w:t>
            </w:r>
            <w:r w:rsidRPr="0010798A">
              <w:t>(2024)</w:t>
            </w:r>
          </w:p>
        </w:tc>
        <w:tc>
          <w:tcPr>
            <w:tcW w:w="0" w:type="auto"/>
          </w:tcPr>
          <w:p w14:paraId="072806E0" w14:textId="5C33B5DD" w:rsidR="00387E33" w:rsidRPr="004547B1" w:rsidRDefault="0010798A" w:rsidP="003776CC">
            <w:r w:rsidRPr="0010798A">
              <w:t>Exploring challenges and innovation in memory assessment services in England and Wales – a national survey and case study approach.</w:t>
            </w:r>
          </w:p>
        </w:tc>
        <w:tc>
          <w:tcPr>
            <w:tcW w:w="0" w:type="auto"/>
          </w:tcPr>
          <w:p w14:paraId="259C7C5F" w14:textId="0BC6E190" w:rsidR="00387E33" w:rsidRPr="004547B1" w:rsidRDefault="0010798A" w:rsidP="003776CC">
            <w:r w:rsidRPr="0010798A">
              <w:t>This service evaluation explored design, delivery, and innovation in Memory Assessment Services (MAS) across England and Wales. A survey (n=49) and qualitative case studies (n=15) revealed post-COVID service shifts, key challenges (specialist staff shortages, support for mild cognitive impairment [MCI] and rarer dementias, post-diagnostic support capacity), and examples of good practice (equity of access, multi-agency working, innovative pathways). The findings emphasise service re-evaluation based on local need.</w:t>
            </w:r>
          </w:p>
        </w:tc>
        <w:tc>
          <w:tcPr>
            <w:tcW w:w="0" w:type="auto"/>
          </w:tcPr>
          <w:p w14:paraId="7F5C0D6F" w14:textId="07094D02" w:rsidR="00387E33" w:rsidRPr="004547B1" w:rsidRDefault="0010798A" w:rsidP="003776CC">
            <w:r w:rsidRPr="0010798A">
              <w:t>Memory Assessment Services; Post-diagnostic support; MCI; Rarer dementias; Service innovation; Commissioning; COVID-19 impact; Qualitative case study</w:t>
            </w:r>
          </w:p>
        </w:tc>
      </w:tr>
      <w:tr w:rsidR="007E534E" w14:paraId="68847912" w14:textId="77777777" w:rsidTr="00813F71">
        <w:tc>
          <w:tcPr>
            <w:tcW w:w="1056" w:type="dxa"/>
          </w:tcPr>
          <w:p w14:paraId="1A837928" w14:textId="31D2D43B" w:rsidR="007E534E" w:rsidRPr="006B2A5C" w:rsidRDefault="006B2A5C" w:rsidP="003776CC">
            <w:pPr>
              <w:rPr>
                <w:b/>
              </w:rPr>
            </w:pPr>
            <w:r w:rsidRPr="006B2A5C">
              <w:rPr>
                <w:b/>
              </w:rPr>
              <w:t>CRAAP Notes</w:t>
            </w:r>
          </w:p>
        </w:tc>
        <w:tc>
          <w:tcPr>
            <w:tcW w:w="9996" w:type="dxa"/>
            <w:gridSpan w:val="3"/>
          </w:tcPr>
          <w:p w14:paraId="6C37D81E" w14:textId="77777777" w:rsidR="007E534E" w:rsidRDefault="0010798A" w:rsidP="003776CC">
            <w:r w:rsidRPr="0010798A">
              <w:t>Peer-reviewed journal article published in BMC Health Services Research (2024). Highly relevant to health service planning and dementia pathway innovation. Authors affiliated with academic health research. Uses robust mixed-methods (national survey + case studies).</w:t>
            </w:r>
          </w:p>
          <w:p w14:paraId="61F73C68" w14:textId="4B1127FC" w:rsidR="006B2A5C" w:rsidRPr="004547B1" w:rsidRDefault="006B2A5C" w:rsidP="003776CC"/>
        </w:tc>
        <w:tc>
          <w:tcPr>
            <w:tcW w:w="0" w:type="auto"/>
          </w:tcPr>
          <w:p w14:paraId="64D55E03" w14:textId="2BEBD809" w:rsidR="007E534E" w:rsidRPr="004547B1" w:rsidRDefault="0010798A" w:rsidP="003776CC">
            <w:r w:rsidRPr="0010798A">
              <w:rPr>
                <w:b/>
              </w:rPr>
              <w:lastRenderedPageBreak/>
              <w:t>CRAAP Score</w:t>
            </w:r>
            <w:r w:rsidRPr="0010798A">
              <w:t>: 5/5</w:t>
            </w:r>
          </w:p>
        </w:tc>
      </w:tr>
    </w:tbl>
    <w:p w14:paraId="19648621" w14:textId="77777777" w:rsidR="007336EE" w:rsidRDefault="007336EE" w:rsidP="00D81F3B">
      <w:pPr>
        <w:pStyle w:val="Heading2"/>
      </w:pPr>
      <w:bookmarkStart w:id="32" w:name="_Toc231933990"/>
      <w:bookmarkEnd w:id="31"/>
    </w:p>
    <w:p w14:paraId="516C009C" w14:textId="04C51FE0" w:rsidR="00446DBE" w:rsidRDefault="00446DBE" w:rsidP="00D81F3B">
      <w:pPr>
        <w:pStyle w:val="Heading2"/>
      </w:pPr>
      <w:r w:rsidRPr="00446DBE">
        <w:t>Appendix 2: CRAAP Test</w:t>
      </w:r>
      <w:bookmarkEnd w:id="32"/>
    </w:p>
    <w:tbl>
      <w:tblPr>
        <w:tblStyle w:val="TableGrid"/>
        <w:tblW w:w="5000" w:type="pct"/>
        <w:tblLook w:val="04A0" w:firstRow="1" w:lastRow="0" w:firstColumn="1" w:lastColumn="0" w:noHBand="0" w:noVBand="1"/>
      </w:tblPr>
      <w:tblGrid>
        <w:gridCol w:w="2323"/>
        <w:gridCol w:w="2323"/>
        <w:gridCol w:w="2324"/>
        <w:gridCol w:w="2324"/>
        <w:gridCol w:w="2327"/>
        <w:gridCol w:w="2327"/>
      </w:tblGrid>
      <w:tr w:rsidR="00D81F3B" w14:paraId="27A19EC3" w14:textId="77777777" w:rsidTr="00986E53">
        <w:tc>
          <w:tcPr>
            <w:tcW w:w="833" w:type="pct"/>
          </w:tcPr>
          <w:p w14:paraId="433D9A13" w14:textId="77777777" w:rsidR="00D81F3B" w:rsidRPr="00831D98" w:rsidRDefault="00D81F3B" w:rsidP="00813F71">
            <w:pPr>
              <w:jc w:val="center"/>
              <w:rPr>
                <w:b/>
                <w:lang w:val="en-US"/>
              </w:rPr>
            </w:pPr>
            <w:bookmarkStart w:id="33" w:name="_Hlk231935255"/>
            <w:r>
              <w:rPr>
                <w:b/>
                <w:lang w:val="en-US"/>
              </w:rPr>
              <w:t>CRAAP</w:t>
            </w:r>
          </w:p>
        </w:tc>
        <w:tc>
          <w:tcPr>
            <w:tcW w:w="833" w:type="pct"/>
          </w:tcPr>
          <w:p w14:paraId="2D4CAFFB" w14:textId="77777777" w:rsidR="00D81F3B" w:rsidRPr="00831D98" w:rsidRDefault="00D81F3B" w:rsidP="00813F71">
            <w:pPr>
              <w:jc w:val="center"/>
              <w:rPr>
                <w:b/>
                <w:lang w:val="en-US"/>
              </w:rPr>
            </w:pPr>
            <w:r w:rsidRPr="00831D98">
              <w:rPr>
                <w:b/>
                <w:lang w:val="en-US"/>
              </w:rPr>
              <w:t>Currency</w:t>
            </w:r>
          </w:p>
        </w:tc>
        <w:tc>
          <w:tcPr>
            <w:tcW w:w="833" w:type="pct"/>
          </w:tcPr>
          <w:p w14:paraId="72080B4B" w14:textId="77777777" w:rsidR="00D81F3B" w:rsidRPr="00831D98" w:rsidRDefault="00D81F3B" w:rsidP="00813F71">
            <w:pPr>
              <w:jc w:val="center"/>
              <w:rPr>
                <w:b/>
                <w:lang w:val="en-US"/>
              </w:rPr>
            </w:pPr>
            <w:r w:rsidRPr="00831D98">
              <w:rPr>
                <w:b/>
                <w:lang w:val="en-US"/>
              </w:rPr>
              <w:t>Relevance</w:t>
            </w:r>
          </w:p>
        </w:tc>
        <w:tc>
          <w:tcPr>
            <w:tcW w:w="833" w:type="pct"/>
          </w:tcPr>
          <w:p w14:paraId="39A637A7" w14:textId="77777777" w:rsidR="00D81F3B" w:rsidRPr="00831D98" w:rsidRDefault="00D81F3B" w:rsidP="00813F71">
            <w:pPr>
              <w:jc w:val="center"/>
              <w:rPr>
                <w:b/>
                <w:lang w:val="en-US"/>
              </w:rPr>
            </w:pPr>
            <w:r w:rsidRPr="00831D98">
              <w:rPr>
                <w:b/>
                <w:lang w:val="en-US"/>
              </w:rPr>
              <w:t>Authority</w:t>
            </w:r>
          </w:p>
        </w:tc>
        <w:tc>
          <w:tcPr>
            <w:tcW w:w="834" w:type="pct"/>
          </w:tcPr>
          <w:p w14:paraId="38B1E1CD" w14:textId="77777777" w:rsidR="00D81F3B" w:rsidRPr="00831D98" w:rsidRDefault="00D81F3B" w:rsidP="00813F71">
            <w:pPr>
              <w:jc w:val="center"/>
              <w:rPr>
                <w:b/>
                <w:lang w:val="en-US"/>
              </w:rPr>
            </w:pPr>
            <w:r w:rsidRPr="00831D98">
              <w:rPr>
                <w:b/>
                <w:lang w:val="en-US"/>
              </w:rPr>
              <w:t>Accuracy</w:t>
            </w:r>
          </w:p>
        </w:tc>
        <w:tc>
          <w:tcPr>
            <w:tcW w:w="834" w:type="pct"/>
          </w:tcPr>
          <w:p w14:paraId="1B30510A" w14:textId="77777777" w:rsidR="00D81F3B" w:rsidRPr="00831D98" w:rsidRDefault="00D81F3B" w:rsidP="00813F71">
            <w:pPr>
              <w:jc w:val="center"/>
              <w:rPr>
                <w:b/>
                <w:lang w:val="en-US"/>
              </w:rPr>
            </w:pPr>
            <w:r w:rsidRPr="00831D98">
              <w:rPr>
                <w:b/>
                <w:lang w:val="en-US"/>
              </w:rPr>
              <w:t>Purpose</w:t>
            </w:r>
          </w:p>
        </w:tc>
      </w:tr>
      <w:tr w:rsidR="00D81F3B" w14:paraId="20AE763D" w14:textId="77777777" w:rsidTr="00986E53">
        <w:tc>
          <w:tcPr>
            <w:tcW w:w="833" w:type="pct"/>
          </w:tcPr>
          <w:p w14:paraId="7E54662B" w14:textId="77777777" w:rsidR="00D81F3B" w:rsidRDefault="00D81F3B" w:rsidP="00813F71">
            <w:pPr>
              <w:rPr>
                <w:lang w:val="en-US"/>
              </w:rPr>
            </w:pPr>
            <w:r>
              <w:rPr>
                <w:lang w:val="en-US"/>
              </w:rPr>
              <w:t>Article 1:</w:t>
            </w:r>
            <w:r>
              <w:t xml:space="preserve"> </w:t>
            </w:r>
            <w:r w:rsidRPr="00C27CFB">
              <w:rPr>
                <w:lang w:val="en-US"/>
              </w:rPr>
              <w:t>Stothart et al. (2021)</w:t>
            </w:r>
          </w:p>
        </w:tc>
        <w:tc>
          <w:tcPr>
            <w:tcW w:w="833" w:type="pct"/>
          </w:tcPr>
          <w:p w14:paraId="06E07CD5" w14:textId="77777777" w:rsidR="00D81F3B" w:rsidRDefault="00D81F3B" w:rsidP="00813F71">
            <w:pPr>
              <w:rPr>
                <w:lang w:val="en-US"/>
              </w:rPr>
            </w:pPr>
            <w:r w:rsidRPr="00E607B2">
              <w:rPr>
                <w:lang w:val="en-US"/>
              </w:rPr>
              <w:t>Published 2021</w:t>
            </w:r>
          </w:p>
        </w:tc>
        <w:tc>
          <w:tcPr>
            <w:tcW w:w="833" w:type="pct"/>
          </w:tcPr>
          <w:p w14:paraId="6D219892" w14:textId="77777777" w:rsidR="00D81F3B" w:rsidRDefault="00D81F3B" w:rsidP="00813F71">
            <w:pPr>
              <w:rPr>
                <w:lang w:val="en-US"/>
              </w:rPr>
            </w:pPr>
            <w:r w:rsidRPr="00E74A09">
              <w:rPr>
                <w:lang w:val="en-US"/>
              </w:rPr>
              <w:t>High; addresses early detection technology.</w:t>
            </w:r>
          </w:p>
        </w:tc>
        <w:tc>
          <w:tcPr>
            <w:tcW w:w="833" w:type="pct"/>
          </w:tcPr>
          <w:p w14:paraId="3CE704C9" w14:textId="77777777" w:rsidR="00D81F3B" w:rsidRDefault="00D81F3B" w:rsidP="00813F71">
            <w:pPr>
              <w:rPr>
                <w:lang w:val="en-US"/>
              </w:rPr>
            </w:pPr>
            <w:r w:rsidRPr="00B7035B">
              <w:rPr>
                <w:lang w:val="en-US"/>
              </w:rPr>
              <w:t>Published in Brain; academic researchers.</w:t>
            </w:r>
          </w:p>
        </w:tc>
        <w:tc>
          <w:tcPr>
            <w:tcW w:w="834" w:type="pct"/>
          </w:tcPr>
          <w:p w14:paraId="05AF74A8" w14:textId="77777777" w:rsidR="00D81F3B" w:rsidRDefault="00D81F3B" w:rsidP="00813F71">
            <w:pPr>
              <w:rPr>
                <w:lang w:val="en-US"/>
              </w:rPr>
            </w:pPr>
            <w:r w:rsidRPr="00430929">
              <w:rPr>
                <w:lang w:val="en-US"/>
              </w:rPr>
              <w:t>Peer-reviewed with high effect sizes (d = 1.52).</w:t>
            </w:r>
          </w:p>
        </w:tc>
        <w:tc>
          <w:tcPr>
            <w:tcW w:w="834" w:type="pct"/>
          </w:tcPr>
          <w:p w14:paraId="371AF825" w14:textId="77777777" w:rsidR="00D81F3B" w:rsidRDefault="00D81F3B" w:rsidP="00813F71">
            <w:pPr>
              <w:rPr>
                <w:lang w:val="en-US"/>
              </w:rPr>
            </w:pPr>
            <w:r w:rsidRPr="00FB219B">
              <w:rPr>
                <w:lang w:val="en-US"/>
              </w:rPr>
              <w:t>To introduce a scalable diagnostic tool.</w:t>
            </w:r>
          </w:p>
        </w:tc>
      </w:tr>
      <w:tr w:rsidR="00D81F3B" w14:paraId="7D282D89" w14:textId="77777777" w:rsidTr="00986E53">
        <w:tc>
          <w:tcPr>
            <w:tcW w:w="833" w:type="pct"/>
          </w:tcPr>
          <w:p w14:paraId="5FFAD0FC" w14:textId="77777777" w:rsidR="00D81F3B" w:rsidRDefault="00D81F3B" w:rsidP="00813F71">
            <w:pPr>
              <w:rPr>
                <w:lang w:val="en-US"/>
              </w:rPr>
            </w:pPr>
            <w:r>
              <w:rPr>
                <w:lang w:val="en-US"/>
              </w:rPr>
              <w:t>Article 2:</w:t>
            </w:r>
            <w:r>
              <w:t xml:space="preserve"> </w:t>
            </w:r>
            <w:r w:rsidRPr="001C75D8">
              <w:rPr>
                <w:lang w:val="en-US"/>
              </w:rPr>
              <w:t>Keshavan et al. (2021)</w:t>
            </w:r>
          </w:p>
        </w:tc>
        <w:tc>
          <w:tcPr>
            <w:tcW w:w="833" w:type="pct"/>
          </w:tcPr>
          <w:p w14:paraId="343030AF" w14:textId="77777777" w:rsidR="00D81F3B" w:rsidRDefault="00D81F3B" w:rsidP="00813F71">
            <w:pPr>
              <w:rPr>
                <w:lang w:val="en-US"/>
              </w:rPr>
            </w:pPr>
            <w:r w:rsidRPr="00F80C87">
              <w:rPr>
                <w:lang w:val="en-US"/>
              </w:rPr>
              <w:t>Published 2021.</w:t>
            </w:r>
          </w:p>
        </w:tc>
        <w:tc>
          <w:tcPr>
            <w:tcW w:w="833" w:type="pct"/>
          </w:tcPr>
          <w:p w14:paraId="37C87AF2" w14:textId="77777777" w:rsidR="00D81F3B" w:rsidRDefault="00D81F3B" w:rsidP="00813F71">
            <w:pPr>
              <w:rPr>
                <w:lang w:val="en-US"/>
              </w:rPr>
            </w:pPr>
            <w:r w:rsidRPr="005A2930">
              <w:rPr>
                <w:lang w:val="en-US"/>
              </w:rPr>
              <w:t>Specific to UK population-based screening.</w:t>
            </w:r>
          </w:p>
        </w:tc>
        <w:tc>
          <w:tcPr>
            <w:tcW w:w="833" w:type="pct"/>
          </w:tcPr>
          <w:p w14:paraId="212179CC" w14:textId="77777777" w:rsidR="00D81F3B" w:rsidRDefault="00D81F3B" w:rsidP="00813F71">
            <w:pPr>
              <w:rPr>
                <w:lang w:val="en-US"/>
              </w:rPr>
            </w:pPr>
            <w:r w:rsidRPr="00EB2AC8">
              <w:rPr>
                <w:lang w:val="en-US"/>
              </w:rPr>
              <w:t>Lead academic clinical researchers in neurology.</w:t>
            </w:r>
          </w:p>
        </w:tc>
        <w:tc>
          <w:tcPr>
            <w:tcW w:w="834" w:type="pct"/>
          </w:tcPr>
          <w:p w14:paraId="1C4A3F75" w14:textId="77777777" w:rsidR="00D81F3B" w:rsidRDefault="00D81F3B" w:rsidP="00813F71">
            <w:pPr>
              <w:rPr>
                <w:lang w:val="en-US"/>
              </w:rPr>
            </w:pPr>
            <w:r w:rsidRPr="0073783E">
              <w:rPr>
                <w:lang w:val="en-US"/>
              </w:rPr>
              <w:t>Large sample (n=502); statistical rigor with AUC metrics.</w:t>
            </w:r>
          </w:p>
        </w:tc>
        <w:tc>
          <w:tcPr>
            <w:tcW w:w="834" w:type="pct"/>
          </w:tcPr>
          <w:p w14:paraId="677135C1" w14:textId="395BE0F1" w:rsidR="00D81F3B" w:rsidRDefault="00D81F3B" w:rsidP="00813F71">
            <w:pPr>
              <w:rPr>
                <w:lang w:val="en-US"/>
              </w:rPr>
            </w:pPr>
            <w:r w:rsidRPr="00B130F3">
              <w:rPr>
                <w:lang w:val="en-US"/>
              </w:rPr>
              <w:t>To optimi</w:t>
            </w:r>
            <w:r w:rsidR="00692DA1">
              <w:rPr>
                <w:lang w:val="en-US"/>
              </w:rPr>
              <w:t>s</w:t>
            </w:r>
            <w:r w:rsidRPr="00B130F3">
              <w:rPr>
                <w:lang w:val="en-US"/>
              </w:rPr>
              <w:t>e cost-effective screening pathways.</w:t>
            </w:r>
          </w:p>
        </w:tc>
      </w:tr>
      <w:tr w:rsidR="00D81F3B" w14:paraId="4F4D2DCD" w14:textId="77777777" w:rsidTr="00986E53">
        <w:tc>
          <w:tcPr>
            <w:tcW w:w="833" w:type="pct"/>
          </w:tcPr>
          <w:p w14:paraId="0967EDB7" w14:textId="77777777" w:rsidR="00D81F3B" w:rsidRDefault="00D81F3B" w:rsidP="00813F71">
            <w:pPr>
              <w:rPr>
                <w:lang w:val="en-US"/>
              </w:rPr>
            </w:pPr>
            <w:r>
              <w:rPr>
                <w:lang w:val="en-US"/>
              </w:rPr>
              <w:t xml:space="preserve">Article 3: </w:t>
            </w:r>
            <w:r w:rsidRPr="006C07C3">
              <w:rPr>
                <w:lang w:val="en-US"/>
              </w:rPr>
              <w:t>Ereira et al. (2024)</w:t>
            </w:r>
          </w:p>
        </w:tc>
        <w:tc>
          <w:tcPr>
            <w:tcW w:w="833" w:type="pct"/>
          </w:tcPr>
          <w:p w14:paraId="73172C37" w14:textId="77777777" w:rsidR="00D81F3B" w:rsidRDefault="00D81F3B" w:rsidP="00813F71">
            <w:pPr>
              <w:rPr>
                <w:lang w:val="en-US"/>
              </w:rPr>
            </w:pPr>
            <w:r w:rsidRPr="00070AEA">
              <w:rPr>
                <w:lang w:val="en-US"/>
              </w:rPr>
              <w:t>Published 2024 (Highly current).</w:t>
            </w:r>
          </w:p>
        </w:tc>
        <w:tc>
          <w:tcPr>
            <w:tcW w:w="833" w:type="pct"/>
          </w:tcPr>
          <w:p w14:paraId="5B0836A9" w14:textId="77777777" w:rsidR="00D81F3B" w:rsidRDefault="00D81F3B" w:rsidP="00813F71">
            <w:pPr>
              <w:rPr>
                <w:lang w:val="en-US"/>
              </w:rPr>
            </w:pPr>
            <w:r w:rsidRPr="009E1221">
              <w:rPr>
                <w:lang w:val="en-US"/>
              </w:rPr>
              <w:t>Focuses on population-level early detection.</w:t>
            </w:r>
          </w:p>
        </w:tc>
        <w:tc>
          <w:tcPr>
            <w:tcW w:w="833" w:type="pct"/>
          </w:tcPr>
          <w:p w14:paraId="6525D4D3" w14:textId="77777777" w:rsidR="00D81F3B" w:rsidRDefault="00D81F3B" w:rsidP="00813F71">
            <w:pPr>
              <w:rPr>
                <w:lang w:val="en-US"/>
              </w:rPr>
            </w:pPr>
            <w:r w:rsidRPr="00585F86">
              <w:rPr>
                <w:lang w:val="en-US"/>
              </w:rPr>
              <w:t>Nature Mental Health; high-tier academic institution.</w:t>
            </w:r>
          </w:p>
        </w:tc>
        <w:tc>
          <w:tcPr>
            <w:tcW w:w="834" w:type="pct"/>
          </w:tcPr>
          <w:p w14:paraId="77627DE9" w14:textId="77777777" w:rsidR="00D81F3B" w:rsidRDefault="00D81F3B" w:rsidP="00813F71">
            <w:pPr>
              <w:rPr>
                <w:lang w:val="en-US"/>
              </w:rPr>
            </w:pPr>
            <w:r w:rsidRPr="00121DB6">
              <w:rPr>
                <w:lang w:val="en-US"/>
              </w:rPr>
              <w:t>Large dataset (n</w:t>
            </w:r>
            <w:r>
              <w:rPr>
                <w:lang w:val="en-US"/>
              </w:rPr>
              <w:t xml:space="preserve"> </w:t>
            </w:r>
            <w:r w:rsidRPr="00121DB6">
              <w:rPr>
                <w:lang w:val="en-US"/>
              </w:rPr>
              <w:t>=1111); longitudinal design.</w:t>
            </w:r>
          </w:p>
        </w:tc>
        <w:tc>
          <w:tcPr>
            <w:tcW w:w="834" w:type="pct"/>
          </w:tcPr>
          <w:p w14:paraId="18855CFE" w14:textId="77777777" w:rsidR="00D81F3B" w:rsidRDefault="00D81F3B" w:rsidP="00813F71">
            <w:pPr>
              <w:rPr>
                <w:lang w:val="en-US"/>
              </w:rPr>
            </w:pPr>
            <w:r w:rsidRPr="002B5A05">
              <w:rPr>
                <w:lang w:val="en-US"/>
              </w:rPr>
              <w:t>To provide a neurobiological model for early risk.</w:t>
            </w:r>
          </w:p>
        </w:tc>
      </w:tr>
      <w:tr w:rsidR="00D81F3B" w14:paraId="2D69C828" w14:textId="77777777" w:rsidTr="00986E53">
        <w:tc>
          <w:tcPr>
            <w:tcW w:w="833" w:type="pct"/>
          </w:tcPr>
          <w:p w14:paraId="5EE2EDC8" w14:textId="77777777" w:rsidR="00D81F3B" w:rsidRDefault="00D81F3B" w:rsidP="00813F71">
            <w:pPr>
              <w:rPr>
                <w:lang w:val="en-US"/>
              </w:rPr>
            </w:pPr>
            <w:r>
              <w:rPr>
                <w:lang w:val="en-US"/>
              </w:rPr>
              <w:t>Article 4:</w:t>
            </w:r>
            <w:r>
              <w:t xml:space="preserve"> </w:t>
            </w:r>
            <w:r w:rsidRPr="00B410B1">
              <w:rPr>
                <w:lang w:val="en-US"/>
              </w:rPr>
              <w:t>Creavin et al. (2021)</w:t>
            </w:r>
          </w:p>
        </w:tc>
        <w:tc>
          <w:tcPr>
            <w:tcW w:w="833" w:type="pct"/>
          </w:tcPr>
          <w:p w14:paraId="42C90977" w14:textId="77777777" w:rsidR="00D81F3B" w:rsidRDefault="00D81F3B" w:rsidP="00813F71">
            <w:pPr>
              <w:rPr>
                <w:lang w:val="en-US"/>
              </w:rPr>
            </w:pPr>
            <w:r w:rsidRPr="0075369D">
              <w:rPr>
                <w:lang w:val="en-US"/>
              </w:rPr>
              <w:t>Published 2021.</w:t>
            </w:r>
          </w:p>
        </w:tc>
        <w:tc>
          <w:tcPr>
            <w:tcW w:w="833" w:type="pct"/>
          </w:tcPr>
          <w:p w14:paraId="357D0514" w14:textId="77777777" w:rsidR="00D81F3B" w:rsidRDefault="00D81F3B" w:rsidP="00813F71">
            <w:pPr>
              <w:rPr>
                <w:lang w:val="en-US"/>
              </w:rPr>
            </w:pPr>
            <w:r w:rsidRPr="0050307C">
              <w:rPr>
                <w:lang w:val="en-US"/>
              </w:rPr>
              <w:t>Directly addresses the primary care bottleneck in the UK.</w:t>
            </w:r>
          </w:p>
        </w:tc>
        <w:tc>
          <w:tcPr>
            <w:tcW w:w="833" w:type="pct"/>
          </w:tcPr>
          <w:p w14:paraId="1838AADB" w14:textId="77777777" w:rsidR="00D81F3B" w:rsidRDefault="00D81F3B" w:rsidP="00813F71">
            <w:pPr>
              <w:rPr>
                <w:lang w:val="en-US"/>
              </w:rPr>
            </w:pPr>
            <w:r w:rsidRPr="00474F7E">
              <w:rPr>
                <w:lang w:val="en-US"/>
              </w:rPr>
              <w:t>Published in BJGP Open; expert medical researchers.</w:t>
            </w:r>
          </w:p>
        </w:tc>
        <w:tc>
          <w:tcPr>
            <w:tcW w:w="834" w:type="pct"/>
          </w:tcPr>
          <w:p w14:paraId="50FF5E30" w14:textId="77777777" w:rsidR="00D81F3B" w:rsidRDefault="00D81F3B" w:rsidP="00813F71">
            <w:pPr>
              <w:rPr>
                <w:lang w:val="en-US"/>
              </w:rPr>
            </w:pPr>
            <w:r w:rsidRPr="00AF7F56">
              <w:rPr>
                <w:lang w:val="en-US"/>
              </w:rPr>
              <w:t>Multi-practice study with clear reference standards.</w:t>
            </w:r>
          </w:p>
        </w:tc>
        <w:tc>
          <w:tcPr>
            <w:tcW w:w="834" w:type="pct"/>
          </w:tcPr>
          <w:p w14:paraId="6FCD2DFA" w14:textId="77777777" w:rsidR="00D81F3B" w:rsidRDefault="00D81F3B" w:rsidP="00813F71">
            <w:pPr>
              <w:rPr>
                <w:lang w:val="en-US"/>
              </w:rPr>
            </w:pPr>
            <w:r w:rsidRPr="00351822">
              <w:rPr>
                <w:lang w:val="en-US"/>
              </w:rPr>
              <w:t>To evaluate current clinical practice standards.</w:t>
            </w:r>
          </w:p>
        </w:tc>
      </w:tr>
      <w:tr w:rsidR="00D81F3B" w14:paraId="608BAB48" w14:textId="77777777" w:rsidTr="00986E53">
        <w:tc>
          <w:tcPr>
            <w:tcW w:w="833" w:type="pct"/>
          </w:tcPr>
          <w:p w14:paraId="4E307594" w14:textId="77777777" w:rsidR="00D81F3B" w:rsidRDefault="00D81F3B" w:rsidP="00813F71">
            <w:pPr>
              <w:rPr>
                <w:lang w:val="en-US"/>
              </w:rPr>
            </w:pPr>
            <w:r>
              <w:rPr>
                <w:lang w:val="en-US"/>
              </w:rPr>
              <w:t>Article 5:</w:t>
            </w:r>
            <w:r>
              <w:t xml:space="preserve"> </w:t>
            </w:r>
            <w:r w:rsidRPr="0005517B">
              <w:rPr>
                <w:lang w:val="en-US"/>
              </w:rPr>
              <w:t>Creavin et al. (2023)</w:t>
            </w:r>
          </w:p>
        </w:tc>
        <w:tc>
          <w:tcPr>
            <w:tcW w:w="833" w:type="pct"/>
          </w:tcPr>
          <w:p w14:paraId="341BA0CF" w14:textId="77777777" w:rsidR="00D81F3B" w:rsidRDefault="00D81F3B" w:rsidP="00813F71">
            <w:pPr>
              <w:rPr>
                <w:lang w:val="en-US"/>
              </w:rPr>
            </w:pPr>
            <w:r w:rsidRPr="000E4733">
              <w:rPr>
                <w:lang w:val="en-US"/>
              </w:rPr>
              <w:t>Published 2023.</w:t>
            </w:r>
          </w:p>
        </w:tc>
        <w:tc>
          <w:tcPr>
            <w:tcW w:w="833" w:type="pct"/>
          </w:tcPr>
          <w:p w14:paraId="22F4EA36" w14:textId="77777777" w:rsidR="00D81F3B" w:rsidRDefault="00D81F3B" w:rsidP="00813F71">
            <w:pPr>
              <w:rPr>
                <w:lang w:val="en-US"/>
              </w:rPr>
            </w:pPr>
            <w:r w:rsidRPr="00A00733">
              <w:rPr>
                <w:lang w:val="en-US"/>
              </w:rPr>
              <w:t>Practical application for improving GP diagnosis rates.</w:t>
            </w:r>
          </w:p>
        </w:tc>
        <w:tc>
          <w:tcPr>
            <w:tcW w:w="833" w:type="pct"/>
          </w:tcPr>
          <w:p w14:paraId="28C9D842" w14:textId="77777777" w:rsidR="00D81F3B" w:rsidRDefault="00D81F3B" w:rsidP="00813F71">
            <w:pPr>
              <w:rPr>
                <w:lang w:val="en-US"/>
              </w:rPr>
            </w:pPr>
            <w:r w:rsidRPr="001D1048">
              <w:rPr>
                <w:lang w:val="en-US"/>
              </w:rPr>
              <w:t>Specialised academic journal (Journal of Alzheimer's Disease).</w:t>
            </w:r>
          </w:p>
        </w:tc>
        <w:tc>
          <w:tcPr>
            <w:tcW w:w="834" w:type="pct"/>
          </w:tcPr>
          <w:p w14:paraId="627A301F" w14:textId="77777777" w:rsidR="00D81F3B" w:rsidRDefault="00D81F3B" w:rsidP="00813F71">
            <w:pPr>
              <w:rPr>
                <w:lang w:val="en-US"/>
              </w:rPr>
            </w:pPr>
            <w:r w:rsidRPr="006D72ED">
              <w:rPr>
                <w:lang w:val="en-US"/>
              </w:rPr>
              <w:t>Comparative analysis of multiple validated tools.</w:t>
            </w:r>
          </w:p>
        </w:tc>
        <w:tc>
          <w:tcPr>
            <w:tcW w:w="834" w:type="pct"/>
          </w:tcPr>
          <w:p w14:paraId="0494EE6E" w14:textId="77777777" w:rsidR="00D81F3B" w:rsidRDefault="00D81F3B" w:rsidP="00813F71">
            <w:pPr>
              <w:rPr>
                <w:lang w:val="en-US"/>
              </w:rPr>
            </w:pPr>
            <w:r w:rsidRPr="00C9759B">
              <w:rPr>
                <w:lang w:val="en-US"/>
              </w:rPr>
              <w:t>To define an efficient primary care diagnostic strategy.</w:t>
            </w:r>
          </w:p>
        </w:tc>
      </w:tr>
      <w:tr w:rsidR="00D81F3B" w14:paraId="591809E4" w14:textId="77777777" w:rsidTr="00986E53">
        <w:tc>
          <w:tcPr>
            <w:tcW w:w="833" w:type="pct"/>
          </w:tcPr>
          <w:p w14:paraId="6936C145" w14:textId="77777777" w:rsidR="00D81F3B" w:rsidRDefault="00D81F3B" w:rsidP="00813F71">
            <w:pPr>
              <w:rPr>
                <w:lang w:val="en-US"/>
              </w:rPr>
            </w:pPr>
            <w:r>
              <w:rPr>
                <w:lang w:val="en-US"/>
              </w:rPr>
              <w:lastRenderedPageBreak/>
              <w:t>Article 6:</w:t>
            </w:r>
            <w:r>
              <w:t xml:space="preserve"> </w:t>
            </w:r>
            <w:r w:rsidRPr="00C9502D">
              <w:rPr>
                <w:lang w:val="en-US"/>
              </w:rPr>
              <w:t>Chingono et al. (2025)</w:t>
            </w:r>
          </w:p>
        </w:tc>
        <w:tc>
          <w:tcPr>
            <w:tcW w:w="833" w:type="pct"/>
          </w:tcPr>
          <w:p w14:paraId="74A16548" w14:textId="77777777" w:rsidR="00D81F3B" w:rsidRDefault="00D81F3B" w:rsidP="00813F71">
            <w:pPr>
              <w:rPr>
                <w:lang w:val="en-US"/>
              </w:rPr>
            </w:pPr>
            <w:r w:rsidRPr="00341BD5">
              <w:rPr>
                <w:lang w:val="en-US"/>
              </w:rPr>
              <w:t>Published 2025 (Forward-looking).</w:t>
            </w:r>
          </w:p>
        </w:tc>
        <w:tc>
          <w:tcPr>
            <w:tcW w:w="833" w:type="pct"/>
          </w:tcPr>
          <w:p w14:paraId="6EB7669A" w14:textId="77777777" w:rsidR="00D81F3B" w:rsidRDefault="00D81F3B" w:rsidP="00813F71">
            <w:pPr>
              <w:rPr>
                <w:lang w:val="en-US"/>
              </w:rPr>
            </w:pPr>
            <w:r w:rsidRPr="000A0CE6">
              <w:rPr>
                <w:lang w:val="en-US"/>
              </w:rPr>
              <w:t>Crucial for involving families in the diagnostic process.</w:t>
            </w:r>
          </w:p>
        </w:tc>
        <w:tc>
          <w:tcPr>
            <w:tcW w:w="833" w:type="pct"/>
          </w:tcPr>
          <w:p w14:paraId="0CE80E12" w14:textId="77777777" w:rsidR="00D81F3B" w:rsidRDefault="00D81F3B" w:rsidP="00813F71">
            <w:pPr>
              <w:rPr>
                <w:lang w:val="en-US"/>
              </w:rPr>
            </w:pPr>
            <w:r w:rsidRPr="00A122B7">
              <w:rPr>
                <w:lang w:val="en-US"/>
              </w:rPr>
              <w:t>Published in BMC Primary Care; clinical research team.</w:t>
            </w:r>
          </w:p>
        </w:tc>
        <w:tc>
          <w:tcPr>
            <w:tcW w:w="834" w:type="pct"/>
          </w:tcPr>
          <w:p w14:paraId="3D708036" w14:textId="77777777" w:rsidR="00D81F3B" w:rsidRDefault="00D81F3B" w:rsidP="00813F71">
            <w:pPr>
              <w:rPr>
                <w:lang w:val="en-US"/>
              </w:rPr>
            </w:pPr>
            <w:r w:rsidRPr="00473AAC">
              <w:rPr>
                <w:lang w:val="en-US"/>
              </w:rPr>
              <w:t>Detailed adjustment for informant types and relationships.</w:t>
            </w:r>
          </w:p>
        </w:tc>
        <w:tc>
          <w:tcPr>
            <w:tcW w:w="834" w:type="pct"/>
          </w:tcPr>
          <w:p w14:paraId="1FF36FE3" w14:textId="77777777" w:rsidR="00D81F3B" w:rsidRDefault="00D81F3B" w:rsidP="00813F71">
            <w:pPr>
              <w:rPr>
                <w:lang w:val="en-US"/>
              </w:rPr>
            </w:pPr>
            <w:r w:rsidRPr="00EE1F97">
              <w:rPr>
                <w:lang w:val="en-US"/>
              </w:rPr>
              <w:t>To improve the interpretation of informant questionnaires.</w:t>
            </w:r>
          </w:p>
        </w:tc>
      </w:tr>
      <w:tr w:rsidR="00D81F3B" w14:paraId="79346724" w14:textId="77777777" w:rsidTr="00986E53">
        <w:tc>
          <w:tcPr>
            <w:tcW w:w="833" w:type="pct"/>
          </w:tcPr>
          <w:p w14:paraId="0A405309" w14:textId="77777777" w:rsidR="00D81F3B" w:rsidRDefault="00D81F3B" w:rsidP="00813F71">
            <w:pPr>
              <w:rPr>
                <w:lang w:val="en-US"/>
              </w:rPr>
            </w:pPr>
            <w:r>
              <w:rPr>
                <w:lang w:val="en-US"/>
              </w:rPr>
              <w:t>Article 7:</w:t>
            </w:r>
            <w:r>
              <w:t xml:space="preserve"> </w:t>
            </w:r>
            <w:r w:rsidRPr="00966352">
              <w:rPr>
                <w:lang w:val="en-US"/>
              </w:rPr>
              <w:t>Jones et al. (2023)</w:t>
            </w:r>
          </w:p>
        </w:tc>
        <w:tc>
          <w:tcPr>
            <w:tcW w:w="833" w:type="pct"/>
          </w:tcPr>
          <w:p w14:paraId="60BE46A0" w14:textId="77777777" w:rsidR="00D81F3B" w:rsidRDefault="00D81F3B" w:rsidP="00813F71">
            <w:pPr>
              <w:rPr>
                <w:lang w:val="en-US"/>
              </w:rPr>
            </w:pPr>
            <w:r w:rsidRPr="001B319E">
              <w:rPr>
                <w:lang w:val="en-US"/>
              </w:rPr>
              <w:t>Published 2023.</w:t>
            </w:r>
          </w:p>
        </w:tc>
        <w:tc>
          <w:tcPr>
            <w:tcW w:w="833" w:type="pct"/>
          </w:tcPr>
          <w:p w14:paraId="7EA85777" w14:textId="77777777" w:rsidR="00D81F3B" w:rsidRDefault="00D81F3B" w:rsidP="00813F71">
            <w:pPr>
              <w:rPr>
                <w:lang w:val="en-US"/>
              </w:rPr>
            </w:pPr>
            <w:r w:rsidRPr="007A561C">
              <w:rPr>
                <w:lang w:val="en-US"/>
              </w:rPr>
              <w:t>Identifies social and systemic barriers to early intervention.</w:t>
            </w:r>
          </w:p>
        </w:tc>
        <w:tc>
          <w:tcPr>
            <w:tcW w:w="833" w:type="pct"/>
          </w:tcPr>
          <w:p w14:paraId="1B306D4A" w14:textId="77777777" w:rsidR="00D81F3B" w:rsidRDefault="00D81F3B" w:rsidP="00813F71">
            <w:pPr>
              <w:rPr>
                <w:lang w:val="en-US"/>
              </w:rPr>
            </w:pPr>
            <w:r w:rsidRPr="003E417B">
              <w:rPr>
                <w:lang w:val="en-US"/>
              </w:rPr>
              <w:t>British Journal of General Practice (BJGP).</w:t>
            </w:r>
          </w:p>
        </w:tc>
        <w:tc>
          <w:tcPr>
            <w:tcW w:w="834" w:type="pct"/>
          </w:tcPr>
          <w:p w14:paraId="2BDD6981" w14:textId="77777777" w:rsidR="00D81F3B" w:rsidRDefault="00D81F3B" w:rsidP="00813F71">
            <w:pPr>
              <w:rPr>
                <w:lang w:val="en-US"/>
              </w:rPr>
            </w:pPr>
            <w:r w:rsidRPr="00F359CE">
              <w:rPr>
                <w:lang w:val="en-US"/>
              </w:rPr>
              <w:t>Rigorous thematic analysis of clinical interviews.</w:t>
            </w:r>
          </w:p>
        </w:tc>
        <w:tc>
          <w:tcPr>
            <w:tcW w:w="834" w:type="pct"/>
          </w:tcPr>
          <w:p w14:paraId="6825477D" w14:textId="77777777" w:rsidR="00D81F3B" w:rsidRDefault="00D81F3B" w:rsidP="00813F71">
            <w:pPr>
              <w:rPr>
                <w:lang w:val="en-US"/>
              </w:rPr>
            </w:pPr>
            <w:r w:rsidRPr="00BA793C">
              <w:rPr>
                <w:lang w:val="en-US"/>
              </w:rPr>
              <w:t>To advocate for a "brain health" approach in primary care.</w:t>
            </w:r>
          </w:p>
        </w:tc>
      </w:tr>
      <w:tr w:rsidR="00D81F3B" w14:paraId="5F5E7D65" w14:textId="77777777" w:rsidTr="00986E53">
        <w:tc>
          <w:tcPr>
            <w:tcW w:w="833" w:type="pct"/>
          </w:tcPr>
          <w:p w14:paraId="6A65BD06" w14:textId="77777777" w:rsidR="00D81F3B" w:rsidRDefault="00D81F3B" w:rsidP="00813F71">
            <w:pPr>
              <w:rPr>
                <w:lang w:val="en-US"/>
              </w:rPr>
            </w:pPr>
            <w:r>
              <w:rPr>
                <w:lang w:val="en-US"/>
              </w:rPr>
              <w:t>Article 8:</w:t>
            </w:r>
            <w:r>
              <w:t xml:space="preserve"> </w:t>
            </w:r>
            <w:r w:rsidRPr="00E0770B">
              <w:rPr>
                <w:lang w:val="en-US"/>
              </w:rPr>
              <w:t>Bajwa et al. (2025)</w:t>
            </w:r>
          </w:p>
        </w:tc>
        <w:tc>
          <w:tcPr>
            <w:tcW w:w="833" w:type="pct"/>
          </w:tcPr>
          <w:p w14:paraId="5C116D37" w14:textId="77777777" w:rsidR="00D81F3B" w:rsidRDefault="00D81F3B" w:rsidP="00813F71">
            <w:pPr>
              <w:rPr>
                <w:lang w:val="en-US"/>
              </w:rPr>
            </w:pPr>
            <w:r w:rsidRPr="002715E6">
              <w:rPr>
                <w:lang w:val="en-US"/>
              </w:rPr>
              <w:t>Published 2025.</w:t>
            </w:r>
          </w:p>
        </w:tc>
        <w:tc>
          <w:tcPr>
            <w:tcW w:w="833" w:type="pct"/>
          </w:tcPr>
          <w:p w14:paraId="2397AF40" w14:textId="77777777" w:rsidR="00D81F3B" w:rsidRDefault="00D81F3B" w:rsidP="00813F71">
            <w:pPr>
              <w:rPr>
                <w:lang w:val="en-US"/>
              </w:rPr>
            </w:pPr>
            <w:r w:rsidRPr="00BF396C">
              <w:rPr>
                <w:lang w:val="en-US"/>
              </w:rPr>
              <w:t>Directly addresses UK health equity and access issues.</w:t>
            </w:r>
          </w:p>
        </w:tc>
        <w:tc>
          <w:tcPr>
            <w:tcW w:w="833" w:type="pct"/>
          </w:tcPr>
          <w:p w14:paraId="0D2ADCAE" w14:textId="77777777" w:rsidR="00D81F3B" w:rsidRDefault="00D81F3B" w:rsidP="00813F71">
            <w:pPr>
              <w:rPr>
                <w:lang w:val="en-US"/>
              </w:rPr>
            </w:pPr>
            <w:r w:rsidRPr="00591A64">
              <w:rPr>
                <w:lang w:val="en-US"/>
              </w:rPr>
              <w:t>BMJ Open; diverse multidisciplinary research team.</w:t>
            </w:r>
          </w:p>
        </w:tc>
        <w:tc>
          <w:tcPr>
            <w:tcW w:w="834" w:type="pct"/>
          </w:tcPr>
          <w:p w14:paraId="4060BC0E" w14:textId="77777777" w:rsidR="00D81F3B" w:rsidRDefault="00D81F3B" w:rsidP="00813F71">
            <w:pPr>
              <w:rPr>
                <w:lang w:val="en-US"/>
              </w:rPr>
            </w:pPr>
            <w:r w:rsidRPr="006F387B">
              <w:rPr>
                <w:lang w:val="en-US"/>
              </w:rPr>
              <w:t>Large qualitative sample (n=147) across multiple cities.</w:t>
            </w:r>
          </w:p>
        </w:tc>
        <w:tc>
          <w:tcPr>
            <w:tcW w:w="834" w:type="pct"/>
          </w:tcPr>
          <w:p w14:paraId="5A1B2B71" w14:textId="77777777" w:rsidR="00D81F3B" w:rsidRDefault="00D81F3B" w:rsidP="00813F71">
            <w:pPr>
              <w:rPr>
                <w:lang w:val="en-US"/>
              </w:rPr>
            </w:pPr>
            <w:r w:rsidRPr="00500C6F">
              <w:rPr>
                <w:lang w:val="en-US"/>
              </w:rPr>
              <w:t>To recommend culturally inclusive service improvements.</w:t>
            </w:r>
          </w:p>
        </w:tc>
      </w:tr>
      <w:tr w:rsidR="00D81F3B" w14:paraId="1808525E" w14:textId="77777777" w:rsidTr="00986E53">
        <w:tc>
          <w:tcPr>
            <w:tcW w:w="833" w:type="pct"/>
          </w:tcPr>
          <w:p w14:paraId="46FD6262" w14:textId="77777777" w:rsidR="00D81F3B" w:rsidRDefault="00D81F3B" w:rsidP="00813F71">
            <w:pPr>
              <w:rPr>
                <w:lang w:val="en-US"/>
              </w:rPr>
            </w:pPr>
            <w:r>
              <w:rPr>
                <w:lang w:val="en-US"/>
              </w:rPr>
              <w:t xml:space="preserve">Article 9: </w:t>
            </w:r>
            <w:r w:rsidRPr="00ED4AD8">
              <w:rPr>
                <w:lang w:val="en-US"/>
              </w:rPr>
              <w:t>Kelsey et al. (2026)</w:t>
            </w:r>
          </w:p>
        </w:tc>
        <w:tc>
          <w:tcPr>
            <w:tcW w:w="833" w:type="pct"/>
          </w:tcPr>
          <w:p w14:paraId="01B42984" w14:textId="77777777" w:rsidR="00D81F3B" w:rsidRDefault="00D81F3B" w:rsidP="00813F71">
            <w:pPr>
              <w:rPr>
                <w:lang w:val="en-US"/>
              </w:rPr>
            </w:pPr>
            <w:r w:rsidRPr="002C69F7">
              <w:rPr>
                <w:lang w:val="en-US"/>
              </w:rPr>
              <w:t>Published 2026 (State-of-the-art).</w:t>
            </w:r>
          </w:p>
        </w:tc>
        <w:tc>
          <w:tcPr>
            <w:tcW w:w="833" w:type="pct"/>
          </w:tcPr>
          <w:p w14:paraId="77A94D3F" w14:textId="77777777" w:rsidR="00D81F3B" w:rsidRDefault="00D81F3B" w:rsidP="00813F71">
            <w:pPr>
              <w:rPr>
                <w:lang w:val="en-US"/>
              </w:rPr>
            </w:pPr>
            <w:r w:rsidRPr="009802B7">
              <w:rPr>
                <w:lang w:val="en-US"/>
              </w:rPr>
              <w:t>Macro-level view of the English healthcare system.</w:t>
            </w:r>
          </w:p>
        </w:tc>
        <w:tc>
          <w:tcPr>
            <w:tcW w:w="833" w:type="pct"/>
          </w:tcPr>
          <w:p w14:paraId="35054EBE" w14:textId="77777777" w:rsidR="00D81F3B" w:rsidRDefault="00D81F3B" w:rsidP="00813F71">
            <w:pPr>
              <w:rPr>
                <w:lang w:val="en-US"/>
              </w:rPr>
            </w:pPr>
            <w:r w:rsidRPr="00A475A8">
              <w:rPr>
                <w:lang w:val="en-US"/>
              </w:rPr>
              <w:t>BMC Geriatrics; national survey data.</w:t>
            </w:r>
          </w:p>
        </w:tc>
        <w:tc>
          <w:tcPr>
            <w:tcW w:w="834" w:type="pct"/>
          </w:tcPr>
          <w:p w14:paraId="27AAAC50" w14:textId="77777777" w:rsidR="00D81F3B" w:rsidRDefault="00D81F3B" w:rsidP="00813F71">
            <w:pPr>
              <w:rPr>
                <w:lang w:val="en-US"/>
              </w:rPr>
            </w:pPr>
            <w:r w:rsidRPr="00720591">
              <w:rPr>
                <w:lang w:val="en-US"/>
              </w:rPr>
              <w:t>High response rate (73.9% of all English memory services).</w:t>
            </w:r>
          </w:p>
        </w:tc>
        <w:tc>
          <w:tcPr>
            <w:tcW w:w="834" w:type="pct"/>
          </w:tcPr>
          <w:p w14:paraId="59A13202" w14:textId="77777777" w:rsidR="00D81F3B" w:rsidRDefault="00D81F3B" w:rsidP="00813F71">
            <w:pPr>
              <w:rPr>
                <w:lang w:val="en-US"/>
              </w:rPr>
            </w:pPr>
            <w:r w:rsidRPr="00044AF1">
              <w:rPr>
                <w:lang w:val="en-US"/>
              </w:rPr>
              <w:t>To identify systemic failures in service provision.</w:t>
            </w:r>
          </w:p>
        </w:tc>
      </w:tr>
      <w:tr w:rsidR="006B2A5C" w14:paraId="4FA3969B" w14:textId="77777777" w:rsidTr="00986E53">
        <w:tc>
          <w:tcPr>
            <w:tcW w:w="833" w:type="pct"/>
          </w:tcPr>
          <w:p w14:paraId="0E44E032" w14:textId="6576D5FE" w:rsidR="006B2A5C" w:rsidRDefault="006B2A5C" w:rsidP="00813F71">
            <w:pPr>
              <w:rPr>
                <w:lang w:val="en-US"/>
              </w:rPr>
            </w:pPr>
            <w:r w:rsidRPr="006B2A5C">
              <w:rPr>
                <w:lang w:val="en-US"/>
              </w:rPr>
              <w:t>Article 1</w:t>
            </w:r>
            <w:r>
              <w:rPr>
                <w:lang w:val="en-US"/>
              </w:rPr>
              <w:t>0</w:t>
            </w:r>
            <w:r w:rsidRPr="006B2A5C">
              <w:rPr>
                <w:lang w:val="en-US"/>
              </w:rPr>
              <w:t xml:space="preserve">: Smith </w:t>
            </w:r>
            <w:r>
              <w:rPr>
                <w:lang w:val="en-US"/>
              </w:rPr>
              <w:t>and</w:t>
            </w:r>
            <w:r w:rsidRPr="006B2A5C">
              <w:rPr>
                <w:lang w:val="en-US"/>
              </w:rPr>
              <w:t xml:space="preserve"> Surr (2024)</w:t>
            </w:r>
          </w:p>
        </w:tc>
        <w:tc>
          <w:tcPr>
            <w:tcW w:w="833" w:type="pct"/>
          </w:tcPr>
          <w:p w14:paraId="03599AA3" w14:textId="2F4042CC" w:rsidR="006B2A5C" w:rsidRPr="002C69F7" w:rsidRDefault="006D53B7" w:rsidP="00813F71">
            <w:pPr>
              <w:rPr>
                <w:lang w:val="en-US"/>
              </w:rPr>
            </w:pPr>
            <w:r w:rsidRPr="006D53B7">
              <w:rPr>
                <w:lang w:val="en-US"/>
              </w:rPr>
              <w:t>Published 2024; reflects post-COVID service models in England/Wales.</w:t>
            </w:r>
          </w:p>
        </w:tc>
        <w:tc>
          <w:tcPr>
            <w:tcW w:w="833" w:type="pct"/>
          </w:tcPr>
          <w:p w14:paraId="1F8E02BC" w14:textId="168E4B34" w:rsidR="006B2A5C" w:rsidRPr="009802B7" w:rsidRDefault="008040F3" w:rsidP="00813F71">
            <w:pPr>
              <w:rPr>
                <w:lang w:val="en-US"/>
              </w:rPr>
            </w:pPr>
            <w:r w:rsidRPr="008040F3">
              <w:rPr>
                <w:lang w:val="en-US"/>
              </w:rPr>
              <w:t>High; addresses MAS design, MCI, rarer dementias, and post-diagnostic support.</w:t>
            </w:r>
          </w:p>
        </w:tc>
        <w:tc>
          <w:tcPr>
            <w:tcW w:w="833" w:type="pct"/>
          </w:tcPr>
          <w:p w14:paraId="260B9D85" w14:textId="7FB39593" w:rsidR="006B2A5C" w:rsidRPr="00A475A8" w:rsidRDefault="009E4DD9" w:rsidP="00813F71">
            <w:pPr>
              <w:rPr>
                <w:lang w:val="en-US"/>
              </w:rPr>
            </w:pPr>
            <w:r w:rsidRPr="009E4DD9">
              <w:rPr>
                <w:lang w:val="en-US"/>
              </w:rPr>
              <w:t>Peer-reviewed BMC Health Services Research; UK academic authors.</w:t>
            </w:r>
          </w:p>
        </w:tc>
        <w:tc>
          <w:tcPr>
            <w:tcW w:w="834" w:type="pct"/>
          </w:tcPr>
          <w:p w14:paraId="26A6CC23" w14:textId="2FCFEE6A" w:rsidR="006B2A5C" w:rsidRPr="00720591" w:rsidRDefault="001F7B69" w:rsidP="00813F71">
            <w:pPr>
              <w:rPr>
                <w:lang w:val="en-US"/>
              </w:rPr>
            </w:pPr>
            <w:r w:rsidRPr="001F7B69">
              <w:rPr>
                <w:lang w:val="en-US"/>
              </w:rPr>
              <w:t>Mixed-methods (survey + case studies); self-report limitations acknowledged.</w:t>
            </w:r>
          </w:p>
        </w:tc>
        <w:tc>
          <w:tcPr>
            <w:tcW w:w="834" w:type="pct"/>
          </w:tcPr>
          <w:p w14:paraId="67F225DE" w14:textId="3675F291" w:rsidR="006B2A5C" w:rsidRPr="00044AF1" w:rsidRDefault="00282382" w:rsidP="00813F71">
            <w:pPr>
              <w:rPr>
                <w:lang w:val="en-US"/>
              </w:rPr>
            </w:pPr>
            <w:r w:rsidRPr="00282382">
              <w:rPr>
                <w:lang w:val="en-US"/>
              </w:rPr>
              <w:t>To identify innovative practices and challenges to inform local commissioning.</w:t>
            </w:r>
          </w:p>
        </w:tc>
      </w:tr>
      <w:bookmarkEnd w:id="33"/>
    </w:tbl>
    <w:p w14:paraId="79ED1A65" w14:textId="77777777" w:rsidR="00D81F3B" w:rsidRPr="00D81F3B" w:rsidRDefault="00D81F3B" w:rsidP="00D81F3B"/>
    <w:sectPr w:rsidR="00D81F3B" w:rsidRPr="00D81F3B" w:rsidSect="00F12451">
      <w:pgSz w:w="16838" w:h="11906" w:orient="landscape"/>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710793" w14:textId="77777777" w:rsidR="00E625F6" w:rsidRDefault="00E625F6" w:rsidP="00211184">
      <w:pPr>
        <w:spacing w:after="0" w:line="240" w:lineRule="auto"/>
      </w:pPr>
      <w:r>
        <w:separator/>
      </w:r>
    </w:p>
  </w:endnote>
  <w:endnote w:type="continuationSeparator" w:id="0">
    <w:p w14:paraId="63B7B9BF" w14:textId="77777777" w:rsidR="00E625F6" w:rsidRDefault="00E625F6"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F37D23" w14:textId="77777777" w:rsidR="00E625F6" w:rsidRDefault="00E625F6" w:rsidP="00211184">
      <w:pPr>
        <w:spacing w:after="0" w:line="240" w:lineRule="auto"/>
      </w:pPr>
      <w:r>
        <w:separator/>
      </w:r>
    </w:p>
  </w:footnote>
  <w:footnote w:type="continuationSeparator" w:id="0">
    <w:p w14:paraId="294E1232" w14:textId="77777777" w:rsidR="00E625F6" w:rsidRDefault="00E625F6" w:rsidP="002111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59ADF3" w14:textId="77777777" w:rsidR="0010798A" w:rsidRDefault="0010798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BDDEBE" w14:textId="77777777" w:rsidR="0010798A" w:rsidRDefault="0010798A">
    <w:pPr>
      <w:pStyle w:val="Header"/>
    </w:pPr>
  </w:p>
  <w:p w14:paraId="591703CD" w14:textId="77777777" w:rsidR="0010798A" w:rsidRDefault="001079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8"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2"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0"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5"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7"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9"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6"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9"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4"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2"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5"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7"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4"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5"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6"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7"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9"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0"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98C4D47"/>
    <w:multiLevelType w:val="hybridMultilevel"/>
    <w:tmpl w:val="9E243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2"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3"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4"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6"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7"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89674">
    <w:abstractNumId w:val="97"/>
  </w:num>
  <w:num w:numId="2" w16cid:durableId="1909918193">
    <w:abstractNumId w:val="55"/>
  </w:num>
  <w:num w:numId="3" w16cid:durableId="506097433">
    <w:abstractNumId w:val="90"/>
  </w:num>
  <w:num w:numId="4" w16cid:durableId="539977368">
    <w:abstractNumId w:val="17"/>
  </w:num>
  <w:num w:numId="5" w16cid:durableId="585579355">
    <w:abstractNumId w:val="104"/>
  </w:num>
  <w:num w:numId="6" w16cid:durableId="1950352729">
    <w:abstractNumId w:val="102"/>
  </w:num>
  <w:num w:numId="7" w16cid:durableId="526523201">
    <w:abstractNumId w:val="67"/>
  </w:num>
  <w:num w:numId="8" w16cid:durableId="762071312">
    <w:abstractNumId w:val="47"/>
  </w:num>
  <w:num w:numId="9" w16cid:durableId="2080319617">
    <w:abstractNumId w:val="13"/>
  </w:num>
  <w:num w:numId="10" w16cid:durableId="1486123378">
    <w:abstractNumId w:val="93"/>
  </w:num>
  <w:num w:numId="11" w16cid:durableId="209344903">
    <w:abstractNumId w:val="66"/>
  </w:num>
  <w:num w:numId="12" w16cid:durableId="635523880">
    <w:abstractNumId w:val="69"/>
  </w:num>
  <w:num w:numId="13" w16cid:durableId="332101739">
    <w:abstractNumId w:val="45"/>
  </w:num>
  <w:num w:numId="14" w16cid:durableId="1591280554">
    <w:abstractNumId w:val="10"/>
  </w:num>
  <w:num w:numId="15" w16cid:durableId="1990134490">
    <w:abstractNumId w:val="99"/>
  </w:num>
  <w:num w:numId="16" w16cid:durableId="1106922343">
    <w:abstractNumId w:val="83"/>
  </w:num>
  <w:num w:numId="17" w16cid:durableId="1122959831">
    <w:abstractNumId w:val="31"/>
  </w:num>
  <w:num w:numId="18" w16cid:durableId="1814248945">
    <w:abstractNumId w:val="7"/>
  </w:num>
  <w:num w:numId="19" w16cid:durableId="732168407">
    <w:abstractNumId w:val="2"/>
  </w:num>
  <w:num w:numId="20" w16cid:durableId="188572944">
    <w:abstractNumId w:val="59"/>
  </w:num>
  <w:num w:numId="21" w16cid:durableId="444692197">
    <w:abstractNumId w:val="9"/>
  </w:num>
  <w:num w:numId="22" w16cid:durableId="796529686">
    <w:abstractNumId w:val="105"/>
  </w:num>
  <w:num w:numId="23" w16cid:durableId="6256868">
    <w:abstractNumId w:val="8"/>
  </w:num>
  <w:num w:numId="24" w16cid:durableId="174154556">
    <w:abstractNumId w:val="89"/>
  </w:num>
  <w:num w:numId="25" w16cid:durableId="157695572">
    <w:abstractNumId w:val="20"/>
  </w:num>
  <w:num w:numId="26" w16cid:durableId="1088428089">
    <w:abstractNumId w:val="95"/>
  </w:num>
  <w:num w:numId="27" w16cid:durableId="677468232">
    <w:abstractNumId w:val="4"/>
  </w:num>
  <w:num w:numId="28" w16cid:durableId="191573270">
    <w:abstractNumId w:val="82"/>
  </w:num>
  <w:num w:numId="29" w16cid:durableId="1030569626">
    <w:abstractNumId w:val="70"/>
  </w:num>
  <w:num w:numId="30" w16cid:durableId="1228491789">
    <w:abstractNumId w:val="74"/>
  </w:num>
  <w:num w:numId="31" w16cid:durableId="1389258700">
    <w:abstractNumId w:val="15"/>
  </w:num>
  <w:num w:numId="32" w16cid:durableId="150680850">
    <w:abstractNumId w:val="44"/>
  </w:num>
  <w:num w:numId="33" w16cid:durableId="1545751662">
    <w:abstractNumId w:val="23"/>
  </w:num>
  <w:num w:numId="34" w16cid:durableId="1336422226">
    <w:abstractNumId w:val="53"/>
  </w:num>
  <w:num w:numId="35" w16cid:durableId="1393505347">
    <w:abstractNumId w:val="57"/>
  </w:num>
  <w:num w:numId="36" w16cid:durableId="388571946">
    <w:abstractNumId w:val="50"/>
  </w:num>
  <w:num w:numId="37" w16cid:durableId="1158111099">
    <w:abstractNumId w:val="37"/>
  </w:num>
  <w:num w:numId="38" w16cid:durableId="990674419">
    <w:abstractNumId w:val="62"/>
  </w:num>
  <w:num w:numId="39" w16cid:durableId="1962572399">
    <w:abstractNumId w:val="73"/>
  </w:num>
  <w:num w:numId="40" w16cid:durableId="741828344">
    <w:abstractNumId w:val="58"/>
  </w:num>
  <w:num w:numId="41" w16cid:durableId="375158820">
    <w:abstractNumId w:val="106"/>
  </w:num>
  <w:num w:numId="42" w16cid:durableId="1302420764">
    <w:abstractNumId w:val="5"/>
  </w:num>
  <w:num w:numId="43" w16cid:durableId="1984381649">
    <w:abstractNumId w:val="22"/>
  </w:num>
  <w:num w:numId="44" w16cid:durableId="1522813556">
    <w:abstractNumId w:val="84"/>
  </w:num>
  <w:num w:numId="45" w16cid:durableId="1806728970">
    <w:abstractNumId w:val="54"/>
  </w:num>
  <w:num w:numId="46" w16cid:durableId="461920278">
    <w:abstractNumId w:val="71"/>
  </w:num>
  <w:num w:numId="47" w16cid:durableId="701249418">
    <w:abstractNumId w:val="38"/>
  </w:num>
  <w:num w:numId="48" w16cid:durableId="129131850">
    <w:abstractNumId w:val="12"/>
  </w:num>
  <w:num w:numId="49" w16cid:durableId="985477618">
    <w:abstractNumId w:val="77"/>
  </w:num>
  <w:num w:numId="50" w16cid:durableId="1009137472">
    <w:abstractNumId w:val="25"/>
  </w:num>
  <w:num w:numId="51" w16cid:durableId="2092048165">
    <w:abstractNumId w:val="72"/>
  </w:num>
  <w:num w:numId="52" w16cid:durableId="78455204">
    <w:abstractNumId w:val="30"/>
  </w:num>
  <w:num w:numId="53" w16cid:durableId="1632905172">
    <w:abstractNumId w:val="75"/>
  </w:num>
  <w:num w:numId="54" w16cid:durableId="795758900">
    <w:abstractNumId w:val="96"/>
  </w:num>
  <w:num w:numId="55" w16cid:durableId="1081637619">
    <w:abstractNumId w:val="103"/>
  </w:num>
  <w:num w:numId="56" w16cid:durableId="925530751">
    <w:abstractNumId w:val="91"/>
  </w:num>
  <w:num w:numId="57" w16cid:durableId="1445416655">
    <w:abstractNumId w:val="46"/>
  </w:num>
  <w:num w:numId="58" w16cid:durableId="754277767">
    <w:abstractNumId w:val="56"/>
  </w:num>
  <w:num w:numId="59" w16cid:durableId="1273588896">
    <w:abstractNumId w:val="1"/>
  </w:num>
  <w:num w:numId="60" w16cid:durableId="657267034">
    <w:abstractNumId w:val="14"/>
  </w:num>
  <w:num w:numId="61" w16cid:durableId="1010571707">
    <w:abstractNumId w:val="49"/>
  </w:num>
  <w:num w:numId="62" w16cid:durableId="1380591070">
    <w:abstractNumId w:val="21"/>
  </w:num>
  <w:num w:numId="63" w16cid:durableId="2088727156">
    <w:abstractNumId w:val="78"/>
  </w:num>
  <w:num w:numId="64" w16cid:durableId="580717556">
    <w:abstractNumId w:val="27"/>
  </w:num>
  <w:num w:numId="65" w16cid:durableId="1274559518">
    <w:abstractNumId w:val="61"/>
  </w:num>
  <w:num w:numId="66" w16cid:durableId="1965965051">
    <w:abstractNumId w:val="34"/>
  </w:num>
  <w:num w:numId="67" w16cid:durableId="30880238">
    <w:abstractNumId w:val="65"/>
  </w:num>
  <w:num w:numId="68" w16cid:durableId="491877975">
    <w:abstractNumId w:val="35"/>
  </w:num>
  <w:num w:numId="69" w16cid:durableId="511914563">
    <w:abstractNumId w:val="63"/>
  </w:num>
  <w:num w:numId="70" w16cid:durableId="534512493">
    <w:abstractNumId w:val="6"/>
  </w:num>
  <w:num w:numId="71" w16cid:durableId="559561609">
    <w:abstractNumId w:val="41"/>
  </w:num>
  <w:num w:numId="72" w16cid:durableId="1311788933">
    <w:abstractNumId w:val="36"/>
  </w:num>
  <w:num w:numId="73" w16cid:durableId="720327416">
    <w:abstractNumId w:val="11"/>
  </w:num>
  <w:num w:numId="74" w16cid:durableId="954949529">
    <w:abstractNumId w:val="48"/>
  </w:num>
  <w:num w:numId="75" w16cid:durableId="1156532514">
    <w:abstractNumId w:val="86"/>
  </w:num>
  <w:num w:numId="76" w16cid:durableId="1499735446">
    <w:abstractNumId w:val="39"/>
  </w:num>
  <w:num w:numId="77" w16cid:durableId="1363554397">
    <w:abstractNumId w:val="81"/>
  </w:num>
  <w:num w:numId="78" w16cid:durableId="1983806645">
    <w:abstractNumId w:val="98"/>
  </w:num>
  <w:num w:numId="79" w16cid:durableId="386926195">
    <w:abstractNumId w:val="92"/>
  </w:num>
  <w:num w:numId="80" w16cid:durableId="2120879319">
    <w:abstractNumId w:val="29"/>
  </w:num>
  <w:num w:numId="81" w16cid:durableId="80762507">
    <w:abstractNumId w:val="68"/>
  </w:num>
  <w:num w:numId="82" w16cid:durableId="313527753">
    <w:abstractNumId w:val="80"/>
  </w:num>
  <w:num w:numId="83" w16cid:durableId="214702760">
    <w:abstractNumId w:val="19"/>
  </w:num>
  <w:num w:numId="84" w16cid:durableId="741489214">
    <w:abstractNumId w:val="28"/>
  </w:num>
  <w:num w:numId="85" w16cid:durableId="709378784">
    <w:abstractNumId w:val="43"/>
  </w:num>
  <w:num w:numId="86" w16cid:durableId="1142045031">
    <w:abstractNumId w:val="32"/>
  </w:num>
  <w:num w:numId="87" w16cid:durableId="1874951239">
    <w:abstractNumId w:val="87"/>
  </w:num>
  <w:num w:numId="88" w16cid:durableId="2093432363">
    <w:abstractNumId w:val="42"/>
  </w:num>
  <w:num w:numId="89" w16cid:durableId="745415088">
    <w:abstractNumId w:val="24"/>
  </w:num>
  <w:num w:numId="90" w16cid:durableId="827476887">
    <w:abstractNumId w:val="51"/>
  </w:num>
  <w:num w:numId="91" w16cid:durableId="1467236081">
    <w:abstractNumId w:val="64"/>
  </w:num>
  <w:num w:numId="92" w16cid:durableId="20791763">
    <w:abstractNumId w:val="76"/>
  </w:num>
  <w:num w:numId="93" w16cid:durableId="334113444">
    <w:abstractNumId w:val="33"/>
  </w:num>
  <w:num w:numId="94" w16cid:durableId="490295609">
    <w:abstractNumId w:val="16"/>
  </w:num>
  <w:num w:numId="95" w16cid:durableId="1730110696">
    <w:abstractNumId w:val="60"/>
  </w:num>
  <w:num w:numId="96" w16cid:durableId="715393770">
    <w:abstractNumId w:val="3"/>
  </w:num>
  <w:num w:numId="97" w16cid:durableId="1360740883">
    <w:abstractNumId w:val="79"/>
  </w:num>
  <w:num w:numId="98" w16cid:durableId="75595052">
    <w:abstractNumId w:val="0"/>
  </w:num>
  <w:num w:numId="99" w16cid:durableId="1014697204">
    <w:abstractNumId w:val="18"/>
  </w:num>
  <w:num w:numId="100" w16cid:durableId="1611475369">
    <w:abstractNumId w:val="52"/>
  </w:num>
  <w:num w:numId="101" w16cid:durableId="1724334188">
    <w:abstractNumId w:val="40"/>
  </w:num>
  <w:num w:numId="102" w16cid:durableId="1392802009">
    <w:abstractNumId w:val="85"/>
  </w:num>
  <w:num w:numId="103" w16cid:durableId="1363628550">
    <w:abstractNumId w:val="107"/>
  </w:num>
  <w:num w:numId="104" w16cid:durableId="216743201">
    <w:abstractNumId w:val="100"/>
  </w:num>
  <w:num w:numId="105" w16cid:durableId="2103723903">
    <w:abstractNumId w:val="88"/>
  </w:num>
  <w:num w:numId="106" w16cid:durableId="2005235849">
    <w:abstractNumId w:val="94"/>
  </w:num>
  <w:num w:numId="107" w16cid:durableId="2027947756">
    <w:abstractNumId w:val="26"/>
  </w:num>
  <w:num w:numId="108" w16cid:durableId="1598828492">
    <w:abstractNumId w:val="101"/>
  </w:num>
  <w:numIdMacAtCleanup w:val="10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64A2"/>
    <w:rsid w:val="000400E4"/>
    <w:rsid w:val="00042579"/>
    <w:rsid w:val="00045CDD"/>
    <w:rsid w:val="000522DC"/>
    <w:rsid w:val="00063B4C"/>
    <w:rsid w:val="00080575"/>
    <w:rsid w:val="00092712"/>
    <w:rsid w:val="000D05D8"/>
    <w:rsid w:val="000D0641"/>
    <w:rsid w:val="000D2B00"/>
    <w:rsid w:val="000E5493"/>
    <w:rsid w:val="000F437B"/>
    <w:rsid w:val="0010798A"/>
    <w:rsid w:val="0011453E"/>
    <w:rsid w:val="00116023"/>
    <w:rsid w:val="001232E4"/>
    <w:rsid w:val="001326B1"/>
    <w:rsid w:val="001377FE"/>
    <w:rsid w:val="00142A15"/>
    <w:rsid w:val="00147452"/>
    <w:rsid w:val="001500DC"/>
    <w:rsid w:val="00151A13"/>
    <w:rsid w:val="001601E6"/>
    <w:rsid w:val="00176992"/>
    <w:rsid w:val="00182524"/>
    <w:rsid w:val="001C3AF6"/>
    <w:rsid w:val="001D1485"/>
    <w:rsid w:val="001D1954"/>
    <w:rsid w:val="001F19A6"/>
    <w:rsid w:val="001F2B91"/>
    <w:rsid w:val="001F32DB"/>
    <w:rsid w:val="001F7B69"/>
    <w:rsid w:val="00200799"/>
    <w:rsid w:val="00206DE5"/>
    <w:rsid w:val="00211184"/>
    <w:rsid w:val="0021364B"/>
    <w:rsid w:val="00223AF1"/>
    <w:rsid w:val="0025020C"/>
    <w:rsid w:val="00256951"/>
    <w:rsid w:val="002639FA"/>
    <w:rsid w:val="00274A6C"/>
    <w:rsid w:val="00282382"/>
    <w:rsid w:val="002865F5"/>
    <w:rsid w:val="00292A36"/>
    <w:rsid w:val="002A1702"/>
    <w:rsid w:val="002C657F"/>
    <w:rsid w:val="002D64A3"/>
    <w:rsid w:val="002D64ED"/>
    <w:rsid w:val="002F386A"/>
    <w:rsid w:val="002F432B"/>
    <w:rsid w:val="002F5E53"/>
    <w:rsid w:val="00312A5A"/>
    <w:rsid w:val="003135AD"/>
    <w:rsid w:val="003776CC"/>
    <w:rsid w:val="00387E33"/>
    <w:rsid w:val="00393F39"/>
    <w:rsid w:val="003A66FD"/>
    <w:rsid w:val="003B1E32"/>
    <w:rsid w:val="003B25FF"/>
    <w:rsid w:val="003B56F5"/>
    <w:rsid w:val="003C0F91"/>
    <w:rsid w:val="003E2DBA"/>
    <w:rsid w:val="00407EB3"/>
    <w:rsid w:val="00422144"/>
    <w:rsid w:val="004463E6"/>
    <w:rsid w:val="00446DBE"/>
    <w:rsid w:val="004512EF"/>
    <w:rsid w:val="004620D2"/>
    <w:rsid w:val="00463854"/>
    <w:rsid w:val="004B20FC"/>
    <w:rsid w:val="004D4021"/>
    <w:rsid w:val="004E5088"/>
    <w:rsid w:val="005119DE"/>
    <w:rsid w:val="005216D9"/>
    <w:rsid w:val="00533397"/>
    <w:rsid w:val="00543B6A"/>
    <w:rsid w:val="005446BF"/>
    <w:rsid w:val="00550193"/>
    <w:rsid w:val="0055147E"/>
    <w:rsid w:val="00553FC1"/>
    <w:rsid w:val="005B3EDE"/>
    <w:rsid w:val="005B6E67"/>
    <w:rsid w:val="005C5E80"/>
    <w:rsid w:val="005D7A1E"/>
    <w:rsid w:val="005E12B7"/>
    <w:rsid w:val="005E1650"/>
    <w:rsid w:val="005F0B55"/>
    <w:rsid w:val="005F78FB"/>
    <w:rsid w:val="00604A87"/>
    <w:rsid w:val="00621776"/>
    <w:rsid w:val="00621872"/>
    <w:rsid w:val="00625F7A"/>
    <w:rsid w:val="00627F84"/>
    <w:rsid w:val="00636D9A"/>
    <w:rsid w:val="00640720"/>
    <w:rsid w:val="006438E9"/>
    <w:rsid w:val="00664047"/>
    <w:rsid w:val="00673804"/>
    <w:rsid w:val="00692DA1"/>
    <w:rsid w:val="006A2A0D"/>
    <w:rsid w:val="006A3F0D"/>
    <w:rsid w:val="006A4515"/>
    <w:rsid w:val="006B2A5C"/>
    <w:rsid w:val="006C78AA"/>
    <w:rsid w:val="006D53B7"/>
    <w:rsid w:val="006F04D4"/>
    <w:rsid w:val="006F4AB2"/>
    <w:rsid w:val="006F50DC"/>
    <w:rsid w:val="00705FBB"/>
    <w:rsid w:val="007063BA"/>
    <w:rsid w:val="00723544"/>
    <w:rsid w:val="00730C3C"/>
    <w:rsid w:val="0073280B"/>
    <w:rsid w:val="00732E1C"/>
    <w:rsid w:val="007336EE"/>
    <w:rsid w:val="007502B3"/>
    <w:rsid w:val="00750B5B"/>
    <w:rsid w:val="007638E3"/>
    <w:rsid w:val="0077163A"/>
    <w:rsid w:val="00777900"/>
    <w:rsid w:val="007853A0"/>
    <w:rsid w:val="00785752"/>
    <w:rsid w:val="00786A07"/>
    <w:rsid w:val="007A59C8"/>
    <w:rsid w:val="007A712E"/>
    <w:rsid w:val="007C246B"/>
    <w:rsid w:val="007C685B"/>
    <w:rsid w:val="007E1BD9"/>
    <w:rsid w:val="007E534E"/>
    <w:rsid w:val="007F7847"/>
    <w:rsid w:val="00800408"/>
    <w:rsid w:val="008040F3"/>
    <w:rsid w:val="00804B94"/>
    <w:rsid w:val="00807B11"/>
    <w:rsid w:val="00811A7A"/>
    <w:rsid w:val="00813F71"/>
    <w:rsid w:val="008213E5"/>
    <w:rsid w:val="0082760D"/>
    <w:rsid w:val="00855A02"/>
    <w:rsid w:val="00880B2D"/>
    <w:rsid w:val="00883AB0"/>
    <w:rsid w:val="00894108"/>
    <w:rsid w:val="008A2116"/>
    <w:rsid w:val="008B1B21"/>
    <w:rsid w:val="008B1DFA"/>
    <w:rsid w:val="008C38C3"/>
    <w:rsid w:val="008D126F"/>
    <w:rsid w:val="008D127B"/>
    <w:rsid w:val="008D6F0F"/>
    <w:rsid w:val="008E55C5"/>
    <w:rsid w:val="008E7B2E"/>
    <w:rsid w:val="00903D5B"/>
    <w:rsid w:val="00916814"/>
    <w:rsid w:val="00921F93"/>
    <w:rsid w:val="00932105"/>
    <w:rsid w:val="009619E4"/>
    <w:rsid w:val="00977B4A"/>
    <w:rsid w:val="00981FC1"/>
    <w:rsid w:val="00986E53"/>
    <w:rsid w:val="00995444"/>
    <w:rsid w:val="009B3370"/>
    <w:rsid w:val="009C0393"/>
    <w:rsid w:val="009D06C5"/>
    <w:rsid w:val="009D534C"/>
    <w:rsid w:val="009D728C"/>
    <w:rsid w:val="009E4DD9"/>
    <w:rsid w:val="009E5B14"/>
    <w:rsid w:val="00A00D84"/>
    <w:rsid w:val="00A77835"/>
    <w:rsid w:val="00A81B8B"/>
    <w:rsid w:val="00A903D3"/>
    <w:rsid w:val="00A90A7A"/>
    <w:rsid w:val="00AA437C"/>
    <w:rsid w:val="00AA63FF"/>
    <w:rsid w:val="00AB78F0"/>
    <w:rsid w:val="00AC01F9"/>
    <w:rsid w:val="00AC39F7"/>
    <w:rsid w:val="00AE0BB5"/>
    <w:rsid w:val="00B01396"/>
    <w:rsid w:val="00B122E4"/>
    <w:rsid w:val="00B2418B"/>
    <w:rsid w:val="00B2640C"/>
    <w:rsid w:val="00B26973"/>
    <w:rsid w:val="00B4317E"/>
    <w:rsid w:val="00B575E2"/>
    <w:rsid w:val="00B7073C"/>
    <w:rsid w:val="00B858A1"/>
    <w:rsid w:val="00B956B3"/>
    <w:rsid w:val="00BB65AC"/>
    <w:rsid w:val="00BD2909"/>
    <w:rsid w:val="00BE17DE"/>
    <w:rsid w:val="00BE755B"/>
    <w:rsid w:val="00C1078D"/>
    <w:rsid w:val="00C142E3"/>
    <w:rsid w:val="00C17A49"/>
    <w:rsid w:val="00C42324"/>
    <w:rsid w:val="00C443C3"/>
    <w:rsid w:val="00C54EE8"/>
    <w:rsid w:val="00C773EE"/>
    <w:rsid w:val="00C80D0C"/>
    <w:rsid w:val="00C91479"/>
    <w:rsid w:val="00C92775"/>
    <w:rsid w:val="00CB3AF6"/>
    <w:rsid w:val="00CB3C13"/>
    <w:rsid w:val="00CE0718"/>
    <w:rsid w:val="00CE10E4"/>
    <w:rsid w:val="00CE3FD1"/>
    <w:rsid w:val="00CE55A9"/>
    <w:rsid w:val="00CE620E"/>
    <w:rsid w:val="00CF1ED5"/>
    <w:rsid w:val="00D02F34"/>
    <w:rsid w:val="00D13A82"/>
    <w:rsid w:val="00D13DB7"/>
    <w:rsid w:val="00D15727"/>
    <w:rsid w:val="00D232D3"/>
    <w:rsid w:val="00D41129"/>
    <w:rsid w:val="00D53576"/>
    <w:rsid w:val="00D57587"/>
    <w:rsid w:val="00D602DA"/>
    <w:rsid w:val="00D81F3B"/>
    <w:rsid w:val="00DB71AC"/>
    <w:rsid w:val="00DB7F42"/>
    <w:rsid w:val="00DC00D1"/>
    <w:rsid w:val="00DC1375"/>
    <w:rsid w:val="00DC30BF"/>
    <w:rsid w:val="00DC79B2"/>
    <w:rsid w:val="00DD02A4"/>
    <w:rsid w:val="00DD6E89"/>
    <w:rsid w:val="00DE1A02"/>
    <w:rsid w:val="00E04FB8"/>
    <w:rsid w:val="00E05C6C"/>
    <w:rsid w:val="00E157E1"/>
    <w:rsid w:val="00E2182C"/>
    <w:rsid w:val="00E325CF"/>
    <w:rsid w:val="00E40B0D"/>
    <w:rsid w:val="00E41D24"/>
    <w:rsid w:val="00E56E66"/>
    <w:rsid w:val="00E625F6"/>
    <w:rsid w:val="00E65AF0"/>
    <w:rsid w:val="00E71420"/>
    <w:rsid w:val="00E72B0C"/>
    <w:rsid w:val="00E833CE"/>
    <w:rsid w:val="00E94DA0"/>
    <w:rsid w:val="00EA5CC3"/>
    <w:rsid w:val="00EB3C2A"/>
    <w:rsid w:val="00EF6341"/>
    <w:rsid w:val="00F0560A"/>
    <w:rsid w:val="00F12451"/>
    <w:rsid w:val="00F158D7"/>
    <w:rsid w:val="00F20EE5"/>
    <w:rsid w:val="00F312F7"/>
    <w:rsid w:val="00F44833"/>
    <w:rsid w:val="00F544B0"/>
    <w:rsid w:val="00F67C87"/>
    <w:rsid w:val="00F812D3"/>
    <w:rsid w:val="00F84C23"/>
    <w:rsid w:val="00FC276B"/>
    <w:rsid w:val="00FD3DE0"/>
    <w:rsid w:val="00FD7729"/>
    <w:rsid w:val="00FD7C22"/>
    <w:rsid w:val="00FE5C58"/>
    <w:rsid w:val="00FF504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7502B3"/>
    <w:pPr>
      <w:widowControl w:val="0"/>
      <w:autoSpaceDE w:val="0"/>
      <w:autoSpaceDN w:val="0"/>
      <w:spacing w:after="24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paragraph"/>
    <w:next w:val="Normal"/>
    <w:link w:val="Heading2Char"/>
    <w:uiPriority w:val="9"/>
    <w:unhideWhenUsed/>
    <w:qFormat/>
    <w:rsid w:val="00AE0BB5"/>
    <w:pPr>
      <w:spacing w:before="0" w:beforeAutospacing="0" w:after="240" w:afterAutospacing="0" w:line="360" w:lineRule="auto"/>
      <w:textAlignment w:val="baseline"/>
      <w:outlineLvl w:val="1"/>
    </w:pPr>
    <w:rPr>
      <w:rFonts w:ascii="Aptos" w:hAnsi="Aptos" w:cs="Arial"/>
      <w:color w:val="0F4761"/>
    </w:rPr>
  </w:style>
  <w:style w:type="paragraph" w:styleId="Heading3">
    <w:name w:val="heading 3"/>
    <w:basedOn w:val="Heading4"/>
    <w:next w:val="Normal"/>
    <w:link w:val="Heading3Char"/>
    <w:uiPriority w:val="9"/>
    <w:unhideWhenUsed/>
    <w:qFormat/>
    <w:rsid w:val="00705FBB"/>
    <w:pPr>
      <w:spacing w:before="0" w:after="240"/>
      <w:outlineLvl w:val="2"/>
    </w:pPr>
    <w:rPr>
      <w:rFonts w:ascii="Aptos" w:hAnsi="Aptos"/>
      <w:sz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7502B3"/>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AE0BB5"/>
    <w:rPr>
      <w:rFonts w:ascii="Aptos" w:eastAsia="Times New Roman" w:hAnsi="Aptos" w:cs="Arial"/>
      <w:color w:val="0F4761"/>
      <w:kern w:val="0"/>
      <w:sz w:val="24"/>
      <w:szCs w:val="24"/>
      <w14:ligatures w14:val="none"/>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705FBB"/>
    <w:rPr>
      <w:rFonts w:ascii="Aptos" w:eastAsiaTheme="majorEastAsia" w:hAnsi="Aptos" w:cstheme="majorBidi"/>
      <w:i/>
      <w:iCs/>
      <w:color w:val="2F5496" w:themeColor="accent1" w:themeShade="BF"/>
      <w:sz w:val="24"/>
    </w:rPr>
  </w:style>
  <w:style w:type="paragraph" w:styleId="Caption">
    <w:name w:val="caption"/>
    <w:basedOn w:val="Normal"/>
    <w:next w:val="Normal"/>
    <w:uiPriority w:val="35"/>
    <w:unhideWhenUsed/>
    <w:qFormat/>
    <w:rsid w:val="00F312F7"/>
    <w:pPr>
      <w:spacing w:after="200" w:line="240" w:lineRule="auto"/>
      <w:jc w:val="left"/>
    </w:pPr>
    <w:rPr>
      <w:rFonts w:ascii="Times New Roman" w:eastAsiaTheme="minorHAnsi" w:hAnsi="Times New Roman"/>
      <w:i/>
      <w:iCs/>
      <w:color w:val="44546A" w:themeColor="text2"/>
      <w:kern w:val="0"/>
      <w:sz w:val="18"/>
      <w:szCs w:val="18"/>
      <w:lang w:eastAsia="en-US"/>
      <w14:ligatures w14:val="none"/>
    </w:rPr>
  </w:style>
  <w:style w:type="paragraph" w:styleId="TOCHeading">
    <w:name w:val="TOC Heading"/>
    <w:basedOn w:val="Heading1"/>
    <w:next w:val="Normal"/>
    <w:uiPriority w:val="39"/>
    <w:unhideWhenUsed/>
    <w:qFormat/>
    <w:rsid w:val="00D232D3"/>
    <w:pPr>
      <w:keepNext/>
      <w:keepLines/>
      <w:widowControl/>
      <w:autoSpaceDE/>
      <w:autoSpaceDN/>
      <w:spacing w:before="240" w:after="0" w:line="259" w:lineRule="auto"/>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D232D3"/>
    <w:pPr>
      <w:spacing w:after="100"/>
    </w:pPr>
  </w:style>
  <w:style w:type="paragraph" w:styleId="TOC2">
    <w:name w:val="toc 2"/>
    <w:basedOn w:val="Normal"/>
    <w:next w:val="Normal"/>
    <w:autoRedefine/>
    <w:uiPriority w:val="39"/>
    <w:unhideWhenUsed/>
    <w:rsid w:val="00D232D3"/>
    <w:pPr>
      <w:spacing w:after="100"/>
      <w:ind w:left="220"/>
    </w:pPr>
  </w:style>
  <w:style w:type="paragraph" w:styleId="TOC3">
    <w:name w:val="toc 3"/>
    <w:basedOn w:val="Normal"/>
    <w:next w:val="Normal"/>
    <w:autoRedefine/>
    <w:uiPriority w:val="39"/>
    <w:unhideWhenUsed/>
    <w:rsid w:val="00D232D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gif"/><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B8FE10-A211-42D5-94C8-4D09121AC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1602</TotalTime>
  <Pages>30</Pages>
  <Words>7212</Words>
  <Characters>41112</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Naznin Mahmood (2215438)</cp:lastModifiedBy>
  <cp:revision>6</cp:revision>
  <cp:lastPrinted>2026-06-09T16:43:00Z</cp:lastPrinted>
  <dcterms:created xsi:type="dcterms:W3CDTF">2026-06-17T17:07:00Z</dcterms:created>
  <dcterms:modified xsi:type="dcterms:W3CDTF">2026-06-18T19:47:00Z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d0641f5f-3306-4ace-b56e-97b26a9d0f38</vt:lpwstr>
  </property>
</Properties>
</file>