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729BC" w14:textId="77777777" w:rsidR="002E45D8" w:rsidRDefault="002E45D8" w:rsidP="002E45D8">
      <w:pPr>
        <w:jc w:val="center"/>
        <w:rPr>
          <w:rFonts w:eastAsia="Times New Roman" w:cs="Times New Roman"/>
          <w:b/>
          <w:sz w:val="32"/>
          <w:szCs w:val="32"/>
        </w:rPr>
      </w:pPr>
    </w:p>
    <w:p w14:paraId="3058F6E7" w14:textId="77777777" w:rsidR="002E45D8" w:rsidRDefault="002E45D8" w:rsidP="002E45D8">
      <w:pPr>
        <w:jc w:val="center"/>
        <w:rPr>
          <w:rFonts w:eastAsia="Times New Roman" w:cs="Times New Roman"/>
          <w:b/>
          <w:sz w:val="32"/>
          <w:szCs w:val="32"/>
        </w:rPr>
      </w:pPr>
    </w:p>
    <w:p w14:paraId="6004BB15" w14:textId="09770561" w:rsidR="002E45D8" w:rsidRDefault="00A61981" w:rsidP="00A61981">
      <w:pPr>
        <w:jc w:val="center"/>
        <w:rPr>
          <w:rFonts w:eastAsia="Times New Roman" w:cs="Times New Roman"/>
          <w:b/>
          <w:sz w:val="32"/>
          <w:szCs w:val="32"/>
        </w:rPr>
      </w:pPr>
      <w:r>
        <w:rPr>
          <w:rFonts w:eastAsia="Times New Roman" w:cs="Times New Roman"/>
          <w:b/>
          <w:sz w:val="32"/>
          <w:szCs w:val="32"/>
        </w:rPr>
        <w:t>A</w:t>
      </w:r>
    </w:p>
    <w:p w14:paraId="061642CC" w14:textId="5EF7FB69" w:rsidR="00A61981" w:rsidRDefault="00A61981" w:rsidP="00A61981">
      <w:pPr>
        <w:jc w:val="center"/>
        <w:rPr>
          <w:rFonts w:eastAsia="Times New Roman" w:cs="Times New Roman"/>
          <w:b/>
          <w:sz w:val="32"/>
          <w:szCs w:val="32"/>
        </w:rPr>
      </w:pPr>
      <w:r>
        <w:rPr>
          <w:rFonts w:eastAsia="Times New Roman" w:cs="Times New Roman"/>
          <w:b/>
          <w:sz w:val="32"/>
          <w:szCs w:val="32"/>
        </w:rPr>
        <w:t>REPORT</w:t>
      </w:r>
    </w:p>
    <w:p w14:paraId="21253623" w14:textId="4980CA93" w:rsidR="00A61981" w:rsidRDefault="00A61981" w:rsidP="00A61981">
      <w:pPr>
        <w:jc w:val="center"/>
        <w:rPr>
          <w:rFonts w:eastAsia="Times New Roman" w:cs="Times New Roman"/>
          <w:b/>
          <w:sz w:val="32"/>
          <w:szCs w:val="32"/>
        </w:rPr>
      </w:pPr>
    </w:p>
    <w:p w14:paraId="2C7746EA" w14:textId="77777777" w:rsidR="002E45D8" w:rsidRDefault="002E45D8" w:rsidP="00A61981">
      <w:pPr>
        <w:rPr>
          <w:rFonts w:eastAsia="Times New Roman" w:cs="Times New Roman"/>
          <w:b/>
          <w:sz w:val="32"/>
          <w:szCs w:val="32"/>
        </w:rPr>
      </w:pPr>
    </w:p>
    <w:p w14:paraId="76E85133" w14:textId="77777777" w:rsidR="002E45D8" w:rsidRDefault="002E45D8" w:rsidP="002E45D8">
      <w:pPr>
        <w:jc w:val="center"/>
        <w:rPr>
          <w:rFonts w:eastAsia="Times New Roman" w:cs="Times New Roman"/>
          <w:b/>
          <w:sz w:val="32"/>
          <w:szCs w:val="32"/>
        </w:rPr>
      </w:pPr>
    </w:p>
    <w:p w14:paraId="00B41D97" w14:textId="77777777" w:rsidR="00A61981" w:rsidRDefault="002E45D8" w:rsidP="002E45D8">
      <w:pPr>
        <w:jc w:val="center"/>
        <w:rPr>
          <w:rFonts w:eastAsia="Times New Roman" w:cs="Times New Roman"/>
          <w:b/>
          <w:sz w:val="32"/>
          <w:szCs w:val="32"/>
        </w:rPr>
      </w:pPr>
      <w:r w:rsidRPr="002E45D8">
        <w:rPr>
          <w:rFonts w:eastAsia="Times New Roman" w:cs="Times New Roman"/>
          <w:b/>
          <w:sz w:val="32"/>
          <w:szCs w:val="32"/>
        </w:rPr>
        <w:t>HUMAN RESOURCE MANAGEMENT</w:t>
      </w:r>
    </w:p>
    <w:p w14:paraId="77196077" w14:textId="77777777" w:rsidR="00A61981" w:rsidRDefault="00A61981" w:rsidP="002E45D8">
      <w:pPr>
        <w:jc w:val="center"/>
        <w:rPr>
          <w:rFonts w:eastAsia="Times New Roman" w:cs="Times New Roman"/>
          <w:b/>
          <w:sz w:val="32"/>
          <w:szCs w:val="32"/>
        </w:rPr>
      </w:pPr>
      <w:r>
        <w:rPr>
          <w:rFonts w:eastAsia="Times New Roman" w:cs="Times New Roman"/>
          <w:b/>
          <w:sz w:val="32"/>
          <w:szCs w:val="32"/>
        </w:rPr>
        <w:t>LCMB7000</w:t>
      </w:r>
    </w:p>
    <w:p w14:paraId="63A4E425" w14:textId="77777777" w:rsidR="00A61981" w:rsidRDefault="00A61981" w:rsidP="002E45D8">
      <w:pPr>
        <w:jc w:val="center"/>
        <w:rPr>
          <w:rFonts w:eastAsia="Times New Roman" w:cs="Times New Roman"/>
          <w:b/>
          <w:sz w:val="32"/>
          <w:szCs w:val="32"/>
        </w:rPr>
      </w:pPr>
    </w:p>
    <w:p w14:paraId="421EDEDA" w14:textId="77777777" w:rsidR="00A61981" w:rsidRDefault="00A61981" w:rsidP="002E45D8">
      <w:pPr>
        <w:jc w:val="center"/>
        <w:rPr>
          <w:rFonts w:eastAsia="Times New Roman" w:cs="Times New Roman"/>
          <w:b/>
          <w:sz w:val="32"/>
          <w:szCs w:val="32"/>
        </w:rPr>
      </w:pPr>
    </w:p>
    <w:p w14:paraId="5296057C" w14:textId="77777777" w:rsidR="00A61981" w:rsidRPr="00A61981" w:rsidRDefault="00A61981" w:rsidP="002E45D8">
      <w:pPr>
        <w:jc w:val="center"/>
        <w:rPr>
          <w:rFonts w:eastAsia="Times New Roman" w:cs="Times New Roman"/>
          <w:b/>
          <w:sz w:val="28"/>
          <w:szCs w:val="28"/>
        </w:rPr>
      </w:pPr>
      <w:r w:rsidRPr="00A61981">
        <w:rPr>
          <w:rFonts w:eastAsia="Times New Roman" w:cs="Times New Roman"/>
          <w:b/>
          <w:sz w:val="28"/>
          <w:szCs w:val="28"/>
        </w:rPr>
        <w:t>SUBMITTED BY:</w:t>
      </w:r>
    </w:p>
    <w:p w14:paraId="5B751D90" w14:textId="77777777" w:rsidR="00A61981" w:rsidRPr="00A61981" w:rsidRDefault="00A61981" w:rsidP="002E45D8">
      <w:pPr>
        <w:jc w:val="center"/>
        <w:rPr>
          <w:rFonts w:eastAsia="Times New Roman" w:cs="Times New Roman"/>
          <w:b/>
          <w:sz w:val="28"/>
          <w:szCs w:val="28"/>
        </w:rPr>
      </w:pPr>
      <w:r w:rsidRPr="00A61981">
        <w:rPr>
          <w:rFonts w:eastAsia="Times New Roman" w:cs="Times New Roman"/>
          <w:b/>
          <w:sz w:val="28"/>
          <w:szCs w:val="28"/>
        </w:rPr>
        <w:t>KEVIN DABHI</w:t>
      </w:r>
    </w:p>
    <w:p w14:paraId="0013AD7E" w14:textId="77777777" w:rsidR="00A61981" w:rsidRPr="00A61981" w:rsidRDefault="00A61981" w:rsidP="002E45D8">
      <w:pPr>
        <w:jc w:val="center"/>
        <w:rPr>
          <w:rFonts w:eastAsia="Times New Roman" w:cs="Times New Roman"/>
          <w:b/>
          <w:sz w:val="28"/>
          <w:szCs w:val="28"/>
        </w:rPr>
      </w:pPr>
    </w:p>
    <w:p w14:paraId="14058AFD" w14:textId="77777777" w:rsidR="00A61981" w:rsidRPr="00A61981" w:rsidRDefault="00A61981" w:rsidP="002E45D8">
      <w:pPr>
        <w:jc w:val="center"/>
        <w:rPr>
          <w:rFonts w:eastAsia="Times New Roman" w:cs="Times New Roman"/>
          <w:b/>
          <w:sz w:val="28"/>
          <w:szCs w:val="28"/>
        </w:rPr>
      </w:pPr>
      <w:r w:rsidRPr="00A61981">
        <w:rPr>
          <w:rFonts w:eastAsia="Times New Roman" w:cs="Times New Roman"/>
          <w:b/>
          <w:sz w:val="28"/>
          <w:szCs w:val="28"/>
        </w:rPr>
        <w:t>SUBMITTED TO:</w:t>
      </w:r>
    </w:p>
    <w:p w14:paraId="6B60C993" w14:textId="7A8CDFEA" w:rsidR="002E45D8" w:rsidRPr="002E45D8" w:rsidRDefault="00A61981" w:rsidP="002E45D8">
      <w:pPr>
        <w:jc w:val="center"/>
        <w:rPr>
          <w:rFonts w:eastAsia="Times New Roman" w:cs="Times New Roman"/>
          <w:b/>
          <w:sz w:val="32"/>
          <w:szCs w:val="32"/>
        </w:rPr>
      </w:pPr>
      <w:r w:rsidRPr="00A61981">
        <w:rPr>
          <w:rFonts w:eastAsia="Times New Roman" w:cs="Times New Roman"/>
          <w:b/>
          <w:sz w:val="28"/>
          <w:szCs w:val="28"/>
        </w:rPr>
        <w:t xml:space="preserve">PROF D G PEPPLE </w:t>
      </w:r>
      <w:r w:rsidR="002E45D8" w:rsidRPr="002E45D8">
        <w:rPr>
          <w:rFonts w:eastAsia="Times New Roman" w:cs="Times New Roman"/>
          <w:b/>
          <w:sz w:val="32"/>
          <w:szCs w:val="32"/>
        </w:rPr>
        <w:br w:type="page"/>
      </w:r>
    </w:p>
    <w:sdt>
      <w:sdtPr>
        <w:rPr>
          <w:rFonts w:ascii="Times New Roman" w:eastAsia="Arial" w:hAnsi="Times New Roman" w:cs="Arial"/>
          <w:color w:val="000000" w:themeColor="text1"/>
          <w:sz w:val="24"/>
          <w:szCs w:val="22"/>
          <w:lang w:val="en-IN" w:eastAsia="en-IN"/>
        </w:rPr>
        <w:id w:val="-537666489"/>
        <w:docPartObj>
          <w:docPartGallery w:val="Table of Contents"/>
          <w:docPartUnique/>
        </w:docPartObj>
      </w:sdtPr>
      <w:sdtEndPr>
        <w:rPr>
          <w:b/>
          <w:bCs/>
          <w:noProof/>
        </w:rPr>
      </w:sdtEndPr>
      <w:sdtContent>
        <w:p w14:paraId="44FB5F1E" w14:textId="65405498" w:rsidR="002E45D8" w:rsidRPr="002E45D8" w:rsidRDefault="002E45D8" w:rsidP="002E45D8">
          <w:pPr>
            <w:pStyle w:val="TOCHeading"/>
            <w:jc w:val="center"/>
            <w:rPr>
              <w:rFonts w:ascii="Times New Roman" w:hAnsi="Times New Roman" w:cs="Times New Roman"/>
              <w:b/>
              <w:color w:val="000000" w:themeColor="text1"/>
              <w:sz w:val="28"/>
              <w:szCs w:val="28"/>
            </w:rPr>
          </w:pPr>
          <w:r w:rsidRPr="002E45D8">
            <w:rPr>
              <w:rFonts w:ascii="Times New Roman" w:hAnsi="Times New Roman" w:cs="Times New Roman"/>
              <w:b/>
              <w:color w:val="000000" w:themeColor="text1"/>
              <w:sz w:val="28"/>
              <w:szCs w:val="28"/>
            </w:rPr>
            <w:t>Table of Contents</w:t>
          </w:r>
        </w:p>
        <w:p w14:paraId="5055DAFD" w14:textId="77777777" w:rsidR="002E45D8" w:rsidRDefault="002E45D8">
          <w:pPr>
            <w:pStyle w:val="TOC1"/>
            <w:tabs>
              <w:tab w:val="right" w:leader="dot" w:pos="9019"/>
            </w:tabs>
            <w:rPr>
              <w:noProof/>
            </w:rPr>
          </w:pPr>
          <w:r>
            <w:fldChar w:fldCharType="begin"/>
          </w:r>
          <w:r>
            <w:instrText xml:space="preserve"> TOC \o "1-3" \h \z \u </w:instrText>
          </w:r>
          <w:r>
            <w:fldChar w:fldCharType="separate"/>
          </w:r>
          <w:hyperlink w:anchor="_Toc137053096" w:history="1">
            <w:r w:rsidRPr="00C60931">
              <w:rPr>
                <w:rStyle w:val="Hyperlink"/>
                <w:noProof/>
              </w:rPr>
              <w:t>Introduction</w:t>
            </w:r>
            <w:r>
              <w:rPr>
                <w:noProof/>
                <w:webHidden/>
              </w:rPr>
              <w:tab/>
            </w:r>
            <w:r>
              <w:rPr>
                <w:noProof/>
                <w:webHidden/>
              </w:rPr>
              <w:fldChar w:fldCharType="begin"/>
            </w:r>
            <w:r>
              <w:rPr>
                <w:noProof/>
                <w:webHidden/>
              </w:rPr>
              <w:instrText xml:space="preserve"> PAGEREF _Toc137053096 \h </w:instrText>
            </w:r>
            <w:r>
              <w:rPr>
                <w:noProof/>
                <w:webHidden/>
              </w:rPr>
            </w:r>
            <w:r>
              <w:rPr>
                <w:noProof/>
                <w:webHidden/>
              </w:rPr>
              <w:fldChar w:fldCharType="separate"/>
            </w:r>
            <w:r>
              <w:rPr>
                <w:noProof/>
                <w:webHidden/>
              </w:rPr>
              <w:t>2</w:t>
            </w:r>
            <w:r>
              <w:rPr>
                <w:noProof/>
                <w:webHidden/>
              </w:rPr>
              <w:fldChar w:fldCharType="end"/>
            </w:r>
          </w:hyperlink>
        </w:p>
        <w:p w14:paraId="08BEEDA9" w14:textId="77777777" w:rsidR="002E45D8" w:rsidRDefault="00000000">
          <w:pPr>
            <w:pStyle w:val="TOC1"/>
            <w:tabs>
              <w:tab w:val="right" w:leader="dot" w:pos="9019"/>
            </w:tabs>
            <w:rPr>
              <w:noProof/>
            </w:rPr>
          </w:pPr>
          <w:hyperlink w:anchor="_Toc137053097" w:history="1">
            <w:r w:rsidR="002E45D8" w:rsidRPr="00C60931">
              <w:rPr>
                <w:rStyle w:val="Hyperlink"/>
                <w:noProof/>
              </w:rPr>
              <w:t>Discussion</w:t>
            </w:r>
            <w:r w:rsidR="002E45D8">
              <w:rPr>
                <w:noProof/>
                <w:webHidden/>
              </w:rPr>
              <w:tab/>
            </w:r>
            <w:r w:rsidR="002E45D8">
              <w:rPr>
                <w:noProof/>
                <w:webHidden/>
              </w:rPr>
              <w:fldChar w:fldCharType="begin"/>
            </w:r>
            <w:r w:rsidR="002E45D8">
              <w:rPr>
                <w:noProof/>
                <w:webHidden/>
              </w:rPr>
              <w:instrText xml:space="preserve"> PAGEREF _Toc137053097 \h </w:instrText>
            </w:r>
            <w:r w:rsidR="002E45D8">
              <w:rPr>
                <w:noProof/>
                <w:webHidden/>
              </w:rPr>
            </w:r>
            <w:r w:rsidR="002E45D8">
              <w:rPr>
                <w:noProof/>
                <w:webHidden/>
              </w:rPr>
              <w:fldChar w:fldCharType="separate"/>
            </w:r>
            <w:r w:rsidR="002E45D8">
              <w:rPr>
                <w:noProof/>
                <w:webHidden/>
              </w:rPr>
              <w:t>2</w:t>
            </w:r>
            <w:r w:rsidR="002E45D8">
              <w:rPr>
                <w:noProof/>
                <w:webHidden/>
              </w:rPr>
              <w:fldChar w:fldCharType="end"/>
            </w:r>
          </w:hyperlink>
        </w:p>
        <w:p w14:paraId="1FB02664" w14:textId="77777777" w:rsidR="002E45D8" w:rsidRDefault="00000000">
          <w:pPr>
            <w:pStyle w:val="TOC1"/>
            <w:tabs>
              <w:tab w:val="right" w:leader="dot" w:pos="9019"/>
            </w:tabs>
            <w:rPr>
              <w:noProof/>
            </w:rPr>
          </w:pPr>
          <w:hyperlink w:anchor="_Toc137053098" w:history="1">
            <w:r w:rsidR="002E45D8" w:rsidRPr="00C60931">
              <w:rPr>
                <w:rStyle w:val="Hyperlink"/>
                <w:noProof/>
              </w:rPr>
              <w:t>Conclusion</w:t>
            </w:r>
            <w:r w:rsidR="002E45D8">
              <w:rPr>
                <w:noProof/>
                <w:webHidden/>
              </w:rPr>
              <w:tab/>
            </w:r>
            <w:r w:rsidR="002E45D8">
              <w:rPr>
                <w:noProof/>
                <w:webHidden/>
              </w:rPr>
              <w:fldChar w:fldCharType="begin"/>
            </w:r>
            <w:r w:rsidR="002E45D8">
              <w:rPr>
                <w:noProof/>
                <w:webHidden/>
              </w:rPr>
              <w:instrText xml:space="preserve"> PAGEREF _Toc137053098 \h </w:instrText>
            </w:r>
            <w:r w:rsidR="002E45D8">
              <w:rPr>
                <w:noProof/>
                <w:webHidden/>
              </w:rPr>
            </w:r>
            <w:r w:rsidR="002E45D8">
              <w:rPr>
                <w:noProof/>
                <w:webHidden/>
              </w:rPr>
              <w:fldChar w:fldCharType="separate"/>
            </w:r>
            <w:r w:rsidR="002E45D8">
              <w:rPr>
                <w:noProof/>
                <w:webHidden/>
              </w:rPr>
              <w:t>8</w:t>
            </w:r>
            <w:r w:rsidR="002E45D8">
              <w:rPr>
                <w:noProof/>
                <w:webHidden/>
              </w:rPr>
              <w:fldChar w:fldCharType="end"/>
            </w:r>
          </w:hyperlink>
        </w:p>
        <w:p w14:paraId="43BD946F" w14:textId="77777777" w:rsidR="002E45D8" w:rsidRDefault="00000000">
          <w:pPr>
            <w:pStyle w:val="TOC1"/>
            <w:tabs>
              <w:tab w:val="right" w:leader="dot" w:pos="9019"/>
            </w:tabs>
            <w:rPr>
              <w:noProof/>
            </w:rPr>
          </w:pPr>
          <w:hyperlink w:anchor="_Toc137053099" w:history="1">
            <w:r w:rsidR="002E45D8" w:rsidRPr="00C60931">
              <w:rPr>
                <w:rStyle w:val="Hyperlink"/>
                <w:noProof/>
              </w:rPr>
              <w:t>References</w:t>
            </w:r>
            <w:r w:rsidR="002E45D8">
              <w:rPr>
                <w:noProof/>
                <w:webHidden/>
              </w:rPr>
              <w:tab/>
            </w:r>
            <w:r w:rsidR="002E45D8">
              <w:rPr>
                <w:noProof/>
                <w:webHidden/>
              </w:rPr>
              <w:fldChar w:fldCharType="begin"/>
            </w:r>
            <w:r w:rsidR="002E45D8">
              <w:rPr>
                <w:noProof/>
                <w:webHidden/>
              </w:rPr>
              <w:instrText xml:space="preserve"> PAGEREF _Toc137053099 \h </w:instrText>
            </w:r>
            <w:r w:rsidR="002E45D8">
              <w:rPr>
                <w:noProof/>
                <w:webHidden/>
              </w:rPr>
            </w:r>
            <w:r w:rsidR="002E45D8">
              <w:rPr>
                <w:noProof/>
                <w:webHidden/>
              </w:rPr>
              <w:fldChar w:fldCharType="separate"/>
            </w:r>
            <w:r w:rsidR="002E45D8">
              <w:rPr>
                <w:noProof/>
                <w:webHidden/>
              </w:rPr>
              <w:t>9</w:t>
            </w:r>
            <w:r w:rsidR="002E45D8">
              <w:rPr>
                <w:noProof/>
                <w:webHidden/>
              </w:rPr>
              <w:fldChar w:fldCharType="end"/>
            </w:r>
          </w:hyperlink>
        </w:p>
        <w:p w14:paraId="7A7CD823" w14:textId="5AF43273" w:rsidR="002E45D8" w:rsidRDefault="002E45D8">
          <w:r>
            <w:rPr>
              <w:b/>
              <w:bCs/>
              <w:noProof/>
            </w:rPr>
            <w:fldChar w:fldCharType="end"/>
          </w:r>
        </w:p>
      </w:sdtContent>
    </w:sdt>
    <w:p w14:paraId="63927BDF" w14:textId="77777777" w:rsidR="002E45D8" w:rsidRDefault="002E45D8">
      <w:pPr>
        <w:rPr>
          <w:rFonts w:eastAsia="Times New Roman" w:cs="Times New Roman"/>
          <w:b/>
          <w:szCs w:val="24"/>
        </w:rPr>
      </w:pPr>
      <w:r>
        <w:rPr>
          <w:rFonts w:eastAsia="Times New Roman" w:cs="Times New Roman"/>
          <w:b/>
          <w:szCs w:val="24"/>
        </w:rPr>
        <w:br w:type="page"/>
      </w:r>
    </w:p>
    <w:p w14:paraId="00000001" w14:textId="7B2207CF" w:rsidR="00380796" w:rsidRDefault="00B83B8A" w:rsidP="002E45D8">
      <w:pPr>
        <w:pStyle w:val="Heading1"/>
      </w:pPr>
      <w:bookmarkStart w:id="0" w:name="_Toc137053096"/>
      <w:r>
        <w:lastRenderedPageBreak/>
        <w:t>Introduction</w:t>
      </w:r>
      <w:bookmarkEnd w:id="0"/>
      <w:r>
        <w:t xml:space="preserve"> </w:t>
      </w:r>
    </w:p>
    <w:p w14:paraId="00000002" w14:textId="77777777" w:rsidR="00380796" w:rsidRDefault="00B83B8A" w:rsidP="002E45D8">
      <w:r>
        <w:t xml:space="preserve">The study discusses the main concern that East Coast County (ECC) determined was an inadequate partnering capability of strategic HR in the condition of the public sector mainly within their area. This denotes that managers in the sphere were dealing with issues in filling the vacancies of senior HR positions due to the lack of talented individuals with the essential skills or competence in business partnering. The lack of partnering capability in strategic HR had many implications. Primarily, it resulted mainly in a huge vacancy at the HR level Head within the public sector companies in the area. This was perceived as a key issue for East Coast County as it generated a leadership gap as well as obstructed the effective HR functions management in these companies. Moreover, without people who possessed specific business partnering capabilities, the organisations of the public sector were not able to implement as well as develop strategic HR measures. Strategic partnering of HR includes aligning HR tactics with the respective organisational goals as well as cooperating with key business leaders generally to drive organisational achievement. </w:t>
      </w:r>
    </w:p>
    <w:p w14:paraId="00000003" w14:textId="77777777" w:rsidR="00380796" w:rsidRDefault="00B83B8A">
      <w:pPr>
        <w:rPr>
          <w:rFonts w:eastAsia="Times New Roman" w:cs="Times New Roman"/>
          <w:szCs w:val="24"/>
        </w:rPr>
      </w:pPr>
      <w:r>
        <w:rPr>
          <w:rFonts w:eastAsia="Times New Roman" w:cs="Times New Roman"/>
          <w:szCs w:val="24"/>
        </w:rPr>
        <w:t>The absence of these skills represents that the function of HR was not successfully contributing towards the organisation’s strategic direction, which shows a negative effect on their overall performance and results. In order to address and identify these problems, East Coast County recognized the requirement to establish a talent and skilled employee pipeline to nurture as well as develop candidates with the important competencies or skills for strategic partnering roles in HR. By following this, they also aimed to fill the gap in the area’s talent pool of HR and give a solution mainly for organisations dealing with the concern to find appropriate candidates or individuals for the position of senior HR. The talent pipeline measures likely included implementing and designing programs to improve the business partnering skills of HR professionals. This could involve mentoring, coaching and training programs, and giving opportunities mainly for HR experts to obtain practical experience certainly in strategic HR measures.</w:t>
      </w:r>
    </w:p>
    <w:p w14:paraId="00000004" w14:textId="77777777" w:rsidR="00380796" w:rsidRDefault="00B83B8A" w:rsidP="002E45D8">
      <w:pPr>
        <w:pStyle w:val="Heading1"/>
        <w:spacing w:before="0" w:after="0"/>
      </w:pPr>
      <w:bookmarkStart w:id="1" w:name="_Toc137053097"/>
      <w:r>
        <w:t>Discussion</w:t>
      </w:r>
      <w:bookmarkEnd w:id="1"/>
      <w:r>
        <w:t xml:space="preserve"> </w:t>
      </w:r>
    </w:p>
    <w:p w14:paraId="00000005" w14:textId="77777777" w:rsidR="00380796" w:rsidRDefault="00B83B8A">
      <w:pPr>
        <w:rPr>
          <w:rFonts w:eastAsia="Times New Roman" w:cs="Times New Roman"/>
          <w:b/>
          <w:szCs w:val="24"/>
        </w:rPr>
      </w:pPr>
      <w:r>
        <w:rPr>
          <w:rFonts w:eastAsia="Times New Roman" w:cs="Times New Roman"/>
          <w:b/>
          <w:szCs w:val="24"/>
        </w:rPr>
        <w:t>1. HR in both the private sector and public sector diverge in many ways:</w:t>
      </w:r>
    </w:p>
    <w:p w14:paraId="00000006" w14:textId="77777777" w:rsidR="00380796" w:rsidRDefault="00B83B8A">
      <w:pPr>
        <w:rPr>
          <w:rFonts w:eastAsia="Times New Roman" w:cs="Times New Roman"/>
          <w:b/>
          <w:szCs w:val="24"/>
        </w:rPr>
      </w:pPr>
      <w:r>
        <w:rPr>
          <w:rFonts w:eastAsia="Times New Roman" w:cs="Times New Roman"/>
          <w:b/>
          <w:szCs w:val="24"/>
        </w:rPr>
        <w:t>Objectives and key stakeholders</w:t>
      </w:r>
    </w:p>
    <w:p w14:paraId="00000007" w14:textId="77777777" w:rsidR="00380796" w:rsidRDefault="00B83B8A">
      <w:pPr>
        <w:rPr>
          <w:rFonts w:eastAsia="Times New Roman" w:cs="Times New Roman"/>
          <w:szCs w:val="24"/>
        </w:rPr>
      </w:pPr>
      <w:r>
        <w:rPr>
          <w:rFonts w:eastAsia="Times New Roman" w:cs="Times New Roman"/>
          <w:szCs w:val="24"/>
        </w:rPr>
        <w:t>HR mainly in the private sector is generally concentrated on increasing profitability, competitive advantage and also shareholder value. The main stakeholders or collaborators are the investors and owners of the organisation (</w:t>
      </w:r>
      <w:proofErr w:type="spellStart"/>
      <w:r>
        <w:rPr>
          <w:rFonts w:eastAsia="Times New Roman" w:cs="Times New Roman"/>
          <w:color w:val="222222"/>
          <w:szCs w:val="24"/>
          <w:highlight w:val="white"/>
        </w:rPr>
        <w:t>Abdeldayem</w:t>
      </w:r>
      <w:proofErr w:type="spellEnd"/>
      <w:r>
        <w:rPr>
          <w:rFonts w:eastAsia="Times New Roman" w:cs="Times New Roman"/>
          <w:color w:val="222222"/>
          <w:szCs w:val="24"/>
          <w:highlight w:val="white"/>
        </w:rPr>
        <w:t xml:space="preserve"> and </w:t>
      </w:r>
      <w:proofErr w:type="spellStart"/>
      <w:r>
        <w:rPr>
          <w:rFonts w:eastAsia="Times New Roman" w:cs="Times New Roman"/>
          <w:color w:val="222222"/>
          <w:szCs w:val="24"/>
          <w:highlight w:val="white"/>
        </w:rPr>
        <w:t>Aldulaimi</w:t>
      </w:r>
      <w:proofErr w:type="spellEnd"/>
      <w:r>
        <w:rPr>
          <w:rFonts w:eastAsia="Times New Roman" w:cs="Times New Roman"/>
          <w:color w:val="222222"/>
          <w:szCs w:val="24"/>
          <w:highlight w:val="white"/>
        </w:rPr>
        <w:t>, 2020</w:t>
      </w:r>
      <w:r>
        <w:rPr>
          <w:rFonts w:eastAsia="Times New Roman" w:cs="Times New Roman"/>
          <w:szCs w:val="24"/>
        </w:rPr>
        <w:t xml:space="preserve">). On the contrary, HR in the public sector is driven specifically by the public or client interest as well </w:t>
      </w:r>
      <w:r>
        <w:rPr>
          <w:rFonts w:eastAsia="Times New Roman" w:cs="Times New Roman"/>
          <w:szCs w:val="24"/>
        </w:rPr>
        <w:lastRenderedPageBreak/>
        <w:t xml:space="preserve">as aims to give services, align citizen requirements, and also follow government policies. Moreover, the key stakeholders are the elected officials, government agencies and the public. </w:t>
      </w:r>
    </w:p>
    <w:p w14:paraId="00000008" w14:textId="77777777" w:rsidR="00380796" w:rsidRDefault="00B83B8A">
      <w:pPr>
        <w:rPr>
          <w:rFonts w:eastAsia="Times New Roman" w:cs="Times New Roman"/>
          <w:b/>
          <w:szCs w:val="24"/>
        </w:rPr>
      </w:pPr>
      <w:r>
        <w:rPr>
          <w:rFonts w:eastAsia="Times New Roman" w:cs="Times New Roman"/>
          <w:b/>
          <w:szCs w:val="24"/>
        </w:rPr>
        <w:t>Compliance and regulations</w:t>
      </w:r>
    </w:p>
    <w:p w14:paraId="00000009" w14:textId="4E333196" w:rsidR="00380796" w:rsidRDefault="00B83B8A">
      <w:pPr>
        <w:rPr>
          <w:rFonts w:eastAsia="Times New Roman" w:cs="Times New Roman"/>
          <w:szCs w:val="24"/>
        </w:rPr>
      </w:pPr>
      <w:r>
        <w:rPr>
          <w:rFonts w:eastAsia="Times New Roman" w:cs="Times New Roman"/>
          <w:szCs w:val="24"/>
        </w:rPr>
        <w:t>HR of the public department or sector often works under stricter compliance as well as regulations requirements because of transparency and public accountability. Public department HR is required to follow specific regulations and laws governing areas like hiring practices, diversity, data protection and also compensation (</w:t>
      </w:r>
      <w:proofErr w:type="spellStart"/>
      <w:r>
        <w:rPr>
          <w:rFonts w:eastAsia="Times New Roman" w:cs="Times New Roman"/>
          <w:color w:val="222222"/>
          <w:szCs w:val="24"/>
          <w:highlight w:val="white"/>
        </w:rPr>
        <w:t>Boselie</w:t>
      </w:r>
      <w:proofErr w:type="spellEnd"/>
      <w:r>
        <w:rPr>
          <w:rFonts w:eastAsia="Times New Roman" w:cs="Times New Roman"/>
          <w:color w:val="222222"/>
          <w:szCs w:val="24"/>
          <w:highlight w:val="white"/>
        </w:rPr>
        <w:t xml:space="preserve">, Van </w:t>
      </w:r>
      <w:proofErr w:type="spellStart"/>
      <w:r>
        <w:rPr>
          <w:rFonts w:eastAsia="Times New Roman" w:cs="Times New Roman"/>
          <w:color w:val="222222"/>
          <w:szCs w:val="24"/>
          <w:highlight w:val="white"/>
        </w:rPr>
        <w:t>Harten</w:t>
      </w:r>
      <w:proofErr w:type="spellEnd"/>
      <w:r>
        <w:rPr>
          <w:rFonts w:eastAsia="Times New Roman" w:cs="Times New Roman"/>
          <w:color w:val="222222"/>
          <w:szCs w:val="24"/>
          <w:highlight w:val="white"/>
        </w:rPr>
        <w:t xml:space="preserve"> and Veld</w:t>
      </w:r>
      <w:r w:rsidR="00C00B9F">
        <w:rPr>
          <w:rFonts w:eastAsia="Times New Roman" w:cs="Times New Roman"/>
          <w:color w:val="222222"/>
          <w:szCs w:val="24"/>
          <w:highlight w:val="white"/>
        </w:rPr>
        <w:t>, 2021</w:t>
      </w:r>
      <w:r>
        <w:rPr>
          <w:rFonts w:eastAsia="Times New Roman" w:cs="Times New Roman"/>
          <w:szCs w:val="24"/>
        </w:rPr>
        <w:t>). In contrast, private department HR has compliance needs but has high flexibility in applying or implementing practices and policies. The actions or decisions of HR managers of the public sector are mainly subject to oversight as well as scrutiny by government bodies, regulatory agencies and the public. While Private department HR managers, although still responsible to stakeholders, work within a comparatively less transparent ambience.</w:t>
      </w:r>
    </w:p>
    <w:p w14:paraId="0000000A" w14:textId="77777777" w:rsidR="00380796" w:rsidRDefault="00B83B8A">
      <w:pPr>
        <w:rPr>
          <w:rFonts w:eastAsia="Times New Roman" w:cs="Times New Roman"/>
          <w:b/>
          <w:szCs w:val="24"/>
        </w:rPr>
      </w:pPr>
      <w:r>
        <w:rPr>
          <w:rFonts w:eastAsia="Times New Roman" w:cs="Times New Roman"/>
          <w:b/>
          <w:szCs w:val="24"/>
        </w:rPr>
        <w:t>Budgeting and Funding</w:t>
      </w:r>
    </w:p>
    <w:p w14:paraId="0000000B" w14:textId="4280BA40" w:rsidR="00380796" w:rsidRDefault="00B83B8A">
      <w:pPr>
        <w:rPr>
          <w:rFonts w:eastAsia="Times New Roman" w:cs="Times New Roman"/>
          <w:szCs w:val="24"/>
        </w:rPr>
      </w:pPr>
      <w:r>
        <w:rPr>
          <w:rFonts w:eastAsia="Times New Roman" w:cs="Times New Roman"/>
          <w:szCs w:val="24"/>
        </w:rPr>
        <w:t>HR in the Public sector is usually funded through government budgets and taxpayer money, which is subject to constraints and political priorities. While HR in the Private sector operates mainly on the financial resources developed by the activities of the organisation and is concentrated on controlling costs and generating revenue (</w:t>
      </w:r>
      <w:proofErr w:type="spellStart"/>
      <w:r w:rsidR="002E45D8">
        <w:rPr>
          <w:rFonts w:eastAsia="Times New Roman" w:cs="Times New Roman"/>
          <w:color w:val="222222"/>
          <w:szCs w:val="24"/>
          <w:highlight w:val="white"/>
        </w:rPr>
        <w:t>Kravariti</w:t>
      </w:r>
      <w:proofErr w:type="spellEnd"/>
      <w:r w:rsidR="002E45D8">
        <w:rPr>
          <w:rFonts w:eastAsia="Times New Roman" w:cs="Times New Roman"/>
          <w:color w:val="222222"/>
          <w:szCs w:val="24"/>
          <w:highlight w:val="white"/>
        </w:rPr>
        <w:t xml:space="preserve"> and</w:t>
      </w:r>
      <w:r>
        <w:rPr>
          <w:rFonts w:eastAsia="Times New Roman" w:cs="Times New Roman"/>
          <w:color w:val="222222"/>
          <w:szCs w:val="24"/>
          <w:highlight w:val="white"/>
        </w:rPr>
        <w:t xml:space="preserve"> Johnston</w:t>
      </w:r>
      <w:r w:rsidR="00C00B9F">
        <w:rPr>
          <w:rFonts w:eastAsia="Times New Roman" w:cs="Times New Roman"/>
          <w:color w:val="222222"/>
          <w:szCs w:val="24"/>
          <w:highlight w:val="white"/>
        </w:rPr>
        <w:t>, 2020</w:t>
      </w:r>
      <w:r>
        <w:rPr>
          <w:rFonts w:eastAsia="Times New Roman" w:cs="Times New Roman"/>
          <w:szCs w:val="24"/>
        </w:rPr>
        <w:t xml:space="preserve">). </w:t>
      </w:r>
    </w:p>
    <w:p w14:paraId="0000000C" w14:textId="77777777" w:rsidR="00380796" w:rsidRDefault="00B83B8A">
      <w:pPr>
        <w:rPr>
          <w:rFonts w:eastAsia="Times New Roman" w:cs="Times New Roman"/>
          <w:b/>
          <w:szCs w:val="24"/>
        </w:rPr>
      </w:pPr>
      <w:r>
        <w:rPr>
          <w:rFonts w:eastAsia="Times New Roman" w:cs="Times New Roman"/>
          <w:b/>
          <w:szCs w:val="24"/>
        </w:rPr>
        <w:t>Employee Relations and Decision-Making Procedure</w:t>
      </w:r>
    </w:p>
    <w:p w14:paraId="0000000D" w14:textId="77777777" w:rsidR="00380796" w:rsidRDefault="00B83B8A">
      <w:pPr>
        <w:rPr>
          <w:rFonts w:eastAsia="Times New Roman" w:cs="Times New Roman"/>
          <w:szCs w:val="24"/>
        </w:rPr>
      </w:pPr>
      <w:r>
        <w:rPr>
          <w:rFonts w:eastAsia="Times New Roman" w:cs="Times New Roman"/>
          <w:szCs w:val="24"/>
        </w:rPr>
        <w:t>HR of the public sector deal with the unique issues in managing and maintaining labour relations, mainly as unions constantly represent a remarkable part of the employee. Private department HR deals and contracts with unions, but also the collective bargaining procedure and the dynamics differ. The decisions or choices made by HR in the private domain are always driven by profit goals, shareholder value and market forces. In the context of the public sector, choices or decision-making include political considerations, multiple stakeholders, and also a highly bureaucratic decision-making procedure.</w:t>
      </w:r>
    </w:p>
    <w:p w14:paraId="0000000E" w14:textId="77777777" w:rsidR="00380796" w:rsidRDefault="00B83B8A">
      <w:pPr>
        <w:rPr>
          <w:rFonts w:eastAsia="Times New Roman" w:cs="Times New Roman"/>
          <w:b/>
          <w:szCs w:val="24"/>
        </w:rPr>
      </w:pPr>
      <w:r>
        <w:rPr>
          <w:rFonts w:eastAsia="Times New Roman" w:cs="Times New Roman"/>
          <w:b/>
          <w:szCs w:val="24"/>
        </w:rPr>
        <w:t>Selection and recruitment</w:t>
      </w:r>
    </w:p>
    <w:p w14:paraId="0000000F" w14:textId="1088EA88" w:rsidR="00380796" w:rsidRDefault="00B83B8A">
      <w:pPr>
        <w:rPr>
          <w:rFonts w:eastAsia="Times New Roman" w:cs="Times New Roman"/>
          <w:szCs w:val="24"/>
        </w:rPr>
      </w:pPr>
      <w:r>
        <w:rPr>
          <w:rFonts w:eastAsia="Times New Roman" w:cs="Times New Roman"/>
          <w:szCs w:val="24"/>
        </w:rPr>
        <w:t>HR in the Private sector often has high-level flexibility in selection as well as recruitment procedures. They utilise distinct recruitment methods, like job boards, headhunting, and social media, to attract and reach top talent or employees. Private sector companies also have significant freedom to mainly negotiate benefits packages and compensation (</w:t>
      </w:r>
      <w:r>
        <w:rPr>
          <w:rFonts w:eastAsia="Times New Roman" w:cs="Times New Roman"/>
          <w:color w:val="222222"/>
          <w:szCs w:val="24"/>
          <w:highlight w:val="white"/>
        </w:rPr>
        <w:t>Pradhan, Dash and Jena</w:t>
      </w:r>
      <w:r w:rsidR="002E45D8">
        <w:rPr>
          <w:rFonts w:eastAsia="Times New Roman" w:cs="Times New Roman"/>
          <w:color w:val="222222"/>
          <w:szCs w:val="24"/>
          <w:highlight w:val="white"/>
        </w:rPr>
        <w:t>, 2019</w:t>
      </w:r>
      <w:r>
        <w:rPr>
          <w:rFonts w:eastAsia="Times New Roman" w:cs="Times New Roman"/>
          <w:szCs w:val="24"/>
        </w:rPr>
        <w:t>). On the other hand, Public sector HR often comply with strict regulations and rules for selection and recruitment, involving transparent as well as merit-based procedures to avoid favouritism and ensure fairness.</w:t>
      </w:r>
    </w:p>
    <w:p w14:paraId="00000010" w14:textId="77777777" w:rsidR="00380796" w:rsidRDefault="00B83B8A">
      <w:pPr>
        <w:rPr>
          <w:rFonts w:eastAsia="Times New Roman" w:cs="Times New Roman"/>
          <w:b/>
          <w:szCs w:val="24"/>
        </w:rPr>
      </w:pPr>
      <w:r>
        <w:rPr>
          <w:rFonts w:eastAsia="Times New Roman" w:cs="Times New Roman"/>
          <w:b/>
          <w:szCs w:val="24"/>
        </w:rPr>
        <w:lastRenderedPageBreak/>
        <w:t>2. The HR strategy effectiveness can be identified distinctively in the private and public sectors particularly based on the different goals, performance and objectives measures:</w:t>
      </w:r>
    </w:p>
    <w:p w14:paraId="00000011" w14:textId="77777777" w:rsidR="00380796" w:rsidRDefault="00B83B8A">
      <w:pPr>
        <w:rPr>
          <w:rFonts w:eastAsia="Times New Roman" w:cs="Times New Roman"/>
          <w:szCs w:val="24"/>
        </w:rPr>
      </w:pPr>
      <w:r>
        <w:rPr>
          <w:rFonts w:eastAsia="Times New Roman" w:cs="Times New Roman"/>
          <w:b/>
          <w:szCs w:val="24"/>
        </w:rPr>
        <w:t>Private Sector:</w:t>
      </w:r>
      <w:r>
        <w:rPr>
          <w:rFonts w:eastAsia="Times New Roman" w:cs="Times New Roman"/>
          <w:szCs w:val="24"/>
        </w:rPr>
        <w:t xml:space="preserve"> In this sector, effectiveness is generally assessed based on different “financial performance indicators” like profitability, revenue growth, market share and ROI (return on investment), key performance indicators, employee satisfaction and engagement surveys and talent acquisition metrics. HR tactics are evaluated by their efforts and contribution towards obtaining these financial objectives, improving productivity, retaining and attracting talent, as well as supporting competitiveness and innovation.</w:t>
      </w:r>
    </w:p>
    <w:p w14:paraId="00000012" w14:textId="77777777" w:rsidR="00380796" w:rsidRDefault="00B83B8A">
      <w:pPr>
        <w:rPr>
          <w:rFonts w:eastAsia="Times New Roman" w:cs="Times New Roman"/>
          <w:b/>
          <w:szCs w:val="24"/>
        </w:rPr>
      </w:pPr>
      <w:r>
        <w:rPr>
          <w:rFonts w:eastAsia="Times New Roman" w:cs="Times New Roman"/>
          <w:b/>
          <w:szCs w:val="24"/>
        </w:rPr>
        <w:t>KPIs (Key Performance Indicators)</w:t>
      </w:r>
    </w:p>
    <w:p w14:paraId="00000013" w14:textId="77777777" w:rsidR="00380796" w:rsidRDefault="00B83B8A">
      <w:pPr>
        <w:rPr>
          <w:rFonts w:eastAsia="Times New Roman" w:cs="Times New Roman"/>
          <w:szCs w:val="24"/>
        </w:rPr>
      </w:pPr>
      <w:r>
        <w:rPr>
          <w:rFonts w:eastAsia="Times New Roman" w:cs="Times New Roman"/>
          <w:szCs w:val="24"/>
        </w:rPr>
        <w:t>Private sector companies often create KPIs matched with the objectives of the business and measure the contribution of HR to accomplishing those objectives. For example, HR-associated KPIs involve the turnover rate of employees, time-to-fill employment vacancies, satisfaction scores of employees, development and training effectiveness, as well as ROI (Return on investment) in the initiatives of HR.</w:t>
      </w:r>
    </w:p>
    <w:p w14:paraId="00000014" w14:textId="77777777" w:rsidR="00380796" w:rsidRDefault="00B83B8A">
      <w:pPr>
        <w:rPr>
          <w:rFonts w:eastAsia="Times New Roman" w:cs="Times New Roman"/>
          <w:b/>
          <w:szCs w:val="24"/>
        </w:rPr>
      </w:pPr>
      <w:r>
        <w:rPr>
          <w:rFonts w:eastAsia="Times New Roman" w:cs="Times New Roman"/>
          <w:b/>
          <w:szCs w:val="24"/>
        </w:rPr>
        <w:t xml:space="preserve">Financial </w:t>
      </w:r>
      <w:proofErr w:type="gramStart"/>
      <w:r>
        <w:rPr>
          <w:rFonts w:eastAsia="Times New Roman" w:cs="Times New Roman"/>
          <w:b/>
          <w:szCs w:val="24"/>
        </w:rPr>
        <w:t>Metrics,  employee</w:t>
      </w:r>
      <w:proofErr w:type="gramEnd"/>
      <w:r>
        <w:rPr>
          <w:rFonts w:eastAsia="Times New Roman" w:cs="Times New Roman"/>
          <w:b/>
          <w:szCs w:val="24"/>
        </w:rPr>
        <w:t xml:space="preserve"> satisfaction and engagement surveys</w:t>
      </w:r>
    </w:p>
    <w:p w14:paraId="00000015" w14:textId="77777777" w:rsidR="00380796" w:rsidRDefault="00B83B8A">
      <w:pPr>
        <w:rPr>
          <w:rFonts w:eastAsia="Times New Roman" w:cs="Times New Roman"/>
          <w:szCs w:val="24"/>
        </w:rPr>
      </w:pPr>
      <w:r>
        <w:rPr>
          <w:rFonts w:eastAsia="Times New Roman" w:cs="Times New Roman"/>
          <w:szCs w:val="24"/>
        </w:rPr>
        <w:t>The organisations of the private sector evaluate the financial effect of HR methods and strategies by examining metrics like revenue per worker, cost per recruitment, overall profitability as well as labour productivity (</w:t>
      </w:r>
      <w:r>
        <w:rPr>
          <w:rFonts w:eastAsia="Times New Roman" w:cs="Times New Roman"/>
          <w:color w:val="222222"/>
          <w:szCs w:val="24"/>
          <w:highlight w:val="white"/>
        </w:rPr>
        <w:t xml:space="preserve">Charbonneau and </w:t>
      </w:r>
      <w:proofErr w:type="spellStart"/>
      <w:proofErr w:type="gramStart"/>
      <w:r>
        <w:rPr>
          <w:rFonts w:eastAsia="Times New Roman" w:cs="Times New Roman"/>
          <w:color w:val="222222"/>
          <w:szCs w:val="24"/>
          <w:highlight w:val="white"/>
        </w:rPr>
        <w:t>Doberstein</w:t>
      </w:r>
      <w:proofErr w:type="spellEnd"/>
      <w:r>
        <w:rPr>
          <w:rFonts w:eastAsia="Times New Roman" w:cs="Times New Roman"/>
          <w:color w:val="222222"/>
          <w:szCs w:val="24"/>
          <w:highlight w:val="white"/>
        </w:rPr>
        <w:t>,  2020</w:t>
      </w:r>
      <w:proofErr w:type="gramEnd"/>
      <w:r>
        <w:rPr>
          <w:rFonts w:eastAsia="Times New Roman" w:cs="Times New Roman"/>
          <w:szCs w:val="24"/>
        </w:rPr>
        <w:t>). These forms of metrics help identify the effectiveness as well as efficiency of HR policies in contributing towards the bottom line of the organisation. HR departments of the Private sector commonly organise surveys to scale employee engagement, experience and overall satisfaction. These types of surveys present intuition into the HR programs and policies' effectiveness and also determine areas for development.</w:t>
      </w:r>
    </w:p>
    <w:p w14:paraId="00000016" w14:textId="77777777" w:rsidR="00380796" w:rsidRDefault="00B83B8A">
      <w:pPr>
        <w:rPr>
          <w:rFonts w:eastAsia="Times New Roman" w:cs="Times New Roman"/>
          <w:b/>
          <w:szCs w:val="24"/>
        </w:rPr>
      </w:pPr>
      <w:r>
        <w:rPr>
          <w:rFonts w:eastAsia="Times New Roman" w:cs="Times New Roman"/>
          <w:b/>
          <w:szCs w:val="24"/>
        </w:rPr>
        <w:t>Talent Acquisition Metrics</w:t>
      </w:r>
    </w:p>
    <w:p w14:paraId="00000017" w14:textId="77777777" w:rsidR="00380796" w:rsidRDefault="00B83B8A">
      <w:pPr>
        <w:rPr>
          <w:rFonts w:eastAsia="Times New Roman" w:cs="Times New Roman"/>
          <w:szCs w:val="24"/>
        </w:rPr>
      </w:pPr>
      <w:r>
        <w:rPr>
          <w:rFonts w:eastAsia="Times New Roman" w:cs="Times New Roman"/>
          <w:szCs w:val="24"/>
        </w:rPr>
        <w:t>HR teams in the private sector track and monitor metrics associated with talent acquisition, like recruitment quality, time-to-hire, as well as recruitment cost. These important metrics help assess the effectiveness and potency of selection processes, sourcing strategies, and the capability to retain top talent.</w:t>
      </w:r>
    </w:p>
    <w:p w14:paraId="00000018" w14:textId="77777777" w:rsidR="00380796" w:rsidRDefault="00B83B8A">
      <w:pPr>
        <w:rPr>
          <w:rFonts w:eastAsia="Times New Roman" w:cs="Times New Roman"/>
          <w:szCs w:val="24"/>
        </w:rPr>
      </w:pPr>
      <w:r>
        <w:rPr>
          <w:rFonts w:eastAsia="Times New Roman" w:cs="Times New Roman"/>
          <w:b/>
          <w:szCs w:val="24"/>
        </w:rPr>
        <w:t>Public Sector:</w:t>
      </w:r>
      <w:r>
        <w:rPr>
          <w:rFonts w:eastAsia="Times New Roman" w:cs="Times New Roman"/>
          <w:szCs w:val="24"/>
        </w:rPr>
        <w:t xml:space="preserve"> In the context of the public sector, effectiveness is continuously measured by the scope to which strategies related to HR align with the mission of the organisation, delivery of public service, as well as citizen satisfaction (</w:t>
      </w:r>
      <w:proofErr w:type="spellStart"/>
      <w:r>
        <w:rPr>
          <w:rFonts w:eastAsia="Times New Roman" w:cs="Times New Roman"/>
          <w:color w:val="222222"/>
          <w:szCs w:val="24"/>
          <w:highlight w:val="white"/>
        </w:rPr>
        <w:t>Blom</w:t>
      </w:r>
      <w:proofErr w:type="spellEnd"/>
      <w:r>
        <w:rPr>
          <w:rFonts w:eastAsia="Times New Roman" w:cs="Times New Roman"/>
          <w:color w:val="222222"/>
          <w:szCs w:val="24"/>
          <w:highlight w:val="white"/>
        </w:rPr>
        <w:t>, et al. 2020</w:t>
      </w:r>
      <w:r>
        <w:rPr>
          <w:rFonts w:eastAsia="Times New Roman" w:cs="Times New Roman"/>
          <w:szCs w:val="24"/>
        </w:rPr>
        <w:t xml:space="preserve">). Employee performance indicators involve resource utilisation efficiency, service quality, compliance regulatory and with legal needs, inclusion and diversity metrics, and also employee engagement. This sector's </w:t>
      </w:r>
      <w:r>
        <w:rPr>
          <w:rFonts w:eastAsia="Times New Roman" w:cs="Times New Roman"/>
          <w:szCs w:val="24"/>
        </w:rPr>
        <w:lastRenderedPageBreak/>
        <w:t>HR tactics should show transparency, effectiveness and accountability in acquiring public sector targets.</w:t>
      </w:r>
    </w:p>
    <w:p w14:paraId="00000019" w14:textId="77777777" w:rsidR="00380796" w:rsidRDefault="00B83B8A">
      <w:pPr>
        <w:rPr>
          <w:rFonts w:eastAsia="Times New Roman" w:cs="Times New Roman"/>
          <w:b/>
          <w:szCs w:val="24"/>
        </w:rPr>
      </w:pPr>
      <w:r>
        <w:rPr>
          <w:rFonts w:eastAsia="Times New Roman" w:cs="Times New Roman"/>
          <w:b/>
          <w:szCs w:val="24"/>
        </w:rPr>
        <w:t xml:space="preserve">Assessments of service delivery </w:t>
      </w:r>
    </w:p>
    <w:p w14:paraId="0000001A" w14:textId="77777777" w:rsidR="00380796" w:rsidRDefault="00B83B8A">
      <w:pPr>
        <w:rPr>
          <w:rFonts w:eastAsia="Times New Roman" w:cs="Times New Roman"/>
          <w:szCs w:val="24"/>
        </w:rPr>
      </w:pPr>
      <w:r>
        <w:rPr>
          <w:rFonts w:eastAsia="Times New Roman" w:cs="Times New Roman"/>
          <w:szCs w:val="24"/>
        </w:rPr>
        <w:t>HR effectiveness in the circumstances of the public sector is assessed based on the efficiency as well as the quality of the service delivery of HR (</w:t>
      </w:r>
      <w:proofErr w:type="gramStart"/>
      <w:r>
        <w:rPr>
          <w:rFonts w:eastAsia="Times New Roman" w:cs="Times New Roman"/>
          <w:color w:val="222222"/>
          <w:szCs w:val="24"/>
          <w:highlight w:val="white"/>
        </w:rPr>
        <w:t xml:space="preserve">Cooke,  </w:t>
      </w:r>
      <w:proofErr w:type="spellStart"/>
      <w:r>
        <w:rPr>
          <w:rFonts w:eastAsia="Times New Roman" w:cs="Times New Roman"/>
          <w:color w:val="222222"/>
          <w:szCs w:val="24"/>
          <w:highlight w:val="white"/>
        </w:rPr>
        <w:t>Dickmann</w:t>
      </w:r>
      <w:proofErr w:type="spellEnd"/>
      <w:proofErr w:type="gramEnd"/>
      <w:r>
        <w:rPr>
          <w:rFonts w:eastAsia="Times New Roman" w:cs="Times New Roman"/>
          <w:color w:val="222222"/>
          <w:szCs w:val="24"/>
          <w:highlight w:val="white"/>
        </w:rPr>
        <w:t xml:space="preserve"> and Parry, 2022</w:t>
      </w:r>
      <w:r>
        <w:rPr>
          <w:rFonts w:eastAsia="Times New Roman" w:cs="Times New Roman"/>
          <w:szCs w:val="24"/>
        </w:rPr>
        <w:t xml:space="preserve">). This involves evaluating the responsiveness, timeliness and accuracy of HR procedures, like payroll management, personnel recordkeeping and also benefits administration. </w:t>
      </w:r>
    </w:p>
    <w:p w14:paraId="0000001B" w14:textId="77777777" w:rsidR="00380796" w:rsidRDefault="00B83B8A">
      <w:pPr>
        <w:rPr>
          <w:rFonts w:eastAsia="Times New Roman" w:cs="Times New Roman"/>
          <w:b/>
          <w:szCs w:val="24"/>
        </w:rPr>
      </w:pPr>
      <w:r>
        <w:rPr>
          <w:rFonts w:eastAsia="Times New Roman" w:cs="Times New Roman"/>
          <w:b/>
          <w:szCs w:val="24"/>
        </w:rPr>
        <w:t>Regulatory adherence and compliance and Workforce Feedback Mechanisms</w:t>
      </w:r>
    </w:p>
    <w:p w14:paraId="0000001C" w14:textId="77777777" w:rsidR="00380796" w:rsidRDefault="00B83B8A">
      <w:pPr>
        <w:rPr>
          <w:rFonts w:eastAsia="Times New Roman" w:cs="Times New Roman"/>
          <w:szCs w:val="24"/>
        </w:rPr>
      </w:pPr>
      <w:r>
        <w:rPr>
          <w:rFonts w:eastAsia="Times New Roman" w:cs="Times New Roman"/>
          <w:szCs w:val="24"/>
        </w:rPr>
        <w:t>HR departments of the Public sector must comply with regulatory and legal requirements. Moreover, effectiveness is generally measured by assessing the East Coast County compliance with inclusion and diversity initiatives, labour laws, employee representation, as well as equal opportunity practices in employment (</w:t>
      </w:r>
      <w:r>
        <w:rPr>
          <w:rFonts w:eastAsia="Times New Roman" w:cs="Times New Roman"/>
          <w:color w:val="222222"/>
          <w:szCs w:val="24"/>
          <w:highlight w:val="white"/>
        </w:rPr>
        <w:t>Anwar and Abdullah, 2021</w:t>
      </w:r>
      <w:r>
        <w:rPr>
          <w:rFonts w:eastAsia="Times New Roman" w:cs="Times New Roman"/>
          <w:szCs w:val="24"/>
        </w:rPr>
        <w:t>). Public sector companies utilise feedback mechanisms for employees like suggestion boxes, focus groups and also surveys to evaluate the HR practice's effectiveness. This feedback supports them to determine key areas of development and measure the engagement and satisfaction levels of employees.</w:t>
      </w:r>
    </w:p>
    <w:p w14:paraId="0000001D" w14:textId="77777777" w:rsidR="00380796" w:rsidRDefault="00B83B8A">
      <w:pPr>
        <w:rPr>
          <w:rFonts w:eastAsia="Times New Roman" w:cs="Times New Roman"/>
          <w:b/>
          <w:szCs w:val="24"/>
        </w:rPr>
      </w:pPr>
      <w:r>
        <w:rPr>
          <w:rFonts w:eastAsia="Times New Roman" w:cs="Times New Roman"/>
          <w:b/>
          <w:szCs w:val="24"/>
        </w:rPr>
        <w:t>Performance Assessment, stakeholder feedback and public perception</w:t>
      </w:r>
    </w:p>
    <w:p w14:paraId="0000001E" w14:textId="36B4C36F" w:rsidR="00380796" w:rsidRDefault="00B83B8A">
      <w:pPr>
        <w:rPr>
          <w:rFonts w:eastAsia="Times New Roman" w:cs="Times New Roman"/>
          <w:szCs w:val="24"/>
        </w:rPr>
      </w:pPr>
      <w:r>
        <w:rPr>
          <w:rFonts w:eastAsia="Times New Roman" w:cs="Times New Roman"/>
          <w:szCs w:val="24"/>
        </w:rPr>
        <w:t>HR departments of the Public sector assess the manager's and employees' performance based on predetermined objectives and criteria. The HR strategy's effectiveness is examined by monitoring and tracking the performance assessment procedure, ensuring objectivity, alignment and fairness with organisational objectives (</w:t>
      </w:r>
      <w:r>
        <w:rPr>
          <w:rFonts w:eastAsia="Times New Roman" w:cs="Times New Roman"/>
          <w:color w:val="222222"/>
          <w:szCs w:val="24"/>
          <w:highlight w:val="white"/>
        </w:rPr>
        <w:t>Lee, Idris and Tuckey</w:t>
      </w:r>
      <w:r w:rsidR="002E45D8">
        <w:rPr>
          <w:rFonts w:eastAsia="Times New Roman" w:cs="Times New Roman"/>
          <w:color w:val="222222"/>
          <w:szCs w:val="24"/>
          <w:highlight w:val="white"/>
        </w:rPr>
        <w:t>, 2019</w:t>
      </w:r>
      <w:r>
        <w:rPr>
          <w:rFonts w:eastAsia="Times New Roman" w:cs="Times New Roman"/>
          <w:szCs w:val="24"/>
        </w:rPr>
        <w:t>). The public sector gives importance to stakeholder feedback as well as public perception. Evaluating the HR strategy's effectiveness includes soliciting feedback or comments from community organisations, citizens, and also other collaborators to measure their satisfaction specifically with public services as well as the employees.</w:t>
      </w:r>
    </w:p>
    <w:p w14:paraId="0000001F" w14:textId="77777777" w:rsidR="00380796" w:rsidRDefault="00B83B8A">
      <w:pPr>
        <w:rPr>
          <w:rFonts w:eastAsia="Times New Roman" w:cs="Times New Roman"/>
          <w:b/>
          <w:szCs w:val="24"/>
        </w:rPr>
      </w:pPr>
      <w:r>
        <w:rPr>
          <w:rFonts w:eastAsia="Times New Roman" w:cs="Times New Roman"/>
          <w:b/>
          <w:szCs w:val="24"/>
        </w:rPr>
        <w:t>3. HR develop workers to accomplish strategic goals or targets through different approaches:</w:t>
      </w:r>
    </w:p>
    <w:p w14:paraId="00000020" w14:textId="77777777" w:rsidR="00380796" w:rsidRDefault="00B83B8A">
      <w:pPr>
        <w:rPr>
          <w:rFonts w:eastAsia="Times New Roman" w:cs="Times New Roman"/>
          <w:szCs w:val="24"/>
        </w:rPr>
      </w:pPr>
      <w:r>
        <w:rPr>
          <w:rFonts w:eastAsia="Times New Roman" w:cs="Times New Roman"/>
          <w:b/>
          <w:szCs w:val="24"/>
        </w:rPr>
        <w:t xml:space="preserve">Development and training: </w:t>
      </w:r>
      <w:r>
        <w:rPr>
          <w:rFonts w:eastAsia="Times New Roman" w:cs="Times New Roman"/>
          <w:szCs w:val="24"/>
        </w:rPr>
        <w:t>HR deliver and design training programs or sessions to improve employees' knowledge, capabilities and also skills pertinent to the company’s strategy. This involves leadership development, workshops on strategic thinking and technical training. By spending capital on employee development, HR supports establishing competent employees that can efficiently contribute towards obtaining strategic objectives.</w:t>
      </w:r>
    </w:p>
    <w:p w14:paraId="00000021" w14:textId="77777777" w:rsidR="00380796" w:rsidRDefault="00B83B8A">
      <w:pPr>
        <w:rPr>
          <w:rFonts w:eastAsia="Times New Roman" w:cs="Times New Roman"/>
          <w:szCs w:val="24"/>
        </w:rPr>
      </w:pPr>
      <w:r>
        <w:rPr>
          <w:rFonts w:eastAsia="Times New Roman" w:cs="Times New Roman"/>
          <w:b/>
          <w:szCs w:val="24"/>
        </w:rPr>
        <w:t xml:space="preserve">Management of performance: </w:t>
      </w:r>
      <w:r>
        <w:rPr>
          <w:rFonts w:eastAsia="Times New Roman" w:cs="Times New Roman"/>
          <w:szCs w:val="24"/>
        </w:rPr>
        <w:t xml:space="preserve">HR implements strategic performance management processes that align team and individual objectives with the company’s strategy. In addition, clear expectations of performance, daily feedback, and also performance assessment can help the </w:t>
      </w:r>
      <w:r>
        <w:rPr>
          <w:rFonts w:eastAsia="Times New Roman" w:cs="Times New Roman"/>
          <w:szCs w:val="24"/>
        </w:rPr>
        <w:lastRenderedPageBreak/>
        <w:t>workforce to comprehend how their potential and contributions support the organisation's strategic goals. (</w:t>
      </w:r>
      <w:proofErr w:type="spellStart"/>
      <w:r>
        <w:rPr>
          <w:rFonts w:eastAsia="Times New Roman" w:cs="Times New Roman"/>
          <w:color w:val="222222"/>
          <w:szCs w:val="24"/>
          <w:highlight w:val="white"/>
        </w:rPr>
        <w:t>Ashikali</w:t>
      </w:r>
      <w:proofErr w:type="spellEnd"/>
      <w:r>
        <w:rPr>
          <w:rFonts w:eastAsia="Times New Roman" w:cs="Times New Roman"/>
          <w:color w:val="222222"/>
          <w:szCs w:val="24"/>
          <w:highlight w:val="white"/>
        </w:rPr>
        <w:t xml:space="preserve"> Groeneveld and </w:t>
      </w:r>
      <w:proofErr w:type="spellStart"/>
      <w:r>
        <w:rPr>
          <w:rFonts w:eastAsia="Times New Roman" w:cs="Times New Roman"/>
          <w:color w:val="222222"/>
          <w:szCs w:val="24"/>
          <w:highlight w:val="white"/>
        </w:rPr>
        <w:t>Kuipers</w:t>
      </w:r>
      <w:proofErr w:type="spellEnd"/>
      <w:r>
        <w:rPr>
          <w:rFonts w:eastAsia="Times New Roman" w:cs="Times New Roman"/>
          <w:color w:val="222222"/>
          <w:szCs w:val="24"/>
          <w:highlight w:val="white"/>
        </w:rPr>
        <w:t>, 2021</w:t>
      </w:r>
      <w:r>
        <w:rPr>
          <w:rFonts w:eastAsia="Times New Roman" w:cs="Times New Roman"/>
          <w:szCs w:val="24"/>
        </w:rPr>
        <w:t>) Even HR provides support and coaching to address major gaps in performance and promotes continuous improvement. HR design rewards systems and performance incentives that recognize as well as reinforce behaviours as well as accomplishments that line up with the organisation’s strategic objectives. Also, by linking incentives or rewards to its strategic results, HR inspires employees to improve the competencies as well as skills necessary to obtain strategic goals.</w:t>
      </w:r>
    </w:p>
    <w:p w14:paraId="00000022" w14:textId="77777777" w:rsidR="00380796" w:rsidRDefault="00B83B8A">
      <w:pPr>
        <w:rPr>
          <w:rFonts w:eastAsia="Times New Roman" w:cs="Times New Roman"/>
          <w:szCs w:val="24"/>
        </w:rPr>
      </w:pPr>
      <w:r>
        <w:rPr>
          <w:rFonts w:eastAsia="Times New Roman" w:cs="Times New Roman"/>
          <w:b/>
          <w:szCs w:val="24"/>
        </w:rPr>
        <w:t xml:space="preserve">Succession Planning: </w:t>
      </w:r>
      <w:r>
        <w:rPr>
          <w:rFonts w:eastAsia="Times New Roman" w:cs="Times New Roman"/>
          <w:szCs w:val="24"/>
        </w:rPr>
        <w:t>The HR department determines a high-potential workforce and creates succession plans particularly to ensure or confirm a pipeline and source of talent significantly for important positions. By giving growth opportunities, stretch assignments and mentoring, HR can make ready workforce to hire for strategic responsibilities and roles in the future (</w:t>
      </w:r>
      <w:proofErr w:type="spellStart"/>
      <w:proofErr w:type="gramStart"/>
      <w:r>
        <w:rPr>
          <w:rFonts w:eastAsia="Times New Roman" w:cs="Times New Roman"/>
          <w:color w:val="222222"/>
          <w:szCs w:val="24"/>
          <w:highlight w:val="white"/>
        </w:rPr>
        <w:t>Alshammari</w:t>
      </w:r>
      <w:proofErr w:type="spellEnd"/>
      <w:r>
        <w:rPr>
          <w:rFonts w:eastAsia="Times New Roman" w:cs="Times New Roman"/>
          <w:color w:val="222222"/>
          <w:szCs w:val="24"/>
          <w:highlight w:val="white"/>
        </w:rPr>
        <w:t>,  2020</w:t>
      </w:r>
      <w:proofErr w:type="gramEnd"/>
      <w:r>
        <w:rPr>
          <w:rFonts w:eastAsia="Times New Roman" w:cs="Times New Roman"/>
          <w:szCs w:val="24"/>
        </w:rPr>
        <w:t>). HR also works with the workforce to understand and know their future aspirations as well as design development plans for employees that match with both organisational strategy and individual goals. This can include providing career counselling, encouraging internal mobility, as well as giving growth opportunities and equal chances within the company.</w:t>
      </w:r>
    </w:p>
    <w:p w14:paraId="00000023" w14:textId="77777777" w:rsidR="00380796" w:rsidRDefault="00B83B8A">
      <w:pPr>
        <w:rPr>
          <w:rFonts w:eastAsia="Times New Roman" w:cs="Times New Roman"/>
          <w:szCs w:val="24"/>
        </w:rPr>
      </w:pPr>
      <w:r>
        <w:rPr>
          <w:rFonts w:eastAsia="Times New Roman" w:cs="Times New Roman"/>
          <w:b/>
          <w:szCs w:val="24"/>
        </w:rPr>
        <w:t>Engagement and communication:</w:t>
      </w:r>
      <w:r>
        <w:rPr>
          <w:rFonts w:eastAsia="Times New Roman" w:cs="Times New Roman"/>
          <w:szCs w:val="24"/>
        </w:rPr>
        <w:t xml:space="preserve"> HR also plays an essential in fostering effective communication and facilitating employee engagement. Consistent as well as clear communication particularly regarding the organisation's goals, progress and strategy helps employees to comprehend their responsibility in obtaining those goals. Therefore, HR can encourage feedback mechanisms, recognition programs for employees, and measures that encourage a supportive as well as positive work ambience matched with the strategy.</w:t>
      </w:r>
    </w:p>
    <w:p w14:paraId="00000024" w14:textId="77777777" w:rsidR="00380796" w:rsidRDefault="00B83B8A">
      <w:pPr>
        <w:rPr>
          <w:rFonts w:eastAsia="Times New Roman" w:cs="Times New Roman"/>
          <w:szCs w:val="24"/>
        </w:rPr>
      </w:pPr>
      <w:r>
        <w:rPr>
          <w:rFonts w:eastAsia="Times New Roman" w:cs="Times New Roman"/>
          <w:b/>
          <w:szCs w:val="24"/>
        </w:rPr>
        <w:t>Learning Culture and Knowledge Sharing:</w:t>
      </w:r>
      <w:r>
        <w:rPr>
          <w:rFonts w:eastAsia="Times New Roman" w:cs="Times New Roman"/>
          <w:szCs w:val="24"/>
        </w:rPr>
        <w:t xml:space="preserve"> HR can promote a culture or environment of continual learning as well as knowledge sharing mainly within the company. This is also accomplished through implementing different learning platforms, developing communities and teams of practice, conducting knowledge-sharing discussions, and encouraging collaboration among the workforce (</w:t>
      </w:r>
      <w:r>
        <w:rPr>
          <w:rFonts w:eastAsia="Times New Roman" w:cs="Times New Roman"/>
          <w:color w:val="222222"/>
          <w:szCs w:val="24"/>
          <w:highlight w:val="white"/>
        </w:rPr>
        <w:t>Boon, et al. 2019</w:t>
      </w:r>
      <w:r>
        <w:rPr>
          <w:rFonts w:eastAsia="Times New Roman" w:cs="Times New Roman"/>
          <w:szCs w:val="24"/>
        </w:rPr>
        <w:t>). By facilitating or smoothing the interchange of best practices and knowledge, HR contributes towards employee progression in line with the company's strategic goals.</w:t>
      </w:r>
    </w:p>
    <w:p w14:paraId="00000025" w14:textId="77777777" w:rsidR="00380796" w:rsidRDefault="00B83B8A">
      <w:pPr>
        <w:rPr>
          <w:rFonts w:eastAsia="Times New Roman" w:cs="Times New Roman"/>
          <w:b/>
          <w:szCs w:val="24"/>
        </w:rPr>
      </w:pPr>
      <w:r>
        <w:rPr>
          <w:rFonts w:eastAsia="Times New Roman" w:cs="Times New Roman"/>
          <w:b/>
          <w:szCs w:val="24"/>
        </w:rPr>
        <w:t>4. Various organisational climate factors influence the HR strategy effectiveness:</w:t>
      </w:r>
    </w:p>
    <w:p w14:paraId="00000026" w14:textId="77777777" w:rsidR="00380796" w:rsidRDefault="00B83B8A">
      <w:pPr>
        <w:rPr>
          <w:rFonts w:eastAsia="Times New Roman" w:cs="Times New Roman"/>
          <w:szCs w:val="24"/>
        </w:rPr>
      </w:pPr>
      <w:r>
        <w:rPr>
          <w:rFonts w:eastAsia="Times New Roman" w:cs="Times New Roman"/>
          <w:b/>
          <w:szCs w:val="24"/>
        </w:rPr>
        <w:t xml:space="preserve">Leadership Support: </w:t>
      </w:r>
      <w:r>
        <w:rPr>
          <w:rFonts w:eastAsia="Times New Roman" w:cs="Times New Roman"/>
          <w:szCs w:val="24"/>
        </w:rPr>
        <w:t>The commitment, as well as support of top and strategic leadership, are important for the success of HR strategy. When leaders show a powerful belief mainly in the strategic significance of HR as well as actively encourage and also take part in HR measures, it improves the HR strategy implementation effectiveness.</w:t>
      </w:r>
    </w:p>
    <w:p w14:paraId="00000027" w14:textId="77777777" w:rsidR="00380796" w:rsidRDefault="00B83B8A">
      <w:pPr>
        <w:rPr>
          <w:rFonts w:eastAsia="Times New Roman" w:cs="Times New Roman"/>
          <w:szCs w:val="24"/>
        </w:rPr>
      </w:pPr>
      <w:r>
        <w:rPr>
          <w:rFonts w:eastAsia="Times New Roman" w:cs="Times New Roman"/>
          <w:b/>
          <w:szCs w:val="24"/>
        </w:rPr>
        <w:lastRenderedPageBreak/>
        <w:t>Organisational Culture:</w:t>
      </w:r>
      <w:r>
        <w:rPr>
          <w:rFonts w:eastAsia="Times New Roman" w:cs="Times New Roman"/>
          <w:szCs w:val="24"/>
        </w:rPr>
        <w:t xml:space="preserve"> The ambience and culture of a company can either hinder or support HR strategy efficacy. A culture or environment that mainly values employee collaboration, development, and constant progress is likely to line up with various HR strategies concentrated on talent engagement, development, and also innovation. A positive culture and organisational climate mainly that encourages work-life balance increases the power of HR methods or strategies. When workers have a collaborative or supportive work ambience that values or gives importance to their prosperity, they are likely to be involved with HR initiatives and programs. The organisational processes as well as the structure should assist the HR strategies implementation. When HR procedures, as well as policies, are well-streamlined and well-integrated within the company, it raises the HR initiative's efficacy.</w:t>
      </w:r>
    </w:p>
    <w:p w14:paraId="00000028" w14:textId="14267B35" w:rsidR="00380796" w:rsidRDefault="00B83B8A">
      <w:pPr>
        <w:rPr>
          <w:rFonts w:eastAsia="Times New Roman" w:cs="Times New Roman"/>
          <w:szCs w:val="24"/>
        </w:rPr>
      </w:pPr>
      <w:r>
        <w:rPr>
          <w:rFonts w:eastAsia="Times New Roman" w:cs="Times New Roman"/>
          <w:b/>
          <w:szCs w:val="24"/>
        </w:rPr>
        <w:t xml:space="preserve">Communication and transparency: </w:t>
      </w:r>
      <w:r>
        <w:rPr>
          <w:rFonts w:eastAsia="Times New Roman" w:cs="Times New Roman"/>
          <w:szCs w:val="24"/>
        </w:rPr>
        <w:t>Transparent and open communication platforms within the company foster understanding as well as trust. When workers have access mainly to information regarding HR strategies and methods, their objectives, as well as the rationale and thinking behind them, it also promotes engagement and alignment. Fairness and trust within the company are important for the HR strategy's success (</w:t>
      </w:r>
      <w:r>
        <w:rPr>
          <w:rFonts w:eastAsia="Times New Roman" w:cs="Times New Roman"/>
          <w:color w:val="222222"/>
          <w:szCs w:val="24"/>
          <w:highlight w:val="white"/>
        </w:rPr>
        <w:t>Collins</w:t>
      </w:r>
      <w:r w:rsidR="002E45D8">
        <w:rPr>
          <w:rFonts w:eastAsia="Times New Roman" w:cs="Times New Roman"/>
          <w:color w:val="222222"/>
          <w:szCs w:val="24"/>
          <w:highlight w:val="white"/>
        </w:rPr>
        <w:t>, 2021</w:t>
      </w:r>
      <w:r>
        <w:rPr>
          <w:rFonts w:eastAsia="Times New Roman" w:cs="Times New Roman"/>
          <w:szCs w:val="24"/>
        </w:rPr>
        <w:t xml:space="preserve">). When workers trust or believe that HR methods and practices are equitable, consistent, and fair they are likely to be involved positively with the initiatives of HR. </w:t>
      </w:r>
    </w:p>
    <w:p w14:paraId="00000029" w14:textId="39350E05" w:rsidR="00380796" w:rsidRDefault="00B83B8A">
      <w:pPr>
        <w:rPr>
          <w:rFonts w:eastAsia="Times New Roman" w:cs="Times New Roman"/>
          <w:szCs w:val="24"/>
        </w:rPr>
      </w:pPr>
      <w:r>
        <w:rPr>
          <w:rFonts w:eastAsia="Times New Roman" w:cs="Times New Roman"/>
          <w:b/>
          <w:szCs w:val="24"/>
        </w:rPr>
        <w:t xml:space="preserve">Change Readiness: </w:t>
      </w:r>
      <w:r>
        <w:rPr>
          <w:rFonts w:eastAsia="Times New Roman" w:cs="Times New Roman"/>
          <w:szCs w:val="24"/>
        </w:rPr>
        <w:t xml:space="preserve">The </w:t>
      </w:r>
      <w:r w:rsidR="002E45D8">
        <w:rPr>
          <w:rFonts w:eastAsia="Times New Roman" w:cs="Times New Roman"/>
          <w:szCs w:val="24"/>
        </w:rPr>
        <w:t>Company’s</w:t>
      </w:r>
      <w:r>
        <w:rPr>
          <w:rFonts w:eastAsia="Times New Roman" w:cs="Times New Roman"/>
          <w:szCs w:val="24"/>
        </w:rPr>
        <w:t xml:space="preserve"> readiness as well as readiness to adjust to transformation can affect HR strategy potency. If the company is highly resistant to transformation or lacks the capabilities of change management, it hinders the effective implementation of the initiatives of HR aimed at navigating strategic transformations (</w:t>
      </w:r>
      <w:r>
        <w:rPr>
          <w:rFonts w:eastAsia="Times New Roman" w:cs="Times New Roman"/>
          <w:color w:val="222222"/>
          <w:szCs w:val="24"/>
          <w:highlight w:val="white"/>
        </w:rPr>
        <w:t>Oh. and Han, 2020</w:t>
      </w:r>
      <w:r>
        <w:rPr>
          <w:rFonts w:eastAsia="Times New Roman" w:cs="Times New Roman"/>
          <w:szCs w:val="24"/>
        </w:rPr>
        <w:t>).</w:t>
      </w:r>
    </w:p>
    <w:p w14:paraId="0000002A" w14:textId="77777777" w:rsidR="00380796" w:rsidRDefault="00B83B8A">
      <w:pPr>
        <w:rPr>
          <w:rFonts w:eastAsia="Times New Roman" w:cs="Times New Roman"/>
          <w:szCs w:val="24"/>
        </w:rPr>
      </w:pPr>
      <w:r>
        <w:rPr>
          <w:rFonts w:eastAsia="Times New Roman" w:cs="Times New Roman"/>
          <w:b/>
          <w:szCs w:val="24"/>
        </w:rPr>
        <w:t xml:space="preserve">Allocation of resources: </w:t>
      </w:r>
      <w:r>
        <w:rPr>
          <w:rFonts w:eastAsia="Times New Roman" w:cs="Times New Roman"/>
          <w:szCs w:val="24"/>
        </w:rPr>
        <w:t>Adequate resource allocation, involving budget, staff, and also technology is important for effective implementation of HR strategy. Insufficient resources can obstruct the HR initiative's execution and restrict their effect on obtaining strategic goals.</w:t>
      </w:r>
    </w:p>
    <w:p w14:paraId="0000002B" w14:textId="05199B2D" w:rsidR="00380796" w:rsidRDefault="00B83B8A">
      <w:pPr>
        <w:rPr>
          <w:rFonts w:eastAsia="Times New Roman" w:cs="Times New Roman"/>
          <w:szCs w:val="24"/>
        </w:rPr>
      </w:pPr>
      <w:r>
        <w:rPr>
          <w:rFonts w:eastAsia="Times New Roman" w:cs="Times New Roman"/>
          <w:b/>
          <w:szCs w:val="24"/>
        </w:rPr>
        <w:t xml:space="preserve">Performance Feedback and Measurement: </w:t>
      </w:r>
      <w:r>
        <w:rPr>
          <w:rFonts w:eastAsia="Times New Roman" w:cs="Times New Roman"/>
          <w:szCs w:val="24"/>
        </w:rPr>
        <w:t>Developing clear and strategic performance metrics as well as giving systematic feedback enables HR to monitor their strategy’s effectiveness. A climate or ambience that values and appreciates data-driven decision-making or choices and an uninterrupted improvement process presents the HR team with the compulsory feedback loop specifically to enhance and refine their strategies progressively (</w:t>
      </w:r>
      <w:proofErr w:type="spellStart"/>
      <w:r>
        <w:rPr>
          <w:rFonts w:eastAsia="Times New Roman" w:cs="Times New Roman"/>
          <w:color w:val="222222"/>
          <w:szCs w:val="24"/>
          <w:highlight w:val="white"/>
        </w:rPr>
        <w:t>Sabuhari</w:t>
      </w:r>
      <w:proofErr w:type="spellEnd"/>
      <w:r w:rsidR="002E45D8">
        <w:rPr>
          <w:rFonts w:eastAsia="Times New Roman" w:cs="Times New Roman"/>
          <w:color w:val="222222"/>
          <w:szCs w:val="24"/>
          <w:highlight w:val="white"/>
        </w:rPr>
        <w:t>, et</w:t>
      </w:r>
      <w:r>
        <w:rPr>
          <w:rFonts w:eastAsia="Times New Roman" w:cs="Times New Roman"/>
          <w:color w:val="222222"/>
          <w:szCs w:val="24"/>
          <w:highlight w:val="white"/>
        </w:rPr>
        <w:t xml:space="preserve"> al. 2020</w:t>
      </w:r>
      <w:r>
        <w:rPr>
          <w:rFonts w:eastAsia="Times New Roman" w:cs="Times New Roman"/>
          <w:szCs w:val="24"/>
        </w:rPr>
        <w:t xml:space="preserve">). An effective system of performance management that presents regular feedback, rewards as well as recognizes employees' achievements or contributions, and also supports their progress aligns with key HR strategies. Moreover, it increases the HR initiative’s effectiveness. </w:t>
      </w:r>
    </w:p>
    <w:p w14:paraId="0000002C" w14:textId="77777777" w:rsidR="00380796" w:rsidRDefault="00B83B8A" w:rsidP="002E45D8">
      <w:pPr>
        <w:pStyle w:val="Heading1"/>
      </w:pPr>
      <w:bookmarkStart w:id="2" w:name="_Toc137053098"/>
      <w:r w:rsidRPr="002E45D8">
        <w:lastRenderedPageBreak/>
        <w:t>Conclusion</w:t>
      </w:r>
      <w:bookmarkEnd w:id="2"/>
    </w:p>
    <w:p w14:paraId="0000002D" w14:textId="7328CFD3" w:rsidR="002E45D8" w:rsidRDefault="00B83B8A">
      <w:pPr>
        <w:rPr>
          <w:rFonts w:eastAsia="Times New Roman" w:cs="Times New Roman"/>
          <w:szCs w:val="24"/>
        </w:rPr>
      </w:pPr>
      <w:r>
        <w:rPr>
          <w:rFonts w:eastAsia="Times New Roman" w:cs="Times New Roman"/>
          <w:szCs w:val="24"/>
        </w:rPr>
        <w:t xml:space="preserve">It is concluded that the objective of the East Coast County was to increase the strategic HR association or partnering skills within the circumstances of the public sector by addressing and determining the lack of qualified or skilled candidates for the role of senior HR. By developing a talent pipeline as well as developing talents with important skills, they also aimed to bridge the leadership gap as well as allow the HR effective implementation and initiatives for organisational development in the public sector firms they supported. HR should collaborate and interact closely with the organisation's other leaders and departments to make sure that the efforts of employee development are closely combined with the complete strategic guidance of the organisation. It is crucial to notice that the HR strategy effectiveness is also influenced or affected by sector-specific issues, like budget issues in this sector, lack of business partnering abilities in employees and rapid changes in the market in the private sector. Thus, the way is to line up HR strategies mainly with the organisational objectives of the East Coast </w:t>
      </w:r>
      <w:r w:rsidR="002E45D8">
        <w:rPr>
          <w:rFonts w:eastAsia="Times New Roman" w:cs="Times New Roman"/>
          <w:szCs w:val="24"/>
        </w:rPr>
        <w:t>County</w:t>
      </w:r>
      <w:r>
        <w:rPr>
          <w:rFonts w:eastAsia="Times New Roman" w:cs="Times New Roman"/>
          <w:szCs w:val="24"/>
        </w:rPr>
        <w:t xml:space="preserve"> and supervise relevant indicators mainly to evaluate their impact. It's also worth considering that the assessment techniques are not limited to the private and public sectors. Both these sector organisations also utilise and adapt multiple assessment methods based on their certain goals, organisational culture and objectives. It is also observed that HR strategy effectiveness is impacted by the organisational climate factors alignment with the values, aims and needs of the strategy.</w:t>
      </w:r>
    </w:p>
    <w:p w14:paraId="7FB9D5AC" w14:textId="77777777" w:rsidR="002E45D8" w:rsidRDefault="002E45D8">
      <w:pPr>
        <w:spacing w:line="276" w:lineRule="auto"/>
        <w:jc w:val="left"/>
        <w:rPr>
          <w:rFonts w:eastAsia="Times New Roman" w:cs="Times New Roman"/>
          <w:szCs w:val="24"/>
        </w:rPr>
      </w:pPr>
      <w:r>
        <w:rPr>
          <w:rFonts w:eastAsia="Times New Roman" w:cs="Times New Roman"/>
          <w:szCs w:val="24"/>
        </w:rPr>
        <w:br w:type="page"/>
      </w:r>
    </w:p>
    <w:p w14:paraId="2AB1697E" w14:textId="561AB59A" w:rsidR="00380796" w:rsidRDefault="002E45D8" w:rsidP="002E45D8">
      <w:pPr>
        <w:pStyle w:val="Heading1"/>
      </w:pPr>
      <w:bookmarkStart w:id="3" w:name="_Toc137053099"/>
      <w:r>
        <w:lastRenderedPageBreak/>
        <w:t>References</w:t>
      </w:r>
      <w:bookmarkEnd w:id="3"/>
    </w:p>
    <w:p w14:paraId="1D88D217" w14:textId="77777777" w:rsidR="002E45D8" w:rsidRPr="003519BF" w:rsidRDefault="002E45D8" w:rsidP="002E45D8">
      <w:pPr>
        <w:ind w:left="66"/>
        <w:rPr>
          <w:rFonts w:cs="Times New Roman"/>
          <w:color w:val="222222"/>
          <w:szCs w:val="24"/>
          <w:shd w:val="clear" w:color="auto" w:fill="FFFFFF"/>
        </w:rPr>
      </w:pPr>
      <w:proofErr w:type="spellStart"/>
      <w:r w:rsidRPr="003519BF">
        <w:rPr>
          <w:rFonts w:cs="Times New Roman"/>
          <w:color w:val="222222"/>
          <w:szCs w:val="24"/>
          <w:shd w:val="clear" w:color="auto" w:fill="FFFFFF"/>
        </w:rPr>
        <w:t>Abdeldayem</w:t>
      </w:r>
      <w:proofErr w:type="spellEnd"/>
      <w:r w:rsidRPr="003519BF">
        <w:rPr>
          <w:rFonts w:cs="Times New Roman"/>
          <w:color w:val="222222"/>
          <w:szCs w:val="24"/>
          <w:shd w:val="clear" w:color="auto" w:fill="FFFFFF"/>
        </w:rPr>
        <w:t xml:space="preserve">, M.M. and </w:t>
      </w:r>
      <w:proofErr w:type="spellStart"/>
      <w:r w:rsidRPr="003519BF">
        <w:rPr>
          <w:rFonts w:cs="Times New Roman"/>
          <w:color w:val="222222"/>
          <w:szCs w:val="24"/>
          <w:shd w:val="clear" w:color="auto" w:fill="FFFFFF"/>
        </w:rPr>
        <w:t>Aldulaimi</w:t>
      </w:r>
      <w:proofErr w:type="spellEnd"/>
      <w:r w:rsidRPr="003519BF">
        <w:rPr>
          <w:rFonts w:cs="Times New Roman"/>
          <w:color w:val="222222"/>
          <w:szCs w:val="24"/>
          <w:shd w:val="clear" w:color="auto" w:fill="FFFFFF"/>
        </w:rPr>
        <w:t>, S.H., 2020. Trends and opportunities of artificial intelligence in human resource management: Aspirations for public sector in Bahrain. </w:t>
      </w:r>
      <w:r w:rsidRPr="003519BF">
        <w:rPr>
          <w:rFonts w:cs="Times New Roman"/>
          <w:i/>
          <w:iCs/>
          <w:color w:val="222222"/>
          <w:szCs w:val="24"/>
          <w:shd w:val="clear" w:color="auto" w:fill="FFFFFF"/>
        </w:rPr>
        <w:t>International Journal of Scientific and Technology Research</w:t>
      </w:r>
      <w:r w:rsidRPr="003519BF">
        <w:rPr>
          <w:rFonts w:cs="Times New Roman"/>
          <w:color w:val="222222"/>
          <w:szCs w:val="24"/>
          <w:shd w:val="clear" w:color="auto" w:fill="FFFFFF"/>
        </w:rPr>
        <w:t>, </w:t>
      </w:r>
      <w:r w:rsidRPr="003519BF">
        <w:rPr>
          <w:rFonts w:cs="Times New Roman"/>
          <w:i/>
          <w:iCs/>
          <w:color w:val="222222"/>
          <w:szCs w:val="24"/>
          <w:shd w:val="clear" w:color="auto" w:fill="FFFFFF"/>
        </w:rPr>
        <w:t>9</w:t>
      </w:r>
      <w:r w:rsidRPr="003519BF">
        <w:rPr>
          <w:rFonts w:cs="Times New Roman"/>
          <w:color w:val="222222"/>
          <w:szCs w:val="24"/>
          <w:shd w:val="clear" w:color="auto" w:fill="FFFFFF"/>
        </w:rPr>
        <w:t>(1), pp.3867-3871.</w:t>
      </w:r>
    </w:p>
    <w:p w14:paraId="24F08B1B" w14:textId="77777777" w:rsidR="002E45D8" w:rsidRPr="003519BF" w:rsidRDefault="002E45D8" w:rsidP="002E45D8">
      <w:pPr>
        <w:ind w:left="66"/>
        <w:rPr>
          <w:rFonts w:cs="Times New Roman"/>
          <w:color w:val="auto"/>
          <w:szCs w:val="24"/>
        </w:rPr>
      </w:pPr>
      <w:proofErr w:type="spellStart"/>
      <w:r w:rsidRPr="003519BF">
        <w:rPr>
          <w:rFonts w:cs="Times New Roman"/>
          <w:color w:val="222222"/>
          <w:szCs w:val="24"/>
          <w:shd w:val="clear" w:color="auto" w:fill="FFFFFF"/>
        </w:rPr>
        <w:t>Alshammari</w:t>
      </w:r>
      <w:proofErr w:type="spellEnd"/>
      <w:r w:rsidRPr="003519BF">
        <w:rPr>
          <w:rFonts w:cs="Times New Roman"/>
          <w:color w:val="222222"/>
          <w:szCs w:val="24"/>
          <w:shd w:val="clear" w:color="auto" w:fill="FFFFFF"/>
        </w:rPr>
        <w:t>, A.A., 2020. The impact of human resource management practices, organizational learning, organizational culture and knowledge management capabilities on organizational performance in Saudi organizations: a conceptual framework. </w:t>
      </w:r>
      <w:proofErr w:type="spellStart"/>
      <w:r w:rsidRPr="003519BF">
        <w:rPr>
          <w:rFonts w:cs="Times New Roman"/>
          <w:i/>
          <w:iCs/>
          <w:color w:val="222222"/>
          <w:szCs w:val="24"/>
          <w:shd w:val="clear" w:color="auto" w:fill="FFFFFF"/>
        </w:rPr>
        <w:t>Revista</w:t>
      </w:r>
      <w:proofErr w:type="spellEnd"/>
      <w:r w:rsidRPr="003519BF">
        <w:rPr>
          <w:rFonts w:cs="Times New Roman"/>
          <w:i/>
          <w:iCs/>
          <w:color w:val="222222"/>
          <w:szCs w:val="24"/>
          <w:shd w:val="clear" w:color="auto" w:fill="FFFFFF"/>
        </w:rPr>
        <w:t xml:space="preserve"> Argentina de </w:t>
      </w:r>
      <w:proofErr w:type="spellStart"/>
      <w:r w:rsidRPr="003519BF">
        <w:rPr>
          <w:rFonts w:cs="Times New Roman"/>
          <w:i/>
          <w:iCs/>
          <w:color w:val="222222"/>
          <w:szCs w:val="24"/>
          <w:shd w:val="clear" w:color="auto" w:fill="FFFFFF"/>
        </w:rPr>
        <w:t>Clínica</w:t>
      </w:r>
      <w:proofErr w:type="spellEnd"/>
      <w:r w:rsidRPr="003519BF">
        <w:rPr>
          <w:rFonts w:cs="Times New Roman"/>
          <w:i/>
          <w:iCs/>
          <w:color w:val="222222"/>
          <w:szCs w:val="24"/>
          <w:shd w:val="clear" w:color="auto" w:fill="FFFFFF"/>
        </w:rPr>
        <w:t xml:space="preserve"> </w:t>
      </w:r>
      <w:proofErr w:type="spellStart"/>
      <w:r w:rsidRPr="003519BF">
        <w:rPr>
          <w:rFonts w:cs="Times New Roman"/>
          <w:i/>
          <w:iCs/>
          <w:color w:val="222222"/>
          <w:szCs w:val="24"/>
          <w:shd w:val="clear" w:color="auto" w:fill="FFFFFF"/>
        </w:rPr>
        <w:t>Psicológica</w:t>
      </w:r>
      <w:proofErr w:type="spellEnd"/>
      <w:r w:rsidRPr="003519BF">
        <w:rPr>
          <w:rFonts w:cs="Times New Roman"/>
          <w:color w:val="222222"/>
          <w:szCs w:val="24"/>
          <w:shd w:val="clear" w:color="auto" w:fill="FFFFFF"/>
        </w:rPr>
        <w:t>, </w:t>
      </w:r>
      <w:r w:rsidRPr="003519BF">
        <w:rPr>
          <w:rFonts w:cs="Times New Roman"/>
          <w:i/>
          <w:iCs/>
          <w:color w:val="222222"/>
          <w:szCs w:val="24"/>
          <w:shd w:val="clear" w:color="auto" w:fill="FFFFFF"/>
        </w:rPr>
        <w:t>29</w:t>
      </w:r>
      <w:r w:rsidRPr="003519BF">
        <w:rPr>
          <w:rFonts w:cs="Times New Roman"/>
          <w:color w:val="222222"/>
          <w:szCs w:val="24"/>
          <w:shd w:val="clear" w:color="auto" w:fill="FFFFFF"/>
        </w:rPr>
        <w:t>(4), p.714.</w:t>
      </w:r>
    </w:p>
    <w:p w14:paraId="3B1560FA" w14:textId="77777777" w:rsidR="002E45D8" w:rsidRPr="003519BF" w:rsidRDefault="002E45D8" w:rsidP="002E45D8">
      <w:pPr>
        <w:ind w:left="66"/>
        <w:rPr>
          <w:rFonts w:cs="Times New Roman"/>
          <w:color w:val="auto"/>
          <w:szCs w:val="24"/>
        </w:rPr>
      </w:pPr>
      <w:r w:rsidRPr="003519BF">
        <w:rPr>
          <w:rFonts w:cs="Times New Roman"/>
          <w:color w:val="222222"/>
          <w:szCs w:val="24"/>
          <w:shd w:val="clear" w:color="auto" w:fill="FFFFFF"/>
        </w:rPr>
        <w:t>Anwar, G. and Abdullah, N.N., 2021. The impact of Human resource management practice on Organizational performance. </w:t>
      </w:r>
      <w:r w:rsidRPr="003519BF">
        <w:rPr>
          <w:rFonts w:cs="Times New Roman"/>
          <w:i/>
          <w:iCs/>
          <w:color w:val="222222"/>
          <w:szCs w:val="24"/>
          <w:shd w:val="clear" w:color="auto" w:fill="FFFFFF"/>
        </w:rPr>
        <w:t>International journal of Engineering, Business and Management (IJEBM)</w:t>
      </w:r>
      <w:r w:rsidRPr="003519BF">
        <w:rPr>
          <w:rFonts w:cs="Times New Roman"/>
          <w:color w:val="222222"/>
          <w:szCs w:val="24"/>
          <w:shd w:val="clear" w:color="auto" w:fill="FFFFFF"/>
        </w:rPr>
        <w:t>, </w:t>
      </w:r>
      <w:r w:rsidRPr="003519BF">
        <w:rPr>
          <w:rFonts w:cs="Times New Roman"/>
          <w:i/>
          <w:iCs/>
          <w:color w:val="222222"/>
          <w:szCs w:val="24"/>
          <w:shd w:val="clear" w:color="auto" w:fill="FFFFFF"/>
        </w:rPr>
        <w:t>5</w:t>
      </w:r>
      <w:r w:rsidRPr="003519BF">
        <w:rPr>
          <w:rFonts w:cs="Times New Roman"/>
          <w:color w:val="222222"/>
          <w:szCs w:val="24"/>
          <w:shd w:val="clear" w:color="auto" w:fill="FFFFFF"/>
        </w:rPr>
        <w:t>.</w:t>
      </w:r>
    </w:p>
    <w:p w14:paraId="3E362C50" w14:textId="77777777" w:rsidR="002E45D8" w:rsidRPr="003519BF" w:rsidRDefault="002E45D8" w:rsidP="002E45D8">
      <w:pPr>
        <w:ind w:left="66"/>
        <w:rPr>
          <w:rFonts w:cs="Times New Roman"/>
          <w:color w:val="auto"/>
          <w:szCs w:val="24"/>
        </w:rPr>
      </w:pPr>
      <w:proofErr w:type="spellStart"/>
      <w:r w:rsidRPr="003519BF">
        <w:rPr>
          <w:rFonts w:cs="Times New Roman"/>
          <w:color w:val="222222"/>
          <w:szCs w:val="24"/>
          <w:shd w:val="clear" w:color="auto" w:fill="FFFFFF"/>
        </w:rPr>
        <w:t>Ashikali</w:t>
      </w:r>
      <w:proofErr w:type="spellEnd"/>
      <w:r w:rsidRPr="003519BF">
        <w:rPr>
          <w:rFonts w:cs="Times New Roman"/>
          <w:color w:val="222222"/>
          <w:szCs w:val="24"/>
          <w:shd w:val="clear" w:color="auto" w:fill="FFFFFF"/>
        </w:rPr>
        <w:t xml:space="preserve">, T., Groeneveld, S. and </w:t>
      </w:r>
      <w:proofErr w:type="spellStart"/>
      <w:r w:rsidRPr="003519BF">
        <w:rPr>
          <w:rFonts w:cs="Times New Roman"/>
          <w:color w:val="222222"/>
          <w:szCs w:val="24"/>
          <w:shd w:val="clear" w:color="auto" w:fill="FFFFFF"/>
        </w:rPr>
        <w:t>Kuipers</w:t>
      </w:r>
      <w:proofErr w:type="spellEnd"/>
      <w:r w:rsidRPr="003519BF">
        <w:rPr>
          <w:rFonts w:cs="Times New Roman"/>
          <w:color w:val="222222"/>
          <w:szCs w:val="24"/>
          <w:shd w:val="clear" w:color="auto" w:fill="FFFFFF"/>
        </w:rPr>
        <w:t>, B., 2021. The role of inclusive leadership in supporting an inclusive climate in diverse public sector teams. </w:t>
      </w:r>
      <w:r w:rsidRPr="003519BF">
        <w:rPr>
          <w:rFonts w:cs="Times New Roman"/>
          <w:i/>
          <w:iCs/>
          <w:color w:val="222222"/>
          <w:szCs w:val="24"/>
          <w:shd w:val="clear" w:color="auto" w:fill="FFFFFF"/>
        </w:rPr>
        <w:t>Review of Public Personnel Administration</w:t>
      </w:r>
      <w:r w:rsidRPr="003519BF">
        <w:rPr>
          <w:rFonts w:cs="Times New Roman"/>
          <w:color w:val="222222"/>
          <w:szCs w:val="24"/>
          <w:shd w:val="clear" w:color="auto" w:fill="FFFFFF"/>
        </w:rPr>
        <w:t>, </w:t>
      </w:r>
      <w:r w:rsidRPr="003519BF">
        <w:rPr>
          <w:rFonts w:cs="Times New Roman"/>
          <w:i/>
          <w:iCs/>
          <w:color w:val="222222"/>
          <w:szCs w:val="24"/>
          <w:shd w:val="clear" w:color="auto" w:fill="FFFFFF"/>
        </w:rPr>
        <w:t>41</w:t>
      </w:r>
      <w:r w:rsidRPr="003519BF">
        <w:rPr>
          <w:rFonts w:cs="Times New Roman"/>
          <w:color w:val="222222"/>
          <w:szCs w:val="24"/>
          <w:shd w:val="clear" w:color="auto" w:fill="FFFFFF"/>
        </w:rPr>
        <w:t>(3), pp.497-519.</w:t>
      </w:r>
    </w:p>
    <w:p w14:paraId="3F4EDC91" w14:textId="77777777" w:rsidR="002E45D8" w:rsidRPr="003519BF" w:rsidRDefault="002E45D8" w:rsidP="002E45D8">
      <w:pPr>
        <w:ind w:left="66"/>
        <w:rPr>
          <w:rFonts w:cs="Times New Roman"/>
          <w:color w:val="auto"/>
          <w:szCs w:val="24"/>
        </w:rPr>
      </w:pPr>
      <w:proofErr w:type="spellStart"/>
      <w:r w:rsidRPr="003519BF">
        <w:rPr>
          <w:rFonts w:cs="Times New Roman"/>
          <w:color w:val="222222"/>
          <w:szCs w:val="24"/>
          <w:shd w:val="clear" w:color="auto" w:fill="FFFFFF"/>
        </w:rPr>
        <w:t>Blom</w:t>
      </w:r>
      <w:proofErr w:type="spellEnd"/>
      <w:r w:rsidRPr="003519BF">
        <w:rPr>
          <w:rFonts w:cs="Times New Roman"/>
          <w:color w:val="222222"/>
          <w:szCs w:val="24"/>
          <w:shd w:val="clear" w:color="auto" w:fill="FFFFFF"/>
        </w:rPr>
        <w:t xml:space="preserve">, R., </w:t>
      </w:r>
      <w:proofErr w:type="spellStart"/>
      <w:r w:rsidRPr="003519BF">
        <w:rPr>
          <w:rFonts w:cs="Times New Roman"/>
          <w:color w:val="222222"/>
          <w:szCs w:val="24"/>
          <w:shd w:val="clear" w:color="auto" w:fill="FFFFFF"/>
        </w:rPr>
        <w:t>Kruyen</w:t>
      </w:r>
      <w:proofErr w:type="spellEnd"/>
      <w:r w:rsidRPr="003519BF">
        <w:rPr>
          <w:rFonts w:cs="Times New Roman"/>
          <w:color w:val="222222"/>
          <w:szCs w:val="24"/>
          <w:shd w:val="clear" w:color="auto" w:fill="FFFFFF"/>
        </w:rPr>
        <w:t xml:space="preserve">, P.M., Van der Heijden, B.I. and Van Thiel, S., 2020. One HRM fits all? A meta-analysis of the effects of HRM practices in the public, </w:t>
      </w:r>
      <w:proofErr w:type="spellStart"/>
      <w:r w:rsidRPr="003519BF">
        <w:rPr>
          <w:rFonts w:cs="Times New Roman"/>
          <w:color w:val="222222"/>
          <w:szCs w:val="24"/>
          <w:shd w:val="clear" w:color="auto" w:fill="FFFFFF"/>
        </w:rPr>
        <w:t>semipublic</w:t>
      </w:r>
      <w:proofErr w:type="spellEnd"/>
      <w:r w:rsidRPr="003519BF">
        <w:rPr>
          <w:rFonts w:cs="Times New Roman"/>
          <w:color w:val="222222"/>
          <w:szCs w:val="24"/>
          <w:shd w:val="clear" w:color="auto" w:fill="FFFFFF"/>
        </w:rPr>
        <w:t>, and private sector. </w:t>
      </w:r>
      <w:r w:rsidRPr="003519BF">
        <w:rPr>
          <w:rFonts w:cs="Times New Roman"/>
          <w:i/>
          <w:iCs/>
          <w:color w:val="222222"/>
          <w:szCs w:val="24"/>
          <w:shd w:val="clear" w:color="auto" w:fill="FFFFFF"/>
        </w:rPr>
        <w:t>Review of Public Personnel Administration</w:t>
      </w:r>
      <w:r w:rsidRPr="003519BF">
        <w:rPr>
          <w:rFonts w:cs="Times New Roman"/>
          <w:color w:val="222222"/>
          <w:szCs w:val="24"/>
          <w:shd w:val="clear" w:color="auto" w:fill="FFFFFF"/>
        </w:rPr>
        <w:t>, </w:t>
      </w:r>
      <w:r w:rsidRPr="003519BF">
        <w:rPr>
          <w:rFonts w:cs="Times New Roman"/>
          <w:i/>
          <w:iCs/>
          <w:color w:val="222222"/>
          <w:szCs w:val="24"/>
          <w:shd w:val="clear" w:color="auto" w:fill="FFFFFF"/>
        </w:rPr>
        <w:t>40</w:t>
      </w:r>
      <w:r w:rsidRPr="003519BF">
        <w:rPr>
          <w:rFonts w:cs="Times New Roman"/>
          <w:color w:val="222222"/>
          <w:szCs w:val="24"/>
          <w:shd w:val="clear" w:color="auto" w:fill="FFFFFF"/>
        </w:rPr>
        <w:t>(1), pp.3-35.</w:t>
      </w:r>
    </w:p>
    <w:p w14:paraId="4F7088E8" w14:textId="77777777" w:rsidR="002E45D8" w:rsidRPr="003519BF" w:rsidRDefault="002E45D8" w:rsidP="002E45D8">
      <w:pPr>
        <w:ind w:left="66"/>
        <w:rPr>
          <w:rFonts w:cs="Times New Roman"/>
          <w:color w:val="auto"/>
          <w:szCs w:val="24"/>
        </w:rPr>
      </w:pPr>
      <w:r w:rsidRPr="003519BF">
        <w:rPr>
          <w:rFonts w:cs="Times New Roman"/>
          <w:color w:val="222222"/>
          <w:szCs w:val="24"/>
          <w:shd w:val="clear" w:color="auto" w:fill="FFFFFF"/>
        </w:rPr>
        <w:t xml:space="preserve">Boon, C., Den Hartog, D.N. and </w:t>
      </w:r>
      <w:proofErr w:type="spellStart"/>
      <w:r w:rsidRPr="003519BF">
        <w:rPr>
          <w:rFonts w:cs="Times New Roman"/>
          <w:color w:val="222222"/>
          <w:szCs w:val="24"/>
          <w:shd w:val="clear" w:color="auto" w:fill="FFFFFF"/>
        </w:rPr>
        <w:t>Lepak</w:t>
      </w:r>
      <w:proofErr w:type="spellEnd"/>
      <w:r w:rsidRPr="003519BF">
        <w:rPr>
          <w:rFonts w:cs="Times New Roman"/>
          <w:color w:val="222222"/>
          <w:szCs w:val="24"/>
          <w:shd w:val="clear" w:color="auto" w:fill="FFFFFF"/>
        </w:rPr>
        <w:t>, D.P., 2019. A systematic review of human resource management systems and their measurement. </w:t>
      </w:r>
      <w:r w:rsidRPr="003519BF">
        <w:rPr>
          <w:rFonts w:cs="Times New Roman"/>
          <w:i/>
          <w:iCs/>
          <w:color w:val="222222"/>
          <w:szCs w:val="24"/>
          <w:shd w:val="clear" w:color="auto" w:fill="FFFFFF"/>
        </w:rPr>
        <w:t>Journal of management</w:t>
      </w:r>
      <w:r w:rsidRPr="003519BF">
        <w:rPr>
          <w:rFonts w:cs="Times New Roman"/>
          <w:color w:val="222222"/>
          <w:szCs w:val="24"/>
          <w:shd w:val="clear" w:color="auto" w:fill="FFFFFF"/>
        </w:rPr>
        <w:t>, </w:t>
      </w:r>
      <w:r w:rsidRPr="003519BF">
        <w:rPr>
          <w:rFonts w:cs="Times New Roman"/>
          <w:i/>
          <w:iCs/>
          <w:color w:val="222222"/>
          <w:szCs w:val="24"/>
          <w:shd w:val="clear" w:color="auto" w:fill="FFFFFF"/>
        </w:rPr>
        <w:t>45</w:t>
      </w:r>
      <w:r w:rsidRPr="003519BF">
        <w:rPr>
          <w:rFonts w:cs="Times New Roman"/>
          <w:color w:val="222222"/>
          <w:szCs w:val="24"/>
          <w:shd w:val="clear" w:color="auto" w:fill="FFFFFF"/>
        </w:rPr>
        <w:t>(6), pp.2498-2537.</w:t>
      </w:r>
    </w:p>
    <w:p w14:paraId="2B410B24" w14:textId="77777777" w:rsidR="002E45D8" w:rsidRPr="003519BF" w:rsidRDefault="002E45D8" w:rsidP="002E45D8">
      <w:pPr>
        <w:ind w:left="66"/>
        <w:rPr>
          <w:rFonts w:cs="Times New Roman"/>
          <w:color w:val="222222"/>
          <w:szCs w:val="24"/>
          <w:shd w:val="clear" w:color="auto" w:fill="FFFFFF"/>
        </w:rPr>
      </w:pPr>
      <w:proofErr w:type="spellStart"/>
      <w:r w:rsidRPr="003519BF">
        <w:rPr>
          <w:rFonts w:cs="Times New Roman"/>
          <w:color w:val="222222"/>
          <w:szCs w:val="24"/>
          <w:shd w:val="clear" w:color="auto" w:fill="FFFFFF"/>
        </w:rPr>
        <w:t>Boselie</w:t>
      </w:r>
      <w:proofErr w:type="spellEnd"/>
      <w:r w:rsidRPr="003519BF">
        <w:rPr>
          <w:rFonts w:cs="Times New Roman"/>
          <w:color w:val="222222"/>
          <w:szCs w:val="24"/>
          <w:shd w:val="clear" w:color="auto" w:fill="FFFFFF"/>
        </w:rPr>
        <w:t xml:space="preserve">, P., Van </w:t>
      </w:r>
      <w:proofErr w:type="spellStart"/>
      <w:r w:rsidRPr="003519BF">
        <w:rPr>
          <w:rFonts w:cs="Times New Roman"/>
          <w:color w:val="222222"/>
          <w:szCs w:val="24"/>
          <w:shd w:val="clear" w:color="auto" w:fill="FFFFFF"/>
        </w:rPr>
        <w:t>Harten</w:t>
      </w:r>
      <w:proofErr w:type="spellEnd"/>
      <w:r w:rsidRPr="003519BF">
        <w:rPr>
          <w:rFonts w:cs="Times New Roman"/>
          <w:color w:val="222222"/>
          <w:szCs w:val="24"/>
          <w:shd w:val="clear" w:color="auto" w:fill="FFFFFF"/>
        </w:rPr>
        <w:t>, J. and Veld, M., 2021. A human resource management review on public management and public administration research: stop right there… before we go any further…. </w:t>
      </w:r>
      <w:r w:rsidRPr="003519BF">
        <w:rPr>
          <w:rFonts w:cs="Times New Roman"/>
          <w:i/>
          <w:iCs/>
          <w:color w:val="222222"/>
          <w:szCs w:val="24"/>
          <w:shd w:val="clear" w:color="auto" w:fill="FFFFFF"/>
        </w:rPr>
        <w:t>Public Management Review</w:t>
      </w:r>
      <w:r w:rsidRPr="003519BF">
        <w:rPr>
          <w:rFonts w:cs="Times New Roman"/>
          <w:color w:val="222222"/>
          <w:szCs w:val="24"/>
          <w:shd w:val="clear" w:color="auto" w:fill="FFFFFF"/>
        </w:rPr>
        <w:t>, </w:t>
      </w:r>
      <w:r w:rsidRPr="003519BF">
        <w:rPr>
          <w:rFonts w:cs="Times New Roman"/>
          <w:i/>
          <w:iCs/>
          <w:color w:val="222222"/>
          <w:szCs w:val="24"/>
          <w:shd w:val="clear" w:color="auto" w:fill="FFFFFF"/>
        </w:rPr>
        <w:t>23</w:t>
      </w:r>
      <w:r w:rsidRPr="003519BF">
        <w:rPr>
          <w:rFonts w:cs="Times New Roman"/>
          <w:color w:val="222222"/>
          <w:szCs w:val="24"/>
          <w:shd w:val="clear" w:color="auto" w:fill="FFFFFF"/>
        </w:rPr>
        <w:t>(4), pp.483-500.</w:t>
      </w:r>
    </w:p>
    <w:p w14:paraId="79553C44" w14:textId="77777777" w:rsidR="002E45D8" w:rsidRPr="003519BF" w:rsidRDefault="002E45D8" w:rsidP="002E45D8">
      <w:pPr>
        <w:ind w:left="66"/>
        <w:rPr>
          <w:rFonts w:cs="Times New Roman"/>
          <w:color w:val="auto"/>
          <w:szCs w:val="24"/>
        </w:rPr>
      </w:pPr>
      <w:r w:rsidRPr="003519BF">
        <w:rPr>
          <w:rFonts w:cs="Times New Roman"/>
          <w:color w:val="222222"/>
          <w:szCs w:val="24"/>
          <w:shd w:val="clear" w:color="auto" w:fill="FFFFFF"/>
        </w:rPr>
        <w:t xml:space="preserve">Charbonneau, É. and </w:t>
      </w:r>
      <w:proofErr w:type="spellStart"/>
      <w:r w:rsidRPr="003519BF">
        <w:rPr>
          <w:rFonts w:cs="Times New Roman"/>
          <w:color w:val="222222"/>
          <w:szCs w:val="24"/>
          <w:shd w:val="clear" w:color="auto" w:fill="FFFFFF"/>
        </w:rPr>
        <w:t>Doberstein</w:t>
      </w:r>
      <w:proofErr w:type="spellEnd"/>
      <w:r w:rsidRPr="003519BF">
        <w:rPr>
          <w:rFonts w:cs="Times New Roman"/>
          <w:color w:val="222222"/>
          <w:szCs w:val="24"/>
          <w:shd w:val="clear" w:color="auto" w:fill="FFFFFF"/>
        </w:rPr>
        <w:t>, C., 2020. An empirical assessment of the intrusiveness and reasonableness of emerging work surveillance technologies in the public sector. </w:t>
      </w:r>
      <w:r w:rsidRPr="003519BF">
        <w:rPr>
          <w:rFonts w:cs="Times New Roman"/>
          <w:i/>
          <w:iCs/>
          <w:color w:val="222222"/>
          <w:szCs w:val="24"/>
          <w:shd w:val="clear" w:color="auto" w:fill="FFFFFF"/>
        </w:rPr>
        <w:t>Public Administration Review</w:t>
      </w:r>
      <w:r w:rsidRPr="003519BF">
        <w:rPr>
          <w:rFonts w:cs="Times New Roman"/>
          <w:color w:val="222222"/>
          <w:szCs w:val="24"/>
          <w:shd w:val="clear" w:color="auto" w:fill="FFFFFF"/>
        </w:rPr>
        <w:t>, </w:t>
      </w:r>
      <w:r w:rsidRPr="003519BF">
        <w:rPr>
          <w:rFonts w:cs="Times New Roman"/>
          <w:i/>
          <w:iCs/>
          <w:color w:val="222222"/>
          <w:szCs w:val="24"/>
          <w:shd w:val="clear" w:color="auto" w:fill="FFFFFF"/>
        </w:rPr>
        <w:t>80</w:t>
      </w:r>
      <w:r w:rsidRPr="003519BF">
        <w:rPr>
          <w:rFonts w:cs="Times New Roman"/>
          <w:color w:val="222222"/>
          <w:szCs w:val="24"/>
          <w:shd w:val="clear" w:color="auto" w:fill="FFFFFF"/>
        </w:rPr>
        <w:t>(5), pp.780-791.</w:t>
      </w:r>
    </w:p>
    <w:p w14:paraId="55F5F4E3" w14:textId="77777777" w:rsidR="002E45D8" w:rsidRPr="003519BF" w:rsidRDefault="002E45D8" w:rsidP="002E45D8">
      <w:pPr>
        <w:ind w:left="66"/>
        <w:rPr>
          <w:rFonts w:cs="Times New Roman"/>
          <w:color w:val="auto"/>
          <w:szCs w:val="24"/>
        </w:rPr>
      </w:pPr>
      <w:r w:rsidRPr="003519BF">
        <w:rPr>
          <w:rFonts w:cs="Times New Roman"/>
          <w:color w:val="222222"/>
          <w:szCs w:val="24"/>
          <w:shd w:val="clear" w:color="auto" w:fill="FFFFFF"/>
        </w:rPr>
        <w:t>Collins, C.J., 2021. Expanding the resource based view model of strategic human resource management. </w:t>
      </w:r>
      <w:r w:rsidRPr="003519BF">
        <w:rPr>
          <w:rFonts w:cs="Times New Roman"/>
          <w:i/>
          <w:iCs/>
          <w:color w:val="222222"/>
          <w:szCs w:val="24"/>
          <w:shd w:val="clear" w:color="auto" w:fill="FFFFFF"/>
        </w:rPr>
        <w:t>The International Journal of Human Resource Management</w:t>
      </w:r>
      <w:r w:rsidRPr="003519BF">
        <w:rPr>
          <w:rFonts w:cs="Times New Roman"/>
          <w:color w:val="222222"/>
          <w:szCs w:val="24"/>
          <w:shd w:val="clear" w:color="auto" w:fill="FFFFFF"/>
        </w:rPr>
        <w:t>, </w:t>
      </w:r>
      <w:r w:rsidRPr="003519BF">
        <w:rPr>
          <w:rFonts w:cs="Times New Roman"/>
          <w:i/>
          <w:iCs/>
          <w:color w:val="222222"/>
          <w:szCs w:val="24"/>
          <w:shd w:val="clear" w:color="auto" w:fill="FFFFFF"/>
        </w:rPr>
        <w:t>32</w:t>
      </w:r>
      <w:r w:rsidRPr="003519BF">
        <w:rPr>
          <w:rFonts w:cs="Times New Roman"/>
          <w:color w:val="222222"/>
          <w:szCs w:val="24"/>
          <w:shd w:val="clear" w:color="auto" w:fill="FFFFFF"/>
        </w:rPr>
        <w:t>(2), pp.331-358.</w:t>
      </w:r>
    </w:p>
    <w:p w14:paraId="57C08FCA" w14:textId="77777777" w:rsidR="002E45D8" w:rsidRPr="003519BF" w:rsidRDefault="002E45D8" w:rsidP="002E45D8">
      <w:pPr>
        <w:ind w:left="66"/>
        <w:rPr>
          <w:rFonts w:cs="Times New Roman"/>
          <w:color w:val="auto"/>
          <w:szCs w:val="24"/>
        </w:rPr>
      </w:pPr>
      <w:r w:rsidRPr="003519BF">
        <w:rPr>
          <w:rFonts w:cs="Times New Roman"/>
          <w:color w:val="222222"/>
          <w:szCs w:val="24"/>
          <w:shd w:val="clear" w:color="auto" w:fill="FFFFFF"/>
        </w:rPr>
        <w:t xml:space="preserve">Cooke, F.L., </w:t>
      </w:r>
      <w:proofErr w:type="spellStart"/>
      <w:r w:rsidRPr="003519BF">
        <w:rPr>
          <w:rFonts w:cs="Times New Roman"/>
          <w:color w:val="222222"/>
          <w:szCs w:val="24"/>
          <w:shd w:val="clear" w:color="auto" w:fill="FFFFFF"/>
        </w:rPr>
        <w:t>Dickmann</w:t>
      </w:r>
      <w:proofErr w:type="spellEnd"/>
      <w:r w:rsidRPr="003519BF">
        <w:rPr>
          <w:rFonts w:cs="Times New Roman"/>
          <w:color w:val="222222"/>
          <w:szCs w:val="24"/>
          <w:shd w:val="clear" w:color="auto" w:fill="FFFFFF"/>
        </w:rPr>
        <w:t>, M. and Parry, E., 2022. Building sustainable societies through human-centred human resource management: Emerging issues and research opportunities. </w:t>
      </w:r>
      <w:r w:rsidRPr="003519BF">
        <w:rPr>
          <w:rFonts w:cs="Times New Roman"/>
          <w:i/>
          <w:iCs/>
          <w:color w:val="222222"/>
          <w:szCs w:val="24"/>
          <w:shd w:val="clear" w:color="auto" w:fill="FFFFFF"/>
        </w:rPr>
        <w:t xml:space="preserve">The </w:t>
      </w:r>
      <w:proofErr w:type="spellStart"/>
      <w:r w:rsidRPr="003519BF">
        <w:rPr>
          <w:rFonts w:cs="Times New Roman"/>
          <w:i/>
          <w:iCs/>
          <w:color w:val="222222"/>
          <w:szCs w:val="24"/>
          <w:shd w:val="clear" w:color="auto" w:fill="FFFFFF"/>
        </w:rPr>
        <w:t>InTernaTIonal</w:t>
      </w:r>
      <w:proofErr w:type="spellEnd"/>
      <w:r w:rsidRPr="003519BF">
        <w:rPr>
          <w:rFonts w:cs="Times New Roman"/>
          <w:i/>
          <w:iCs/>
          <w:color w:val="222222"/>
          <w:szCs w:val="24"/>
          <w:shd w:val="clear" w:color="auto" w:fill="FFFFFF"/>
        </w:rPr>
        <w:t xml:space="preserve"> Journal of human resource </w:t>
      </w:r>
      <w:proofErr w:type="spellStart"/>
      <w:r w:rsidRPr="003519BF">
        <w:rPr>
          <w:rFonts w:cs="Times New Roman"/>
          <w:i/>
          <w:iCs/>
          <w:color w:val="222222"/>
          <w:szCs w:val="24"/>
          <w:shd w:val="clear" w:color="auto" w:fill="FFFFFF"/>
        </w:rPr>
        <w:t>managemenT</w:t>
      </w:r>
      <w:proofErr w:type="spellEnd"/>
      <w:r w:rsidRPr="003519BF">
        <w:rPr>
          <w:rFonts w:cs="Times New Roman"/>
          <w:color w:val="222222"/>
          <w:szCs w:val="24"/>
          <w:shd w:val="clear" w:color="auto" w:fill="FFFFFF"/>
        </w:rPr>
        <w:t>, </w:t>
      </w:r>
      <w:r w:rsidRPr="003519BF">
        <w:rPr>
          <w:rFonts w:cs="Times New Roman"/>
          <w:i/>
          <w:iCs/>
          <w:color w:val="222222"/>
          <w:szCs w:val="24"/>
          <w:shd w:val="clear" w:color="auto" w:fill="FFFFFF"/>
        </w:rPr>
        <w:t>33</w:t>
      </w:r>
      <w:r w:rsidRPr="003519BF">
        <w:rPr>
          <w:rFonts w:cs="Times New Roman"/>
          <w:color w:val="222222"/>
          <w:szCs w:val="24"/>
          <w:shd w:val="clear" w:color="auto" w:fill="FFFFFF"/>
        </w:rPr>
        <w:t>(1), pp.1-15.</w:t>
      </w:r>
    </w:p>
    <w:p w14:paraId="115924BB" w14:textId="77777777" w:rsidR="002E45D8" w:rsidRPr="003519BF" w:rsidRDefault="002E45D8" w:rsidP="002E45D8">
      <w:pPr>
        <w:ind w:left="66"/>
        <w:rPr>
          <w:rFonts w:cs="Times New Roman"/>
          <w:color w:val="222222"/>
          <w:szCs w:val="24"/>
          <w:shd w:val="clear" w:color="auto" w:fill="FFFFFF"/>
        </w:rPr>
      </w:pPr>
      <w:proofErr w:type="spellStart"/>
      <w:r w:rsidRPr="003519BF">
        <w:rPr>
          <w:rFonts w:cs="Times New Roman"/>
          <w:color w:val="222222"/>
          <w:szCs w:val="24"/>
          <w:shd w:val="clear" w:color="auto" w:fill="FFFFFF"/>
        </w:rPr>
        <w:t>Kravariti</w:t>
      </w:r>
      <w:proofErr w:type="spellEnd"/>
      <w:r w:rsidRPr="003519BF">
        <w:rPr>
          <w:rFonts w:cs="Times New Roman"/>
          <w:color w:val="222222"/>
          <w:szCs w:val="24"/>
          <w:shd w:val="clear" w:color="auto" w:fill="FFFFFF"/>
        </w:rPr>
        <w:t>, F. and Johnston, K., 2020. Talent management: a critical literature review and research agenda for public sector human resource management. </w:t>
      </w:r>
      <w:r w:rsidRPr="003519BF">
        <w:rPr>
          <w:rFonts w:cs="Times New Roman"/>
          <w:i/>
          <w:iCs/>
          <w:color w:val="222222"/>
          <w:szCs w:val="24"/>
          <w:shd w:val="clear" w:color="auto" w:fill="FFFFFF"/>
        </w:rPr>
        <w:t>Public Management Review</w:t>
      </w:r>
      <w:r w:rsidRPr="003519BF">
        <w:rPr>
          <w:rFonts w:cs="Times New Roman"/>
          <w:color w:val="222222"/>
          <w:szCs w:val="24"/>
          <w:shd w:val="clear" w:color="auto" w:fill="FFFFFF"/>
        </w:rPr>
        <w:t>, </w:t>
      </w:r>
      <w:r w:rsidRPr="003519BF">
        <w:rPr>
          <w:rFonts w:cs="Times New Roman"/>
          <w:i/>
          <w:iCs/>
          <w:color w:val="222222"/>
          <w:szCs w:val="24"/>
          <w:shd w:val="clear" w:color="auto" w:fill="FFFFFF"/>
        </w:rPr>
        <w:t>22</w:t>
      </w:r>
      <w:r w:rsidRPr="003519BF">
        <w:rPr>
          <w:rFonts w:cs="Times New Roman"/>
          <w:color w:val="222222"/>
          <w:szCs w:val="24"/>
          <w:shd w:val="clear" w:color="auto" w:fill="FFFFFF"/>
        </w:rPr>
        <w:t>(1), pp.75-95.</w:t>
      </w:r>
    </w:p>
    <w:p w14:paraId="23E2E670" w14:textId="77777777" w:rsidR="002E45D8" w:rsidRPr="003519BF" w:rsidRDefault="002E45D8" w:rsidP="002E45D8">
      <w:pPr>
        <w:ind w:left="66"/>
        <w:rPr>
          <w:rFonts w:cs="Times New Roman"/>
          <w:szCs w:val="24"/>
        </w:rPr>
      </w:pPr>
      <w:r w:rsidRPr="003519BF">
        <w:rPr>
          <w:rFonts w:cs="Times New Roman"/>
          <w:color w:val="222222"/>
          <w:szCs w:val="24"/>
          <w:shd w:val="clear" w:color="auto" w:fill="FFFFFF"/>
        </w:rPr>
        <w:lastRenderedPageBreak/>
        <w:t>Lee, M.C.C., Idris, M.A. and Tuckey, M., 2019. Supervisory coaching and performance feedback as mediators of the relationships between leadership styles, work engagement, and turnover intention. </w:t>
      </w:r>
      <w:r w:rsidRPr="003519BF">
        <w:rPr>
          <w:rFonts w:cs="Times New Roman"/>
          <w:i/>
          <w:iCs/>
          <w:color w:val="222222"/>
          <w:szCs w:val="24"/>
          <w:shd w:val="clear" w:color="auto" w:fill="FFFFFF"/>
        </w:rPr>
        <w:t>Human Resource Development International</w:t>
      </w:r>
      <w:r w:rsidRPr="003519BF">
        <w:rPr>
          <w:rFonts w:cs="Times New Roman"/>
          <w:color w:val="222222"/>
          <w:szCs w:val="24"/>
          <w:shd w:val="clear" w:color="auto" w:fill="FFFFFF"/>
        </w:rPr>
        <w:t>, </w:t>
      </w:r>
      <w:r w:rsidRPr="003519BF">
        <w:rPr>
          <w:rFonts w:cs="Times New Roman"/>
          <w:i/>
          <w:iCs/>
          <w:color w:val="222222"/>
          <w:szCs w:val="24"/>
          <w:shd w:val="clear" w:color="auto" w:fill="FFFFFF"/>
        </w:rPr>
        <w:t>22</w:t>
      </w:r>
      <w:r w:rsidRPr="003519BF">
        <w:rPr>
          <w:rFonts w:cs="Times New Roman"/>
          <w:color w:val="222222"/>
          <w:szCs w:val="24"/>
          <w:shd w:val="clear" w:color="auto" w:fill="FFFFFF"/>
        </w:rPr>
        <w:t>(3), pp.257-282.</w:t>
      </w:r>
    </w:p>
    <w:p w14:paraId="52AF1B9F" w14:textId="77777777" w:rsidR="002E45D8" w:rsidRPr="003519BF" w:rsidRDefault="002E45D8" w:rsidP="002E45D8">
      <w:pPr>
        <w:ind w:left="66"/>
        <w:rPr>
          <w:rFonts w:cs="Times New Roman"/>
          <w:color w:val="auto"/>
          <w:szCs w:val="24"/>
        </w:rPr>
      </w:pPr>
      <w:r w:rsidRPr="003519BF">
        <w:rPr>
          <w:rFonts w:cs="Times New Roman"/>
          <w:color w:val="222222"/>
          <w:szCs w:val="24"/>
          <w:shd w:val="clear" w:color="auto" w:fill="FFFFFF"/>
        </w:rPr>
        <w:t>Oh, S.Y. and Han, H.S., 2020. Facilitating organisational learning activities: Types of organisational culture and their influence on organisational learning and performance. </w:t>
      </w:r>
      <w:r w:rsidRPr="003519BF">
        <w:rPr>
          <w:rFonts w:cs="Times New Roman"/>
          <w:i/>
          <w:iCs/>
          <w:color w:val="222222"/>
          <w:szCs w:val="24"/>
          <w:shd w:val="clear" w:color="auto" w:fill="FFFFFF"/>
        </w:rPr>
        <w:t>Knowledge Management Research &amp; Practice</w:t>
      </w:r>
      <w:r w:rsidRPr="003519BF">
        <w:rPr>
          <w:rFonts w:cs="Times New Roman"/>
          <w:color w:val="222222"/>
          <w:szCs w:val="24"/>
          <w:shd w:val="clear" w:color="auto" w:fill="FFFFFF"/>
        </w:rPr>
        <w:t>, </w:t>
      </w:r>
      <w:r w:rsidRPr="003519BF">
        <w:rPr>
          <w:rFonts w:cs="Times New Roman"/>
          <w:i/>
          <w:iCs/>
          <w:color w:val="222222"/>
          <w:szCs w:val="24"/>
          <w:shd w:val="clear" w:color="auto" w:fill="FFFFFF"/>
        </w:rPr>
        <w:t>18</w:t>
      </w:r>
      <w:r w:rsidRPr="003519BF">
        <w:rPr>
          <w:rFonts w:cs="Times New Roman"/>
          <w:color w:val="222222"/>
          <w:szCs w:val="24"/>
          <w:shd w:val="clear" w:color="auto" w:fill="FFFFFF"/>
        </w:rPr>
        <w:t>(1), pp.1-15.</w:t>
      </w:r>
    </w:p>
    <w:p w14:paraId="22C380CD" w14:textId="77777777" w:rsidR="002E45D8" w:rsidRPr="003519BF" w:rsidRDefault="002E45D8" w:rsidP="002E45D8">
      <w:pPr>
        <w:ind w:left="66"/>
        <w:rPr>
          <w:rFonts w:cs="Times New Roman"/>
          <w:color w:val="222222"/>
          <w:szCs w:val="24"/>
          <w:shd w:val="clear" w:color="auto" w:fill="FFFFFF"/>
        </w:rPr>
      </w:pPr>
      <w:r w:rsidRPr="003519BF">
        <w:rPr>
          <w:rFonts w:cs="Times New Roman"/>
          <w:color w:val="222222"/>
          <w:szCs w:val="24"/>
          <w:shd w:val="clear" w:color="auto" w:fill="FFFFFF"/>
        </w:rPr>
        <w:t>Pradhan, R.K., Dash, S. and Jena, L.K., 2019. Do HR practices influence job satisfaction? Examining the mediating role of employee engagement in Indian public sector undertakings. </w:t>
      </w:r>
      <w:r w:rsidRPr="003519BF">
        <w:rPr>
          <w:rFonts w:cs="Times New Roman"/>
          <w:i/>
          <w:iCs/>
          <w:color w:val="222222"/>
          <w:szCs w:val="24"/>
          <w:shd w:val="clear" w:color="auto" w:fill="FFFFFF"/>
        </w:rPr>
        <w:t>Global Business Review</w:t>
      </w:r>
      <w:r w:rsidRPr="003519BF">
        <w:rPr>
          <w:rFonts w:cs="Times New Roman"/>
          <w:color w:val="222222"/>
          <w:szCs w:val="24"/>
          <w:shd w:val="clear" w:color="auto" w:fill="FFFFFF"/>
        </w:rPr>
        <w:t>, </w:t>
      </w:r>
      <w:r w:rsidRPr="003519BF">
        <w:rPr>
          <w:rFonts w:cs="Times New Roman"/>
          <w:i/>
          <w:iCs/>
          <w:color w:val="222222"/>
          <w:szCs w:val="24"/>
          <w:shd w:val="clear" w:color="auto" w:fill="FFFFFF"/>
        </w:rPr>
        <w:t>20</w:t>
      </w:r>
      <w:r w:rsidRPr="003519BF">
        <w:rPr>
          <w:rFonts w:cs="Times New Roman"/>
          <w:color w:val="222222"/>
          <w:szCs w:val="24"/>
          <w:shd w:val="clear" w:color="auto" w:fill="FFFFFF"/>
        </w:rPr>
        <w:t>(1), pp.119-132.</w:t>
      </w:r>
    </w:p>
    <w:p w14:paraId="4130EA60" w14:textId="77777777" w:rsidR="002E45D8" w:rsidRPr="003519BF" w:rsidRDefault="002E45D8" w:rsidP="002E45D8">
      <w:pPr>
        <w:ind w:left="66"/>
        <w:rPr>
          <w:rFonts w:cs="Times New Roman"/>
          <w:color w:val="auto"/>
          <w:szCs w:val="24"/>
        </w:rPr>
      </w:pPr>
      <w:proofErr w:type="spellStart"/>
      <w:r w:rsidRPr="003519BF">
        <w:rPr>
          <w:rFonts w:cs="Times New Roman"/>
          <w:color w:val="222222"/>
          <w:szCs w:val="24"/>
          <w:shd w:val="clear" w:color="auto" w:fill="FFFFFF"/>
        </w:rPr>
        <w:t>Sabuhari</w:t>
      </w:r>
      <w:proofErr w:type="spellEnd"/>
      <w:r w:rsidRPr="003519BF">
        <w:rPr>
          <w:rFonts w:cs="Times New Roman"/>
          <w:color w:val="222222"/>
          <w:szCs w:val="24"/>
          <w:shd w:val="clear" w:color="auto" w:fill="FFFFFF"/>
        </w:rPr>
        <w:t xml:space="preserve">, R., </w:t>
      </w:r>
      <w:proofErr w:type="spellStart"/>
      <w:r w:rsidRPr="003519BF">
        <w:rPr>
          <w:rFonts w:cs="Times New Roman"/>
          <w:color w:val="222222"/>
          <w:szCs w:val="24"/>
          <w:shd w:val="clear" w:color="auto" w:fill="FFFFFF"/>
        </w:rPr>
        <w:t>Sudiro</w:t>
      </w:r>
      <w:proofErr w:type="spellEnd"/>
      <w:r w:rsidRPr="003519BF">
        <w:rPr>
          <w:rFonts w:cs="Times New Roman"/>
          <w:color w:val="222222"/>
          <w:szCs w:val="24"/>
          <w:shd w:val="clear" w:color="auto" w:fill="FFFFFF"/>
        </w:rPr>
        <w:t xml:space="preserve">, A., </w:t>
      </w:r>
      <w:proofErr w:type="spellStart"/>
      <w:r w:rsidRPr="003519BF">
        <w:rPr>
          <w:rFonts w:cs="Times New Roman"/>
          <w:color w:val="222222"/>
          <w:szCs w:val="24"/>
          <w:shd w:val="clear" w:color="auto" w:fill="FFFFFF"/>
        </w:rPr>
        <w:t>Irawanto</w:t>
      </w:r>
      <w:proofErr w:type="spellEnd"/>
      <w:r w:rsidRPr="003519BF">
        <w:rPr>
          <w:rFonts w:cs="Times New Roman"/>
          <w:color w:val="222222"/>
          <w:szCs w:val="24"/>
          <w:shd w:val="clear" w:color="auto" w:fill="FFFFFF"/>
        </w:rPr>
        <w:t xml:space="preserve">, D. and </w:t>
      </w:r>
      <w:proofErr w:type="spellStart"/>
      <w:r w:rsidRPr="003519BF">
        <w:rPr>
          <w:rFonts w:cs="Times New Roman"/>
          <w:color w:val="222222"/>
          <w:szCs w:val="24"/>
          <w:shd w:val="clear" w:color="auto" w:fill="FFFFFF"/>
        </w:rPr>
        <w:t>Rahayu</w:t>
      </w:r>
      <w:proofErr w:type="spellEnd"/>
      <w:r w:rsidRPr="003519BF">
        <w:rPr>
          <w:rFonts w:cs="Times New Roman"/>
          <w:color w:val="222222"/>
          <w:szCs w:val="24"/>
          <w:shd w:val="clear" w:color="auto" w:fill="FFFFFF"/>
        </w:rPr>
        <w:t>, M., 2020. The effects of human resource flexibility, employee competency, organizational culture adaptation and job satisfaction on employee performance. </w:t>
      </w:r>
      <w:r w:rsidRPr="003519BF">
        <w:rPr>
          <w:rFonts w:cs="Times New Roman"/>
          <w:i/>
          <w:iCs/>
          <w:color w:val="222222"/>
          <w:szCs w:val="24"/>
          <w:shd w:val="clear" w:color="auto" w:fill="FFFFFF"/>
        </w:rPr>
        <w:t>Management Science Letters</w:t>
      </w:r>
      <w:r w:rsidRPr="003519BF">
        <w:rPr>
          <w:rFonts w:cs="Times New Roman"/>
          <w:color w:val="222222"/>
          <w:szCs w:val="24"/>
          <w:shd w:val="clear" w:color="auto" w:fill="FFFFFF"/>
        </w:rPr>
        <w:t>, </w:t>
      </w:r>
      <w:r w:rsidRPr="003519BF">
        <w:rPr>
          <w:rFonts w:cs="Times New Roman"/>
          <w:i/>
          <w:iCs/>
          <w:color w:val="222222"/>
          <w:szCs w:val="24"/>
          <w:shd w:val="clear" w:color="auto" w:fill="FFFFFF"/>
        </w:rPr>
        <w:t>10</w:t>
      </w:r>
      <w:r w:rsidRPr="003519BF">
        <w:rPr>
          <w:rFonts w:cs="Times New Roman"/>
          <w:color w:val="222222"/>
          <w:szCs w:val="24"/>
          <w:shd w:val="clear" w:color="auto" w:fill="FFFFFF"/>
        </w:rPr>
        <w:t>(8), pp.1775-1786.</w:t>
      </w:r>
    </w:p>
    <w:p w14:paraId="2AA2FF52" w14:textId="77777777" w:rsidR="002E45D8" w:rsidRPr="002E45D8" w:rsidRDefault="002E45D8" w:rsidP="002E45D8"/>
    <w:p w14:paraId="59B5B30E" w14:textId="77777777" w:rsidR="002E45D8" w:rsidRDefault="002E45D8">
      <w:pPr>
        <w:rPr>
          <w:rFonts w:eastAsia="Times New Roman" w:cs="Times New Roman"/>
          <w:szCs w:val="24"/>
        </w:rPr>
      </w:pPr>
    </w:p>
    <w:p w14:paraId="0000002E" w14:textId="77777777" w:rsidR="00380796" w:rsidRDefault="00380796">
      <w:pPr>
        <w:rPr>
          <w:rFonts w:eastAsia="Times New Roman" w:cs="Times New Roman"/>
          <w:szCs w:val="24"/>
        </w:rPr>
      </w:pPr>
    </w:p>
    <w:p w14:paraId="0000002F" w14:textId="77777777" w:rsidR="00380796" w:rsidRDefault="00380796">
      <w:pPr>
        <w:rPr>
          <w:rFonts w:eastAsia="Times New Roman" w:cs="Times New Roman"/>
          <w:szCs w:val="24"/>
        </w:rPr>
      </w:pPr>
    </w:p>
    <w:p w14:paraId="00000030" w14:textId="77777777" w:rsidR="00380796" w:rsidRDefault="00380796">
      <w:pPr>
        <w:rPr>
          <w:rFonts w:eastAsia="Times New Roman" w:cs="Times New Roman"/>
          <w:b/>
          <w:szCs w:val="24"/>
        </w:rPr>
      </w:pPr>
    </w:p>
    <w:p w14:paraId="00000031" w14:textId="77777777" w:rsidR="00380796" w:rsidRDefault="00380796">
      <w:pPr>
        <w:rPr>
          <w:rFonts w:eastAsia="Times New Roman" w:cs="Times New Roman"/>
          <w:b/>
          <w:szCs w:val="24"/>
        </w:rPr>
      </w:pPr>
    </w:p>
    <w:p w14:paraId="00000032" w14:textId="77777777" w:rsidR="00380796" w:rsidRDefault="00380796">
      <w:pPr>
        <w:rPr>
          <w:rFonts w:eastAsia="Times New Roman" w:cs="Times New Roman"/>
          <w:szCs w:val="24"/>
        </w:rPr>
      </w:pPr>
    </w:p>
    <w:sectPr w:rsidR="00380796" w:rsidSect="002E45D8">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0F017" w14:textId="77777777" w:rsidR="001F0BC1" w:rsidRDefault="001F0BC1" w:rsidP="002E45D8">
      <w:pPr>
        <w:spacing w:line="240" w:lineRule="auto"/>
      </w:pPr>
      <w:r>
        <w:separator/>
      </w:r>
    </w:p>
  </w:endnote>
  <w:endnote w:type="continuationSeparator" w:id="0">
    <w:p w14:paraId="437379C8" w14:textId="77777777" w:rsidR="001F0BC1" w:rsidRDefault="001F0BC1" w:rsidP="002E45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527901"/>
      <w:docPartObj>
        <w:docPartGallery w:val="Page Numbers (Bottom of Page)"/>
        <w:docPartUnique/>
      </w:docPartObj>
    </w:sdtPr>
    <w:sdtEndPr>
      <w:rPr>
        <w:noProof/>
      </w:rPr>
    </w:sdtEndPr>
    <w:sdtContent>
      <w:p w14:paraId="4ABF325E" w14:textId="1B9FF803" w:rsidR="002E45D8" w:rsidRDefault="002E45D8">
        <w:pPr>
          <w:pStyle w:val="Footer"/>
          <w:jc w:val="right"/>
        </w:pPr>
        <w:r>
          <w:fldChar w:fldCharType="begin"/>
        </w:r>
        <w:r>
          <w:instrText xml:space="preserve"> PAGE   \* MERGEFORMAT </w:instrText>
        </w:r>
        <w:r>
          <w:fldChar w:fldCharType="separate"/>
        </w:r>
        <w:r w:rsidR="00C00B9F">
          <w:rPr>
            <w:noProof/>
          </w:rPr>
          <w:t>10</w:t>
        </w:r>
        <w:r>
          <w:rPr>
            <w:noProof/>
          </w:rPr>
          <w:fldChar w:fldCharType="end"/>
        </w:r>
      </w:p>
    </w:sdtContent>
  </w:sdt>
  <w:p w14:paraId="3176D45C" w14:textId="77777777" w:rsidR="002E45D8" w:rsidRDefault="002E45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2A085" w14:textId="77777777" w:rsidR="001F0BC1" w:rsidRDefault="001F0BC1" w:rsidP="002E45D8">
      <w:pPr>
        <w:spacing w:line="240" w:lineRule="auto"/>
      </w:pPr>
      <w:r>
        <w:separator/>
      </w:r>
    </w:p>
  </w:footnote>
  <w:footnote w:type="continuationSeparator" w:id="0">
    <w:p w14:paraId="4AA88F5A" w14:textId="77777777" w:rsidR="001F0BC1" w:rsidRDefault="001F0BC1" w:rsidP="002E45D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0796"/>
    <w:rsid w:val="001F0BC1"/>
    <w:rsid w:val="002E45D8"/>
    <w:rsid w:val="00380796"/>
    <w:rsid w:val="007941B1"/>
    <w:rsid w:val="00A61981"/>
    <w:rsid w:val="00B83B8A"/>
    <w:rsid w:val="00C00B9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FBC14"/>
  <w15:docId w15:val="{7A3C461E-D140-4DFB-A54D-A11F987D1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E45D8"/>
    <w:pPr>
      <w:spacing w:line="360" w:lineRule="auto"/>
      <w:jc w:val="both"/>
    </w:pPr>
    <w:rPr>
      <w:rFonts w:ascii="Times New Roman" w:hAnsi="Times New Roman"/>
      <w:color w:val="000000" w:themeColor="text1"/>
      <w:sz w:val="24"/>
    </w:rPr>
  </w:style>
  <w:style w:type="paragraph" w:styleId="Heading1">
    <w:name w:val="heading 1"/>
    <w:basedOn w:val="Normal"/>
    <w:next w:val="Normal"/>
    <w:rsid w:val="002E45D8"/>
    <w:pPr>
      <w:keepNext/>
      <w:keepLines/>
      <w:spacing w:before="400" w:after="120"/>
      <w:outlineLvl w:val="0"/>
    </w:pPr>
    <w:rPr>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2E45D8"/>
    <w:pPr>
      <w:tabs>
        <w:tab w:val="center" w:pos="4513"/>
        <w:tab w:val="right" w:pos="9026"/>
      </w:tabs>
      <w:spacing w:line="240" w:lineRule="auto"/>
    </w:pPr>
  </w:style>
  <w:style w:type="character" w:customStyle="1" w:styleId="HeaderChar">
    <w:name w:val="Header Char"/>
    <w:basedOn w:val="DefaultParagraphFont"/>
    <w:link w:val="Header"/>
    <w:uiPriority w:val="99"/>
    <w:rsid w:val="002E45D8"/>
  </w:style>
  <w:style w:type="paragraph" w:styleId="Footer">
    <w:name w:val="footer"/>
    <w:basedOn w:val="Normal"/>
    <w:link w:val="FooterChar"/>
    <w:uiPriority w:val="99"/>
    <w:unhideWhenUsed/>
    <w:rsid w:val="002E45D8"/>
    <w:pPr>
      <w:tabs>
        <w:tab w:val="center" w:pos="4513"/>
        <w:tab w:val="right" w:pos="9026"/>
      </w:tabs>
      <w:spacing w:line="240" w:lineRule="auto"/>
    </w:pPr>
  </w:style>
  <w:style w:type="character" w:customStyle="1" w:styleId="FooterChar">
    <w:name w:val="Footer Char"/>
    <w:basedOn w:val="DefaultParagraphFont"/>
    <w:link w:val="Footer"/>
    <w:uiPriority w:val="99"/>
    <w:rsid w:val="002E45D8"/>
  </w:style>
  <w:style w:type="paragraph" w:styleId="TOCHeading">
    <w:name w:val="TOC Heading"/>
    <w:basedOn w:val="Heading1"/>
    <w:next w:val="Normal"/>
    <w:uiPriority w:val="39"/>
    <w:unhideWhenUsed/>
    <w:qFormat/>
    <w:rsid w:val="002E45D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E45D8"/>
    <w:pPr>
      <w:spacing w:after="100"/>
    </w:pPr>
  </w:style>
  <w:style w:type="character" w:styleId="Hyperlink">
    <w:name w:val="Hyperlink"/>
    <w:basedOn w:val="DefaultParagraphFont"/>
    <w:uiPriority w:val="99"/>
    <w:unhideWhenUsed/>
    <w:rsid w:val="002E45D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09B1A2-3114-458D-8626-9B79A8CAFE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3285</Words>
  <Characters>18726</Characters>
  <Application>Microsoft Office Word</Application>
  <DocSecurity>0</DocSecurity>
  <Lines>156</Lines>
  <Paragraphs>43</Paragraphs>
  <ScaleCrop>false</ScaleCrop>
  <Company/>
  <LinksUpToDate>false</LinksUpToDate>
  <CharactersWithSpaces>21968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kevin dabhi</cp:lastModifiedBy>
  <cp:revision>9</cp:revision>
  <dcterms:created xsi:type="dcterms:W3CDTF">2023-06-07T12:19:00Z</dcterms:created>
  <dcterms:modified xsi:type="dcterms:W3CDTF">2023-06-20T11:58:00Z</dcterms:modified>
</cp:coreProperties>
</file>