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F7D0A5" w14:textId="77777777" w:rsidR="00B87DA6" w:rsidRPr="00BD421B" w:rsidRDefault="00D417F7" w:rsidP="00BA20CA">
      <w:pPr>
        <w:spacing w:line="360" w:lineRule="auto"/>
        <w:jc w:val="both"/>
        <w:rPr>
          <w:rFonts w:ascii="Arial" w:hAnsi="Arial" w:cs="Arial"/>
          <w:b/>
          <w:bCs/>
          <w:sz w:val="22"/>
        </w:rPr>
      </w:pPr>
      <w:r w:rsidRPr="00BD421B">
        <w:rPr>
          <w:rFonts w:ascii="Arial" w:hAnsi="Arial" w:cs="Arial"/>
          <w:b/>
          <w:bCs/>
          <w:noProof/>
          <w:sz w:val="22"/>
          <w:lang w:val="en-US"/>
        </w:rPr>
        <w:drawing>
          <wp:inline distT="0" distB="0" distL="0" distR="0" wp14:anchorId="70C61298" wp14:editId="79C44EB8">
            <wp:extent cx="2867025" cy="15906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867025" cy="1590675"/>
                    </a:xfrm>
                    <a:prstGeom prst="rect">
                      <a:avLst/>
                    </a:prstGeom>
                    <a:noFill/>
                  </pic:spPr>
                </pic:pic>
              </a:graphicData>
            </a:graphic>
          </wp:inline>
        </w:drawing>
      </w:r>
    </w:p>
    <w:p w14:paraId="7A0C493E" w14:textId="77777777" w:rsidR="00B87DA6" w:rsidRPr="00233EB3" w:rsidRDefault="00B87DA6" w:rsidP="00BA20CA">
      <w:pPr>
        <w:spacing w:line="360" w:lineRule="auto"/>
        <w:jc w:val="both"/>
        <w:rPr>
          <w:rFonts w:ascii="Arial" w:hAnsi="Arial" w:cs="Arial"/>
          <w:b/>
          <w:bCs/>
          <w:sz w:val="52"/>
          <w:szCs w:val="52"/>
        </w:rPr>
      </w:pPr>
    </w:p>
    <w:p w14:paraId="4462C0BD" w14:textId="77777777" w:rsidR="00113584" w:rsidRPr="00233EB3" w:rsidRDefault="00D417F7" w:rsidP="00BA20CA">
      <w:pPr>
        <w:spacing w:line="360" w:lineRule="auto"/>
        <w:jc w:val="both"/>
        <w:rPr>
          <w:rFonts w:ascii="Arial" w:hAnsi="Arial" w:cs="Arial"/>
          <w:b/>
          <w:bCs/>
          <w:sz w:val="52"/>
          <w:szCs w:val="52"/>
        </w:rPr>
      </w:pPr>
      <w:r w:rsidRPr="00233EB3">
        <w:rPr>
          <w:rFonts w:ascii="Arial" w:hAnsi="Arial" w:cs="Arial"/>
          <w:b/>
          <w:bCs/>
          <w:sz w:val="52"/>
          <w:szCs w:val="52"/>
        </w:rPr>
        <w:t>Impact of the business environment on the University of Wales Trinity Saint David (UWTSD)</w:t>
      </w:r>
    </w:p>
    <w:p w14:paraId="1B88FE2F" w14:textId="77777777" w:rsidR="00B87DA6" w:rsidRPr="00BD421B" w:rsidRDefault="00B87DA6" w:rsidP="00BA20CA">
      <w:pPr>
        <w:spacing w:line="360" w:lineRule="auto"/>
        <w:jc w:val="both"/>
        <w:rPr>
          <w:rFonts w:ascii="Arial" w:hAnsi="Arial" w:cs="Arial"/>
          <w:sz w:val="22"/>
        </w:rPr>
      </w:pPr>
    </w:p>
    <w:p w14:paraId="42003C18" w14:textId="77777777" w:rsidR="00112F40" w:rsidRDefault="00233EB3" w:rsidP="00BA20CA">
      <w:pPr>
        <w:spacing w:line="360" w:lineRule="auto"/>
        <w:jc w:val="both"/>
        <w:rPr>
          <w:rFonts w:ascii="Arial" w:hAnsi="Arial" w:cs="Arial"/>
          <w:b/>
          <w:bCs/>
          <w:sz w:val="32"/>
          <w:szCs w:val="32"/>
        </w:rPr>
      </w:pPr>
      <w:r w:rsidRPr="00233EB3">
        <w:rPr>
          <w:rFonts w:ascii="Arial" w:hAnsi="Arial" w:cs="Arial"/>
          <w:b/>
          <w:bCs/>
          <w:sz w:val="32"/>
          <w:szCs w:val="32"/>
        </w:rPr>
        <w:t>LCBB4005</w:t>
      </w:r>
      <w:r>
        <w:rPr>
          <w:rFonts w:ascii="Arial" w:hAnsi="Arial" w:cs="Arial"/>
          <w:b/>
          <w:bCs/>
          <w:sz w:val="32"/>
          <w:szCs w:val="32"/>
        </w:rPr>
        <w:t xml:space="preserve"> -</w:t>
      </w:r>
      <w:r w:rsidR="00D417F7" w:rsidRPr="00A91D5E">
        <w:rPr>
          <w:rFonts w:ascii="Arial" w:hAnsi="Arial" w:cs="Arial"/>
          <w:b/>
          <w:bCs/>
          <w:sz w:val="32"/>
          <w:szCs w:val="32"/>
        </w:rPr>
        <w:t xml:space="preserve"> Global Business Management</w:t>
      </w:r>
    </w:p>
    <w:p w14:paraId="24013FEF" w14:textId="77777777" w:rsidR="00112F40" w:rsidRDefault="00112F40" w:rsidP="00BA20CA">
      <w:pPr>
        <w:spacing w:line="360" w:lineRule="auto"/>
        <w:jc w:val="both"/>
        <w:rPr>
          <w:rFonts w:ascii="Arial" w:hAnsi="Arial" w:cs="Arial"/>
          <w:b/>
          <w:bCs/>
          <w:sz w:val="32"/>
          <w:szCs w:val="32"/>
        </w:rPr>
      </w:pPr>
    </w:p>
    <w:p w14:paraId="718C1DA6" w14:textId="7540D8D3" w:rsidR="00B87DA6" w:rsidRPr="00A91D5E" w:rsidRDefault="00112F40" w:rsidP="00BA20CA">
      <w:pPr>
        <w:spacing w:line="360" w:lineRule="auto"/>
        <w:jc w:val="both"/>
        <w:rPr>
          <w:rFonts w:ascii="Arial" w:hAnsi="Arial" w:cs="Arial"/>
          <w:b/>
          <w:bCs/>
          <w:sz w:val="32"/>
          <w:szCs w:val="32"/>
        </w:rPr>
      </w:pPr>
      <w:r>
        <w:rPr>
          <w:rFonts w:ascii="Arial" w:hAnsi="Arial" w:cs="Arial"/>
          <w:b/>
          <w:bCs/>
          <w:sz w:val="32"/>
          <w:szCs w:val="32"/>
        </w:rPr>
        <w:t>2122202 – Elena Luminita Frangu</w:t>
      </w:r>
      <w:r w:rsidR="00D417F7" w:rsidRPr="00A91D5E">
        <w:rPr>
          <w:rFonts w:ascii="Arial" w:hAnsi="Arial" w:cs="Arial"/>
          <w:b/>
          <w:bCs/>
          <w:sz w:val="32"/>
          <w:szCs w:val="32"/>
        </w:rPr>
        <w:br w:type="page"/>
      </w:r>
    </w:p>
    <w:sdt>
      <w:sdtPr>
        <w:rPr>
          <w:rFonts w:ascii="Arial" w:eastAsiaTheme="minorHAnsi" w:hAnsi="Arial" w:cs="Arial"/>
          <w:color w:val="auto"/>
          <w:sz w:val="22"/>
          <w:szCs w:val="22"/>
          <w:lang w:val="en-GB"/>
        </w:rPr>
        <w:id w:val="390852414"/>
        <w:docPartObj>
          <w:docPartGallery w:val="Table of Contents"/>
          <w:docPartUnique/>
        </w:docPartObj>
      </w:sdtPr>
      <w:sdtEndPr>
        <w:rPr>
          <w:b/>
          <w:bCs/>
          <w:noProof/>
        </w:rPr>
      </w:sdtEndPr>
      <w:sdtContent>
        <w:p w14:paraId="275A5B92" w14:textId="77777777" w:rsidR="007836D3" w:rsidRPr="00B5554A" w:rsidRDefault="00D417F7" w:rsidP="00BA20CA">
          <w:pPr>
            <w:pStyle w:val="TOCHeading"/>
            <w:spacing w:line="360" w:lineRule="auto"/>
            <w:jc w:val="both"/>
            <w:rPr>
              <w:rStyle w:val="Heading1Char"/>
              <w:rFonts w:ascii="Arial" w:hAnsi="Arial" w:cs="Arial"/>
              <w:color w:val="auto"/>
            </w:rPr>
          </w:pPr>
          <w:r w:rsidRPr="00B5554A">
            <w:rPr>
              <w:rStyle w:val="Heading1Char"/>
              <w:rFonts w:ascii="Arial" w:hAnsi="Arial" w:cs="Arial"/>
              <w:color w:val="auto"/>
            </w:rPr>
            <w:t>Contents</w:t>
          </w:r>
        </w:p>
        <w:p w14:paraId="40D35B68" w14:textId="2710A0D9" w:rsidR="00B5554A" w:rsidRDefault="00D417F7" w:rsidP="00BA20CA">
          <w:pPr>
            <w:pStyle w:val="TOC1"/>
            <w:jc w:val="both"/>
            <w:rPr>
              <w:rFonts w:asciiTheme="minorHAnsi" w:eastAsiaTheme="minorEastAsia" w:hAnsiTheme="minorHAnsi"/>
              <w:noProof/>
              <w:sz w:val="22"/>
              <w:lang w:val="en-US"/>
            </w:rPr>
          </w:pPr>
          <w:r w:rsidRPr="00BD421B">
            <w:rPr>
              <w:rFonts w:ascii="Arial" w:hAnsi="Arial" w:cs="Arial"/>
              <w:sz w:val="22"/>
            </w:rPr>
            <w:fldChar w:fldCharType="begin"/>
          </w:r>
          <w:r w:rsidRPr="00BD421B">
            <w:rPr>
              <w:rFonts w:ascii="Arial" w:hAnsi="Arial" w:cs="Arial"/>
              <w:sz w:val="22"/>
            </w:rPr>
            <w:instrText xml:space="preserve"> TOC \o "1-3" \h \z \u </w:instrText>
          </w:r>
          <w:r w:rsidRPr="00BD421B">
            <w:rPr>
              <w:rFonts w:ascii="Arial" w:hAnsi="Arial" w:cs="Arial"/>
              <w:sz w:val="22"/>
            </w:rPr>
            <w:fldChar w:fldCharType="separate"/>
          </w:r>
          <w:hyperlink w:anchor="_Toc116696422" w:history="1">
            <w:r w:rsidR="00B5554A" w:rsidRPr="00EF7146">
              <w:rPr>
                <w:rStyle w:val="Hyperlink"/>
                <w:rFonts w:ascii="Arial" w:hAnsi="Arial" w:cs="Arial"/>
                <w:noProof/>
              </w:rPr>
              <w:t>1.</w:t>
            </w:r>
            <w:r w:rsidR="00B5554A">
              <w:rPr>
                <w:rFonts w:asciiTheme="minorHAnsi" w:eastAsiaTheme="minorEastAsia" w:hAnsiTheme="minorHAnsi"/>
                <w:noProof/>
                <w:sz w:val="22"/>
                <w:lang w:val="en-US"/>
              </w:rPr>
              <w:tab/>
            </w:r>
            <w:r w:rsidR="00B5554A" w:rsidRPr="00EF7146">
              <w:rPr>
                <w:rStyle w:val="Hyperlink"/>
                <w:rFonts w:ascii="Arial" w:hAnsi="Arial" w:cs="Arial"/>
                <w:noProof/>
              </w:rPr>
              <w:t>Introduction</w:t>
            </w:r>
            <w:r w:rsidR="00B5554A">
              <w:rPr>
                <w:noProof/>
                <w:webHidden/>
              </w:rPr>
              <w:tab/>
            </w:r>
            <w:r w:rsidR="00B5554A">
              <w:rPr>
                <w:noProof/>
                <w:webHidden/>
              </w:rPr>
              <w:fldChar w:fldCharType="begin"/>
            </w:r>
            <w:r w:rsidR="00B5554A">
              <w:rPr>
                <w:noProof/>
                <w:webHidden/>
              </w:rPr>
              <w:instrText xml:space="preserve"> PAGEREF _Toc116696422 \h </w:instrText>
            </w:r>
            <w:r w:rsidR="00B5554A">
              <w:rPr>
                <w:noProof/>
                <w:webHidden/>
              </w:rPr>
            </w:r>
            <w:r w:rsidR="00B5554A">
              <w:rPr>
                <w:noProof/>
                <w:webHidden/>
              </w:rPr>
              <w:fldChar w:fldCharType="separate"/>
            </w:r>
            <w:r w:rsidR="00B5554A">
              <w:rPr>
                <w:noProof/>
                <w:webHidden/>
              </w:rPr>
              <w:t>3</w:t>
            </w:r>
            <w:r w:rsidR="00B5554A">
              <w:rPr>
                <w:noProof/>
                <w:webHidden/>
              </w:rPr>
              <w:fldChar w:fldCharType="end"/>
            </w:r>
          </w:hyperlink>
        </w:p>
        <w:p w14:paraId="07666B5E" w14:textId="38CE55D3" w:rsidR="00B5554A" w:rsidRDefault="00000000" w:rsidP="00BA20CA">
          <w:pPr>
            <w:pStyle w:val="TOC1"/>
            <w:jc w:val="both"/>
            <w:rPr>
              <w:rFonts w:asciiTheme="minorHAnsi" w:eastAsiaTheme="minorEastAsia" w:hAnsiTheme="minorHAnsi"/>
              <w:noProof/>
              <w:sz w:val="22"/>
              <w:lang w:val="en-US"/>
            </w:rPr>
          </w:pPr>
          <w:hyperlink w:anchor="_Toc116696423" w:history="1">
            <w:r w:rsidR="00B5554A" w:rsidRPr="00EF7146">
              <w:rPr>
                <w:rStyle w:val="Hyperlink"/>
                <w:rFonts w:ascii="Arial" w:hAnsi="Arial" w:cs="Arial"/>
                <w:noProof/>
              </w:rPr>
              <w:t>2.</w:t>
            </w:r>
            <w:r w:rsidR="00B5554A">
              <w:rPr>
                <w:rFonts w:asciiTheme="minorHAnsi" w:eastAsiaTheme="minorEastAsia" w:hAnsiTheme="minorHAnsi"/>
                <w:noProof/>
                <w:sz w:val="22"/>
                <w:lang w:val="en-US"/>
              </w:rPr>
              <w:tab/>
            </w:r>
            <w:r w:rsidR="00B5554A" w:rsidRPr="00EF7146">
              <w:rPr>
                <w:rStyle w:val="Hyperlink"/>
                <w:rFonts w:ascii="Arial" w:hAnsi="Arial" w:cs="Arial"/>
                <w:noProof/>
              </w:rPr>
              <w:t xml:space="preserve">Overview of the higher education sector </w:t>
            </w:r>
            <w:r w:rsidR="00B5554A">
              <w:rPr>
                <w:noProof/>
                <w:webHidden/>
              </w:rPr>
              <w:tab/>
            </w:r>
            <w:r w:rsidR="00B5554A">
              <w:rPr>
                <w:noProof/>
                <w:webHidden/>
              </w:rPr>
              <w:fldChar w:fldCharType="begin"/>
            </w:r>
            <w:r w:rsidR="00B5554A">
              <w:rPr>
                <w:noProof/>
                <w:webHidden/>
              </w:rPr>
              <w:instrText xml:space="preserve"> PAGEREF _Toc116696423 \h </w:instrText>
            </w:r>
            <w:r w:rsidR="00B5554A">
              <w:rPr>
                <w:noProof/>
                <w:webHidden/>
              </w:rPr>
            </w:r>
            <w:r w:rsidR="00B5554A">
              <w:rPr>
                <w:noProof/>
                <w:webHidden/>
              </w:rPr>
              <w:fldChar w:fldCharType="separate"/>
            </w:r>
            <w:r w:rsidR="00B5554A">
              <w:rPr>
                <w:noProof/>
                <w:webHidden/>
              </w:rPr>
              <w:t>4</w:t>
            </w:r>
            <w:r w:rsidR="00B5554A">
              <w:rPr>
                <w:noProof/>
                <w:webHidden/>
              </w:rPr>
              <w:fldChar w:fldCharType="end"/>
            </w:r>
          </w:hyperlink>
        </w:p>
        <w:p w14:paraId="7F31ACAB" w14:textId="29CFC35B" w:rsidR="00B5554A" w:rsidRDefault="00000000" w:rsidP="00BA20CA">
          <w:pPr>
            <w:pStyle w:val="TOC2"/>
            <w:tabs>
              <w:tab w:val="right" w:leader="dot" w:pos="9016"/>
            </w:tabs>
            <w:spacing w:line="360" w:lineRule="auto"/>
            <w:jc w:val="both"/>
            <w:rPr>
              <w:rFonts w:asciiTheme="minorHAnsi" w:eastAsiaTheme="minorEastAsia" w:hAnsiTheme="minorHAnsi"/>
              <w:noProof/>
              <w:sz w:val="22"/>
              <w:lang w:val="en-US"/>
            </w:rPr>
          </w:pPr>
          <w:hyperlink w:anchor="_Toc116696424" w:history="1">
            <w:r w:rsidR="00B5554A" w:rsidRPr="00EF7146">
              <w:rPr>
                <w:rStyle w:val="Hyperlink"/>
                <w:rFonts w:ascii="Arial" w:hAnsi="Arial" w:cs="Arial"/>
                <w:noProof/>
              </w:rPr>
              <w:t xml:space="preserve">2.1 History </w:t>
            </w:r>
            <w:r w:rsidR="00B5554A">
              <w:rPr>
                <w:noProof/>
                <w:webHidden/>
              </w:rPr>
              <w:tab/>
            </w:r>
            <w:r w:rsidR="00B5554A">
              <w:rPr>
                <w:noProof/>
                <w:webHidden/>
              </w:rPr>
              <w:fldChar w:fldCharType="begin"/>
            </w:r>
            <w:r w:rsidR="00B5554A">
              <w:rPr>
                <w:noProof/>
                <w:webHidden/>
              </w:rPr>
              <w:instrText xml:space="preserve"> PAGEREF _Toc116696424 \h </w:instrText>
            </w:r>
            <w:r w:rsidR="00B5554A">
              <w:rPr>
                <w:noProof/>
                <w:webHidden/>
              </w:rPr>
            </w:r>
            <w:r w:rsidR="00B5554A">
              <w:rPr>
                <w:noProof/>
                <w:webHidden/>
              </w:rPr>
              <w:fldChar w:fldCharType="separate"/>
            </w:r>
            <w:r w:rsidR="00B5554A">
              <w:rPr>
                <w:noProof/>
                <w:webHidden/>
              </w:rPr>
              <w:t>4</w:t>
            </w:r>
            <w:r w:rsidR="00B5554A">
              <w:rPr>
                <w:noProof/>
                <w:webHidden/>
              </w:rPr>
              <w:fldChar w:fldCharType="end"/>
            </w:r>
          </w:hyperlink>
        </w:p>
        <w:p w14:paraId="2FBA0CD1" w14:textId="395696F4" w:rsidR="00B5554A" w:rsidRDefault="00000000" w:rsidP="00BA20CA">
          <w:pPr>
            <w:pStyle w:val="TOC2"/>
            <w:tabs>
              <w:tab w:val="right" w:leader="dot" w:pos="9016"/>
            </w:tabs>
            <w:spacing w:line="360" w:lineRule="auto"/>
            <w:jc w:val="both"/>
            <w:rPr>
              <w:rFonts w:asciiTheme="minorHAnsi" w:eastAsiaTheme="minorEastAsia" w:hAnsiTheme="minorHAnsi"/>
              <w:noProof/>
              <w:sz w:val="22"/>
              <w:lang w:val="en-US"/>
            </w:rPr>
          </w:pPr>
          <w:hyperlink w:anchor="_Toc116696425" w:history="1">
            <w:r w:rsidR="00B5554A" w:rsidRPr="00EF7146">
              <w:rPr>
                <w:rStyle w:val="Hyperlink"/>
                <w:rFonts w:ascii="Arial" w:hAnsi="Arial" w:cs="Arial"/>
                <w:noProof/>
              </w:rPr>
              <w:t>2.2 Educational overview</w:t>
            </w:r>
            <w:r w:rsidR="00B5554A">
              <w:rPr>
                <w:noProof/>
                <w:webHidden/>
              </w:rPr>
              <w:tab/>
            </w:r>
            <w:r w:rsidR="00B5554A">
              <w:rPr>
                <w:noProof/>
                <w:webHidden/>
              </w:rPr>
              <w:fldChar w:fldCharType="begin"/>
            </w:r>
            <w:r w:rsidR="00B5554A">
              <w:rPr>
                <w:noProof/>
                <w:webHidden/>
              </w:rPr>
              <w:instrText xml:space="preserve"> PAGEREF _Toc116696425 \h </w:instrText>
            </w:r>
            <w:r w:rsidR="00B5554A">
              <w:rPr>
                <w:noProof/>
                <w:webHidden/>
              </w:rPr>
            </w:r>
            <w:r w:rsidR="00B5554A">
              <w:rPr>
                <w:noProof/>
                <w:webHidden/>
              </w:rPr>
              <w:fldChar w:fldCharType="separate"/>
            </w:r>
            <w:r w:rsidR="00B5554A">
              <w:rPr>
                <w:noProof/>
                <w:webHidden/>
              </w:rPr>
              <w:t>4</w:t>
            </w:r>
            <w:r w:rsidR="00B5554A">
              <w:rPr>
                <w:noProof/>
                <w:webHidden/>
              </w:rPr>
              <w:fldChar w:fldCharType="end"/>
            </w:r>
          </w:hyperlink>
        </w:p>
        <w:p w14:paraId="0F8A6899" w14:textId="5E82ED5E" w:rsidR="00B5554A" w:rsidRDefault="00000000" w:rsidP="00BA20CA">
          <w:pPr>
            <w:pStyle w:val="TOC2"/>
            <w:tabs>
              <w:tab w:val="right" w:leader="dot" w:pos="9016"/>
            </w:tabs>
            <w:spacing w:line="360" w:lineRule="auto"/>
            <w:jc w:val="both"/>
            <w:rPr>
              <w:rFonts w:asciiTheme="minorHAnsi" w:eastAsiaTheme="minorEastAsia" w:hAnsiTheme="minorHAnsi"/>
              <w:noProof/>
              <w:sz w:val="22"/>
              <w:lang w:val="en-US"/>
            </w:rPr>
          </w:pPr>
          <w:hyperlink w:anchor="_Toc116696426" w:history="1">
            <w:r w:rsidR="00B5554A" w:rsidRPr="00EF7146">
              <w:rPr>
                <w:rStyle w:val="Hyperlink"/>
                <w:rFonts w:ascii="Arial" w:hAnsi="Arial" w:cs="Arial"/>
                <w:noProof/>
              </w:rPr>
              <w:t>2.3 Reputation</w:t>
            </w:r>
            <w:r w:rsidR="00B5554A">
              <w:rPr>
                <w:noProof/>
                <w:webHidden/>
              </w:rPr>
              <w:tab/>
            </w:r>
            <w:r w:rsidR="00B5554A">
              <w:rPr>
                <w:noProof/>
                <w:webHidden/>
              </w:rPr>
              <w:fldChar w:fldCharType="begin"/>
            </w:r>
            <w:r w:rsidR="00B5554A">
              <w:rPr>
                <w:noProof/>
                <w:webHidden/>
              </w:rPr>
              <w:instrText xml:space="preserve"> PAGEREF _Toc116696426 \h </w:instrText>
            </w:r>
            <w:r w:rsidR="00B5554A">
              <w:rPr>
                <w:noProof/>
                <w:webHidden/>
              </w:rPr>
            </w:r>
            <w:r w:rsidR="00B5554A">
              <w:rPr>
                <w:noProof/>
                <w:webHidden/>
              </w:rPr>
              <w:fldChar w:fldCharType="separate"/>
            </w:r>
            <w:r w:rsidR="00B5554A">
              <w:rPr>
                <w:noProof/>
                <w:webHidden/>
              </w:rPr>
              <w:t>5</w:t>
            </w:r>
            <w:r w:rsidR="00B5554A">
              <w:rPr>
                <w:noProof/>
                <w:webHidden/>
              </w:rPr>
              <w:fldChar w:fldCharType="end"/>
            </w:r>
          </w:hyperlink>
        </w:p>
        <w:p w14:paraId="4BDB71AD" w14:textId="72DF1ABF" w:rsidR="00B5554A" w:rsidRDefault="00000000" w:rsidP="00BA20CA">
          <w:pPr>
            <w:pStyle w:val="TOC2"/>
            <w:tabs>
              <w:tab w:val="right" w:leader="dot" w:pos="9016"/>
            </w:tabs>
            <w:spacing w:line="360" w:lineRule="auto"/>
            <w:jc w:val="both"/>
            <w:rPr>
              <w:rFonts w:asciiTheme="minorHAnsi" w:eastAsiaTheme="minorEastAsia" w:hAnsiTheme="minorHAnsi"/>
              <w:noProof/>
              <w:sz w:val="22"/>
              <w:lang w:val="en-US"/>
            </w:rPr>
          </w:pPr>
          <w:hyperlink w:anchor="_Toc116696427" w:history="1">
            <w:r w:rsidR="00B5554A" w:rsidRPr="00EF7146">
              <w:rPr>
                <w:rStyle w:val="Hyperlink"/>
                <w:rFonts w:ascii="Arial" w:hAnsi="Arial" w:cs="Arial"/>
                <w:noProof/>
              </w:rPr>
              <w:t xml:space="preserve">2.4 Research </w:t>
            </w:r>
            <w:r w:rsidR="00B5554A">
              <w:rPr>
                <w:noProof/>
                <w:webHidden/>
              </w:rPr>
              <w:tab/>
            </w:r>
            <w:r w:rsidR="00B5554A">
              <w:rPr>
                <w:noProof/>
                <w:webHidden/>
              </w:rPr>
              <w:fldChar w:fldCharType="begin"/>
            </w:r>
            <w:r w:rsidR="00B5554A">
              <w:rPr>
                <w:noProof/>
                <w:webHidden/>
              </w:rPr>
              <w:instrText xml:space="preserve"> PAGEREF _Toc116696427 \h </w:instrText>
            </w:r>
            <w:r w:rsidR="00B5554A">
              <w:rPr>
                <w:noProof/>
                <w:webHidden/>
              </w:rPr>
            </w:r>
            <w:r w:rsidR="00B5554A">
              <w:rPr>
                <w:noProof/>
                <w:webHidden/>
              </w:rPr>
              <w:fldChar w:fldCharType="separate"/>
            </w:r>
            <w:r w:rsidR="00B5554A">
              <w:rPr>
                <w:noProof/>
                <w:webHidden/>
              </w:rPr>
              <w:t>5</w:t>
            </w:r>
            <w:r w:rsidR="00B5554A">
              <w:rPr>
                <w:noProof/>
                <w:webHidden/>
              </w:rPr>
              <w:fldChar w:fldCharType="end"/>
            </w:r>
          </w:hyperlink>
        </w:p>
        <w:p w14:paraId="3CA4C740" w14:textId="6433D593" w:rsidR="00B5554A" w:rsidRDefault="00000000" w:rsidP="00BA20CA">
          <w:pPr>
            <w:pStyle w:val="TOC2"/>
            <w:tabs>
              <w:tab w:val="right" w:leader="dot" w:pos="9016"/>
            </w:tabs>
            <w:spacing w:line="360" w:lineRule="auto"/>
            <w:jc w:val="both"/>
            <w:rPr>
              <w:rFonts w:asciiTheme="minorHAnsi" w:eastAsiaTheme="minorEastAsia" w:hAnsiTheme="minorHAnsi"/>
              <w:noProof/>
              <w:sz w:val="22"/>
              <w:lang w:val="en-US"/>
            </w:rPr>
          </w:pPr>
          <w:hyperlink w:anchor="_Toc116696428" w:history="1">
            <w:r w:rsidR="00B5554A" w:rsidRPr="00EF7146">
              <w:rPr>
                <w:rStyle w:val="Hyperlink"/>
                <w:rFonts w:ascii="Arial" w:hAnsi="Arial" w:cs="Arial"/>
                <w:noProof/>
              </w:rPr>
              <w:t>2.5 Sports</w:t>
            </w:r>
            <w:r w:rsidR="00B5554A">
              <w:rPr>
                <w:noProof/>
                <w:webHidden/>
              </w:rPr>
              <w:tab/>
            </w:r>
            <w:r w:rsidR="00B5554A">
              <w:rPr>
                <w:noProof/>
                <w:webHidden/>
              </w:rPr>
              <w:fldChar w:fldCharType="begin"/>
            </w:r>
            <w:r w:rsidR="00B5554A">
              <w:rPr>
                <w:noProof/>
                <w:webHidden/>
              </w:rPr>
              <w:instrText xml:space="preserve"> PAGEREF _Toc116696428 \h </w:instrText>
            </w:r>
            <w:r w:rsidR="00B5554A">
              <w:rPr>
                <w:noProof/>
                <w:webHidden/>
              </w:rPr>
            </w:r>
            <w:r w:rsidR="00B5554A">
              <w:rPr>
                <w:noProof/>
                <w:webHidden/>
              </w:rPr>
              <w:fldChar w:fldCharType="separate"/>
            </w:r>
            <w:r w:rsidR="00B5554A">
              <w:rPr>
                <w:noProof/>
                <w:webHidden/>
              </w:rPr>
              <w:t>5</w:t>
            </w:r>
            <w:r w:rsidR="00B5554A">
              <w:rPr>
                <w:noProof/>
                <w:webHidden/>
              </w:rPr>
              <w:fldChar w:fldCharType="end"/>
            </w:r>
          </w:hyperlink>
        </w:p>
        <w:p w14:paraId="187CAE15" w14:textId="4F345EC6" w:rsidR="00B5554A" w:rsidRDefault="00000000" w:rsidP="00BA20CA">
          <w:pPr>
            <w:pStyle w:val="TOC1"/>
            <w:jc w:val="both"/>
            <w:rPr>
              <w:rFonts w:asciiTheme="minorHAnsi" w:eastAsiaTheme="minorEastAsia" w:hAnsiTheme="minorHAnsi"/>
              <w:noProof/>
              <w:sz w:val="22"/>
              <w:lang w:val="en-US"/>
            </w:rPr>
          </w:pPr>
          <w:hyperlink w:anchor="_Toc116696429" w:history="1">
            <w:r w:rsidR="00B5554A" w:rsidRPr="00EF7146">
              <w:rPr>
                <w:rStyle w:val="Hyperlink"/>
                <w:rFonts w:ascii="Arial" w:hAnsi="Arial" w:cs="Arial"/>
                <w:noProof/>
              </w:rPr>
              <w:t>3.</w:t>
            </w:r>
            <w:r w:rsidR="00B5554A">
              <w:rPr>
                <w:rFonts w:asciiTheme="minorHAnsi" w:eastAsiaTheme="minorEastAsia" w:hAnsiTheme="minorHAnsi"/>
                <w:noProof/>
                <w:sz w:val="22"/>
                <w:lang w:val="en-US"/>
              </w:rPr>
              <w:tab/>
            </w:r>
            <w:r w:rsidR="00B5554A" w:rsidRPr="00EF7146">
              <w:rPr>
                <w:rStyle w:val="Hyperlink"/>
                <w:rFonts w:ascii="Arial" w:hAnsi="Arial" w:cs="Arial"/>
                <w:noProof/>
              </w:rPr>
              <w:t xml:space="preserve">Main discussions </w:t>
            </w:r>
            <w:r w:rsidR="00B5554A">
              <w:rPr>
                <w:noProof/>
                <w:webHidden/>
              </w:rPr>
              <w:tab/>
            </w:r>
            <w:r w:rsidR="00B5554A">
              <w:rPr>
                <w:noProof/>
                <w:webHidden/>
              </w:rPr>
              <w:fldChar w:fldCharType="begin"/>
            </w:r>
            <w:r w:rsidR="00B5554A">
              <w:rPr>
                <w:noProof/>
                <w:webHidden/>
              </w:rPr>
              <w:instrText xml:space="preserve"> PAGEREF _Toc116696429 \h </w:instrText>
            </w:r>
            <w:r w:rsidR="00B5554A">
              <w:rPr>
                <w:noProof/>
                <w:webHidden/>
              </w:rPr>
            </w:r>
            <w:r w:rsidR="00B5554A">
              <w:rPr>
                <w:noProof/>
                <w:webHidden/>
              </w:rPr>
              <w:fldChar w:fldCharType="separate"/>
            </w:r>
            <w:r w:rsidR="00B5554A">
              <w:rPr>
                <w:noProof/>
                <w:webHidden/>
              </w:rPr>
              <w:t>6</w:t>
            </w:r>
            <w:r w:rsidR="00B5554A">
              <w:rPr>
                <w:noProof/>
                <w:webHidden/>
              </w:rPr>
              <w:fldChar w:fldCharType="end"/>
            </w:r>
          </w:hyperlink>
        </w:p>
        <w:p w14:paraId="022F0837" w14:textId="726A0E96" w:rsidR="00B5554A" w:rsidRDefault="00000000" w:rsidP="00BA20CA">
          <w:pPr>
            <w:pStyle w:val="TOC2"/>
            <w:tabs>
              <w:tab w:val="right" w:leader="dot" w:pos="9016"/>
            </w:tabs>
            <w:spacing w:line="360" w:lineRule="auto"/>
            <w:jc w:val="both"/>
            <w:rPr>
              <w:rFonts w:asciiTheme="minorHAnsi" w:eastAsiaTheme="minorEastAsia" w:hAnsiTheme="minorHAnsi"/>
              <w:noProof/>
              <w:sz w:val="22"/>
              <w:lang w:val="en-US"/>
            </w:rPr>
          </w:pPr>
          <w:hyperlink w:anchor="_Toc116696430" w:history="1">
            <w:r w:rsidR="00B5554A" w:rsidRPr="00EF7146">
              <w:rPr>
                <w:rStyle w:val="Hyperlink"/>
                <w:rFonts w:ascii="Arial" w:hAnsi="Arial" w:cs="Arial"/>
                <w:noProof/>
              </w:rPr>
              <w:t>3.1 Porter’s 5 forces</w:t>
            </w:r>
            <w:r w:rsidR="00B5554A">
              <w:rPr>
                <w:noProof/>
                <w:webHidden/>
              </w:rPr>
              <w:tab/>
            </w:r>
            <w:r w:rsidR="00B5554A">
              <w:rPr>
                <w:noProof/>
                <w:webHidden/>
              </w:rPr>
              <w:fldChar w:fldCharType="begin"/>
            </w:r>
            <w:r w:rsidR="00B5554A">
              <w:rPr>
                <w:noProof/>
                <w:webHidden/>
              </w:rPr>
              <w:instrText xml:space="preserve"> PAGEREF _Toc116696430 \h </w:instrText>
            </w:r>
            <w:r w:rsidR="00B5554A">
              <w:rPr>
                <w:noProof/>
                <w:webHidden/>
              </w:rPr>
            </w:r>
            <w:r w:rsidR="00B5554A">
              <w:rPr>
                <w:noProof/>
                <w:webHidden/>
              </w:rPr>
              <w:fldChar w:fldCharType="separate"/>
            </w:r>
            <w:r w:rsidR="00B5554A">
              <w:rPr>
                <w:noProof/>
                <w:webHidden/>
              </w:rPr>
              <w:t>6</w:t>
            </w:r>
            <w:r w:rsidR="00B5554A">
              <w:rPr>
                <w:noProof/>
                <w:webHidden/>
              </w:rPr>
              <w:fldChar w:fldCharType="end"/>
            </w:r>
          </w:hyperlink>
        </w:p>
        <w:p w14:paraId="615ADC60" w14:textId="30F8454D" w:rsidR="00B5554A" w:rsidRDefault="00000000" w:rsidP="00BA20CA">
          <w:pPr>
            <w:pStyle w:val="TOC2"/>
            <w:tabs>
              <w:tab w:val="right" w:leader="dot" w:pos="9016"/>
            </w:tabs>
            <w:spacing w:line="360" w:lineRule="auto"/>
            <w:jc w:val="both"/>
            <w:rPr>
              <w:rFonts w:asciiTheme="minorHAnsi" w:eastAsiaTheme="minorEastAsia" w:hAnsiTheme="minorHAnsi"/>
              <w:noProof/>
              <w:sz w:val="22"/>
              <w:lang w:val="en-US"/>
            </w:rPr>
          </w:pPr>
          <w:hyperlink w:anchor="_Toc116696431" w:history="1">
            <w:r w:rsidR="00B5554A" w:rsidRPr="00EF7146">
              <w:rPr>
                <w:rStyle w:val="Hyperlink"/>
                <w:rFonts w:ascii="Arial" w:hAnsi="Arial" w:cs="Arial"/>
                <w:noProof/>
              </w:rPr>
              <w:t xml:space="preserve">3.2 Pestel analysis framework </w:t>
            </w:r>
            <w:r w:rsidR="00B5554A">
              <w:rPr>
                <w:noProof/>
                <w:webHidden/>
              </w:rPr>
              <w:tab/>
            </w:r>
            <w:r w:rsidR="00B5554A">
              <w:rPr>
                <w:noProof/>
                <w:webHidden/>
              </w:rPr>
              <w:fldChar w:fldCharType="begin"/>
            </w:r>
            <w:r w:rsidR="00B5554A">
              <w:rPr>
                <w:noProof/>
                <w:webHidden/>
              </w:rPr>
              <w:instrText xml:space="preserve"> PAGEREF _Toc116696431 \h </w:instrText>
            </w:r>
            <w:r w:rsidR="00B5554A">
              <w:rPr>
                <w:noProof/>
                <w:webHidden/>
              </w:rPr>
            </w:r>
            <w:r w:rsidR="00B5554A">
              <w:rPr>
                <w:noProof/>
                <w:webHidden/>
              </w:rPr>
              <w:fldChar w:fldCharType="separate"/>
            </w:r>
            <w:r w:rsidR="00B5554A">
              <w:rPr>
                <w:noProof/>
                <w:webHidden/>
              </w:rPr>
              <w:t>8</w:t>
            </w:r>
            <w:r w:rsidR="00B5554A">
              <w:rPr>
                <w:noProof/>
                <w:webHidden/>
              </w:rPr>
              <w:fldChar w:fldCharType="end"/>
            </w:r>
          </w:hyperlink>
        </w:p>
        <w:p w14:paraId="75C54A22" w14:textId="191B57C9" w:rsidR="00B5554A" w:rsidRDefault="00000000" w:rsidP="00BA20CA">
          <w:pPr>
            <w:pStyle w:val="TOC1"/>
            <w:jc w:val="both"/>
            <w:rPr>
              <w:rFonts w:asciiTheme="minorHAnsi" w:eastAsiaTheme="minorEastAsia" w:hAnsiTheme="minorHAnsi"/>
              <w:noProof/>
              <w:sz w:val="22"/>
              <w:lang w:val="en-US"/>
            </w:rPr>
          </w:pPr>
          <w:hyperlink w:anchor="_Toc116696432" w:history="1">
            <w:r w:rsidR="00B5554A" w:rsidRPr="00EF7146">
              <w:rPr>
                <w:rStyle w:val="Hyperlink"/>
                <w:rFonts w:ascii="Arial" w:hAnsi="Arial" w:cs="Arial"/>
                <w:noProof/>
              </w:rPr>
              <w:t>4.</w:t>
            </w:r>
            <w:r w:rsidR="00B5554A">
              <w:rPr>
                <w:rFonts w:asciiTheme="minorHAnsi" w:eastAsiaTheme="minorEastAsia" w:hAnsiTheme="minorHAnsi"/>
                <w:noProof/>
                <w:sz w:val="22"/>
                <w:lang w:val="en-US"/>
              </w:rPr>
              <w:tab/>
            </w:r>
            <w:r w:rsidR="00B5554A" w:rsidRPr="00EF7146">
              <w:rPr>
                <w:rStyle w:val="Hyperlink"/>
                <w:rFonts w:ascii="Arial" w:hAnsi="Arial" w:cs="Arial"/>
                <w:noProof/>
              </w:rPr>
              <w:t>Conclusion</w:t>
            </w:r>
            <w:r w:rsidR="00B5554A">
              <w:rPr>
                <w:noProof/>
                <w:webHidden/>
              </w:rPr>
              <w:tab/>
            </w:r>
            <w:r w:rsidR="00B5554A">
              <w:rPr>
                <w:noProof/>
                <w:webHidden/>
              </w:rPr>
              <w:fldChar w:fldCharType="begin"/>
            </w:r>
            <w:r w:rsidR="00B5554A">
              <w:rPr>
                <w:noProof/>
                <w:webHidden/>
              </w:rPr>
              <w:instrText xml:space="preserve"> PAGEREF _Toc116696432 \h </w:instrText>
            </w:r>
            <w:r w:rsidR="00B5554A">
              <w:rPr>
                <w:noProof/>
                <w:webHidden/>
              </w:rPr>
            </w:r>
            <w:r w:rsidR="00B5554A">
              <w:rPr>
                <w:noProof/>
                <w:webHidden/>
              </w:rPr>
              <w:fldChar w:fldCharType="separate"/>
            </w:r>
            <w:r w:rsidR="00B5554A">
              <w:rPr>
                <w:noProof/>
                <w:webHidden/>
              </w:rPr>
              <w:t>10</w:t>
            </w:r>
            <w:r w:rsidR="00B5554A">
              <w:rPr>
                <w:noProof/>
                <w:webHidden/>
              </w:rPr>
              <w:fldChar w:fldCharType="end"/>
            </w:r>
          </w:hyperlink>
        </w:p>
        <w:p w14:paraId="2CB9E37A" w14:textId="4198156B" w:rsidR="00B5554A" w:rsidRDefault="00000000" w:rsidP="00BA20CA">
          <w:pPr>
            <w:pStyle w:val="TOC1"/>
            <w:jc w:val="both"/>
            <w:rPr>
              <w:rFonts w:asciiTheme="minorHAnsi" w:eastAsiaTheme="minorEastAsia" w:hAnsiTheme="minorHAnsi"/>
              <w:noProof/>
              <w:sz w:val="22"/>
              <w:lang w:val="en-US"/>
            </w:rPr>
          </w:pPr>
          <w:hyperlink w:anchor="_Toc116696433" w:history="1">
            <w:r w:rsidR="00B5554A" w:rsidRPr="00EF7146">
              <w:rPr>
                <w:rStyle w:val="Hyperlink"/>
                <w:rFonts w:ascii="Arial" w:hAnsi="Arial" w:cs="Arial"/>
                <w:noProof/>
              </w:rPr>
              <w:t>5.</w:t>
            </w:r>
            <w:r w:rsidR="00B5554A">
              <w:rPr>
                <w:rFonts w:asciiTheme="minorHAnsi" w:eastAsiaTheme="minorEastAsia" w:hAnsiTheme="minorHAnsi"/>
                <w:noProof/>
                <w:sz w:val="22"/>
                <w:lang w:val="en-US"/>
              </w:rPr>
              <w:tab/>
            </w:r>
            <w:r w:rsidR="00B5554A" w:rsidRPr="00EF7146">
              <w:rPr>
                <w:rStyle w:val="Hyperlink"/>
                <w:rFonts w:ascii="Arial" w:hAnsi="Arial" w:cs="Arial"/>
                <w:noProof/>
              </w:rPr>
              <w:t>References</w:t>
            </w:r>
            <w:r w:rsidR="00B5554A">
              <w:rPr>
                <w:noProof/>
                <w:webHidden/>
              </w:rPr>
              <w:tab/>
            </w:r>
            <w:r w:rsidR="00B5554A">
              <w:rPr>
                <w:noProof/>
                <w:webHidden/>
              </w:rPr>
              <w:fldChar w:fldCharType="begin"/>
            </w:r>
            <w:r w:rsidR="00B5554A">
              <w:rPr>
                <w:noProof/>
                <w:webHidden/>
              </w:rPr>
              <w:instrText xml:space="preserve"> PAGEREF _Toc116696433 \h </w:instrText>
            </w:r>
            <w:r w:rsidR="00B5554A">
              <w:rPr>
                <w:noProof/>
                <w:webHidden/>
              </w:rPr>
            </w:r>
            <w:r w:rsidR="00B5554A">
              <w:rPr>
                <w:noProof/>
                <w:webHidden/>
              </w:rPr>
              <w:fldChar w:fldCharType="separate"/>
            </w:r>
            <w:r w:rsidR="00B5554A">
              <w:rPr>
                <w:noProof/>
                <w:webHidden/>
              </w:rPr>
              <w:t>11</w:t>
            </w:r>
            <w:r w:rsidR="00B5554A">
              <w:rPr>
                <w:noProof/>
                <w:webHidden/>
              </w:rPr>
              <w:fldChar w:fldCharType="end"/>
            </w:r>
          </w:hyperlink>
        </w:p>
        <w:p w14:paraId="355DA93D" w14:textId="7258932A" w:rsidR="007836D3" w:rsidRPr="00BD421B" w:rsidRDefault="00D417F7" w:rsidP="00BA20CA">
          <w:pPr>
            <w:spacing w:line="360" w:lineRule="auto"/>
            <w:jc w:val="both"/>
            <w:rPr>
              <w:rFonts w:ascii="Arial" w:hAnsi="Arial" w:cs="Arial"/>
              <w:sz w:val="22"/>
            </w:rPr>
          </w:pPr>
          <w:r w:rsidRPr="00BD421B">
            <w:rPr>
              <w:rFonts w:ascii="Arial" w:hAnsi="Arial" w:cs="Arial"/>
              <w:b/>
              <w:bCs/>
              <w:noProof/>
              <w:sz w:val="22"/>
            </w:rPr>
            <w:fldChar w:fldCharType="end"/>
          </w:r>
        </w:p>
      </w:sdtContent>
    </w:sdt>
    <w:p w14:paraId="6532518A" w14:textId="77777777" w:rsidR="00B87DA6" w:rsidRPr="00BD421B" w:rsidRDefault="00D417F7" w:rsidP="00BA20CA">
      <w:pPr>
        <w:spacing w:line="360" w:lineRule="auto"/>
        <w:jc w:val="both"/>
        <w:rPr>
          <w:rFonts w:ascii="Arial" w:hAnsi="Arial" w:cs="Arial"/>
          <w:sz w:val="22"/>
        </w:rPr>
      </w:pPr>
      <w:r w:rsidRPr="00BD421B">
        <w:rPr>
          <w:rFonts w:ascii="Arial" w:hAnsi="Arial" w:cs="Arial"/>
          <w:sz w:val="22"/>
        </w:rPr>
        <w:br w:type="page"/>
      </w:r>
    </w:p>
    <w:p w14:paraId="566F06CE" w14:textId="1D9EFBB2" w:rsidR="00B87DA6" w:rsidRPr="00BD421B" w:rsidRDefault="00D417F7" w:rsidP="00BA20CA">
      <w:pPr>
        <w:pStyle w:val="Heading1"/>
        <w:numPr>
          <w:ilvl w:val="0"/>
          <w:numId w:val="3"/>
        </w:numPr>
        <w:spacing w:line="360" w:lineRule="auto"/>
        <w:rPr>
          <w:rFonts w:ascii="Arial" w:hAnsi="Arial" w:cs="Arial"/>
          <w:color w:val="auto"/>
        </w:rPr>
      </w:pPr>
      <w:bookmarkStart w:id="0" w:name="_Toc116696422"/>
      <w:r w:rsidRPr="00BD421B">
        <w:rPr>
          <w:rFonts w:ascii="Arial" w:hAnsi="Arial" w:cs="Arial"/>
          <w:color w:val="auto"/>
        </w:rPr>
        <w:lastRenderedPageBreak/>
        <w:t>Introduction</w:t>
      </w:r>
      <w:bookmarkEnd w:id="0"/>
      <w:r w:rsidRPr="00BD421B">
        <w:rPr>
          <w:rFonts w:ascii="Arial" w:hAnsi="Arial" w:cs="Arial"/>
          <w:color w:val="auto"/>
        </w:rPr>
        <w:t xml:space="preserve"> </w:t>
      </w:r>
    </w:p>
    <w:p w14:paraId="460C2B5B" w14:textId="2A458640" w:rsidR="00E95BE0" w:rsidRPr="00BD421B" w:rsidRDefault="00D417F7" w:rsidP="00BA20CA">
      <w:pPr>
        <w:spacing w:line="360" w:lineRule="auto"/>
        <w:jc w:val="both"/>
        <w:rPr>
          <w:rFonts w:ascii="Arial" w:hAnsi="Arial" w:cs="Arial"/>
          <w:sz w:val="22"/>
        </w:rPr>
      </w:pPr>
      <w:r w:rsidRPr="00BD421B">
        <w:rPr>
          <w:rFonts w:ascii="Arial" w:hAnsi="Arial" w:cs="Arial"/>
          <w:sz w:val="22"/>
        </w:rPr>
        <w:t>The United Kingdom has earned a reputation for academic achievement on a worldwide scale, which has resulted in an influx of students from other countries. These students have a significant impact on the UK's economy and culture. The teaching and research facilities of the UK's higher education institutions are among the best in the world. Universities and colleges in the UK spend a significant amount of money to provide students with high-quality amenities, including libraries, computer and science labs, theatres, music and sports programmes, and more</w:t>
      </w:r>
      <w:r w:rsidR="00864734" w:rsidRPr="00BD421B">
        <w:rPr>
          <w:rFonts w:ascii="Arial" w:hAnsi="Arial" w:cs="Arial"/>
          <w:sz w:val="22"/>
        </w:rPr>
        <w:t>, (Anand, 2012).</w:t>
      </w:r>
      <w:r w:rsidRPr="00BD421B">
        <w:rPr>
          <w:rFonts w:ascii="Arial" w:hAnsi="Arial" w:cs="Arial"/>
          <w:sz w:val="22"/>
        </w:rPr>
        <w:t xml:space="preserve"> The majority of higher education classes in the UK are delivered by universities, but a significant number are also delivered by colleges and other types of institutions, such as agriculture and art institutes, and business schools. This report is based on the University of Wales Trinity Saint David (UWTSD). </w:t>
      </w:r>
      <w:r w:rsidR="0077512D" w:rsidRPr="00BD421B">
        <w:rPr>
          <w:rFonts w:ascii="Arial" w:hAnsi="Arial" w:cs="Arial"/>
          <w:sz w:val="22"/>
        </w:rPr>
        <w:t>This is a multi-campus university that has its major campuses located in Carmarthen, Lampeter, and Swansea in South West Wales. It also has a campus in London, England, as well as learning centres in Cardiff, Wales, and Birmingham, England</w:t>
      </w:r>
      <w:r w:rsidR="00FD081F">
        <w:rPr>
          <w:rFonts w:ascii="Arial" w:hAnsi="Arial" w:cs="Arial"/>
          <w:sz w:val="22"/>
        </w:rPr>
        <w:t>, (Baron, 2012).</w:t>
      </w:r>
      <w:r w:rsidR="0077512D" w:rsidRPr="00BD421B">
        <w:rPr>
          <w:rFonts w:ascii="Arial" w:hAnsi="Arial" w:cs="Arial"/>
          <w:sz w:val="22"/>
        </w:rPr>
        <w:t xml:space="preserve"> The overview of the higher education sector, and the micro and macro environment of the university will be studied throughout this report. </w:t>
      </w:r>
    </w:p>
    <w:p w14:paraId="5BE81CCC" w14:textId="77777777" w:rsidR="0077512D" w:rsidRPr="00BD421B" w:rsidRDefault="00D417F7" w:rsidP="00BA20CA">
      <w:pPr>
        <w:spacing w:line="360" w:lineRule="auto"/>
        <w:jc w:val="both"/>
        <w:rPr>
          <w:rFonts w:ascii="Arial" w:hAnsi="Arial" w:cs="Arial"/>
          <w:sz w:val="22"/>
        </w:rPr>
      </w:pPr>
      <w:r w:rsidRPr="00BD421B">
        <w:rPr>
          <w:rFonts w:ascii="Arial" w:hAnsi="Arial" w:cs="Arial"/>
          <w:sz w:val="22"/>
        </w:rPr>
        <w:br w:type="page"/>
      </w:r>
    </w:p>
    <w:p w14:paraId="6015B671" w14:textId="77777777" w:rsidR="00EE2F16" w:rsidRDefault="00D417F7" w:rsidP="00BA20CA">
      <w:pPr>
        <w:pStyle w:val="Heading1"/>
        <w:numPr>
          <w:ilvl w:val="0"/>
          <w:numId w:val="3"/>
        </w:numPr>
        <w:spacing w:line="360" w:lineRule="auto"/>
        <w:rPr>
          <w:rFonts w:ascii="Arial" w:hAnsi="Arial" w:cs="Arial"/>
          <w:color w:val="auto"/>
        </w:rPr>
      </w:pPr>
      <w:bookmarkStart w:id="1" w:name="_Toc116696423"/>
      <w:r w:rsidRPr="00BD421B">
        <w:rPr>
          <w:rFonts w:ascii="Arial" w:hAnsi="Arial" w:cs="Arial"/>
          <w:color w:val="auto"/>
        </w:rPr>
        <w:lastRenderedPageBreak/>
        <w:t xml:space="preserve">Overview of the higher education sector </w:t>
      </w:r>
      <w:bookmarkEnd w:id="1"/>
    </w:p>
    <w:p w14:paraId="55923926" w14:textId="4FA1D7FA" w:rsidR="003E75D8" w:rsidRPr="00EE2F16" w:rsidRDefault="00EE2F16" w:rsidP="00BA20CA">
      <w:pPr>
        <w:spacing w:line="360" w:lineRule="auto"/>
        <w:jc w:val="both"/>
        <w:rPr>
          <w:rFonts w:ascii="Arial" w:hAnsi="Arial" w:cs="Arial"/>
          <w:sz w:val="22"/>
        </w:rPr>
      </w:pPr>
      <w:r>
        <w:rPr>
          <w:rFonts w:ascii="Arial" w:hAnsi="Arial" w:cs="Arial"/>
          <w:sz w:val="22"/>
        </w:rPr>
        <w:t>H</w:t>
      </w:r>
      <w:r w:rsidRPr="00EE2F16">
        <w:rPr>
          <w:rFonts w:ascii="Arial" w:hAnsi="Arial" w:cs="Arial"/>
          <w:sz w:val="22"/>
        </w:rPr>
        <w:t>igher education refers to any formal programme of study after high school that leads to a bachelor's or master's degree. Students who have finished secondary school have the option of continuing their education at the collegiate level, also known as higher education, post-secondary education, third-level education, or tertiary education. critical for a number of reasons, not the least of which is the opportunity to have a good impact on one's local community, as well as increased work security and personal fulfilment. More and more occupations nowadays need at least some post-secondary education or training, making a bachelor's degree all the more valuable.</w:t>
      </w:r>
      <w:r>
        <w:rPr>
          <w:rFonts w:ascii="Arial" w:hAnsi="Arial" w:cs="Arial"/>
          <w:sz w:val="22"/>
        </w:rPr>
        <w:t xml:space="preserve"> </w:t>
      </w:r>
    </w:p>
    <w:p w14:paraId="65A73999" w14:textId="56DB0D07" w:rsidR="00785627" w:rsidRPr="00BD421B" w:rsidRDefault="00BD421B" w:rsidP="00BA20CA">
      <w:pPr>
        <w:pStyle w:val="Heading2"/>
        <w:spacing w:line="360" w:lineRule="auto"/>
        <w:jc w:val="both"/>
        <w:rPr>
          <w:rFonts w:ascii="Arial" w:hAnsi="Arial" w:cs="Arial"/>
          <w:color w:val="auto"/>
          <w:szCs w:val="28"/>
        </w:rPr>
      </w:pPr>
      <w:bookmarkStart w:id="2" w:name="_Toc116696424"/>
      <w:r>
        <w:rPr>
          <w:rFonts w:ascii="Arial" w:hAnsi="Arial" w:cs="Arial"/>
          <w:color w:val="auto"/>
          <w:szCs w:val="28"/>
        </w:rPr>
        <w:t xml:space="preserve">2.1 </w:t>
      </w:r>
      <w:r w:rsidR="00D417F7" w:rsidRPr="00BD421B">
        <w:rPr>
          <w:rFonts w:ascii="Arial" w:hAnsi="Arial" w:cs="Arial"/>
          <w:color w:val="auto"/>
          <w:szCs w:val="28"/>
        </w:rPr>
        <w:t xml:space="preserve">History </w:t>
      </w:r>
      <w:bookmarkEnd w:id="2"/>
    </w:p>
    <w:p w14:paraId="5B5997C5" w14:textId="22FC8C0A" w:rsidR="00785627" w:rsidRPr="00BD421B" w:rsidRDefault="00D417F7" w:rsidP="00BA20CA">
      <w:pPr>
        <w:spacing w:line="360" w:lineRule="auto"/>
        <w:jc w:val="both"/>
        <w:rPr>
          <w:rFonts w:ascii="Arial" w:hAnsi="Arial" w:cs="Arial"/>
          <w:sz w:val="22"/>
        </w:rPr>
      </w:pPr>
      <w:r w:rsidRPr="00BD421B">
        <w:rPr>
          <w:rFonts w:ascii="Arial" w:hAnsi="Arial" w:cs="Arial"/>
          <w:sz w:val="22"/>
        </w:rPr>
        <w:t>The University of Wales, Lampeter (UWL) and Trinity University College (TUC) merged to become the university in 2010, following the terms of Lampeter's royal charter from 1828. This was the first time that two of Wales's oldest higher education institutions combined to form a single entity. In 2011, it was announced that Trinity Saint David will also absorb the University of Wales, becoming the institution known as Trinity Saint David University. The university united with Swansea Metropolitan University on August 1st, 2013, making it one institution</w:t>
      </w:r>
      <w:r w:rsidR="00FD081F">
        <w:rPr>
          <w:rFonts w:ascii="Arial" w:hAnsi="Arial" w:cs="Arial"/>
          <w:sz w:val="22"/>
        </w:rPr>
        <w:t>, (Brown, 2018).</w:t>
      </w:r>
    </w:p>
    <w:p w14:paraId="17203DB5" w14:textId="081A1AC4" w:rsidR="00785627" w:rsidRPr="00BD421B" w:rsidRDefault="00BD421B" w:rsidP="00BA20CA">
      <w:pPr>
        <w:pStyle w:val="Heading2"/>
        <w:spacing w:line="360" w:lineRule="auto"/>
        <w:jc w:val="both"/>
        <w:rPr>
          <w:rFonts w:ascii="Arial" w:hAnsi="Arial" w:cs="Arial"/>
          <w:color w:val="auto"/>
          <w:szCs w:val="28"/>
        </w:rPr>
      </w:pPr>
      <w:bookmarkStart w:id="3" w:name="_Toc116696425"/>
      <w:r>
        <w:rPr>
          <w:rFonts w:ascii="Arial" w:hAnsi="Arial" w:cs="Arial"/>
          <w:color w:val="auto"/>
          <w:szCs w:val="28"/>
        </w:rPr>
        <w:t xml:space="preserve">2.2 </w:t>
      </w:r>
      <w:r w:rsidR="00D417F7" w:rsidRPr="00BD421B">
        <w:rPr>
          <w:rFonts w:ascii="Arial" w:hAnsi="Arial" w:cs="Arial"/>
          <w:color w:val="auto"/>
          <w:szCs w:val="28"/>
        </w:rPr>
        <w:t>Educational overview</w:t>
      </w:r>
      <w:bookmarkEnd w:id="3"/>
      <w:r w:rsidR="00D417F7" w:rsidRPr="00BD421B">
        <w:rPr>
          <w:rFonts w:ascii="Arial" w:hAnsi="Arial" w:cs="Arial"/>
          <w:color w:val="auto"/>
          <w:szCs w:val="28"/>
        </w:rPr>
        <w:t xml:space="preserve"> </w:t>
      </w:r>
    </w:p>
    <w:p w14:paraId="13B59C82" w14:textId="2974A53A" w:rsidR="00FD081F" w:rsidRPr="00FD081F" w:rsidRDefault="00FD081F" w:rsidP="00BA20CA">
      <w:pPr>
        <w:spacing w:line="360" w:lineRule="auto"/>
        <w:jc w:val="both"/>
        <w:rPr>
          <w:rFonts w:ascii="Arial" w:hAnsi="Arial" w:cs="Arial"/>
          <w:sz w:val="22"/>
        </w:rPr>
      </w:pPr>
      <w:r w:rsidRPr="00FD081F">
        <w:rPr>
          <w:rFonts w:ascii="Arial" w:hAnsi="Arial" w:cs="Arial"/>
          <w:sz w:val="22"/>
        </w:rPr>
        <w:t>Trinity Saint David, the oldest university in Wales, holds the third-oldest Royal Charter in England and Wales, behind Oxford and Cambridge. Students who took part in the Whatuni Student Choice Awards 2019 and 2020 selected this institution as the best in the UK in terms of the quality of its academic programmes and the expertise of its faculty. The school has been called a "modern, vibrant, creative, inventive, and motivating" place to study. It has also been used as a centre for learning and study for quite some time (Baron, 2012). UWTSD also stands out for its inclusive learning communities and career-focused academic programmes. The University of Wales, Trinity Saint David (UWTSD) consists of three main campuses in southwest Wales, each with its own specialty. Swansea is home to many different types of businesses and industries, including as the arts, finance, education, health and sciences, IT, engineering, environment, and psychology. Carmarthen offers classes in the fine arts, sports and fitness, business, social sciences, and applied psychology, for a total of five possible majors. And in Lampeter, the liberal arts and humanities are emphasised. Among Welsh art schools, the Swansea College of Art at UWTSD is often considered the most distinguished owing to its focus on cutting-edge creative fields. An art school-like education is provided within the setting of a state-of-the-art research institution with access to state-of-the-art facilities and equipment</w:t>
      </w:r>
      <w:r>
        <w:rPr>
          <w:rFonts w:ascii="Arial" w:hAnsi="Arial" w:cs="Arial"/>
          <w:sz w:val="22"/>
        </w:rPr>
        <w:t>, (Deem, 2018).</w:t>
      </w:r>
      <w:r w:rsidRPr="00FD081F">
        <w:rPr>
          <w:rFonts w:ascii="Arial" w:hAnsi="Arial" w:cs="Arial"/>
          <w:sz w:val="22"/>
        </w:rPr>
        <w:t xml:space="preserve"> The Complete University Guide 2021 ranks Swansea </w:t>
      </w:r>
      <w:r w:rsidRPr="00FD081F">
        <w:rPr>
          <w:rFonts w:ascii="Arial" w:hAnsi="Arial" w:cs="Arial"/>
          <w:sz w:val="22"/>
        </w:rPr>
        <w:lastRenderedPageBreak/>
        <w:t>College of Art as the finest university in Wales for art and design and the eighth-best university in the United Kingdom, attesting to the quality of education that it offers its students (Brown, 2018). The excellence of the school's architectural and stained</w:t>
      </w:r>
      <w:r>
        <w:rPr>
          <w:rFonts w:ascii="Arial" w:hAnsi="Arial" w:cs="Arial"/>
          <w:sz w:val="22"/>
        </w:rPr>
        <w:t>-</w:t>
      </w:r>
      <w:r w:rsidRPr="00FD081F">
        <w:rPr>
          <w:rFonts w:ascii="Arial" w:hAnsi="Arial" w:cs="Arial"/>
          <w:sz w:val="22"/>
        </w:rPr>
        <w:t>glass programmes is well-known across the world, and its graduates go on to exciting careers in a wide range of areas.</w:t>
      </w:r>
    </w:p>
    <w:p w14:paraId="58F363B8" w14:textId="7A5D49B5" w:rsidR="00785627" w:rsidRPr="00BD421B" w:rsidRDefault="00FD081F" w:rsidP="00BA20CA">
      <w:pPr>
        <w:spacing w:line="360" w:lineRule="auto"/>
        <w:jc w:val="both"/>
        <w:rPr>
          <w:rFonts w:ascii="Arial" w:hAnsi="Arial" w:cs="Arial"/>
          <w:sz w:val="22"/>
        </w:rPr>
      </w:pPr>
      <w:r w:rsidRPr="00FD081F">
        <w:rPr>
          <w:rFonts w:ascii="Arial" w:hAnsi="Arial" w:cs="Arial"/>
          <w:sz w:val="22"/>
        </w:rPr>
        <w:t>The Complete University Guide 2021 recognises UWTSD for providing a superior educational experience across a wide variety of disciplines, art included. It is ranked #1 in the UK for electrical and electronic engineering, second in mechanical engineering, tenth in computer science, twelfth in theology and religious studies and sports science, and fourteenth in business and management studies (Clark, 2014). The University of Wisconsin–Stout–Dakota (UWTSD) is well recognised as a leader in the area of distance education, and it offers a diverse selection of courses for students both far and near. UWTSD's new Hwb (hub), a centralised location for useful connections aimed at bettering students' lives, including applications that put academic and personal support resources within easy reach. These programmes are a component of UWTSD's ongoing efforts to help both current and prospective students.</w:t>
      </w:r>
      <w:r w:rsidRPr="00BD421B">
        <w:rPr>
          <w:rFonts w:ascii="Arial" w:hAnsi="Arial" w:cs="Arial"/>
          <w:sz w:val="22"/>
        </w:rPr>
        <w:t xml:space="preserve"> </w:t>
      </w:r>
    </w:p>
    <w:p w14:paraId="0C45688E" w14:textId="2108A9AC" w:rsidR="00785627" w:rsidRPr="00BD421B" w:rsidRDefault="00BD421B" w:rsidP="00BA20CA">
      <w:pPr>
        <w:pStyle w:val="Heading2"/>
        <w:spacing w:line="360" w:lineRule="auto"/>
        <w:jc w:val="both"/>
        <w:rPr>
          <w:rFonts w:ascii="Arial" w:hAnsi="Arial" w:cs="Arial"/>
          <w:color w:val="auto"/>
          <w:szCs w:val="28"/>
        </w:rPr>
      </w:pPr>
      <w:bookmarkStart w:id="4" w:name="_Toc116696426"/>
      <w:r>
        <w:rPr>
          <w:rFonts w:ascii="Arial" w:hAnsi="Arial" w:cs="Arial"/>
          <w:color w:val="auto"/>
          <w:szCs w:val="28"/>
        </w:rPr>
        <w:t xml:space="preserve">2.3 </w:t>
      </w:r>
      <w:r w:rsidR="00D417F7" w:rsidRPr="00BD421B">
        <w:rPr>
          <w:rFonts w:ascii="Arial" w:hAnsi="Arial" w:cs="Arial"/>
          <w:color w:val="auto"/>
          <w:szCs w:val="28"/>
        </w:rPr>
        <w:t>Reputation</w:t>
      </w:r>
      <w:bookmarkEnd w:id="4"/>
      <w:r w:rsidR="00D417F7" w:rsidRPr="00BD421B">
        <w:rPr>
          <w:rFonts w:ascii="Arial" w:hAnsi="Arial" w:cs="Arial"/>
          <w:color w:val="auto"/>
          <w:szCs w:val="28"/>
        </w:rPr>
        <w:t xml:space="preserve"> </w:t>
      </w:r>
    </w:p>
    <w:p w14:paraId="5DC8D9D7" w14:textId="58FF9F8D" w:rsidR="00785627" w:rsidRPr="00BD421B" w:rsidRDefault="003849C5" w:rsidP="00BA20CA">
      <w:pPr>
        <w:spacing w:line="360" w:lineRule="auto"/>
        <w:jc w:val="both"/>
        <w:rPr>
          <w:rFonts w:ascii="Arial" w:hAnsi="Arial" w:cs="Arial"/>
          <w:sz w:val="22"/>
        </w:rPr>
      </w:pPr>
      <w:r w:rsidRPr="003849C5">
        <w:rPr>
          <w:rFonts w:ascii="Arial" w:hAnsi="Arial" w:cs="Arial"/>
          <w:sz w:val="22"/>
        </w:rPr>
        <w:t>At its three different city-center campuses - SA1 Waterfront, Swansea College of Art, and Swansea Business Campus - UWTSD is known for delivering innovative, industry-led, and career-driven programmes. This reputation has earned the university a strong reputation. The University of Wales Trinity Saint David achieved a position of equal 74th in the Guardian League Table 2022. Among other notable accomplishments, the university was ranked fifth in the United Kingdom and first in Wales for Art. First place in Wales for both Classics and Ancient History.</w:t>
      </w:r>
      <w:r>
        <w:rPr>
          <w:rFonts w:ascii="Arial" w:hAnsi="Arial" w:cs="Arial"/>
          <w:sz w:val="22"/>
        </w:rPr>
        <w:t xml:space="preserve"> </w:t>
      </w:r>
      <w:r w:rsidR="00D417F7" w:rsidRPr="00BD421B">
        <w:rPr>
          <w:rFonts w:ascii="Arial" w:hAnsi="Arial" w:cs="Arial"/>
          <w:sz w:val="22"/>
        </w:rPr>
        <w:t>The institution was the first institution of higher education in the UK to make sustainable development a central focus. The Institute of Sustainable Practice and Resource Effectiveness, often known as INSPIRE, at the university is intended to guarantee that students are adequately equipped for their futures both in the professional world and in society as a whole</w:t>
      </w:r>
      <w:r w:rsidR="007836D3" w:rsidRPr="00BD421B">
        <w:rPr>
          <w:rFonts w:ascii="Arial" w:hAnsi="Arial" w:cs="Arial"/>
          <w:sz w:val="22"/>
        </w:rPr>
        <w:t>, (De Vita, 2012).</w:t>
      </w:r>
    </w:p>
    <w:p w14:paraId="7D59E72A" w14:textId="4A0FF8BA" w:rsidR="00785627" w:rsidRPr="00BD421B" w:rsidRDefault="00BD421B" w:rsidP="00BA20CA">
      <w:pPr>
        <w:pStyle w:val="Heading2"/>
        <w:spacing w:line="360" w:lineRule="auto"/>
        <w:jc w:val="both"/>
        <w:rPr>
          <w:rFonts w:ascii="Arial" w:hAnsi="Arial" w:cs="Arial"/>
          <w:color w:val="auto"/>
          <w:szCs w:val="28"/>
        </w:rPr>
      </w:pPr>
      <w:bookmarkStart w:id="5" w:name="_Toc116696427"/>
      <w:r>
        <w:rPr>
          <w:rFonts w:ascii="Arial" w:hAnsi="Arial" w:cs="Arial"/>
          <w:color w:val="auto"/>
          <w:szCs w:val="28"/>
        </w:rPr>
        <w:t xml:space="preserve">2.4 </w:t>
      </w:r>
      <w:r w:rsidR="00D417F7" w:rsidRPr="00BD421B">
        <w:rPr>
          <w:rFonts w:ascii="Arial" w:hAnsi="Arial" w:cs="Arial"/>
          <w:color w:val="auto"/>
          <w:szCs w:val="28"/>
        </w:rPr>
        <w:t xml:space="preserve">Research </w:t>
      </w:r>
      <w:bookmarkEnd w:id="5"/>
    </w:p>
    <w:p w14:paraId="7D064332" w14:textId="5A09003A" w:rsidR="00785627" w:rsidRPr="00BD421B" w:rsidRDefault="00D417F7" w:rsidP="00BA20CA">
      <w:pPr>
        <w:spacing w:line="360" w:lineRule="auto"/>
        <w:jc w:val="both"/>
        <w:rPr>
          <w:rFonts w:ascii="Arial" w:hAnsi="Arial" w:cs="Arial"/>
          <w:sz w:val="22"/>
        </w:rPr>
      </w:pPr>
      <w:r w:rsidRPr="00BD421B">
        <w:rPr>
          <w:rFonts w:ascii="Arial" w:hAnsi="Arial" w:cs="Arial"/>
          <w:sz w:val="22"/>
        </w:rPr>
        <w:t xml:space="preserve">The university in Lampeter has continued the town's tradition of humanities study. In the 2014 Research Excellence Framework, 47% of the university's research was deemed either world-leading (4*) or globally good (3*). (REF2014). In 2014, the university took part in six REF evaluation units, and these were the outcomes: In the field of Modern Languages and Linguistics (in conjunction with the University of Wales Centre for Advanced Celtic Studies), 26% of research was rated as "excellent," while 39% was rated as "very good," and in the field of Art and Design: History, Practice, and Theory (in conjunction with the University of South </w:t>
      </w:r>
      <w:r w:rsidRPr="00BD421B">
        <w:rPr>
          <w:rFonts w:ascii="Arial" w:hAnsi="Arial" w:cs="Arial"/>
          <w:sz w:val="22"/>
        </w:rPr>
        <w:lastRenderedPageBreak/>
        <w:t>Wales), 23% of research was rated as "excellent," while 52% was rated as "very good."</w:t>
      </w:r>
      <w:r w:rsidR="00FD081F">
        <w:rPr>
          <w:rFonts w:ascii="Arial" w:hAnsi="Arial" w:cs="Arial"/>
          <w:sz w:val="22"/>
        </w:rPr>
        <w:t>, (Shattock, 2015).</w:t>
      </w:r>
    </w:p>
    <w:p w14:paraId="744CC8A0" w14:textId="3765907F" w:rsidR="00785627" w:rsidRPr="00BD421B" w:rsidRDefault="00D417F7" w:rsidP="00BA20CA">
      <w:pPr>
        <w:spacing w:line="360" w:lineRule="auto"/>
        <w:jc w:val="both"/>
        <w:rPr>
          <w:rFonts w:ascii="Arial" w:hAnsi="Arial" w:cs="Arial"/>
          <w:sz w:val="22"/>
        </w:rPr>
      </w:pPr>
      <w:r w:rsidRPr="00BD421B">
        <w:rPr>
          <w:rFonts w:ascii="Arial" w:hAnsi="Arial" w:cs="Arial"/>
          <w:sz w:val="22"/>
        </w:rPr>
        <w:t>The Sophia Centre for the Study of Cosmology in Civilisation is a leading research institution dedicated to understanding the historical and contemporary significance of cosmological, astronomical, and astrological ideas and practises within human societies. The Sophia Foundation founded this facility in 1997</w:t>
      </w:r>
      <w:r w:rsidR="00FD081F">
        <w:rPr>
          <w:rFonts w:ascii="Arial" w:hAnsi="Arial" w:cs="Arial"/>
          <w:sz w:val="22"/>
        </w:rPr>
        <w:t>, (Ringland, 2017).</w:t>
      </w:r>
    </w:p>
    <w:p w14:paraId="40B99EE2" w14:textId="3C3A40D9" w:rsidR="00785627" w:rsidRPr="00BD421B" w:rsidRDefault="00BD421B" w:rsidP="00BA20CA">
      <w:pPr>
        <w:pStyle w:val="Heading2"/>
        <w:spacing w:line="360" w:lineRule="auto"/>
        <w:jc w:val="both"/>
        <w:rPr>
          <w:rFonts w:ascii="Arial" w:hAnsi="Arial" w:cs="Arial"/>
          <w:color w:val="auto"/>
          <w:szCs w:val="28"/>
        </w:rPr>
      </w:pPr>
      <w:bookmarkStart w:id="6" w:name="_Toc116696428"/>
      <w:r>
        <w:rPr>
          <w:rFonts w:ascii="Arial" w:hAnsi="Arial" w:cs="Arial"/>
          <w:color w:val="auto"/>
          <w:szCs w:val="28"/>
        </w:rPr>
        <w:t xml:space="preserve">2.5 </w:t>
      </w:r>
      <w:r w:rsidR="00D417F7" w:rsidRPr="00BD421B">
        <w:rPr>
          <w:rFonts w:ascii="Arial" w:hAnsi="Arial" w:cs="Arial"/>
          <w:color w:val="auto"/>
          <w:szCs w:val="28"/>
        </w:rPr>
        <w:t>Sports</w:t>
      </w:r>
      <w:bookmarkEnd w:id="6"/>
      <w:r w:rsidR="00D417F7" w:rsidRPr="00BD421B">
        <w:rPr>
          <w:rFonts w:ascii="Arial" w:hAnsi="Arial" w:cs="Arial"/>
          <w:color w:val="auto"/>
          <w:szCs w:val="28"/>
        </w:rPr>
        <w:t xml:space="preserve"> </w:t>
      </w:r>
    </w:p>
    <w:p w14:paraId="2C110837" w14:textId="77777777" w:rsidR="00316362" w:rsidRPr="00BD421B" w:rsidRDefault="00D417F7" w:rsidP="00BA20CA">
      <w:pPr>
        <w:spacing w:line="360" w:lineRule="auto"/>
        <w:jc w:val="both"/>
        <w:rPr>
          <w:rFonts w:ascii="Arial" w:hAnsi="Arial" w:cs="Arial"/>
          <w:sz w:val="22"/>
        </w:rPr>
      </w:pPr>
      <w:r w:rsidRPr="00BD421B">
        <w:rPr>
          <w:rFonts w:ascii="Arial" w:hAnsi="Arial" w:cs="Arial"/>
          <w:sz w:val="22"/>
        </w:rPr>
        <w:t>Badminton and squash courts may be found at the school's sports centres at both the Lampeter and Carmarthen locations. A hockey team with students from both universities also exists. Moreover, St. David's College is home to a fencing team that often represents the college in prestigious Welsh leagues and competitions</w:t>
      </w:r>
      <w:r w:rsidR="007836D3" w:rsidRPr="00BD421B">
        <w:rPr>
          <w:rFonts w:ascii="Arial" w:hAnsi="Arial" w:cs="Arial"/>
          <w:sz w:val="22"/>
        </w:rPr>
        <w:t>, (Deem, 2018).</w:t>
      </w:r>
      <w:r w:rsidRPr="00BD421B">
        <w:rPr>
          <w:rFonts w:ascii="Arial" w:hAnsi="Arial" w:cs="Arial"/>
          <w:sz w:val="22"/>
        </w:rPr>
        <w:t xml:space="preserve"> Each college maybe has an indoor climbing wall. Tennis courts, a cricket field, and football and rugby grounds and facilities are just some of the outdoor sports options available at this college. The Carmarthen Campus also has AstroTurf fields, a state-of-the-art gymnasium, and a fitness centre. One of the squash courts is being considered for conversion into a gym to address the need for additional fitness centres in Lampeter. On May 1, 1909, Lampeter College's cricket pavilion opened to the public for the first time; today, it is considered an important part of the school's history.</w:t>
      </w:r>
    </w:p>
    <w:p w14:paraId="2474DDBB" w14:textId="19B9E723" w:rsidR="00316362" w:rsidRPr="00BD421B" w:rsidRDefault="00D417F7" w:rsidP="00BA20CA">
      <w:pPr>
        <w:pStyle w:val="Heading1"/>
        <w:numPr>
          <w:ilvl w:val="0"/>
          <w:numId w:val="3"/>
        </w:numPr>
        <w:spacing w:line="360" w:lineRule="auto"/>
        <w:rPr>
          <w:rFonts w:ascii="Arial" w:hAnsi="Arial" w:cs="Arial"/>
          <w:color w:val="auto"/>
        </w:rPr>
      </w:pPr>
      <w:bookmarkStart w:id="7" w:name="_Toc116696429"/>
      <w:r w:rsidRPr="00BD421B">
        <w:rPr>
          <w:rFonts w:ascii="Arial" w:hAnsi="Arial" w:cs="Arial"/>
          <w:color w:val="auto"/>
        </w:rPr>
        <w:t xml:space="preserve">Main discussions </w:t>
      </w:r>
      <w:bookmarkEnd w:id="7"/>
    </w:p>
    <w:p w14:paraId="326B07CE" w14:textId="1845EDE1" w:rsidR="00624F1A" w:rsidRPr="00BD421B" w:rsidRDefault="00EE2F16" w:rsidP="00BA20CA">
      <w:pPr>
        <w:spacing w:line="360" w:lineRule="auto"/>
        <w:jc w:val="both"/>
        <w:rPr>
          <w:rFonts w:ascii="Arial" w:hAnsi="Arial" w:cs="Arial"/>
          <w:sz w:val="22"/>
        </w:rPr>
      </w:pPr>
      <w:r>
        <w:rPr>
          <w:rFonts w:ascii="Arial" w:hAnsi="Arial" w:cs="Arial"/>
          <w:sz w:val="22"/>
        </w:rPr>
        <w:t xml:space="preserve">For this part, the macro and micro environmental factors that effect the environment of the university are assessed below. </w:t>
      </w:r>
    </w:p>
    <w:p w14:paraId="4F173E81" w14:textId="79AB9CE4" w:rsidR="00050DC1" w:rsidRPr="00BD421B" w:rsidRDefault="00BD421B" w:rsidP="00BA20CA">
      <w:pPr>
        <w:pStyle w:val="Heading2"/>
        <w:spacing w:line="360" w:lineRule="auto"/>
        <w:jc w:val="both"/>
        <w:rPr>
          <w:rFonts w:ascii="Arial" w:hAnsi="Arial" w:cs="Arial"/>
          <w:color w:val="auto"/>
          <w:szCs w:val="28"/>
        </w:rPr>
      </w:pPr>
      <w:bookmarkStart w:id="8" w:name="_Toc116696430"/>
      <w:r>
        <w:rPr>
          <w:rFonts w:ascii="Arial" w:hAnsi="Arial" w:cs="Arial"/>
          <w:color w:val="auto"/>
          <w:szCs w:val="28"/>
        </w:rPr>
        <w:t xml:space="preserve">3.1 </w:t>
      </w:r>
      <w:r w:rsidR="00D417F7" w:rsidRPr="00BD421B">
        <w:rPr>
          <w:rFonts w:ascii="Arial" w:hAnsi="Arial" w:cs="Arial"/>
          <w:color w:val="auto"/>
          <w:szCs w:val="28"/>
        </w:rPr>
        <w:t>P</w:t>
      </w:r>
      <w:r w:rsidR="00793C11" w:rsidRPr="00BD421B">
        <w:rPr>
          <w:rFonts w:ascii="Arial" w:hAnsi="Arial" w:cs="Arial"/>
          <w:color w:val="auto"/>
          <w:szCs w:val="28"/>
        </w:rPr>
        <w:t>orter’s 5 forces</w:t>
      </w:r>
      <w:bookmarkEnd w:id="8"/>
      <w:r w:rsidR="00D417F7" w:rsidRPr="00BD421B">
        <w:rPr>
          <w:rFonts w:ascii="Arial" w:hAnsi="Arial" w:cs="Arial"/>
          <w:color w:val="auto"/>
          <w:szCs w:val="28"/>
        </w:rPr>
        <w:t xml:space="preserve"> </w:t>
      </w:r>
    </w:p>
    <w:p w14:paraId="391B053A" w14:textId="63063FEC" w:rsidR="00BD421B" w:rsidRPr="00BD421B" w:rsidRDefault="003849C5" w:rsidP="00BA20CA">
      <w:pPr>
        <w:spacing w:line="360" w:lineRule="auto"/>
        <w:jc w:val="both"/>
        <w:rPr>
          <w:rFonts w:ascii="Arial" w:hAnsi="Arial" w:cs="Arial"/>
          <w:sz w:val="22"/>
        </w:rPr>
      </w:pPr>
      <w:r w:rsidRPr="003849C5">
        <w:rPr>
          <w:rFonts w:ascii="Arial" w:hAnsi="Arial" w:cs="Arial"/>
          <w:sz w:val="22"/>
        </w:rPr>
        <w:t>Porter's Five Forces Framework is a method for assessing a company's competitiveness in its industry and market. There are five elements that can be gleaned from the field of industrial organisation economics that influence the level of competition within an industry and, by extension, the sector's attractiveness from a financial standpoint</w:t>
      </w:r>
      <w:r w:rsidR="00FD081F">
        <w:rPr>
          <w:rFonts w:ascii="Arial" w:hAnsi="Arial" w:cs="Arial"/>
          <w:sz w:val="22"/>
        </w:rPr>
        <w:t>, (Peng, 2017).</w:t>
      </w:r>
      <w:r>
        <w:rPr>
          <w:rFonts w:ascii="Arial" w:hAnsi="Arial" w:cs="Arial"/>
          <w:sz w:val="22"/>
        </w:rPr>
        <w:t xml:space="preserve"> </w:t>
      </w:r>
      <w:r w:rsidR="00D417F7" w:rsidRPr="00BD421B">
        <w:rPr>
          <w:rFonts w:ascii="Arial" w:hAnsi="Arial" w:cs="Arial"/>
          <w:sz w:val="22"/>
        </w:rPr>
        <w:t>UWTSD can use an analysis of Porter's forces to act as yardsticks for positioning themselves so that they can run a profitable business despite operating in a highly competitive and saturated environment that is highly sensitive to changes. This is because the environment in which they operate is very susceptible to change.</w:t>
      </w:r>
    </w:p>
    <w:p w14:paraId="4227DE40" w14:textId="3E7885CA" w:rsidR="00050DC1" w:rsidRPr="00BD421B" w:rsidRDefault="00BD421B" w:rsidP="00BA20CA">
      <w:pPr>
        <w:spacing w:line="360" w:lineRule="auto"/>
        <w:jc w:val="both"/>
        <w:rPr>
          <w:rFonts w:ascii="Arial" w:hAnsi="Arial" w:cs="Arial"/>
          <w:b/>
          <w:bCs/>
          <w:sz w:val="22"/>
        </w:rPr>
      </w:pPr>
      <w:r w:rsidRPr="00BD421B">
        <w:rPr>
          <w:rFonts w:ascii="Arial" w:hAnsi="Arial" w:cs="Arial"/>
          <w:b/>
          <w:bCs/>
          <w:sz w:val="22"/>
        </w:rPr>
        <w:t xml:space="preserve">Threat of substitutes </w:t>
      </w:r>
      <w:r w:rsidR="00D417F7" w:rsidRPr="00BD421B">
        <w:rPr>
          <w:rFonts w:ascii="Arial" w:hAnsi="Arial" w:cs="Arial"/>
          <w:b/>
          <w:bCs/>
          <w:sz w:val="22"/>
        </w:rPr>
        <w:t xml:space="preserve"> </w:t>
      </w:r>
      <w:r w:rsidR="00FD081F">
        <w:rPr>
          <w:rFonts w:ascii="Arial" w:hAnsi="Arial" w:cs="Arial"/>
          <w:b/>
          <w:bCs/>
          <w:sz w:val="22"/>
        </w:rPr>
        <w:t>(High)</w:t>
      </w:r>
    </w:p>
    <w:p w14:paraId="0E8617FE" w14:textId="77777777" w:rsidR="00D53873" w:rsidRPr="00BD421B" w:rsidRDefault="00D417F7" w:rsidP="00BA20CA">
      <w:pPr>
        <w:spacing w:line="360" w:lineRule="auto"/>
        <w:jc w:val="both"/>
        <w:rPr>
          <w:rFonts w:ascii="Arial" w:hAnsi="Arial" w:cs="Arial"/>
          <w:sz w:val="22"/>
        </w:rPr>
      </w:pPr>
      <w:r w:rsidRPr="00BD421B">
        <w:rPr>
          <w:rFonts w:ascii="Arial" w:hAnsi="Arial" w:cs="Arial"/>
          <w:sz w:val="22"/>
        </w:rPr>
        <w:t xml:space="preserve">Scientists and researchers are creating educational services that pose a serious threat to UWTSD's long-standing, unique offerings. Research shows that many other business schools </w:t>
      </w:r>
      <w:r w:rsidRPr="00BD421B">
        <w:rPr>
          <w:rFonts w:ascii="Arial" w:hAnsi="Arial" w:cs="Arial"/>
          <w:sz w:val="22"/>
        </w:rPr>
        <w:lastRenderedPageBreak/>
        <w:t>are constantly discovering and implementing new services that are either superior to or on par with those offered by the UWTSD. Overcoming this barrier has grown very challenging as the market has become more competitive and sensitive to discoveries</w:t>
      </w:r>
      <w:r w:rsidR="007836D3" w:rsidRPr="00BD421B">
        <w:rPr>
          <w:rFonts w:ascii="Arial" w:hAnsi="Arial" w:cs="Arial"/>
          <w:sz w:val="22"/>
        </w:rPr>
        <w:t>, (Ding, 2018).</w:t>
      </w:r>
      <w:r w:rsidRPr="00BD421B">
        <w:rPr>
          <w:rFonts w:ascii="Arial" w:hAnsi="Arial" w:cs="Arial"/>
          <w:sz w:val="22"/>
        </w:rPr>
        <w:t xml:space="preserve"> Always curious to check whether the latest and greatest has improved their academic performance, students are conditioned to believe that whatever is the most recently released must be the finest option. Nonetheless, this assertion is not supported by the available information. UWTSD has intense competition from other institutions; as a result, it must actively promote itself, constantly innovate low-cost offers, and increase the quality of service it provides to clients.</w:t>
      </w:r>
    </w:p>
    <w:p w14:paraId="49531D7A" w14:textId="51F24DD0" w:rsidR="00D53873" w:rsidRPr="00BD421B" w:rsidRDefault="00D417F7" w:rsidP="00BA20CA">
      <w:pPr>
        <w:spacing w:line="360" w:lineRule="auto"/>
        <w:jc w:val="both"/>
        <w:rPr>
          <w:rFonts w:ascii="Arial" w:hAnsi="Arial" w:cs="Arial"/>
          <w:b/>
          <w:bCs/>
          <w:sz w:val="22"/>
        </w:rPr>
      </w:pPr>
      <w:r w:rsidRPr="00BD421B">
        <w:rPr>
          <w:rFonts w:ascii="Arial" w:hAnsi="Arial" w:cs="Arial"/>
          <w:b/>
          <w:bCs/>
          <w:sz w:val="22"/>
        </w:rPr>
        <w:t>R</w:t>
      </w:r>
      <w:r w:rsidR="00BD421B" w:rsidRPr="00BD421B">
        <w:rPr>
          <w:rFonts w:ascii="Arial" w:hAnsi="Arial" w:cs="Arial"/>
          <w:b/>
          <w:bCs/>
          <w:sz w:val="22"/>
        </w:rPr>
        <w:t>ivalry amongst each other</w:t>
      </w:r>
      <w:r w:rsidR="00FD081F">
        <w:rPr>
          <w:rFonts w:ascii="Arial" w:hAnsi="Arial" w:cs="Arial"/>
          <w:b/>
          <w:bCs/>
          <w:sz w:val="22"/>
        </w:rPr>
        <w:t xml:space="preserve"> (High)</w:t>
      </w:r>
    </w:p>
    <w:p w14:paraId="149E9FA0" w14:textId="77777777" w:rsidR="00D53873" w:rsidRPr="00BD421B" w:rsidRDefault="00D417F7" w:rsidP="00BA20CA">
      <w:pPr>
        <w:spacing w:line="360" w:lineRule="auto"/>
        <w:jc w:val="both"/>
        <w:rPr>
          <w:rFonts w:ascii="Arial" w:hAnsi="Arial" w:cs="Arial"/>
          <w:sz w:val="22"/>
        </w:rPr>
      </w:pPr>
      <w:r w:rsidRPr="00BD421B">
        <w:rPr>
          <w:rFonts w:ascii="Arial" w:hAnsi="Arial" w:cs="Arial"/>
          <w:sz w:val="22"/>
        </w:rPr>
        <w:t>UWTSD has severe difficulties in the business sector since it competes in an extremely aggressive market with many other similar businesses. They engage their rivals on every front and use every tactic at their disposal to ensure victory</w:t>
      </w:r>
      <w:r w:rsidR="007836D3" w:rsidRPr="00BD421B">
        <w:rPr>
          <w:rFonts w:ascii="Arial" w:hAnsi="Arial" w:cs="Arial"/>
          <w:sz w:val="22"/>
        </w:rPr>
        <w:t>, (Dyson, 2020).</w:t>
      </w:r>
      <w:r w:rsidRPr="00BD421B">
        <w:rPr>
          <w:rFonts w:ascii="Arial" w:hAnsi="Arial" w:cs="Arial"/>
          <w:sz w:val="22"/>
        </w:rPr>
        <w:t xml:space="preserve"> They also make daily efforts at engaging in rigorous marketing and novel practises in the hope of attracting more customers. New companies trying to make a name for themselves in an already saturated industry confront a formidable opponent in the shape of UWTSD. Existing companies have a far easier time convincing clients to start using their new services despite the introduction of rival services into the market. This is because consumers are more likely to stick with well-known brands.</w:t>
      </w:r>
    </w:p>
    <w:p w14:paraId="245E697C" w14:textId="180591F7" w:rsidR="00D53873" w:rsidRPr="00BD421B" w:rsidRDefault="00D417F7" w:rsidP="00BA20CA">
      <w:pPr>
        <w:spacing w:line="360" w:lineRule="auto"/>
        <w:jc w:val="both"/>
        <w:rPr>
          <w:rFonts w:ascii="Arial" w:hAnsi="Arial" w:cs="Arial"/>
          <w:b/>
          <w:bCs/>
          <w:sz w:val="22"/>
        </w:rPr>
      </w:pPr>
      <w:r w:rsidRPr="00BD421B">
        <w:rPr>
          <w:rFonts w:ascii="Arial" w:hAnsi="Arial" w:cs="Arial"/>
          <w:b/>
          <w:bCs/>
          <w:sz w:val="22"/>
        </w:rPr>
        <w:t>B</w:t>
      </w:r>
      <w:r w:rsidR="00BD421B" w:rsidRPr="00BD421B">
        <w:rPr>
          <w:rFonts w:ascii="Arial" w:hAnsi="Arial" w:cs="Arial"/>
          <w:b/>
          <w:bCs/>
          <w:sz w:val="22"/>
        </w:rPr>
        <w:t>argaining power of suppliers</w:t>
      </w:r>
      <w:r w:rsidR="00FD081F">
        <w:rPr>
          <w:rFonts w:ascii="Arial" w:hAnsi="Arial" w:cs="Arial"/>
          <w:b/>
          <w:bCs/>
          <w:sz w:val="22"/>
        </w:rPr>
        <w:t xml:space="preserve"> (Moderate)</w:t>
      </w:r>
    </w:p>
    <w:p w14:paraId="550181E7" w14:textId="77777777" w:rsidR="00D53873" w:rsidRPr="00BD421B" w:rsidRDefault="00D417F7" w:rsidP="00BA20CA">
      <w:pPr>
        <w:spacing w:line="360" w:lineRule="auto"/>
        <w:jc w:val="both"/>
        <w:rPr>
          <w:rFonts w:ascii="Arial" w:hAnsi="Arial" w:cs="Arial"/>
          <w:sz w:val="22"/>
        </w:rPr>
      </w:pPr>
      <w:r w:rsidRPr="00BD421B">
        <w:rPr>
          <w:rFonts w:ascii="Arial" w:hAnsi="Arial" w:cs="Arial"/>
          <w:sz w:val="22"/>
        </w:rPr>
        <w:t>The UWTSD relies heavily on its suppliers, therefore their ability to provide similar services elsewhere is crucial so that clients do not immediately go elsewhere. To compete with the UWTSD and other such institutions, service providers cannot afford to reduce the quality of their offers while simultaneously raising prices</w:t>
      </w:r>
      <w:r w:rsidR="007836D3" w:rsidRPr="00BD421B">
        <w:rPr>
          <w:rFonts w:ascii="Arial" w:hAnsi="Arial" w:cs="Arial"/>
          <w:sz w:val="22"/>
        </w:rPr>
        <w:t>, (Goldman, 2016).</w:t>
      </w:r>
      <w:r w:rsidRPr="00BD421B">
        <w:rPr>
          <w:rFonts w:ascii="Arial" w:hAnsi="Arial" w:cs="Arial"/>
          <w:sz w:val="22"/>
        </w:rPr>
        <w:t xml:space="preserve"> Several criteria decide which suppliers have the most sway in the education market. These include suppliers' ability to concentrate in a single, central location, the number of suppliers they provide to schools, and the prices schools pay for their entire purchases. The sellers promise to use their advantages to bargain for and rake in as much profit as they possibly can, and the buyers have no choice but to take what they provide at artificially inflated prices.</w:t>
      </w:r>
    </w:p>
    <w:p w14:paraId="35E15C2D" w14:textId="1907FC99" w:rsidR="00D53873" w:rsidRPr="00BD421B" w:rsidRDefault="00D417F7" w:rsidP="00BA20CA">
      <w:pPr>
        <w:spacing w:line="360" w:lineRule="auto"/>
        <w:jc w:val="both"/>
        <w:rPr>
          <w:rFonts w:ascii="Arial" w:hAnsi="Arial" w:cs="Arial"/>
          <w:b/>
          <w:bCs/>
          <w:sz w:val="22"/>
        </w:rPr>
      </w:pPr>
      <w:r w:rsidRPr="00BD421B">
        <w:rPr>
          <w:rFonts w:ascii="Arial" w:hAnsi="Arial" w:cs="Arial"/>
          <w:b/>
          <w:bCs/>
          <w:sz w:val="22"/>
        </w:rPr>
        <w:t>T</w:t>
      </w:r>
      <w:r w:rsidR="00BD421B" w:rsidRPr="00BD421B">
        <w:rPr>
          <w:rFonts w:ascii="Arial" w:hAnsi="Arial" w:cs="Arial"/>
          <w:b/>
          <w:bCs/>
          <w:sz w:val="22"/>
        </w:rPr>
        <w:t>hreat of new entrants</w:t>
      </w:r>
      <w:r w:rsidR="00FD081F">
        <w:rPr>
          <w:rFonts w:ascii="Arial" w:hAnsi="Arial" w:cs="Arial"/>
          <w:b/>
          <w:bCs/>
          <w:sz w:val="22"/>
        </w:rPr>
        <w:t xml:space="preserve"> (Moderate)</w:t>
      </w:r>
    </w:p>
    <w:p w14:paraId="2199FB59" w14:textId="77777777" w:rsidR="00402A9E" w:rsidRPr="00BD421B" w:rsidRDefault="00D417F7" w:rsidP="00BA20CA">
      <w:pPr>
        <w:spacing w:line="360" w:lineRule="auto"/>
        <w:jc w:val="both"/>
        <w:rPr>
          <w:rFonts w:ascii="Arial" w:hAnsi="Arial" w:cs="Arial"/>
          <w:sz w:val="22"/>
        </w:rPr>
      </w:pPr>
      <w:r w:rsidRPr="00BD421B">
        <w:rPr>
          <w:rFonts w:ascii="Arial" w:hAnsi="Arial" w:cs="Arial"/>
          <w:sz w:val="22"/>
        </w:rPr>
        <w:t xml:space="preserve">Businesses that have just recently joined the market provide stiff competition for UWTSD. UWTSD patrons are keen on these up-and-coming companies because of the high quality of the services they provide and the cutting edge with which they operate. As a consequence, the UWTSD loses consumers to these upstarts. With little barriers to entry, many </w:t>
      </w:r>
      <w:r w:rsidRPr="00BD421B">
        <w:rPr>
          <w:rFonts w:ascii="Arial" w:hAnsi="Arial" w:cs="Arial"/>
          <w:sz w:val="22"/>
        </w:rPr>
        <w:lastRenderedPageBreak/>
        <w:t xml:space="preserve">entrepreneurs are thinking about setting up business schools in strategically beneficial places to draw in new customers. There are likely several challenges that will slow down the UWTSD due to the nature of the education sector as a whole. Governments may try to erect roadblocks to aid in simplifying the sector, but their efforts may not be wholly fruitful since many new entrants may meet the restrictions that have been set on them and bring competition to the already crowded market. </w:t>
      </w:r>
    </w:p>
    <w:p w14:paraId="2B4C465F" w14:textId="11107867" w:rsidR="00402A9E" w:rsidRPr="00BD421B" w:rsidRDefault="00D417F7" w:rsidP="00BA20CA">
      <w:pPr>
        <w:spacing w:line="360" w:lineRule="auto"/>
        <w:jc w:val="both"/>
        <w:rPr>
          <w:rFonts w:ascii="Arial" w:hAnsi="Arial" w:cs="Arial"/>
          <w:b/>
          <w:bCs/>
          <w:sz w:val="22"/>
        </w:rPr>
      </w:pPr>
      <w:r w:rsidRPr="00BD421B">
        <w:rPr>
          <w:rFonts w:ascii="Arial" w:hAnsi="Arial" w:cs="Arial"/>
          <w:b/>
          <w:bCs/>
          <w:sz w:val="22"/>
        </w:rPr>
        <w:t>B</w:t>
      </w:r>
      <w:r w:rsidR="00BD421B" w:rsidRPr="00BD421B">
        <w:rPr>
          <w:rFonts w:ascii="Arial" w:hAnsi="Arial" w:cs="Arial"/>
          <w:b/>
          <w:bCs/>
          <w:sz w:val="22"/>
        </w:rPr>
        <w:t xml:space="preserve">argaining power of customers </w:t>
      </w:r>
      <w:r w:rsidR="00FD081F">
        <w:rPr>
          <w:rFonts w:ascii="Arial" w:hAnsi="Arial" w:cs="Arial"/>
          <w:b/>
          <w:bCs/>
          <w:sz w:val="22"/>
        </w:rPr>
        <w:t>(Moderate)</w:t>
      </w:r>
    </w:p>
    <w:p w14:paraId="28347777" w14:textId="77777777" w:rsidR="00402A9E" w:rsidRPr="00BD421B" w:rsidRDefault="00D417F7" w:rsidP="00BA20CA">
      <w:pPr>
        <w:spacing w:line="360" w:lineRule="auto"/>
        <w:jc w:val="both"/>
        <w:rPr>
          <w:rFonts w:ascii="Arial" w:hAnsi="Arial" w:cs="Arial"/>
          <w:sz w:val="22"/>
        </w:rPr>
      </w:pPr>
      <w:r w:rsidRPr="00BD421B">
        <w:rPr>
          <w:rFonts w:ascii="Arial" w:hAnsi="Arial" w:cs="Arial"/>
          <w:sz w:val="22"/>
        </w:rPr>
        <w:t xml:space="preserve">Because of their price sensitivity and their willingness to shop around for the best deals, customers in the education sector put a lot of pressure on </w:t>
      </w:r>
      <w:r w:rsidR="00793C11" w:rsidRPr="00BD421B">
        <w:rPr>
          <w:rFonts w:ascii="Arial" w:hAnsi="Arial" w:cs="Arial"/>
          <w:sz w:val="22"/>
        </w:rPr>
        <w:t xml:space="preserve">UWTSD. </w:t>
      </w:r>
      <w:r w:rsidRPr="00BD421B">
        <w:rPr>
          <w:rFonts w:ascii="Arial" w:hAnsi="Arial" w:cs="Arial"/>
          <w:sz w:val="22"/>
        </w:rPr>
        <w:t xml:space="preserve">The proliferation of comparable services provided by other institutions of higher education has made life tough for all of the people who operate these firms, including the </w:t>
      </w:r>
      <w:r w:rsidR="00793C11" w:rsidRPr="00BD421B">
        <w:rPr>
          <w:rFonts w:ascii="Arial" w:hAnsi="Arial" w:cs="Arial"/>
          <w:sz w:val="22"/>
        </w:rPr>
        <w:t>UWTSD</w:t>
      </w:r>
      <w:r w:rsidRPr="00BD421B">
        <w:rPr>
          <w:rFonts w:ascii="Arial" w:hAnsi="Arial" w:cs="Arial"/>
          <w:sz w:val="22"/>
        </w:rPr>
        <w:t>. Therefore, they must get insight into the habits of their clientele to avoid losing business to other firms and therefore lowering profits</w:t>
      </w:r>
      <w:r w:rsidR="007836D3" w:rsidRPr="00BD421B">
        <w:rPr>
          <w:rFonts w:ascii="Arial" w:hAnsi="Arial" w:cs="Arial"/>
          <w:sz w:val="22"/>
        </w:rPr>
        <w:t>, (Oatley, 2019).</w:t>
      </w:r>
      <w:r w:rsidRPr="00BD421B">
        <w:rPr>
          <w:rFonts w:ascii="Arial" w:hAnsi="Arial" w:cs="Arial"/>
          <w:sz w:val="22"/>
        </w:rPr>
        <w:t xml:space="preserve"> Businesses in a wide variety of industries give consumers the option to negotiate rates, which keeps the competition on its toes. </w:t>
      </w:r>
      <w:r w:rsidR="00793C11" w:rsidRPr="00BD421B">
        <w:rPr>
          <w:rFonts w:ascii="Arial" w:hAnsi="Arial" w:cs="Arial"/>
          <w:sz w:val="22"/>
        </w:rPr>
        <w:t>UWTSD</w:t>
      </w:r>
      <w:r w:rsidRPr="00BD421B">
        <w:rPr>
          <w:rFonts w:ascii="Arial" w:hAnsi="Arial" w:cs="Arial"/>
          <w:sz w:val="22"/>
        </w:rPr>
        <w:t xml:space="preserve"> must largely rely on market knowledge to price their offerings strategically since many rival businesses are willing to lower their rates by a little margin in order to win over clients. Thus, the </w:t>
      </w:r>
      <w:r w:rsidR="00793C11" w:rsidRPr="00BD421B">
        <w:rPr>
          <w:rFonts w:ascii="Arial" w:hAnsi="Arial" w:cs="Arial"/>
          <w:sz w:val="22"/>
        </w:rPr>
        <w:t>UWTSD</w:t>
      </w:r>
      <w:r w:rsidRPr="00BD421B">
        <w:rPr>
          <w:rFonts w:ascii="Arial" w:hAnsi="Arial" w:cs="Arial"/>
          <w:sz w:val="22"/>
        </w:rPr>
        <w:t xml:space="preserve"> must use a careful pricing strategy.</w:t>
      </w:r>
    </w:p>
    <w:p w14:paraId="7FD7D89C" w14:textId="4616454E" w:rsidR="00624F1A" w:rsidRPr="00BD421B" w:rsidRDefault="00B5554A" w:rsidP="00BA20CA">
      <w:pPr>
        <w:pStyle w:val="Heading2"/>
        <w:spacing w:line="360" w:lineRule="auto"/>
        <w:jc w:val="both"/>
        <w:rPr>
          <w:rFonts w:ascii="Arial" w:hAnsi="Arial" w:cs="Arial"/>
          <w:color w:val="auto"/>
          <w:szCs w:val="28"/>
        </w:rPr>
      </w:pPr>
      <w:bookmarkStart w:id="9" w:name="_Toc116696431"/>
      <w:r>
        <w:rPr>
          <w:rFonts w:ascii="Arial" w:hAnsi="Arial" w:cs="Arial"/>
          <w:color w:val="auto"/>
          <w:szCs w:val="28"/>
        </w:rPr>
        <w:t xml:space="preserve">3.2 </w:t>
      </w:r>
      <w:r w:rsidR="00D417F7" w:rsidRPr="00BD421B">
        <w:rPr>
          <w:rFonts w:ascii="Arial" w:hAnsi="Arial" w:cs="Arial"/>
          <w:color w:val="auto"/>
          <w:szCs w:val="28"/>
        </w:rPr>
        <w:t xml:space="preserve">Pestel analysis framework </w:t>
      </w:r>
      <w:bookmarkEnd w:id="9"/>
    </w:p>
    <w:p w14:paraId="34505A71" w14:textId="2B018418" w:rsidR="003849C5" w:rsidRDefault="003849C5" w:rsidP="00BA20CA">
      <w:pPr>
        <w:spacing w:line="360" w:lineRule="auto"/>
        <w:jc w:val="both"/>
        <w:rPr>
          <w:rFonts w:ascii="Arial" w:hAnsi="Arial" w:cs="Arial"/>
          <w:sz w:val="22"/>
        </w:rPr>
      </w:pPr>
      <w:r w:rsidRPr="003849C5">
        <w:rPr>
          <w:rFonts w:ascii="Arial" w:hAnsi="Arial" w:cs="Arial"/>
          <w:sz w:val="22"/>
        </w:rPr>
        <w:t>The purpose of a PESTLE analysis is to better understand the external factors (political, economic, social, technical, legal, and environmental) that have the greatest impact on a company's operations. It may be used to many different situations and might be a helpful guide for senior managers and HR experts in making important strategic decisions.</w:t>
      </w:r>
    </w:p>
    <w:p w14:paraId="743556F8" w14:textId="12FC13C3" w:rsidR="00FD081F" w:rsidRDefault="00FD081F" w:rsidP="00BA20CA">
      <w:pPr>
        <w:spacing w:line="360" w:lineRule="auto"/>
        <w:jc w:val="both"/>
        <w:rPr>
          <w:rFonts w:ascii="Arial" w:hAnsi="Arial" w:cs="Arial"/>
          <w:sz w:val="22"/>
        </w:rPr>
      </w:pPr>
      <w:r>
        <w:rPr>
          <w:rFonts w:ascii="Arial" w:hAnsi="Arial" w:cs="Arial"/>
          <w:noProof/>
          <w:sz w:val="22"/>
        </w:rPr>
        <w:drawing>
          <wp:inline distT="0" distB="0" distL="0" distR="0" wp14:anchorId="678D8706" wp14:editId="2199591B">
            <wp:extent cx="4067033" cy="1880404"/>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75825" cy="1884469"/>
                    </a:xfrm>
                    <a:prstGeom prst="rect">
                      <a:avLst/>
                    </a:prstGeom>
                    <a:noFill/>
                  </pic:spPr>
                </pic:pic>
              </a:graphicData>
            </a:graphic>
          </wp:inline>
        </w:drawing>
      </w:r>
    </w:p>
    <w:p w14:paraId="7BF48AA1" w14:textId="10F8CECD" w:rsidR="008A1594" w:rsidRPr="00A91D5E" w:rsidRDefault="008A1594" w:rsidP="00BA20CA">
      <w:pPr>
        <w:spacing w:line="360" w:lineRule="auto"/>
        <w:jc w:val="both"/>
        <w:rPr>
          <w:rFonts w:ascii="Arial" w:hAnsi="Arial" w:cs="Arial"/>
          <w:b/>
          <w:bCs/>
          <w:sz w:val="22"/>
          <w:lang w:val="fr-FR"/>
        </w:rPr>
      </w:pPr>
      <w:r w:rsidRPr="00A91D5E">
        <w:rPr>
          <w:rFonts w:ascii="Arial" w:hAnsi="Arial" w:cs="Arial"/>
          <w:b/>
          <w:bCs/>
          <w:sz w:val="22"/>
          <w:lang w:val="fr-FR"/>
        </w:rPr>
        <w:t>Figure no.1 - Pestel analysis</w:t>
      </w:r>
    </w:p>
    <w:p w14:paraId="6B8EE718" w14:textId="4399BD00" w:rsidR="00FD081F" w:rsidRPr="00A91D5E" w:rsidRDefault="00FD081F" w:rsidP="00BA20CA">
      <w:pPr>
        <w:spacing w:line="360" w:lineRule="auto"/>
        <w:jc w:val="both"/>
        <w:rPr>
          <w:rFonts w:ascii="Arial" w:hAnsi="Arial" w:cs="Arial"/>
          <w:sz w:val="22"/>
          <w:lang w:val="fr-FR"/>
        </w:rPr>
      </w:pPr>
      <w:r w:rsidRPr="00A91D5E">
        <w:rPr>
          <w:rFonts w:ascii="Arial" w:hAnsi="Arial" w:cs="Arial"/>
          <w:b/>
          <w:bCs/>
          <w:sz w:val="22"/>
          <w:lang w:val="fr-FR"/>
        </w:rPr>
        <w:t>Source</w:t>
      </w:r>
      <w:r w:rsidRPr="00A91D5E">
        <w:rPr>
          <w:rFonts w:ascii="Arial" w:hAnsi="Arial" w:cs="Arial"/>
          <w:sz w:val="22"/>
          <w:lang w:val="fr-FR"/>
        </w:rPr>
        <w:t>- (Abdul Rahman et al, 2014)</w:t>
      </w:r>
    </w:p>
    <w:p w14:paraId="169DC459" w14:textId="20067F5A" w:rsidR="00793C11" w:rsidRPr="00BD421B" w:rsidRDefault="00D417F7" w:rsidP="00BA20CA">
      <w:pPr>
        <w:spacing w:line="360" w:lineRule="auto"/>
        <w:jc w:val="both"/>
        <w:rPr>
          <w:rFonts w:ascii="Arial" w:hAnsi="Arial" w:cs="Arial"/>
          <w:sz w:val="22"/>
        </w:rPr>
      </w:pPr>
      <w:r w:rsidRPr="00BD421B">
        <w:rPr>
          <w:rFonts w:ascii="Arial" w:hAnsi="Arial" w:cs="Arial"/>
          <w:b/>
          <w:bCs/>
          <w:sz w:val="22"/>
        </w:rPr>
        <w:lastRenderedPageBreak/>
        <w:t>Political</w:t>
      </w:r>
      <w:r w:rsidRPr="00BD421B">
        <w:rPr>
          <w:rFonts w:ascii="Arial" w:hAnsi="Arial" w:cs="Arial"/>
          <w:sz w:val="22"/>
        </w:rPr>
        <w:t>- The United Kingdom government has maintained its policy of restraining growth in the number of students enrolling in full-time undergraduate programmes due to growing tuition and living expenditures. This means that the University will not be increasing its fees anytime soon. The mushrooming of for-profit universities across the globe, especially in the United Kingdom, is another factor in the country's politics</w:t>
      </w:r>
      <w:r w:rsidR="007836D3" w:rsidRPr="00BD421B">
        <w:rPr>
          <w:rFonts w:ascii="Arial" w:hAnsi="Arial" w:cs="Arial"/>
          <w:sz w:val="22"/>
        </w:rPr>
        <w:t>, (Peng, 2017).</w:t>
      </w:r>
      <w:r w:rsidRPr="00BD421B">
        <w:rPr>
          <w:rFonts w:ascii="Arial" w:hAnsi="Arial" w:cs="Arial"/>
          <w:sz w:val="22"/>
        </w:rPr>
        <w:t xml:space="preserve"> As a result, there is increasing rivalry for international students, an increased need to establish more efficient partnerships for the overseas delivery of education, and a rising possibility of forming joint ventures with providers from the commercial sector.</w:t>
      </w:r>
    </w:p>
    <w:p w14:paraId="3D823E8F" w14:textId="77777777" w:rsidR="00793C11" w:rsidRPr="00BD421B" w:rsidRDefault="00D417F7" w:rsidP="00BA20CA">
      <w:pPr>
        <w:spacing w:line="360" w:lineRule="auto"/>
        <w:jc w:val="both"/>
        <w:rPr>
          <w:rFonts w:ascii="Arial" w:hAnsi="Arial" w:cs="Arial"/>
          <w:sz w:val="22"/>
        </w:rPr>
      </w:pPr>
      <w:r w:rsidRPr="00BD421B">
        <w:rPr>
          <w:rFonts w:ascii="Arial" w:hAnsi="Arial" w:cs="Arial"/>
          <w:b/>
          <w:bCs/>
          <w:sz w:val="22"/>
        </w:rPr>
        <w:t>Economical</w:t>
      </w:r>
      <w:r w:rsidRPr="00BD421B">
        <w:rPr>
          <w:rFonts w:ascii="Arial" w:hAnsi="Arial" w:cs="Arial"/>
          <w:sz w:val="22"/>
        </w:rPr>
        <w:t>- Due to budget cuts brought on by the severe economic crisis of 2009–2010 and the much-anticipated increase that is likely to occur in 2017–2018 than was previously scheduled, HELs are now at risk of losing their allotted resources per student. The government also reduced its allocation for the public sector from 2010/2011 to 2013/2014, which reduced the amount of money the public sector could spend on research. These factors have harmed the area of education in the United Kingdom. There is also a decline in demand for persons with knowledge-related abilities due to the slow growth of the global knowledge economy.</w:t>
      </w:r>
    </w:p>
    <w:p w14:paraId="48A6BE94" w14:textId="7D1A1A03" w:rsidR="00E24EDC" w:rsidRPr="00BD421B" w:rsidRDefault="00D417F7" w:rsidP="00BA20CA">
      <w:pPr>
        <w:spacing w:line="360" w:lineRule="auto"/>
        <w:jc w:val="both"/>
        <w:rPr>
          <w:rFonts w:ascii="Arial" w:hAnsi="Arial" w:cs="Arial"/>
          <w:sz w:val="22"/>
        </w:rPr>
      </w:pPr>
      <w:r w:rsidRPr="00BD421B">
        <w:rPr>
          <w:rFonts w:ascii="Arial" w:hAnsi="Arial" w:cs="Arial"/>
          <w:b/>
          <w:bCs/>
          <w:sz w:val="22"/>
        </w:rPr>
        <w:t>Social</w:t>
      </w:r>
      <w:r w:rsidRPr="00BD421B">
        <w:rPr>
          <w:rFonts w:ascii="Arial" w:hAnsi="Arial" w:cs="Arial"/>
          <w:sz w:val="22"/>
        </w:rPr>
        <w:t>- Since the number of the older population is growing, there is a rising need for augmented reality applications in the health and social care sectors. The demand in the academic sector will fall as a result of this. Because of this, pension payments are under much more strain than before</w:t>
      </w:r>
      <w:r w:rsidR="00FD081F">
        <w:rPr>
          <w:rFonts w:ascii="Arial" w:hAnsi="Arial" w:cs="Arial"/>
          <w:sz w:val="22"/>
        </w:rPr>
        <w:t>, (Goldman, 2016).</w:t>
      </w:r>
      <w:r w:rsidRPr="00BD421B">
        <w:rPr>
          <w:rFonts w:ascii="Arial" w:hAnsi="Arial" w:cs="Arial"/>
          <w:sz w:val="22"/>
        </w:rPr>
        <w:t xml:space="preserve"> The increased mobility and cultural diversity of today's people is another facet of modern society to think about.</w:t>
      </w:r>
    </w:p>
    <w:p w14:paraId="3FEA0A4F" w14:textId="77777777" w:rsidR="00E24EDC" w:rsidRPr="00BD421B" w:rsidRDefault="00D417F7" w:rsidP="00BA20CA">
      <w:pPr>
        <w:spacing w:line="360" w:lineRule="auto"/>
        <w:jc w:val="both"/>
        <w:rPr>
          <w:rFonts w:ascii="Arial" w:hAnsi="Arial" w:cs="Arial"/>
          <w:sz w:val="22"/>
        </w:rPr>
      </w:pPr>
      <w:r w:rsidRPr="00BD421B">
        <w:rPr>
          <w:rFonts w:ascii="Arial" w:hAnsi="Arial" w:cs="Arial"/>
          <w:b/>
          <w:bCs/>
          <w:sz w:val="22"/>
        </w:rPr>
        <w:t xml:space="preserve">Technological- </w:t>
      </w:r>
      <w:r w:rsidRPr="00BD421B">
        <w:rPr>
          <w:rFonts w:ascii="Arial" w:hAnsi="Arial" w:cs="Arial"/>
          <w:sz w:val="22"/>
        </w:rPr>
        <w:t>The ability to communicate and network socially will be the defining characteristics of today's and tomorrow's students. As a consequence, universities in the UK are under more pressure than ever to facilitate student-led, cross-partnership peer-to-peer initiatives and provide innovative research tools for faculty members actively pursuing such goals</w:t>
      </w:r>
      <w:r w:rsidR="007836D3" w:rsidRPr="00BD421B">
        <w:rPr>
          <w:rFonts w:ascii="Arial" w:hAnsi="Arial" w:cs="Arial"/>
          <w:sz w:val="22"/>
        </w:rPr>
        <w:t>, (Ringland, 2017).</w:t>
      </w:r>
      <w:r w:rsidRPr="00BD421B">
        <w:rPr>
          <w:rFonts w:ascii="Arial" w:hAnsi="Arial" w:cs="Arial"/>
          <w:sz w:val="22"/>
        </w:rPr>
        <w:t xml:space="preserve"> Further examples of sociological issues that affect the industry include the advent of constant online connection and the rising number of individuals who use the internet to access information and transact business on a personal, retail, and financial level</w:t>
      </w:r>
      <w:r w:rsidR="007836D3" w:rsidRPr="00BD421B">
        <w:rPr>
          <w:rFonts w:ascii="Arial" w:hAnsi="Arial" w:cs="Arial"/>
          <w:sz w:val="22"/>
        </w:rPr>
        <w:t>, (Shattock, 2015).</w:t>
      </w:r>
      <w:r w:rsidRPr="00BD421B">
        <w:rPr>
          <w:rFonts w:ascii="Arial" w:hAnsi="Arial" w:cs="Arial"/>
          <w:sz w:val="22"/>
        </w:rPr>
        <w:t xml:space="preserve"> As a consequence, there is now an expectation for the institution to make its resources available 24/7.</w:t>
      </w:r>
    </w:p>
    <w:p w14:paraId="109A4AAD" w14:textId="77777777" w:rsidR="00CB12FB" w:rsidRPr="00BD421B" w:rsidRDefault="00D417F7" w:rsidP="00BA20CA">
      <w:pPr>
        <w:spacing w:line="360" w:lineRule="auto"/>
        <w:jc w:val="both"/>
        <w:rPr>
          <w:rFonts w:ascii="Arial" w:hAnsi="Arial" w:cs="Arial"/>
          <w:sz w:val="22"/>
        </w:rPr>
      </w:pPr>
      <w:r w:rsidRPr="00BD421B">
        <w:rPr>
          <w:rFonts w:ascii="Arial" w:hAnsi="Arial" w:cs="Arial"/>
          <w:b/>
          <w:bCs/>
          <w:sz w:val="22"/>
        </w:rPr>
        <w:t>Environmental</w:t>
      </w:r>
      <w:r w:rsidRPr="00BD421B">
        <w:rPr>
          <w:rFonts w:ascii="Arial" w:hAnsi="Arial" w:cs="Arial"/>
          <w:sz w:val="22"/>
        </w:rPr>
        <w:t>- There is growing demand to cut energy usage by IT infrastructure by implementing green data centres, efficient cooling, and other measures.</w:t>
      </w:r>
    </w:p>
    <w:p w14:paraId="5F1DC301" w14:textId="77F72967" w:rsidR="00CB12FB" w:rsidRPr="00BD421B" w:rsidRDefault="00D417F7" w:rsidP="006428A6">
      <w:pPr>
        <w:spacing w:line="360" w:lineRule="auto"/>
        <w:jc w:val="both"/>
        <w:rPr>
          <w:rFonts w:ascii="Arial" w:hAnsi="Arial" w:cs="Arial"/>
          <w:sz w:val="22"/>
        </w:rPr>
      </w:pPr>
      <w:r w:rsidRPr="00BD421B">
        <w:rPr>
          <w:rFonts w:ascii="Arial" w:hAnsi="Arial" w:cs="Arial"/>
          <w:b/>
          <w:bCs/>
          <w:sz w:val="22"/>
        </w:rPr>
        <w:t>Legal</w:t>
      </w:r>
      <w:r w:rsidRPr="00BD421B">
        <w:rPr>
          <w:rFonts w:ascii="Arial" w:hAnsi="Arial" w:cs="Arial"/>
          <w:sz w:val="22"/>
        </w:rPr>
        <w:t>- It is expected that concerns about data privacy and security will become more important. Immigration laws that need a stricter identity management system both inside and across educational institutions.</w:t>
      </w:r>
    </w:p>
    <w:p w14:paraId="13CEE19F" w14:textId="53CC1A85" w:rsidR="00CB12FB" w:rsidRPr="00BD421B" w:rsidRDefault="00D417F7" w:rsidP="00BA20CA">
      <w:pPr>
        <w:pStyle w:val="Heading1"/>
        <w:numPr>
          <w:ilvl w:val="0"/>
          <w:numId w:val="3"/>
        </w:numPr>
        <w:spacing w:line="360" w:lineRule="auto"/>
        <w:rPr>
          <w:rFonts w:ascii="Arial" w:hAnsi="Arial" w:cs="Arial"/>
          <w:color w:val="auto"/>
        </w:rPr>
      </w:pPr>
      <w:bookmarkStart w:id="10" w:name="_Toc116696432"/>
      <w:r w:rsidRPr="00BD421B">
        <w:rPr>
          <w:rFonts w:ascii="Arial" w:hAnsi="Arial" w:cs="Arial"/>
          <w:color w:val="auto"/>
        </w:rPr>
        <w:lastRenderedPageBreak/>
        <w:t>Conclusion</w:t>
      </w:r>
      <w:bookmarkEnd w:id="10"/>
      <w:r w:rsidRPr="00BD421B">
        <w:rPr>
          <w:rFonts w:ascii="Arial" w:hAnsi="Arial" w:cs="Arial"/>
          <w:color w:val="auto"/>
        </w:rPr>
        <w:t xml:space="preserve"> </w:t>
      </w:r>
    </w:p>
    <w:p w14:paraId="02B24597" w14:textId="6ACC7851" w:rsidR="00CB12FB" w:rsidRPr="00BD421B" w:rsidRDefault="00D417F7" w:rsidP="00BA20CA">
      <w:pPr>
        <w:spacing w:line="360" w:lineRule="auto"/>
        <w:jc w:val="both"/>
        <w:rPr>
          <w:rFonts w:ascii="Arial" w:hAnsi="Arial" w:cs="Arial"/>
          <w:sz w:val="22"/>
        </w:rPr>
      </w:pPr>
      <w:r w:rsidRPr="00BD421B">
        <w:rPr>
          <w:rFonts w:ascii="Arial" w:hAnsi="Arial" w:cs="Arial"/>
          <w:sz w:val="22"/>
        </w:rPr>
        <w:t>Competition in the education industry is fierce, and UWTSD would do well to use tools like Porter's and Pestel's analyses to stay ahead of the curve. An interested consumer base guarantees high earnings for these businesses. Due to the problems they encounter, UWTSD should use both analyses. To stay in business and protect its clientele from being poached by competitors, the institution must first conduct a detailed analysis of the market, then ensure that it has a thorough understanding of its customers, and finally ensure that it has positioned itself to compete more effectively</w:t>
      </w:r>
      <w:r w:rsidR="007836D3" w:rsidRPr="00BD421B">
        <w:rPr>
          <w:rFonts w:ascii="Arial" w:hAnsi="Arial" w:cs="Arial"/>
          <w:sz w:val="22"/>
        </w:rPr>
        <w:t>.</w:t>
      </w:r>
      <w:r w:rsidRPr="00BD421B">
        <w:rPr>
          <w:rFonts w:ascii="Arial" w:hAnsi="Arial" w:cs="Arial"/>
          <w:sz w:val="22"/>
        </w:rPr>
        <w:t xml:space="preserve"> Only by implementing these measures can we be sure it will still be in operation the next day.</w:t>
      </w:r>
    </w:p>
    <w:p w14:paraId="0C246782" w14:textId="77777777" w:rsidR="00E54E80" w:rsidRPr="00BD421B" w:rsidRDefault="00D417F7" w:rsidP="00BA20CA">
      <w:pPr>
        <w:spacing w:line="360" w:lineRule="auto"/>
        <w:jc w:val="both"/>
        <w:rPr>
          <w:rFonts w:ascii="Arial" w:hAnsi="Arial" w:cs="Arial"/>
          <w:sz w:val="22"/>
        </w:rPr>
      </w:pPr>
      <w:r w:rsidRPr="00BD421B">
        <w:rPr>
          <w:rFonts w:ascii="Arial" w:hAnsi="Arial" w:cs="Arial"/>
          <w:sz w:val="22"/>
        </w:rPr>
        <w:br w:type="page"/>
      </w:r>
    </w:p>
    <w:p w14:paraId="6BA39BCD" w14:textId="2AD6674A" w:rsidR="00E54E80" w:rsidRPr="00B5554A" w:rsidRDefault="00D417F7" w:rsidP="00BA20CA">
      <w:pPr>
        <w:pStyle w:val="Heading1"/>
        <w:numPr>
          <w:ilvl w:val="0"/>
          <w:numId w:val="3"/>
        </w:numPr>
        <w:spacing w:line="360" w:lineRule="auto"/>
        <w:rPr>
          <w:rFonts w:ascii="Arial" w:hAnsi="Arial" w:cs="Arial"/>
          <w:color w:val="auto"/>
        </w:rPr>
      </w:pPr>
      <w:bookmarkStart w:id="11" w:name="_Toc116696433"/>
      <w:r w:rsidRPr="00B5554A">
        <w:rPr>
          <w:rFonts w:ascii="Arial" w:hAnsi="Arial" w:cs="Arial"/>
          <w:color w:val="auto"/>
        </w:rPr>
        <w:lastRenderedPageBreak/>
        <w:t>References</w:t>
      </w:r>
      <w:bookmarkEnd w:id="11"/>
      <w:r w:rsidRPr="00B5554A">
        <w:rPr>
          <w:rFonts w:ascii="Arial" w:hAnsi="Arial" w:cs="Arial"/>
          <w:color w:val="auto"/>
        </w:rPr>
        <w:t xml:space="preserve"> </w:t>
      </w:r>
    </w:p>
    <w:p w14:paraId="7E9CF36E" w14:textId="77777777" w:rsidR="00864734" w:rsidRPr="008A1594" w:rsidRDefault="00D417F7" w:rsidP="00BA20CA">
      <w:pPr>
        <w:spacing w:line="360" w:lineRule="auto"/>
        <w:ind w:left="360"/>
        <w:jc w:val="both"/>
        <w:rPr>
          <w:rFonts w:ascii="Arial" w:hAnsi="Arial" w:cs="Arial"/>
          <w:sz w:val="22"/>
          <w:lang w:val="en-US"/>
        </w:rPr>
      </w:pPr>
      <w:r w:rsidRPr="008A1594">
        <w:rPr>
          <w:rFonts w:ascii="Arial" w:hAnsi="Arial" w:cs="Arial"/>
          <w:sz w:val="22"/>
          <w:lang w:val="en-US"/>
        </w:rPr>
        <w:t xml:space="preserve">Anand, K.  A.  (2012).  Business of higher education–a business model for a higher education institution. </w:t>
      </w:r>
      <w:r w:rsidRPr="008A1594">
        <w:rPr>
          <w:rFonts w:ascii="Arial" w:hAnsi="Arial" w:cs="Arial"/>
          <w:i/>
          <w:iCs/>
          <w:sz w:val="22"/>
          <w:lang w:val="en-US"/>
        </w:rPr>
        <w:t>International Journal of Business and Management Tomorrow</w:t>
      </w:r>
      <w:r w:rsidRPr="008A1594">
        <w:rPr>
          <w:rFonts w:ascii="Arial" w:hAnsi="Arial" w:cs="Arial"/>
          <w:sz w:val="22"/>
          <w:lang w:val="en-US"/>
        </w:rPr>
        <w:t>, 2(2), 1-7.</w:t>
      </w:r>
    </w:p>
    <w:p w14:paraId="6633D080" w14:textId="77777777" w:rsidR="00864734" w:rsidRPr="008A1594" w:rsidRDefault="00D417F7" w:rsidP="00BA20CA">
      <w:pPr>
        <w:spacing w:line="360" w:lineRule="auto"/>
        <w:ind w:left="360"/>
        <w:jc w:val="both"/>
        <w:rPr>
          <w:rFonts w:ascii="Arial" w:hAnsi="Arial" w:cs="Arial"/>
          <w:sz w:val="22"/>
          <w:lang w:val="en-US"/>
        </w:rPr>
      </w:pPr>
      <w:r w:rsidRPr="008A1594">
        <w:rPr>
          <w:rFonts w:ascii="Arial" w:hAnsi="Arial" w:cs="Arial"/>
          <w:sz w:val="22"/>
          <w:lang w:val="en-US"/>
        </w:rPr>
        <w:t xml:space="preserve">Baron, P., &amp; Corbin, L. (2012). Student engagement: rhetoric and reality. </w:t>
      </w:r>
      <w:r w:rsidRPr="008A1594">
        <w:rPr>
          <w:rFonts w:ascii="Arial" w:hAnsi="Arial" w:cs="Arial"/>
          <w:i/>
          <w:iCs/>
          <w:sz w:val="22"/>
          <w:lang w:val="en-US"/>
        </w:rPr>
        <w:t>Higher Education Research &amp; Development</w:t>
      </w:r>
      <w:r w:rsidRPr="008A1594">
        <w:rPr>
          <w:rFonts w:ascii="Arial" w:hAnsi="Arial" w:cs="Arial"/>
          <w:sz w:val="22"/>
          <w:lang w:val="en-US"/>
        </w:rPr>
        <w:t xml:space="preserve">, 31(6), 759-772. </w:t>
      </w:r>
    </w:p>
    <w:p w14:paraId="6CD29CFB" w14:textId="77777777" w:rsidR="00864734" w:rsidRPr="008A1594" w:rsidRDefault="00D417F7" w:rsidP="00BA20CA">
      <w:pPr>
        <w:spacing w:line="360" w:lineRule="auto"/>
        <w:ind w:left="360"/>
        <w:jc w:val="both"/>
        <w:rPr>
          <w:rFonts w:ascii="Arial" w:hAnsi="Arial" w:cs="Arial"/>
          <w:sz w:val="22"/>
          <w:lang w:val="en-US"/>
        </w:rPr>
      </w:pPr>
      <w:r w:rsidRPr="008A1594">
        <w:rPr>
          <w:rFonts w:ascii="Arial" w:hAnsi="Arial" w:cs="Arial"/>
          <w:sz w:val="22"/>
          <w:lang w:val="en-US"/>
        </w:rPr>
        <w:t xml:space="preserve">Brown, R.  (2018).  Higher education and the market.  </w:t>
      </w:r>
      <w:r w:rsidRPr="008A1594">
        <w:rPr>
          <w:rFonts w:ascii="Arial" w:hAnsi="Arial" w:cs="Arial"/>
          <w:i/>
          <w:iCs/>
          <w:sz w:val="22"/>
          <w:lang w:val="en-US"/>
        </w:rPr>
        <w:t>Perspectives</w:t>
      </w:r>
      <w:r w:rsidRPr="008A1594">
        <w:rPr>
          <w:rFonts w:ascii="Arial" w:hAnsi="Arial" w:cs="Arial"/>
          <w:sz w:val="22"/>
          <w:lang w:val="en-US"/>
        </w:rPr>
        <w:t>, 12(3), 78-83.</w:t>
      </w:r>
    </w:p>
    <w:p w14:paraId="66DD4B42" w14:textId="671F6B42" w:rsidR="00864734" w:rsidRPr="008A1594" w:rsidRDefault="00D417F7" w:rsidP="00BA20CA">
      <w:pPr>
        <w:spacing w:line="360" w:lineRule="auto"/>
        <w:ind w:left="360"/>
        <w:jc w:val="both"/>
        <w:rPr>
          <w:rFonts w:ascii="Arial" w:hAnsi="Arial" w:cs="Arial"/>
          <w:sz w:val="22"/>
          <w:lang w:val="en-US"/>
        </w:rPr>
      </w:pPr>
      <w:r w:rsidRPr="008A1594">
        <w:rPr>
          <w:rFonts w:ascii="Arial" w:hAnsi="Arial" w:cs="Arial"/>
          <w:sz w:val="22"/>
          <w:lang w:val="en-US"/>
        </w:rPr>
        <w:t xml:space="preserve">Clark, A., </w:t>
      </w:r>
      <w:r w:rsidR="00FD081F" w:rsidRPr="008A1594">
        <w:rPr>
          <w:rFonts w:ascii="Arial" w:hAnsi="Arial" w:cs="Arial"/>
          <w:sz w:val="22"/>
          <w:lang w:val="en-US"/>
        </w:rPr>
        <w:t>(</w:t>
      </w:r>
      <w:r w:rsidRPr="008A1594">
        <w:rPr>
          <w:rFonts w:ascii="Arial" w:hAnsi="Arial" w:cs="Arial"/>
          <w:sz w:val="22"/>
          <w:lang w:val="en-US"/>
        </w:rPr>
        <w:t>2014</w:t>
      </w:r>
      <w:r w:rsidR="00FD081F" w:rsidRPr="008A1594">
        <w:rPr>
          <w:rFonts w:ascii="Arial" w:hAnsi="Arial" w:cs="Arial"/>
          <w:sz w:val="22"/>
          <w:lang w:val="en-US"/>
        </w:rPr>
        <w:t>)</w:t>
      </w:r>
      <w:r w:rsidRPr="008A1594">
        <w:rPr>
          <w:rFonts w:ascii="Arial" w:hAnsi="Arial" w:cs="Arial"/>
          <w:sz w:val="22"/>
          <w:lang w:val="en-US"/>
        </w:rPr>
        <w:t>. Mapping and analysis of research and KE funding sources for operational research in the UK.</w:t>
      </w:r>
    </w:p>
    <w:p w14:paraId="529D0967" w14:textId="54292CF0" w:rsidR="00864734" w:rsidRPr="008A1594" w:rsidRDefault="00D417F7" w:rsidP="00BA20CA">
      <w:pPr>
        <w:spacing w:line="360" w:lineRule="auto"/>
        <w:ind w:left="360"/>
        <w:jc w:val="both"/>
        <w:rPr>
          <w:rFonts w:ascii="Arial" w:hAnsi="Arial" w:cs="Arial"/>
          <w:sz w:val="22"/>
          <w:lang w:val="en-US"/>
        </w:rPr>
      </w:pPr>
      <w:r w:rsidRPr="008A1594">
        <w:rPr>
          <w:rFonts w:ascii="Arial" w:hAnsi="Arial" w:cs="Arial"/>
          <w:sz w:val="22"/>
          <w:lang w:val="en-US"/>
        </w:rPr>
        <w:t xml:space="preserve">De Vita, G., </w:t>
      </w:r>
      <w:r w:rsidR="00FD081F" w:rsidRPr="008A1594">
        <w:rPr>
          <w:rFonts w:ascii="Arial" w:hAnsi="Arial" w:cs="Arial"/>
          <w:sz w:val="22"/>
          <w:lang w:val="en-US"/>
        </w:rPr>
        <w:t>(</w:t>
      </w:r>
      <w:r w:rsidRPr="008A1594">
        <w:rPr>
          <w:rFonts w:ascii="Arial" w:hAnsi="Arial" w:cs="Arial"/>
          <w:sz w:val="22"/>
          <w:lang w:val="en-US"/>
        </w:rPr>
        <w:t>2012</w:t>
      </w:r>
      <w:r w:rsidR="00FD081F" w:rsidRPr="008A1594">
        <w:rPr>
          <w:rFonts w:ascii="Arial" w:hAnsi="Arial" w:cs="Arial"/>
          <w:sz w:val="22"/>
          <w:lang w:val="en-US"/>
        </w:rPr>
        <w:t>)</w:t>
      </w:r>
      <w:r w:rsidRPr="008A1594">
        <w:rPr>
          <w:rFonts w:ascii="Arial" w:hAnsi="Arial" w:cs="Arial"/>
          <w:sz w:val="22"/>
          <w:lang w:val="en-US"/>
        </w:rPr>
        <w:t xml:space="preserve">. Does assessed multicultural group work pull UK students' average down? </w:t>
      </w:r>
      <w:r w:rsidRPr="008A1594">
        <w:rPr>
          <w:rFonts w:ascii="Arial" w:hAnsi="Arial" w:cs="Arial"/>
          <w:i/>
          <w:iCs/>
          <w:sz w:val="22"/>
          <w:lang w:val="en-US"/>
        </w:rPr>
        <w:t>Assessment &amp; Evaluation in Higher Education</w:t>
      </w:r>
      <w:r w:rsidRPr="008A1594">
        <w:rPr>
          <w:rFonts w:ascii="Arial" w:hAnsi="Arial" w:cs="Arial"/>
          <w:sz w:val="22"/>
          <w:lang w:val="en-US"/>
        </w:rPr>
        <w:t>, </w:t>
      </w:r>
      <w:r w:rsidRPr="008A1594">
        <w:rPr>
          <w:rFonts w:ascii="Arial" w:hAnsi="Arial" w:cs="Arial"/>
          <w:i/>
          <w:iCs/>
          <w:sz w:val="22"/>
          <w:lang w:val="en-US"/>
        </w:rPr>
        <w:t>27</w:t>
      </w:r>
      <w:r w:rsidRPr="008A1594">
        <w:rPr>
          <w:rFonts w:ascii="Arial" w:hAnsi="Arial" w:cs="Arial"/>
          <w:sz w:val="22"/>
          <w:lang w:val="en-US"/>
        </w:rPr>
        <w:t>(2), 153-161.</w:t>
      </w:r>
    </w:p>
    <w:p w14:paraId="6D7E99DE" w14:textId="77777777" w:rsidR="00864734" w:rsidRPr="008A1594" w:rsidRDefault="00D417F7" w:rsidP="00BA20CA">
      <w:pPr>
        <w:spacing w:line="360" w:lineRule="auto"/>
        <w:ind w:left="360"/>
        <w:jc w:val="both"/>
        <w:rPr>
          <w:rFonts w:ascii="Arial" w:hAnsi="Arial" w:cs="Arial"/>
          <w:sz w:val="22"/>
          <w:lang w:val="en-US"/>
        </w:rPr>
      </w:pPr>
      <w:r w:rsidRPr="008A1594">
        <w:rPr>
          <w:rFonts w:ascii="Arial" w:hAnsi="Arial" w:cs="Arial"/>
          <w:sz w:val="22"/>
          <w:lang w:val="en-US"/>
        </w:rPr>
        <w:t>Deem, R., K.H.  Mok &amp; L.  Lucas (2018).  Transforming higher education in whose image?  Exploring the concept of the world-class university in Europe and Asia</w:t>
      </w:r>
      <w:r w:rsidRPr="008A1594">
        <w:rPr>
          <w:rFonts w:ascii="Arial" w:hAnsi="Arial" w:cs="Arial"/>
          <w:i/>
          <w:iCs/>
          <w:sz w:val="22"/>
          <w:lang w:val="en-US"/>
        </w:rPr>
        <w:t>. Higher Education Policy</w:t>
      </w:r>
      <w:r w:rsidRPr="008A1594">
        <w:rPr>
          <w:rFonts w:ascii="Arial" w:hAnsi="Arial" w:cs="Arial"/>
          <w:sz w:val="22"/>
          <w:lang w:val="en-US"/>
        </w:rPr>
        <w:t>, 21(1), 83-98.</w:t>
      </w:r>
    </w:p>
    <w:p w14:paraId="2CE1D79B" w14:textId="247DDD4E" w:rsidR="00864734" w:rsidRPr="008A1594" w:rsidRDefault="00D417F7" w:rsidP="00BA20CA">
      <w:pPr>
        <w:spacing w:line="360" w:lineRule="auto"/>
        <w:ind w:left="360"/>
        <w:jc w:val="both"/>
        <w:rPr>
          <w:rFonts w:ascii="Arial" w:hAnsi="Arial" w:cs="Arial"/>
          <w:i/>
          <w:iCs/>
          <w:sz w:val="22"/>
          <w:lang w:val="en-US"/>
        </w:rPr>
      </w:pPr>
      <w:r w:rsidRPr="008A1594">
        <w:rPr>
          <w:rFonts w:ascii="Arial" w:hAnsi="Arial" w:cs="Arial"/>
          <w:sz w:val="22"/>
          <w:lang w:val="en-US"/>
        </w:rPr>
        <w:t xml:space="preserve">Ding, L. (2018).  </w:t>
      </w:r>
      <w:r w:rsidRPr="008A1594">
        <w:rPr>
          <w:rFonts w:ascii="Arial" w:hAnsi="Arial" w:cs="Arial"/>
          <w:i/>
          <w:iCs/>
          <w:sz w:val="22"/>
          <w:lang w:val="en-US"/>
        </w:rPr>
        <w:t>Revisiting assessment and learning: Implications of students’ perspectives on assessment feedback.</w:t>
      </w:r>
      <w:r w:rsidRPr="008A1594">
        <w:rPr>
          <w:rFonts w:ascii="Arial" w:hAnsi="Arial" w:cs="Arial"/>
          <w:sz w:val="22"/>
          <w:lang w:val="en-US"/>
        </w:rPr>
        <w:t xml:space="preserve">  Paper presented at the Scottish Educational Research Association Annual Conference, University of Dundee, Dundee, UK.</w:t>
      </w:r>
    </w:p>
    <w:p w14:paraId="6F1915D2" w14:textId="09C48A07" w:rsidR="00864734" w:rsidRPr="008A1594" w:rsidRDefault="00D417F7" w:rsidP="00BA20CA">
      <w:pPr>
        <w:spacing w:line="360" w:lineRule="auto"/>
        <w:ind w:left="360"/>
        <w:jc w:val="both"/>
        <w:rPr>
          <w:rFonts w:ascii="Arial" w:hAnsi="Arial" w:cs="Arial"/>
          <w:sz w:val="22"/>
          <w:lang w:val="en-US"/>
        </w:rPr>
      </w:pPr>
      <w:r w:rsidRPr="008A1594">
        <w:rPr>
          <w:rFonts w:ascii="Arial" w:hAnsi="Arial" w:cs="Arial"/>
          <w:sz w:val="22"/>
          <w:lang w:val="en-US"/>
        </w:rPr>
        <w:t xml:space="preserve">Dyson, R.G., </w:t>
      </w:r>
      <w:r w:rsidR="00FD081F" w:rsidRPr="008A1594">
        <w:rPr>
          <w:rFonts w:ascii="Arial" w:hAnsi="Arial" w:cs="Arial"/>
          <w:sz w:val="22"/>
          <w:lang w:val="en-US"/>
        </w:rPr>
        <w:t>(</w:t>
      </w:r>
      <w:r w:rsidRPr="008A1594">
        <w:rPr>
          <w:rFonts w:ascii="Arial" w:hAnsi="Arial" w:cs="Arial"/>
          <w:sz w:val="22"/>
          <w:lang w:val="en-US"/>
        </w:rPr>
        <w:t>2020</w:t>
      </w:r>
      <w:r w:rsidR="00FD081F" w:rsidRPr="008A1594">
        <w:rPr>
          <w:rFonts w:ascii="Arial" w:hAnsi="Arial" w:cs="Arial"/>
          <w:sz w:val="22"/>
          <w:lang w:val="en-US"/>
        </w:rPr>
        <w:t>)</w:t>
      </w:r>
      <w:r w:rsidRPr="008A1594">
        <w:rPr>
          <w:rFonts w:ascii="Arial" w:hAnsi="Arial" w:cs="Arial"/>
          <w:sz w:val="22"/>
          <w:lang w:val="en-US"/>
        </w:rPr>
        <w:t>. Strategy, performance and operational research. Journal of the Operational Research Society 51, 5– 11.</w:t>
      </w:r>
    </w:p>
    <w:p w14:paraId="30670231" w14:textId="1D5490F2" w:rsidR="00864734" w:rsidRPr="008A1594" w:rsidRDefault="00D417F7" w:rsidP="00BA20CA">
      <w:pPr>
        <w:spacing w:line="360" w:lineRule="auto"/>
        <w:ind w:left="360"/>
        <w:jc w:val="both"/>
        <w:rPr>
          <w:rFonts w:ascii="Arial" w:hAnsi="Arial" w:cs="Arial"/>
          <w:sz w:val="22"/>
          <w:lang w:val="en-US"/>
        </w:rPr>
      </w:pPr>
      <w:r w:rsidRPr="008A1594">
        <w:rPr>
          <w:rFonts w:ascii="Arial" w:hAnsi="Arial" w:cs="Arial"/>
          <w:sz w:val="22"/>
          <w:lang w:val="en-US"/>
        </w:rPr>
        <w:t xml:space="preserve">Goldman, J. D., </w:t>
      </w:r>
      <w:r w:rsidR="00FD081F" w:rsidRPr="008A1594">
        <w:rPr>
          <w:rFonts w:ascii="Arial" w:hAnsi="Arial" w:cs="Arial"/>
          <w:sz w:val="22"/>
          <w:lang w:val="en-US"/>
        </w:rPr>
        <w:t>(</w:t>
      </w:r>
      <w:r w:rsidRPr="008A1594">
        <w:rPr>
          <w:rFonts w:ascii="Arial" w:hAnsi="Arial" w:cs="Arial"/>
          <w:sz w:val="22"/>
          <w:lang w:val="en-US"/>
        </w:rPr>
        <w:t>2016</w:t>
      </w:r>
      <w:r w:rsidR="00FD081F" w:rsidRPr="008A1594">
        <w:rPr>
          <w:rFonts w:ascii="Arial" w:hAnsi="Arial" w:cs="Arial"/>
          <w:sz w:val="22"/>
          <w:lang w:val="en-US"/>
        </w:rPr>
        <w:t>)</w:t>
      </w:r>
      <w:r w:rsidRPr="008A1594">
        <w:rPr>
          <w:rFonts w:ascii="Arial" w:hAnsi="Arial" w:cs="Arial"/>
          <w:sz w:val="22"/>
          <w:lang w:val="en-US"/>
        </w:rPr>
        <w:t>. Developing higher level thinking in sexuality education for young people. </w:t>
      </w:r>
      <w:r w:rsidRPr="008A1594">
        <w:rPr>
          <w:rFonts w:ascii="Arial" w:hAnsi="Arial" w:cs="Arial"/>
          <w:i/>
          <w:iCs/>
          <w:sz w:val="22"/>
          <w:lang w:val="en-US"/>
        </w:rPr>
        <w:t>Educational Practice and Theory</w:t>
      </w:r>
      <w:r w:rsidRPr="008A1594">
        <w:rPr>
          <w:rFonts w:ascii="Arial" w:hAnsi="Arial" w:cs="Arial"/>
          <w:sz w:val="22"/>
          <w:lang w:val="en-US"/>
        </w:rPr>
        <w:t>, </w:t>
      </w:r>
      <w:r w:rsidRPr="008A1594">
        <w:rPr>
          <w:rFonts w:ascii="Arial" w:hAnsi="Arial" w:cs="Arial"/>
          <w:i/>
          <w:iCs/>
          <w:sz w:val="22"/>
          <w:lang w:val="en-US"/>
        </w:rPr>
        <w:t>28</w:t>
      </w:r>
      <w:r w:rsidRPr="008A1594">
        <w:rPr>
          <w:rFonts w:ascii="Arial" w:hAnsi="Arial" w:cs="Arial"/>
          <w:sz w:val="22"/>
          <w:lang w:val="en-US"/>
        </w:rPr>
        <w:t>(2), 83-95.</w:t>
      </w:r>
    </w:p>
    <w:p w14:paraId="7ACBD0AA" w14:textId="27360E23" w:rsidR="00864734" w:rsidRPr="008A1594" w:rsidRDefault="00D417F7" w:rsidP="00BA20CA">
      <w:pPr>
        <w:spacing w:line="360" w:lineRule="auto"/>
        <w:ind w:left="360"/>
        <w:jc w:val="both"/>
        <w:rPr>
          <w:rFonts w:ascii="Arial" w:hAnsi="Arial" w:cs="Arial"/>
          <w:sz w:val="22"/>
          <w:lang w:val="en-US"/>
        </w:rPr>
      </w:pPr>
      <w:r w:rsidRPr="008A1594">
        <w:rPr>
          <w:rFonts w:ascii="Arial" w:hAnsi="Arial" w:cs="Arial"/>
          <w:sz w:val="22"/>
          <w:lang w:val="en-US"/>
        </w:rPr>
        <w:t xml:space="preserve">Oatley, N., Griffiths, R., Bassett, K., &amp; Smith, I., </w:t>
      </w:r>
      <w:r w:rsidR="00FD081F" w:rsidRPr="008A1594">
        <w:rPr>
          <w:rFonts w:ascii="Arial" w:hAnsi="Arial" w:cs="Arial"/>
          <w:sz w:val="22"/>
          <w:lang w:val="en-US"/>
        </w:rPr>
        <w:t>(</w:t>
      </w:r>
      <w:r w:rsidRPr="008A1594">
        <w:rPr>
          <w:rFonts w:ascii="Arial" w:hAnsi="Arial" w:cs="Arial"/>
          <w:sz w:val="22"/>
          <w:lang w:val="en-US"/>
        </w:rPr>
        <w:t>2019</w:t>
      </w:r>
      <w:r w:rsidR="00FD081F" w:rsidRPr="008A1594">
        <w:rPr>
          <w:rFonts w:ascii="Arial" w:hAnsi="Arial" w:cs="Arial"/>
          <w:sz w:val="22"/>
          <w:lang w:val="en-US"/>
        </w:rPr>
        <w:t>)</w:t>
      </w:r>
      <w:r w:rsidRPr="008A1594">
        <w:rPr>
          <w:rFonts w:ascii="Arial" w:hAnsi="Arial" w:cs="Arial"/>
          <w:sz w:val="22"/>
          <w:lang w:val="en-US"/>
        </w:rPr>
        <w:t>. Cultural policy and the cultural economy in Bristol. </w:t>
      </w:r>
      <w:r w:rsidRPr="008A1594">
        <w:rPr>
          <w:rFonts w:ascii="Arial" w:hAnsi="Arial" w:cs="Arial"/>
          <w:i/>
          <w:iCs/>
          <w:sz w:val="22"/>
          <w:lang w:val="en-US"/>
        </w:rPr>
        <w:t>Local Economy</w:t>
      </w:r>
      <w:r w:rsidRPr="008A1594">
        <w:rPr>
          <w:rFonts w:ascii="Arial" w:hAnsi="Arial" w:cs="Arial"/>
          <w:sz w:val="22"/>
          <w:lang w:val="en-US"/>
        </w:rPr>
        <w:t>, </w:t>
      </w:r>
      <w:r w:rsidRPr="008A1594">
        <w:rPr>
          <w:rFonts w:ascii="Arial" w:hAnsi="Arial" w:cs="Arial"/>
          <w:i/>
          <w:iCs/>
          <w:sz w:val="22"/>
          <w:lang w:val="en-US"/>
        </w:rPr>
        <w:t>14</w:t>
      </w:r>
      <w:r w:rsidRPr="008A1594">
        <w:rPr>
          <w:rFonts w:ascii="Arial" w:hAnsi="Arial" w:cs="Arial"/>
          <w:sz w:val="22"/>
          <w:lang w:val="en-US"/>
        </w:rPr>
        <w:t>(3), 257-264.</w:t>
      </w:r>
    </w:p>
    <w:p w14:paraId="7810F2CE" w14:textId="43D81196" w:rsidR="00864734" w:rsidRPr="008A1594" w:rsidRDefault="00D417F7" w:rsidP="00BA20CA">
      <w:pPr>
        <w:spacing w:line="360" w:lineRule="auto"/>
        <w:ind w:left="360"/>
        <w:jc w:val="both"/>
        <w:rPr>
          <w:rFonts w:ascii="Arial" w:hAnsi="Arial" w:cs="Arial"/>
          <w:sz w:val="22"/>
          <w:lang w:val="en-US"/>
        </w:rPr>
      </w:pPr>
      <w:r w:rsidRPr="008A1594">
        <w:rPr>
          <w:rFonts w:ascii="Arial" w:hAnsi="Arial" w:cs="Arial"/>
          <w:sz w:val="22"/>
          <w:lang w:val="en-US"/>
        </w:rPr>
        <w:t xml:space="preserve">Peng, G. C. A., &amp; Nunes, M. B., </w:t>
      </w:r>
      <w:r w:rsidR="00FD081F" w:rsidRPr="008A1594">
        <w:rPr>
          <w:rFonts w:ascii="Arial" w:hAnsi="Arial" w:cs="Arial"/>
          <w:sz w:val="22"/>
          <w:lang w:val="en-US"/>
        </w:rPr>
        <w:t>(</w:t>
      </w:r>
      <w:r w:rsidRPr="008A1594">
        <w:rPr>
          <w:rFonts w:ascii="Arial" w:hAnsi="Arial" w:cs="Arial"/>
          <w:sz w:val="22"/>
          <w:lang w:val="en-US"/>
        </w:rPr>
        <w:t>2017</w:t>
      </w:r>
      <w:r w:rsidR="00FD081F" w:rsidRPr="008A1594">
        <w:rPr>
          <w:rFonts w:ascii="Arial" w:hAnsi="Arial" w:cs="Arial"/>
          <w:sz w:val="22"/>
          <w:lang w:val="en-US"/>
        </w:rPr>
        <w:t>)</w:t>
      </w:r>
      <w:r w:rsidRPr="008A1594">
        <w:rPr>
          <w:rFonts w:ascii="Arial" w:hAnsi="Arial" w:cs="Arial"/>
          <w:sz w:val="22"/>
          <w:lang w:val="en-US"/>
        </w:rPr>
        <w:t>. Using PEST analysis as a tool for refining and focusing contexts for information systems research. In </w:t>
      </w:r>
      <w:r w:rsidRPr="008A1594">
        <w:rPr>
          <w:rFonts w:ascii="Arial" w:hAnsi="Arial" w:cs="Arial"/>
          <w:i/>
          <w:iCs/>
          <w:sz w:val="22"/>
          <w:lang w:val="en-US"/>
        </w:rPr>
        <w:t>6th European conference on research methodology for business and management studies, Lisbon, Portugal</w:t>
      </w:r>
      <w:r w:rsidRPr="008A1594">
        <w:rPr>
          <w:rFonts w:ascii="Arial" w:hAnsi="Arial" w:cs="Arial"/>
          <w:sz w:val="22"/>
          <w:lang w:val="en-US"/>
        </w:rPr>
        <w:t> (pp. 229-236).</w:t>
      </w:r>
    </w:p>
    <w:p w14:paraId="3D3FBC27" w14:textId="2D2670BA" w:rsidR="00864734" w:rsidRPr="008A1594" w:rsidRDefault="00D417F7" w:rsidP="00BA20CA">
      <w:pPr>
        <w:spacing w:line="360" w:lineRule="auto"/>
        <w:ind w:left="360"/>
        <w:jc w:val="both"/>
        <w:rPr>
          <w:rFonts w:ascii="Arial" w:hAnsi="Arial" w:cs="Arial"/>
          <w:sz w:val="22"/>
          <w:lang w:val="en-US"/>
        </w:rPr>
      </w:pPr>
      <w:r w:rsidRPr="008A1594">
        <w:rPr>
          <w:rFonts w:ascii="Arial" w:hAnsi="Arial" w:cs="Arial"/>
          <w:sz w:val="22"/>
          <w:lang w:val="en-US"/>
        </w:rPr>
        <w:t xml:space="preserve">Ringland, G., &amp; Young, L., </w:t>
      </w:r>
      <w:r w:rsidR="00FD081F" w:rsidRPr="008A1594">
        <w:rPr>
          <w:rFonts w:ascii="Arial" w:hAnsi="Arial" w:cs="Arial"/>
          <w:sz w:val="22"/>
          <w:lang w:val="en-US"/>
        </w:rPr>
        <w:t>(</w:t>
      </w:r>
      <w:r w:rsidRPr="008A1594">
        <w:rPr>
          <w:rFonts w:ascii="Arial" w:hAnsi="Arial" w:cs="Arial"/>
          <w:sz w:val="22"/>
          <w:lang w:val="en-US"/>
        </w:rPr>
        <w:t>2017</w:t>
      </w:r>
      <w:r w:rsidR="00FD081F" w:rsidRPr="008A1594">
        <w:rPr>
          <w:rFonts w:ascii="Arial" w:hAnsi="Arial" w:cs="Arial"/>
          <w:sz w:val="22"/>
          <w:lang w:val="en-US"/>
        </w:rPr>
        <w:t>)</w:t>
      </w:r>
      <w:r w:rsidRPr="008A1594">
        <w:rPr>
          <w:rFonts w:ascii="Arial" w:hAnsi="Arial" w:cs="Arial"/>
          <w:sz w:val="22"/>
          <w:lang w:val="en-US"/>
        </w:rPr>
        <w:t>. </w:t>
      </w:r>
      <w:r w:rsidRPr="008A1594">
        <w:rPr>
          <w:rFonts w:ascii="Arial" w:hAnsi="Arial" w:cs="Arial"/>
          <w:i/>
          <w:iCs/>
          <w:sz w:val="22"/>
          <w:lang w:val="en-US"/>
        </w:rPr>
        <w:t>Scenarios in marketing: From vision to the decision</w:t>
      </w:r>
      <w:r w:rsidRPr="008A1594">
        <w:rPr>
          <w:rFonts w:ascii="Arial" w:hAnsi="Arial" w:cs="Arial"/>
          <w:sz w:val="22"/>
          <w:lang w:val="en-US"/>
        </w:rPr>
        <w:t>. John Wiley &amp; Sons.</w:t>
      </w:r>
    </w:p>
    <w:p w14:paraId="542957DB" w14:textId="3CBE79B2" w:rsidR="00FD081F" w:rsidRPr="00BD421B" w:rsidRDefault="00D417F7" w:rsidP="00BA20CA">
      <w:pPr>
        <w:spacing w:line="360" w:lineRule="auto"/>
        <w:ind w:left="360"/>
        <w:jc w:val="both"/>
        <w:rPr>
          <w:rFonts w:ascii="Arial" w:hAnsi="Arial" w:cs="Arial"/>
          <w:sz w:val="22"/>
          <w:lang w:val="en-US"/>
        </w:rPr>
      </w:pPr>
      <w:r w:rsidRPr="008A1594">
        <w:rPr>
          <w:rFonts w:ascii="Arial" w:hAnsi="Arial" w:cs="Arial"/>
          <w:sz w:val="22"/>
          <w:lang w:val="en-US"/>
        </w:rPr>
        <w:t xml:space="preserve">Shattock, M., </w:t>
      </w:r>
      <w:r w:rsidR="00FD081F" w:rsidRPr="008A1594">
        <w:rPr>
          <w:rFonts w:ascii="Arial" w:hAnsi="Arial" w:cs="Arial"/>
          <w:sz w:val="22"/>
          <w:lang w:val="en-US"/>
        </w:rPr>
        <w:t>(</w:t>
      </w:r>
      <w:r w:rsidRPr="008A1594">
        <w:rPr>
          <w:rFonts w:ascii="Arial" w:hAnsi="Arial" w:cs="Arial"/>
          <w:sz w:val="22"/>
          <w:lang w:val="en-US"/>
        </w:rPr>
        <w:t>2015</w:t>
      </w:r>
      <w:r w:rsidR="00FD081F" w:rsidRPr="008A1594">
        <w:rPr>
          <w:rFonts w:ascii="Arial" w:hAnsi="Arial" w:cs="Arial"/>
          <w:sz w:val="22"/>
          <w:lang w:val="en-US"/>
        </w:rPr>
        <w:t>)</w:t>
      </w:r>
      <w:r w:rsidRPr="008A1594">
        <w:rPr>
          <w:rFonts w:ascii="Arial" w:hAnsi="Arial" w:cs="Arial"/>
          <w:sz w:val="22"/>
          <w:lang w:val="en-US"/>
        </w:rPr>
        <w:t>. Higher education under a Labour government. </w:t>
      </w:r>
      <w:r w:rsidRPr="008A1594">
        <w:rPr>
          <w:rFonts w:ascii="Arial" w:hAnsi="Arial" w:cs="Arial"/>
          <w:i/>
          <w:iCs/>
          <w:sz w:val="22"/>
          <w:lang w:val="en-US"/>
        </w:rPr>
        <w:t>International Higher Education</w:t>
      </w:r>
      <w:r w:rsidRPr="008A1594">
        <w:rPr>
          <w:rFonts w:ascii="Arial" w:hAnsi="Arial" w:cs="Arial"/>
          <w:sz w:val="22"/>
          <w:lang w:val="en-US"/>
        </w:rPr>
        <w:t>, (50).</w:t>
      </w:r>
    </w:p>
    <w:sectPr w:rsidR="00FD081F" w:rsidRPr="00BD421B" w:rsidSect="007836D3">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703AE3" w14:textId="77777777" w:rsidR="00627C85" w:rsidRDefault="00627C85">
      <w:pPr>
        <w:spacing w:after="0" w:line="240" w:lineRule="auto"/>
      </w:pPr>
      <w:r>
        <w:separator/>
      </w:r>
    </w:p>
  </w:endnote>
  <w:endnote w:type="continuationSeparator" w:id="0">
    <w:p w14:paraId="03E519C1" w14:textId="77777777" w:rsidR="00627C85" w:rsidRDefault="00627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2806278"/>
      <w:docPartObj>
        <w:docPartGallery w:val="Page Numbers (Bottom of Page)"/>
        <w:docPartUnique/>
      </w:docPartObj>
    </w:sdtPr>
    <w:sdtEndPr>
      <w:rPr>
        <w:noProof/>
      </w:rPr>
    </w:sdtEndPr>
    <w:sdtContent>
      <w:p w14:paraId="5F128D6E" w14:textId="77777777" w:rsidR="007836D3" w:rsidRDefault="00D417F7">
        <w:pPr>
          <w:pStyle w:val="Footer"/>
        </w:pPr>
        <w:r>
          <w:fldChar w:fldCharType="begin"/>
        </w:r>
        <w:r>
          <w:instrText xml:space="preserve"> PAGE   \* MERGEFORMAT </w:instrText>
        </w:r>
        <w:r>
          <w:fldChar w:fldCharType="separate"/>
        </w:r>
        <w:r w:rsidR="00DC18C2">
          <w:rPr>
            <w:noProof/>
          </w:rPr>
          <w:t>1</w:t>
        </w:r>
        <w:r>
          <w:rPr>
            <w:noProof/>
          </w:rPr>
          <w:fldChar w:fldCharType="end"/>
        </w:r>
      </w:p>
    </w:sdtContent>
  </w:sdt>
  <w:p w14:paraId="65C891CC" w14:textId="77777777" w:rsidR="007836D3" w:rsidRDefault="007836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282DB2" w14:textId="77777777" w:rsidR="00627C85" w:rsidRDefault="00627C85">
      <w:pPr>
        <w:spacing w:after="0" w:line="240" w:lineRule="auto"/>
      </w:pPr>
      <w:r>
        <w:separator/>
      </w:r>
    </w:p>
  </w:footnote>
  <w:footnote w:type="continuationSeparator" w:id="0">
    <w:p w14:paraId="719418FB" w14:textId="77777777" w:rsidR="00627C85" w:rsidRDefault="00627C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62112C"/>
    <w:multiLevelType w:val="hybridMultilevel"/>
    <w:tmpl w:val="F964FBF2"/>
    <w:lvl w:ilvl="0" w:tplc="7D7A2440">
      <w:start w:val="1"/>
      <w:numFmt w:val="decimal"/>
      <w:lvlText w:val="%1."/>
      <w:lvlJc w:val="left"/>
      <w:pPr>
        <w:ind w:left="720" w:hanging="360"/>
      </w:pPr>
    </w:lvl>
    <w:lvl w:ilvl="1" w:tplc="F7D42030" w:tentative="1">
      <w:start w:val="1"/>
      <w:numFmt w:val="lowerLetter"/>
      <w:lvlText w:val="%2."/>
      <w:lvlJc w:val="left"/>
      <w:pPr>
        <w:ind w:left="1440" w:hanging="360"/>
      </w:pPr>
    </w:lvl>
    <w:lvl w:ilvl="2" w:tplc="30D48F42" w:tentative="1">
      <w:start w:val="1"/>
      <w:numFmt w:val="lowerRoman"/>
      <w:lvlText w:val="%3."/>
      <w:lvlJc w:val="right"/>
      <w:pPr>
        <w:ind w:left="2160" w:hanging="180"/>
      </w:pPr>
    </w:lvl>
    <w:lvl w:ilvl="3" w:tplc="799832F2" w:tentative="1">
      <w:start w:val="1"/>
      <w:numFmt w:val="decimal"/>
      <w:lvlText w:val="%4."/>
      <w:lvlJc w:val="left"/>
      <w:pPr>
        <w:ind w:left="2880" w:hanging="360"/>
      </w:pPr>
    </w:lvl>
    <w:lvl w:ilvl="4" w:tplc="BDA4E410" w:tentative="1">
      <w:start w:val="1"/>
      <w:numFmt w:val="lowerLetter"/>
      <w:lvlText w:val="%5."/>
      <w:lvlJc w:val="left"/>
      <w:pPr>
        <w:ind w:left="3600" w:hanging="360"/>
      </w:pPr>
    </w:lvl>
    <w:lvl w:ilvl="5" w:tplc="F9CE1168" w:tentative="1">
      <w:start w:val="1"/>
      <w:numFmt w:val="lowerRoman"/>
      <w:lvlText w:val="%6."/>
      <w:lvlJc w:val="right"/>
      <w:pPr>
        <w:ind w:left="4320" w:hanging="180"/>
      </w:pPr>
    </w:lvl>
    <w:lvl w:ilvl="6" w:tplc="1F1E0ABC" w:tentative="1">
      <w:start w:val="1"/>
      <w:numFmt w:val="decimal"/>
      <w:lvlText w:val="%7."/>
      <w:lvlJc w:val="left"/>
      <w:pPr>
        <w:ind w:left="5040" w:hanging="360"/>
      </w:pPr>
    </w:lvl>
    <w:lvl w:ilvl="7" w:tplc="4B00989A" w:tentative="1">
      <w:start w:val="1"/>
      <w:numFmt w:val="lowerLetter"/>
      <w:lvlText w:val="%8."/>
      <w:lvlJc w:val="left"/>
      <w:pPr>
        <w:ind w:left="5760" w:hanging="360"/>
      </w:pPr>
    </w:lvl>
    <w:lvl w:ilvl="8" w:tplc="F4B2E594" w:tentative="1">
      <w:start w:val="1"/>
      <w:numFmt w:val="lowerRoman"/>
      <w:lvlText w:val="%9."/>
      <w:lvlJc w:val="right"/>
      <w:pPr>
        <w:ind w:left="6480" w:hanging="180"/>
      </w:pPr>
    </w:lvl>
  </w:abstractNum>
  <w:abstractNum w:abstractNumId="1" w15:restartNumberingAfterBreak="0">
    <w:nsid w:val="539F2F2E"/>
    <w:multiLevelType w:val="multilevel"/>
    <w:tmpl w:val="4AF4E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A5E75DA"/>
    <w:multiLevelType w:val="hybridMultilevel"/>
    <w:tmpl w:val="083C21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62093714">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2" w16cid:durableId="317924878">
    <w:abstractNumId w:val="0"/>
  </w:num>
  <w:num w:numId="3" w16cid:durableId="19478121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ysjQwNLcwNbY0MjRU0lEKTi0uzszPAykwrAUAZ1ZVHSwAAAA="/>
  </w:docVars>
  <w:rsids>
    <w:rsidRoot w:val="00B87DA6"/>
    <w:rsid w:val="00050DC1"/>
    <w:rsid w:val="00112F40"/>
    <w:rsid w:val="00113584"/>
    <w:rsid w:val="00233EB3"/>
    <w:rsid w:val="0024396B"/>
    <w:rsid w:val="002F72BD"/>
    <w:rsid w:val="00316362"/>
    <w:rsid w:val="00320306"/>
    <w:rsid w:val="003358FE"/>
    <w:rsid w:val="003849C5"/>
    <w:rsid w:val="00397041"/>
    <w:rsid w:val="003D6A56"/>
    <w:rsid w:val="003E7412"/>
    <w:rsid w:val="003E75D8"/>
    <w:rsid w:val="00402A9E"/>
    <w:rsid w:val="00624F1A"/>
    <w:rsid w:val="00627C85"/>
    <w:rsid w:val="006428A6"/>
    <w:rsid w:val="0077512D"/>
    <w:rsid w:val="007836D3"/>
    <w:rsid w:val="00785627"/>
    <w:rsid w:val="00793C11"/>
    <w:rsid w:val="007A5E25"/>
    <w:rsid w:val="00811601"/>
    <w:rsid w:val="00864734"/>
    <w:rsid w:val="008A1594"/>
    <w:rsid w:val="00A43A86"/>
    <w:rsid w:val="00A91D5E"/>
    <w:rsid w:val="00B5554A"/>
    <w:rsid w:val="00B87DA6"/>
    <w:rsid w:val="00BA20CA"/>
    <w:rsid w:val="00BD421B"/>
    <w:rsid w:val="00C83857"/>
    <w:rsid w:val="00CB12FB"/>
    <w:rsid w:val="00CE7E27"/>
    <w:rsid w:val="00D417F7"/>
    <w:rsid w:val="00D53873"/>
    <w:rsid w:val="00D61B0F"/>
    <w:rsid w:val="00D62AB6"/>
    <w:rsid w:val="00DC18C2"/>
    <w:rsid w:val="00E24EDC"/>
    <w:rsid w:val="00E54E80"/>
    <w:rsid w:val="00E95BE0"/>
    <w:rsid w:val="00EE2F16"/>
    <w:rsid w:val="00F218E6"/>
    <w:rsid w:val="00FA77EB"/>
    <w:rsid w:val="00FB04AE"/>
    <w:rsid w:val="00FD081F"/>
    <w:rsid w:val="00FF126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DF9E1"/>
  <w15:chartTrackingRefBased/>
  <w15:docId w15:val="{808FA774-CAB3-4053-A534-9F1C9B6D6C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58FE"/>
    <w:rPr>
      <w:rFonts w:ascii="Times New Roman" w:hAnsi="Times New Roman"/>
      <w:sz w:val="24"/>
      <w:lang w:val="en-GB"/>
    </w:rPr>
  </w:style>
  <w:style w:type="paragraph" w:styleId="Heading1">
    <w:name w:val="heading 1"/>
    <w:basedOn w:val="Normal"/>
    <w:next w:val="Normal"/>
    <w:link w:val="Heading1Char"/>
    <w:uiPriority w:val="9"/>
    <w:qFormat/>
    <w:rsid w:val="00C83857"/>
    <w:pPr>
      <w:keepNext/>
      <w:keepLines/>
      <w:spacing w:after="0"/>
      <w:jc w:val="both"/>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396B"/>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3358FE"/>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3857"/>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24396B"/>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3358FE"/>
    <w:rPr>
      <w:rFonts w:ascii="Times New Roman" w:eastAsiaTheme="majorEastAsia" w:hAnsi="Times New Roman" w:cstheme="majorBidi"/>
      <w:color w:val="1F3763" w:themeColor="accent1" w:themeShade="7F"/>
      <w:sz w:val="24"/>
      <w:szCs w:val="24"/>
      <w:lang w:val="en-GB"/>
    </w:rPr>
  </w:style>
  <w:style w:type="paragraph" w:styleId="ListParagraph">
    <w:name w:val="List Paragraph"/>
    <w:basedOn w:val="Normal"/>
    <w:uiPriority w:val="34"/>
    <w:qFormat/>
    <w:rsid w:val="00864734"/>
    <w:pPr>
      <w:ind w:left="720"/>
      <w:contextualSpacing/>
    </w:pPr>
  </w:style>
  <w:style w:type="paragraph" w:styleId="Header">
    <w:name w:val="header"/>
    <w:basedOn w:val="Normal"/>
    <w:link w:val="HeaderChar"/>
    <w:uiPriority w:val="99"/>
    <w:unhideWhenUsed/>
    <w:rsid w:val="007836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36D3"/>
    <w:rPr>
      <w:rFonts w:ascii="Times New Roman" w:hAnsi="Times New Roman"/>
      <w:sz w:val="24"/>
      <w:lang w:val="en-GB"/>
    </w:rPr>
  </w:style>
  <w:style w:type="paragraph" w:styleId="Footer">
    <w:name w:val="footer"/>
    <w:basedOn w:val="Normal"/>
    <w:link w:val="FooterChar"/>
    <w:uiPriority w:val="99"/>
    <w:unhideWhenUsed/>
    <w:rsid w:val="007836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36D3"/>
    <w:rPr>
      <w:rFonts w:ascii="Times New Roman" w:hAnsi="Times New Roman"/>
      <w:sz w:val="24"/>
      <w:lang w:val="en-GB"/>
    </w:rPr>
  </w:style>
  <w:style w:type="paragraph" w:styleId="TOCHeading">
    <w:name w:val="TOC Heading"/>
    <w:basedOn w:val="Heading1"/>
    <w:next w:val="Normal"/>
    <w:uiPriority w:val="39"/>
    <w:unhideWhenUsed/>
    <w:qFormat/>
    <w:rsid w:val="007836D3"/>
    <w:pPr>
      <w:spacing w:before="240"/>
      <w:jc w:val="left"/>
      <w:outlineLvl w:val="9"/>
    </w:pPr>
    <w:rPr>
      <w:rFonts w:asciiTheme="majorHAnsi" w:hAnsiTheme="majorHAnsi"/>
      <w:lang w:val="en-US"/>
    </w:rPr>
  </w:style>
  <w:style w:type="paragraph" w:styleId="TOC1">
    <w:name w:val="toc 1"/>
    <w:basedOn w:val="Normal"/>
    <w:next w:val="Normal"/>
    <w:autoRedefine/>
    <w:uiPriority w:val="39"/>
    <w:unhideWhenUsed/>
    <w:rsid w:val="00B5554A"/>
    <w:pPr>
      <w:tabs>
        <w:tab w:val="left" w:pos="440"/>
        <w:tab w:val="right" w:leader="dot" w:pos="9016"/>
      </w:tabs>
      <w:spacing w:after="100" w:line="360" w:lineRule="auto"/>
    </w:pPr>
  </w:style>
  <w:style w:type="paragraph" w:styleId="TOC2">
    <w:name w:val="toc 2"/>
    <w:basedOn w:val="Normal"/>
    <w:next w:val="Normal"/>
    <w:autoRedefine/>
    <w:uiPriority w:val="39"/>
    <w:unhideWhenUsed/>
    <w:rsid w:val="007836D3"/>
    <w:pPr>
      <w:spacing w:after="100"/>
      <w:ind w:left="240"/>
    </w:pPr>
  </w:style>
  <w:style w:type="character" w:styleId="Hyperlink">
    <w:name w:val="Hyperlink"/>
    <w:basedOn w:val="DefaultParagraphFont"/>
    <w:uiPriority w:val="99"/>
    <w:unhideWhenUsed/>
    <w:rsid w:val="007836D3"/>
    <w:rPr>
      <w:color w:val="0563C1" w:themeColor="hyperlink"/>
      <w:u w:val="single"/>
    </w:rPr>
  </w:style>
  <w:style w:type="character" w:styleId="CommentReference">
    <w:name w:val="annotation reference"/>
    <w:basedOn w:val="DefaultParagraphFont"/>
    <w:uiPriority w:val="99"/>
    <w:semiHidden/>
    <w:unhideWhenUsed/>
    <w:rsid w:val="003E75D8"/>
    <w:rPr>
      <w:sz w:val="16"/>
      <w:szCs w:val="16"/>
    </w:rPr>
  </w:style>
  <w:style w:type="paragraph" w:styleId="CommentText">
    <w:name w:val="annotation text"/>
    <w:basedOn w:val="Normal"/>
    <w:link w:val="CommentTextChar"/>
    <w:uiPriority w:val="99"/>
    <w:semiHidden/>
    <w:unhideWhenUsed/>
    <w:rsid w:val="003E75D8"/>
    <w:pPr>
      <w:spacing w:line="240" w:lineRule="auto"/>
    </w:pPr>
    <w:rPr>
      <w:sz w:val="20"/>
      <w:szCs w:val="20"/>
    </w:rPr>
  </w:style>
  <w:style w:type="character" w:customStyle="1" w:styleId="CommentTextChar">
    <w:name w:val="Comment Text Char"/>
    <w:basedOn w:val="DefaultParagraphFont"/>
    <w:link w:val="CommentText"/>
    <w:uiPriority w:val="99"/>
    <w:semiHidden/>
    <w:rsid w:val="003E75D8"/>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3E75D8"/>
    <w:rPr>
      <w:b/>
      <w:bCs/>
    </w:rPr>
  </w:style>
  <w:style w:type="character" w:customStyle="1" w:styleId="CommentSubjectChar">
    <w:name w:val="Comment Subject Char"/>
    <w:basedOn w:val="CommentTextChar"/>
    <w:link w:val="CommentSubject"/>
    <w:uiPriority w:val="99"/>
    <w:semiHidden/>
    <w:rsid w:val="003E75D8"/>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3E75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75D8"/>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3413ED-E2CA-4CC6-8A53-D507CE7E00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3122</Words>
  <Characters>17800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raiana rashed</dc:creator>
  <cp:lastModifiedBy>Elena Frangu</cp:lastModifiedBy>
  <cp:revision>8</cp:revision>
  <dcterms:created xsi:type="dcterms:W3CDTF">2022-10-17T15:48:00Z</dcterms:created>
  <dcterms:modified xsi:type="dcterms:W3CDTF">2022-10-17T15:57:00Z</dcterms:modified>
</cp:coreProperties>
</file>