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36ECFF88" w14:textId="3ECBC3AD" w:rsidR="00510185" w:rsidRDefault="000D34BB">
      <w:pPr>
        <w:spacing w:after="200" w:line="360" w:lineRule="auto"/>
        <w:jc w:val="center"/>
        <w:rPr>
          <w:b/>
          <w:bCs/>
          <w:sz w:val="44"/>
          <w:szCs w:val="44"/>
        </w:rPr>
      </w:pPr>
      <w:r>
        <w:rPr>
          <w:b/>
          <w:bCs/>
          <w:noProof/>
          <w:sz w:val="34"/>
          <w:szCs w:val="34"/>
        </w:rPr>
        <w:drawing>
          <wp:inline distT="114300" distB="114300" distL="114300" distR="114300" wp14:anchorId="2A1E9320" wp14:editId="2FB10C47">
            <wp:extent cx="2453640" cy="998220"/>
            <wp:effectExtent l="0" t="0" r="3810" b="0"/>
            <wp:docPr id="191885140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6"/>
                    <a:srcRect/>
                    <a:stretch>
                      <a:fillRect/>
                    </a:stretch>
                  </pic:blipFill>
                  <pic:spPr>
                    <a:xfrm>
                      <a:off x="0" y="0"/>
                      <a:ext cx="2453640" cy="998220"/>
                    </a:xfrm>
                    <a:prstGeom prst="rect">
                      <a:avLst/>
                    </a:prstGeom>
                    <a:ln/>
                  </pic:spPr>
                </pic:pic>
              </a:graphicData>
            </a:graphic>
          </wp:inline>
        </w:drawing>
      </w:r>
    </w:p>
    <w:p w14:paraId="3C879081" w14:textId="643E4C1F" w:rsidR="000D34BB" w:rsidRDefault="000D34BB" w:rsidP="000D34BB">
      <w:pPr>
        <w:jc w:val="center"/>
        <w:rPr>
          <w:b/>
          <w:bCs/>
          <w:sz w:val="32"/>
          <w:szCs w:val="32"/>
        </w:rPr>
      </w:pPr>
      <w:r>
        <w:rPr>
          <w:b/>
          <w:bCs/>
          <w:sz w:val="32"/>
          <w:szCs w:val="32"/>
        </w:rPr>
        <w:t>Student Name: Harsh Narendrakumar Barot</w:t>
      </w:r>
    </w:p>
    <w:p w14:paraId="3A81D3C1" w14:textId="2358A8C9" w:rsidR="00510185" w:rsidRPr="000D34BB" w:rsidRDefault="000D34BB" w:rsidP="000D34BB">
      <w:pPr>
        <w:spacing w:after="200" w:line="360" w:lineRule="auto"/>
        <w:jc w:val="center"/>
        <w:rPr>
          <w:b/>
          <w:bCs/>
          <w:sz w:val="32"/>
          <w:szCs w:val="32"/>
        </w:rPr>
      </w:pPr>
      <w:r>
        <w:rPr>
          <w:b/>
          <w:bCs/>
          <w:sz w:val="32"/>
          <w:szCs w:val="32"/>
        </w:rPr>
        <w:t>Student ID Number: 2521393</w:t>
      </w:r>
    </w:p>
    <w:p w14:paraId="21A567DC" w14:textId="742579C1" w:rsidR="00510185" w:rsidRDefault="000D34BB">
      <w:pPr>
        <w:spacing w:after="200" w:line="360" w:lineRule="auto"/>
        <w:jc w:val="center"/>
        <w:rPr>
          <w:b/>
          <w:bCs/>
          <w:sz w:val="32"/>
          <w:szCs w:val="32"/>
        </w:rPr>
      </w:pPr>
      <w:r>
        <w:rPr>
          <w:b/>
          <w:bCs/>
          <w:sz w:val="32"/>
          <w:szCs w:val="32"/>
        </w:rPr>
        <w:t>Program</w:t>
      </w:r>
      <w:r w:rsidR="00424E35">
        <w:rPr>
          <w:b/>
          <w:bCs/>
          <w:sz w:val="32"/>
          <w:szCs w:val="32"/>
        </w:rPr>
        <w:t xml:space="preserve"> Name: Master of Business Administration</w:t>
      </w:r>
      <w:r>
        <w:rPr>
          <w:b/>
          <w:bCs/>
          <w:sz w:val="32"/>
          <w:szCs w:val="32"/>
        </w:rPr>
        <w:t xml:space="preserve"> (MBA)</w:t>
      </w:r>
    </w:p>
    <w:p w14:paraId="618E271B" w14:textId="77777777" w:rsidR="00510185" w:rsidRDefault="00424E35">
      <w:pPr>
        <w:spacing w:after="200" w:line="360" w:lineRule="auto"/>
        <w:jc w:val="center"/>
        <w:rPr>
          <w:b/>
          <w:bCs/>
          <w:sz w:val="32"/>
          <w:szCs w:val="32"/>
        </w:rPr>
      </w:pPr>
      <w:r>
        <w:rPr>
          <w:b/>
          <w:bCs/>
          <w:sz w:val="32"/>
          <w:szCs w:val="32"/>
        </w:rPr>
        <w:t>Module Name: Marketing Management</w:t>
      </w:r>
    </w:p>
    <w:p w14:paraId="257F1BE4" w14:textId="77777777" w:rsidR="00510185" w:rsidRDefault="00424E35">
      <w:pPr>
        <w:spacing w:after="200" w:line="360" w:lineRule="auto"/>
        <w:jc w:val="center"/>
        <w:rPr>
          <w:b/>
          <w:bCs/>
          <w:sz w:val="32"/>
          <w:szCs w:val="32"/>
        </w:rPr>
      </w:pPr>
      <w:r>
        <w:rPr>
          <w:b/>
          <w:bCs/>
          <w:sz w:val="32"/>
          <w:szCs w:val="32"/>
        </w:rPr>
        <w:t>Module Code: LCMB7024</w:t>
      </w:r>
    </w:p>
    <w:p w14:paraId="185DAE95" w14:textId="5811C737" w:rsidR="00510185" w:rsidRDefault="00424E35">
      <w:pPr>
        <w:spacing w:after="200" w:line="360" w:lineRule="auto"/>
        <w:jc w:val="center"/>
        <w:rPr>
          <w:b/>
          <w:bCs/>
          <w:sz w:val="32"/>
          <w:szCs w:val="32"/>
        </w:rPr>
      </w:pPr>
      <w:r>
        <w:rPr>
          <w:b/>
          <w:bCs/>
          <w:sz w:val="32"/>
          <w:szCs w:val="32"/>
        </w:rPr>
        <w:t xml:space="preserve">Module Teacher: Laila Maazouz </w:t>
      </w:r>
    </w:p>
    <w:p w14:paraId="36C1E192" w14:textId="3F781749" w:rsidR="00510185" w:rsidRDefault="00424E35" w:rsidP="000D34BB">
      <w:pPr>
        <w:spacing w:after="200" w:line="360" w:lineRule="auto"/>
        <w:jc w:val="center"/>
        <w:rPr>
          <w:b/>
          <w:bCs/>
          <w:sz w:val="32"/>
          <w:szCs w:val="32"/>
        </w:rPr>
      </w:pPr>
      <w:r>
        <w:rPr>
          <w:b/>
          <w:bCs/>
          <w:sz w:val="32"/>
          <w:szCs w:val="32"/>
        </w:rPr>
        <w:t>Assignment Title: Brand Development Portfolio: Patagonia Renewed-From Outdoor Apparel to Activist Circular Commerce</w:t>
      </w:r>
    </w:p>
    <w:p w14:paraId="46F77AA6" w14:textId="77777777" w:rsidR="00510185" w:rsidRDefault="00424E35">
      <w:pPr>
        <w:spacing w:after="200" w:line="360" w:lineRule="auto"/>
        <w:jc w:val="center"/>
        <w:rPr>
          <w:b/>
          <w:bCs/>
          <w:sz w:val="32"/>
          <w:szCs w:val="32"/>
        </w:rPr>
      </w:pPr>
      <w:r>
        <w:rPr>
          <w:b/>
          <w:bCs/>
          <w:sz w:val="32"/>
          <w:szCs w:val="32"/>
        </w:rPr>
        <w:t>Word Count: 2500</w:t>
      </w:r>
    </w:p>
    <w:p w14:paraId="1F291FA1" w14:textId="32AC8A6F" w:rsidR="00510185" w:rsidRDefault="00424E35">
      <w:pPr>
        <w:spacing w:after="200" w:line="360" w:lineRule="auto"/>
        <w:jc w:val="center"/>
        <w:rPr>
          <w:b/>
          <w:bCs/>
          <w:sz w:val="32"/>
          <w:szCs w:val="32"/>
        </w:rPr>
      </w:pPr>
      <w:r>
        <w:rPr>
          <w:b/>
          <w:bCs/>
          <w:sz w:val="32"/>
          <w:szCs w:val="32"/>
        </w:rPr>
        <w:t>Submission Date:</w:t>
      </w:r>
      <w:r w:rsidR="000D34BB">
        <w:rPr>
          <w:b/>
          <w:bCs/>
          <w:sz w:val="32"/>
          <w:szCs w:val="32"/>
        </w:rPr>
        <w:t xml:space="preserve"> 14 August,2026</w:t>
      </w:r>
    </w:p>
    <w:p w14:paraId="07AF177E" w14:textId="77777777" w:rsidR="00510185" w:rsidRDefault="00424E35">
      <w:pPr>
        <w:spacing w:line="360" w:lineRule="auto"/>
        <w:jc w:val="both"/>
        <w:rPr>
          <w:sz w:val="24"/>
          <w:szCs w:val="24"/>
        </w:rPr>
      </w:pPr>
      <w:r>
        <w:br w:type="page"/>
      </w:r>
    </w:p>
    <w:p w14:paraId="6324F27F" w14:textId="77777777" w:rsidR="00510185" w:rsidRDefault="00424E35">
      <w:pPr>
        <w:spacing w:after="200" w:line="360" w:lineRule="auto"/>
        <w:jc w:val="center"/>
        <w:rPr>
          <w:b/>
          <w:bCs/>
          <w:sz w:val="24"/>
          <w:szCs w:val="24"/>
        </w:rPr>
      </w:pPr>
      <w:r>
        <w:rPr>
          <w:b/>
          <w:bCs/>
          <w:sz w:val="24"/>
          <w:szCs w:val="24"/>
        </w:rPr>
        <w:lastRenderedPageBreak/>
        <w:t xml:space="preserve">Table of Contents </w:t>
      </w:r>
    </w:p>
    <w:sdt>
      <w:sdtPr>
        <w:id w:val="-859169313"/>
        <w:docPartObj>
          <w:docPartGallery w:val="Table of Contents"/>
          <w:docPartUnique/>
        </w:docPartObj>
      </w:sdtPr>
      <w:sdtEndPr/>
      <w:sdtContent>
        <w:p w14:paraId="1B77D50B" w14:textId="77777777" w:rsidR="00510185" w:rsidRDefault="00424E35">
          <w:pPr>
            <w:widowControl w:val="0"/>
            <w:tabs>
              <w:tab w:val="right" w:pos="9360"/>
            </w:tabs>
            <w:spacing w:before="60" w:line="360" w:lineRule="auto"/>
            <w:jc w:val="both"/>
            <w:rPr>
              <w:color w:val="000000"/>
              <w:sz w:val="24"/>
              <w:szCs w:val="24"/>
            </w:rPr>
          </w:pPr>
          <w:r>
            <w:fldChar w:fldCharType="begin"/>
          </w:r>
          <w:r>
            <w:instrText xml:space="preserve"> TOC \h \u \z \t "Heading 1,1,Heading 2,2,Heading 3,3,Heading 4,4,Heading 5,5,Heading 6,6,"</w:instrText>
          </w:r>
          <w:r>
            <w:fldChar w:fldCharType="separate"/>
          </w:r>
          <w:hyperlink w:anchor="_1xg0q63f4ssi">
            <w:r>
              <w:rPr>
                <w:color w:val="000000"/>
                <w:sz w:val="24"/>
                <w:szCs w:val="24"/>
              </w:rPr>
              <w:t>Element 1: Sustainable Brand Extension Poster- Content Overview</w:t>
            </w:r>
            <w:r>
              <w:rPr>
                <w:color w:val="000000"/>
                <w:sz w:val="24"/>
                <w:szCs w:val="24"/>
              </w:rPr>
              <w:tab/>
            </w:r>
          </w:hyperlink>
          <w:r>
            <w:fldChar w:fldCharType="begin"/>
          </w:r>
          <w:r>
            <w:instrText xml:space="preserve"> PAGEREF _1xg0q63f4ssi \h </w:instrText>
          </w:r>
          <w:r>
            <w:fldChar w:fldCharType="separate"/>
          </w:r>
          <w:r>
            <w:rPr>
              <w:sz w:val="24"/>
              <w:szCs w:val="24"/>
            </w:rPr>
            <w:t>3</w:t>
          </w:r>
          <w:r>
            <w:fldChar w:fldCharType="end"/>
          </w:r>
        </w:p>
        <w:p w14:paraId="5F34D7D8" w14:textId="77777777" w:rsidR="00510185" w:rsidRDefault="00424E35">
          <w:pPr>
            <w:widowControl w:val="0"/>
            <w:tabs>
              <w:tab w:val="right" w:pos="9360"/>
            </w:tabs>
            <w:spacing w:before="60" w:line="360" w:lineRule="auto"/>
            <w:jc w:val="both"/>
            <w:rPr>
              <w:color w:val="000000"/>
              <w:sz w:val="24"/>
              <w:szCs w:val="24"/>
            </w:rPr>
          </w:pPr>
          <w:hyperlink w:anchor="_d4k7y55lxkqx">
            <w:r>
              <w:rPr>
                <w:color w:val="000000"/>
                <w:sz w:val="24"/>
                <w:szCs w:val="24"/>
              </w:rPr>
              <w:t>Element 2: Segmentation, Targeting, Differentiation and Positioning (STDP)</w:t>
            </w:r>
            <w:r>
              <w:rPr>
                <w:color w:val="000000"/>
                <w:sz w:val="24"/>
                <w:szCs w:val="24"/>
              </w:rPr>
              <w:tab/>
            </w:r>
          </w:hyperlink>
          <w:r>
            <w:fldChar w:fldCharType="begin"/>
          </w:r>
          <w:r>
            <w:instrText xml:space="preserve"> PAGEREF _d4k7y55lxkqx \h </w:instrText>
          </w:r>
          <w:r>
            <w:fldChar w:fldCharType="separate"/>
          </w:r>
          <w:r>
            <w:rPr>
              <w:sz w:val="24"/>
              <w:szCs w:val="24"/>
            </w:rPr>
            <w:t>5</w:t>
          </w:r>
          <w:r>
            <w:fldChar w:fldCharType="end"/>
          </w:r>
        </w:p>
        <w:p w14:paraId="094952F0" w14:textId="77777777" w:rsidR="00510185" w:rsidRDefault="00424E35">
          <w:pPr>
            <w:widowControl w:val="0"/>
            <w:tabs>
              <w:tab w:val="right" w:pos="9360"/>
            </w:tabs>
            <w:spacing w:before="60" w:line="360" w:lineRule="auto"/>
            <w:ind w:left="360"/>
            <w:jc w:val="both"/>
            <w:rPr>
              <w:color w:val="000000"/>
              <w:sz w:val="24"/>
              <w:szCs w:val="24"/>
            </w:rPr>
          </w:pPr>
          <w:hyperlink w:anchor="_dtjj7kpxo6wv">
            <w:r>
              <w:rPr>
                <w:color w:val="000000"/>
                <w:sz w:val="24"/>
                <w:szCs w:val="24"/>
              </w:rPr>
              <w:t>Segmentation</w:t>
            </w:r>
            <w:r>
              <w:rPr>
                <w:color w:val="000000"/>
                <w:sz w:val="24"/>
                <w:szCs w:val="24"/>
              </w:rPr>
              <w:tab/>
            </w:r>
          </w:hyperlink>
          <w:r>
            <w:fldChar w:fldCharType="begin"/>
          </w:r>
          <w:r>
            <w:instrText xml:space="preserve"> PAGEREF _dtjj7kpxo6wv \h </w:instrText>
          </w:r>
          <w:r>
            <w:fldChar w:fldCharType="separate"/>
          </w:r>
          <w:r>
            <w:rPr>
              <w:sz w:val="24"/>
              <w:szCs w:val="24"/>
            </w:rPr>
            <w:t>5</w:t>
          </w:r>
          <w:r>
            <w:fldChar w:fldCharType="end"/>
          </w:r>
        </w:p>
        <w:p w14:paraId="5CFF7004" w14:textId="77777777" w:rsidR="00510185" w:rsidRDefault="00424E35">
          <w:pPr>
            <w:widowControl w:val="0"/>
            <w:tabs>
              <w:tab w:val="right" w:pos="9360"/>
            </w:tabs>
            <w:spacing w:before="60" w:line="360" w:lineRule="auto"/>
            <w:ind w:left="360"/>
            <w:jc w:val="both"/>
            <w:rPr>
              <w:color w:val="000000"/>
              <w:sz w:val="24"/>
              <w:szCs w:val="24"/>
            </w:rPr>
          </w:pPr>
          <w:hyperlink w:anchor="_noq46hynva6g">
            <w:r>
              <w:rPr>
                <w:color w:val="000000"/>
                <w:sz w:val="24"/>
                <w:szCs w:val="24"/>
              </w:rPr>
              <w:t>Targeting</w:t>
            </w:r>
            <w:r>
              <w:rPr>
                <w:color w:val="000000"/>
                <w:sz w:val="24"/>
                <w:szCs w:val="24"/>
              </w:rPr>
              <w:tab/>
            </w:r>
          </w:hyperlink>
          <w:r>
            <w:fldChar w:fldCharType="begin"/>
          </w:r>
          <w:r>
            <w:instrText xml:space="preserve"> PAGEREF _noq46hynva6g \h </w:instrText>
          </w:r>
          <w:r>
            <w:fldChar w:fldCharType="separate"/>
          </w:r>
          <w:r>
            <w:rPr>
              <w:sz w:val="24"/>
              <w:szCs w:val="24"/>
            </w:rPr>
            <w:t>7</w:t>
          </w:r>
          <w:r>
            <w:fldChar w:fldCharType="end"/>
          </w:r>
        </w:p>
        <w:p w14:paraId="4E793773" w14:textId="77777777" w:rsidR="00510185" w:rsidRDefault="00424E35">
          <w:pPr>
            <w:widowControl w:val="0"/>
            <w:tabs>
              <w:tab w:val="right" w:pos="9360"/>
            </w:tabs>
            <w:spacing w:before="60" w:line="360" w:lineRule="auto"/>
            <w:ind w:left="360"/>
            <w:jc w:val="both"/>
            <w:rPr>
              <w:color w:val="000000"/>
              <w:sz w:val="24"/>
              <w:szCs w:val="24"/>
            </w:rPr>
          </w:pPr>
          <w:hyperlink w:anchor="_vnnu57bxy7d9">
            <w:r>
              <w:rPr>
                <w:color w:val="000000"/>
                <w:sz w:val="24"/>
                <w:szCs w:val="24"/>
              </w:rPr>
              <w:t>Differentiation</w:t>
            </w:r>
            <w:r>
              <w:rPr>
                <w:color w:val="000000"/>
                <w:sz w:val="24"/>
                <w:szCs w:val="24"/>
              </w:rPr>
              <w:tab/>
            </w:r>
          </w:hyperlink>
          <w:r>
            <w:fldChar w:fldCharType="begin"/>
          </w:r>
          <w:r>
            <w:instrText xml:space="preserve"> PAGEREF _vnnu57bxy7d9 \h </w:instrText>
          </w:r>
          <w:r>
            <w:fldChar w:fldCharType="separate"/>
          </w:r>
          <w:r>
            <w:rPr>
              <w:sz w:val="24"/>
              <w:szCs w:val="24"/>
            </w:rPr>
            <w:t>8</w:t>
          </w:r>
          <w:r>
            <w:fldChar w:fldCharType="end"/>
          </w:r>
        </w:p>
        <w:p w14:paraId="1B510322" w14:textId="77777777" w:rsidR="00510185" w:rsidRDefault="00424E35">
          <w:pPr>
            <w:widowControl w:val="0"/>
            <w:tabs>
              <w:tab w:val="right" w:pos="9360"/>
            </w:tabs>
            <w:spacing w:before="60" w:line="360" w:lineRule="auto"/>
            <w:ind w:left="360"/>
            <w:jc w:val="both"/>
            <w:rPr>
              <w:color w:val="000000"/>
              <w:sz w:val="24"/>
              <w:szCs w:val="24"/>
            </w:rPr>
          </w:pPr>
          <w:hyperlink w:anchor="_lgzh8duq1jea">
            <w:r>
              <w:rPr>
                <w:color w:val="000000"/>
                <w:sz w:val="24"/>
                <w:szCs w:val="24"/>
              </w:rPr>
              <w:t>Positioning</w:t>
            </w:r>
            <w:r>
              <w:rPr>
                <w:color w:val="000000"/>
                <w:sz w:val="24"/>
                <w:szCs w:val="24"/>
              </w:rPr>
              <w:tab/>
            </w:r>
          </w:hyperlink>
          <w:r>
            <w:fldChar w:fldCharType="begin"/>
          </w:r>
          <w:r>
            <w:instrText xml:space="preserve"> PAGEREF _lgzh8duq1jea \h </w:instrText>
          </w:r>
          <w:r>
            <w:fldChar w:fldCharType="separate"/>
          </w:r>
          <w:r>
            <w:rPr>
              <w:sz w:val="24"/>
              <w:szCs w:val="24"/>
            </w:rPr>
            <w:t>8</w:t>
          </w:r>
          <w:r>
            <w:fldChar w:fldCharType="end"/>
          </w:r>
        </w:p>
        <w:p w14:paraId="0DF1E65A" w14:textId="77777777" w:rsidR="00510185" w:rsidRDefault="00424E35">
          <w:pPr>
            <w:widowControl w:val="0"/>
            <w:tabs>
              <w:tab w:val="right" w:pos="9360"/>
            </w:tabs>
            <w:spacing w:before="60" w:line="360" w:lineRule="auto"/>
            <w:jc w:val="both"/>
            <w:rPr>
              <w:color w:val="000000"/>
              <w:sz w:val="24"/>
              <w:szCs w:val="24"/>
            </w:rPr>
          </w:pPr>
          <w:hyperlink w:anchor="_hjnpcj15cftf">
            <w:r>
              <w:rPr>
                <w:color w:val="000000"/>
                <w:sz w:val="24"/>
                <w:szCs w:val="24"/>
              </w:rPr>
              <w:t>Element 3: Marketing Mix (7Ps)</w:t>
            </w:r>
            <w:r>
              <w:rPr>
                <w:color w:val="000000"/>
                <w:sz w:val="24"/>
                <w:szCs w:val="24"/>
              </w:rPr>
              <w:tab/>
            </w:r>
          </w:hyperlink>
          <w:r>
            <w:fldChar w:fldCharType="begin"/>
          </w:r>
          <w:r>
            <w:instrText xml:space="preserve"> PAGEREF _hjnpcj15cftf \h </w:instrText>
          </w:r>
          <w:r>
            <w:fldChar w:fldCharType="separate"/>
          </w:r>
          <w:r>
            <w:rPr>
              <w:sz w:val="24"/>
              <w:szCs w:val="24"/>
            </w:rPr>
            <w:t>9</w:t>
          </w:r>
          <w:r>
            <w:fldChar w:fldCharType="end"/>
          </w:r>
        </w:p>
        <w:p w14:paraId="141ECA9D" w14:textId="77777777" w:rsidR="00510185" w:rsidRDefault="00424E35">
          <w:pPr>
            <w:widowControl w:val="0"/>
            <w:tabs>
              <w:tab w:val="right" w:pos="9360"/>
            </w:tabs>
            <w:spacing w:before="60" w:line="360" w:lineRule="auto"/>
            <w:ind w:left="360"/>
            <w:jc w:val="both"/>
            <w:rPr>
              <w:color w:val="000000"/>
              <w:sz w:val="24"/>
              <w:szCs w:val="24"/>
            </w:rPr>
          </w:pPr>
          <w:hyperlink w:anchor="_ncrvx8ouuy2i">
            <w:r>
              <w:rPr>
                <w:color w:val="000000"/>
                <w:sz w:val="24"/>
                <w:szCs w:val="24"/>
              </w:rPr>
              <w:t>Product</w:t>
            </w:r>
            <w:r>
              <w:rPr>
                <w:color w:val="000000"/>
                <w:sz w:val="24"/>
                <w:szCs w:val="24"/>
              </w:rPr>
              <w:tab/>
            </w:r>
          </w:hyperlink>
          <w:r>
            <w:fldChar w:fldCharType="begin"/>
          </w:r>
          <w:r>
            <w:instrText xml:space="preserve"> PAGEREF _ncrvx8ouuy2i \h </w:instrText>
          </w:r>
          <w:r>
            <w:fldChar w:fldCharType="separate"/>
          </w:r>
          <w:r>
            <w:rPr>
              <w:sz w:val="24"/>
              <w:szCs w:val="24"/>
            </w:rPr>
            <w:t>10</w:t>
          </w:r>
          <w:r>
            <w:fldChar w:fldCharType="end"/>
          </w:r>
        </w:p>
        <w:p w14:paraId="7C4F9A2F" w14:textId="77777777" w:rsidR="00510185" w:rsidRDefault="00424E35">
          <w:pPr>
            <w:widowControl w:val="0"/>
            <w:tabs>
              <w:tab w:val="right" w:pos="9360"/>
            </w:tabs>
            <w:spacing w:before="60" w:line="360" w:lineRule="auto"/>
            <w:ind w:left="360"/>
            <w:jc w:val="both"/>
            <w:rPr>
              <w:color w:val="000000"/>
              <w:sz w:val="24"/>
              <w:szCs w:val="24"/>
            </w:rPr>
          </w:pPr>
          <w:hyperlink w:anchor="_72ebuati5jw4">
            <w:r>
              <w:rPr>
                <w:color w:val="000000"/>
                <w:sz w:val="24"/>
                <w:szCs w:val="24"/>
              </w:rPr>
              <w:t>Price</w:t>
            </w:r>
            <w:r>
              <w:rPr>
                <w:color w:val="000000"/>
                <w:sz w:val="24"/>
                <w:szCs w:val="24"/>
              </w:rPr>
              <w:tab/>
            </w:r>
          </w:hyperlink>
          <w:r>
            <w:fldChar w:fldCharType="begin"/>
          </w:r>
          <w:r>
            <w:instrText xml:space="preserve"> PAGEREF _72ebuati5jw4 \h </w:instrText>
          </w:r>
          <w:r>
            <w:fldChar w:fldCharType="separate"/>
          </w:r>
          <w:r>
            <w:rPr>
              <w:sz w:val="24"/>
              <w:szCs w:val="24"/>
            </w:rPr>
            <w:t>11</w:t>
          </w:r>
          <w:r>
            <w:fldChar w:fldCharType="end"/>
          </w:r>
        </w:p>
        <w:p w14:paraId="14DB0346" w14:textId="77777777" w:rsidR="00510185" w:rsidRDefault="00424E35">
          <w:pPr>
            <w:widowControl w:val="0"/>
            <w:tabs>
              <w:tab w:val="right" w:pos="9360"/>
            </w:tabs>
            <w:spacing w:before="60" w:line="360" w:lineRule="auto"/>
            <w:ind w:left="360"/>
            <w:jc w:val="both"/>
            <w:rPr>
              <w:color w:val="000000"/>
              <w:sz w:val="24"/>
              <w:szCs w:val="24"/>
            </w:rPr>
          </w:pPr>
          <w:hyperlink w:anchor="_yp366jvd99gh">
            <w:r>
              <w:rPr>
                <w:color w:val="000000"/>
                <w:sz w:val="24"/>
                <w:szCs w:val="24"/>
              </w:rPr>
              <w:t>Place</w:t>
            </w:r>
            <w:r>
              <w:rPr>
                <w:color w:val="000000"/>
                <w:sz w:val="24"/>
                <w:szCs w:val="24"/>
              </w:rPr>
              <w:tab/>
            </w:r>
          </w:hyperlink>
          <w:r>
            <w:fldChar w:fldCharType="begin"/>
          </w:r>
          <w:r>
            <w:instrText xml:space="preserve"> PAGEREF _yp366jvd99gh \h </w:instrText>
          </w:r>
          <w:r>
            <w:fldChar w:fldCharType="separate"/>
          </w:r>
          <w:r>
            <w:rPr>
              <w:sz w:val="24"/>
              <w:szCs w:val="24"/>
            </w:rPr>
            <w:t>12</w:t>
          </w:r>
          <w:r>
            <w:fldChar w:fldCharType="end"/>
          </w:r>
        </w:p>
        <w:p w14:paraId="31195432" w14:textId="77777777" w:rsidR="00510185" w:rsidRDefault="00424E35">
          <w:pPr>
            <w:widowControl w:val="0"/>
            <w:tabs>
              <w:tab w:val="right" w:pos="9360"/>
            </w:tabs>
            <w:spacing w:before="60" w:line="360" w:lineRule="auto"/>
            <w:ind w:left="360"/>
            <w:jc w:val="both"/>
            <w:rPr>
              <w:color w:val="000000"/>
              <w:sz w:val="24"/>
              <w:szCs w:val="24"/>
            </w:rPr>
          </w:pPr>
          <w:hyperlink w:anchor="_auxt51u88y4x">
            <w:r>
              <w:rPr>
                <w:color w:val="000000"/>
                <w:sz w:val="24"/>
                <w:szCs w:val="24"/>
              </w:rPr>
              <w:t>Promotion</w:t>
            </w:r>
            <w:r>
              <w:rPr>
                <w:color w:val="000000"/>
                <w:sz w:val="24"/>
                <w:szCs w:val="24"/>
              </w:rPr>
              <w:tab/>
            </w:r>
          </w:hyperlink>
          <w:r>
            <w:fldChar w:fldCharType="begin"/>
          </w:r>
          <w:r>
            <w:instrText xml:space="preserve"> PAGEREF _auxt51u88y4x \h </w:instrText>
          </w:r>
          <w:r>
            <w:fldChar w:fldCharType="separate"/>
          </w:r>
          <w:r>
            <w:rPr>
              <w:sz w:val="24"/>
              <w:szCs w:val="24"/>
            </w:rPr>
            <w:t>12</w:t>
          </w:r>
          <w:r>
            <w:fldChar w:fldCharType="end"/>
          </w:r>
        </w:p>
        <w:p w14:paraId="33BFCBBF" w14:textId="77777777" w:rsidR="00510185" w:rsidRDefault="00424E35">
          <w:pPr>
            <w:widowControl w:val="0"/>
            <w:tabs>
              <w:tab w:val="right" w:pos="9360"/>
            </w:tabs>
            <w:spacing w:before="60" w:line="360" w:lineRule="auto"/>
            <w:ind w:left="360"/>
            <w:jc w:val="both"/>
            <w:rPr>
              <w:color w:val="000000"/>
              <w:sz w:val="24"/>
              <w:szCs w:val="24"/>
            </w:rPr>
          </w:pPr>
          <w:hyperlink w:anchor="_83q1gmh937k7">
            <w:r>
              <w:rPr>
                <w:color w:val="000000"/>
                <w:sz w:val="24"/>
                <w:szCs w:val="24"/>
              </w:rPr>
              <w:t>People</w:t>
            </w:r>
            <w:r>
              <w:rPr>
                <w:color w:val="000000"/>
                <w:sz w:val="24"/>
                <w:szCs w:val="24"/>
              </w:rPr>
              <w:tab/>
            </w:r>
          </w:hyperlink>
          <w:r>
            <w:fldChar w:fldCharType="begin"/>
          </w:r>
          <w:r>
            <w:instrText xml:space="preserve"> PAGEREF _83q1gmh937k7 \h </w:instrText>
          </w:r>
          <w:r>
            <w:fldChar w:fldCharType="separate"/>
          </w:r>
          <w:r>
            <w:rPr>
              <w:sz w:val="24"/>
              <w:szCs w:val="24"/>
            </w:rPr>
            <w:t>12</w:t>
          </w:r>
          <w:r>
            <w:fldChar w:fldCharType="end"/>
          </w:r>
        </w:p>
        <w:p w14:paraId="5FF82019" w14:textId="77777777" w:rsidR="00510185" w:rsidRDefault="00424E35">
          <w:pPr>
            <w:widowControl w:val="0"/>
            <w:tabs>
              <w:tab w:val="right" w:pos="9360"/>
            </w:tabs>
            <w:spacing w:before="60" w:line="360" w:lineRule="auto"/>
            <w:ind w:left="360"/>
            <w:jc w:val="both"/>
            <w:rPr>
              <w:color w:val="000000"/>
              <w:sz w:val="24"/>
              <w:szCs w:val="24"/>
            </w:rPr>
          </w:pPr>
          <w:hyperlink w:anchor="_qaa4ohz9gwae">
            <w:r>
              <w:rPr>
                <w:color w:val="000000"/>
                <w:sz w:val="24"/>
                <w:szCs w:val="24"/>
              </w:rPr>
              <w:t>Process</w:t>
            </w:r>
            <w:r>
              <w:rPr>
                <w:color w:val="000000"/>
                <w:sz w:val="24"/>
                <w:szCs w:val="24"/>
              </w:rPr>
              <w:tab/>
            </w:r>
          </w:hyperlink>
          <w:r>
            <w:fldChar w:fldCharType="begin"/>
          </w:r>
          <w:r>
            <w:instrText xml:space="preserve"> PAGEREF _qaa4ohz9gwae \h </w:instrText>
          </w:r>
          <w:r>
            <w:fldChar w:fldCharType="separate"/>
          </w:r>
          <w:r>
            <w:rPr>
              <w:sz w:val="24"/>
              <w:szCs w:val="24"/>
            </w:rPr>
            <w:t>12</w:t>
          </w:r>
          <w:r>
            <w:fldChar w:fldCharType="end"/>
          </w:r>
        </w:p>
        <w:p w14:paraId="4CF44462" w14:textId="77777777" w:rsidR="00510185" w:rsidRDefault="00424E35">
          <w:pPr>
            <w:widowControl w:val="0"/>
            <w:tabs>
              <w:tab w:val="right" w:pos="9360"/>
            </w:tabs>
            <w:spacing w:before="60" w:line="360" w:lineRule="auto"/>
            <w:ind w:left="360"/>
            <w:jc w:val="both"/>
            <w:rPr>
              <w:color w:val="000000"/>
              <w:sz w:val="24"/>
              <w:szCs w:val="24"/>
            </w:rPr>
          </w:pPr>
          <w:hyperlink w:anchor="_nlrx6lufu9k5">
            <w:r>
              <w:rPr>
                <w:color w:val="000000"/>
                <w:sz w:val="24"/>
                <w:szCs w:val="24"/>
              </w:rPr>
              <w:t>Physical Evidence</w:t>
            </w:r>
            <w:r>
              <w:rPr>
                <w:color w:val="000000"/>
                <w:sz w:val="24"/>
                <w:szCs w:val="24"/>
              </w:rPr>
              <w:tab/>
            </w:r>
          </w:hyperlink>
          <w:r>
            <w:fldChar w:fldCharType="begin"/>
          </w:r>
          <w:r>
            <w:instrText xml:space="preserve"> PAGEREF _nlrx6lufu9k5 \h </w:instrText>
          </w:r>
          <w:r>
            <w:fldChar w:fldCharType="separate"/>
          </w:r>
          <w:r>
            <w:rPr>
              <w:sz w:val="24"/>
              <w:szCs w:val="24"/>
            </w:rPr>
            <w:t>13</w:t>
          </w:r>
          <w:r>
            <w:fldChar w:fldCharType="end"/>
          </w:r>
        </w:p>
        <w:p w14:paraId="51F0539E" w14:textId="77777777" w:rsidR="00510185" w:rsidRDefault="00424E35">
          <w:pPr>
            <w:widowControl w:val="0"/>
            <w:tabs>
              <w:tab w:val="right" w:pos="9360"/>
            </w:tabs>
            <w:spacing w:before="60" w:line="360" w:lineRule="auto"/>
            <w:jc w:val="both"/>
            <w:rPr>
              <w:color w:val="000000"/>
              <w:sz w:val="24"/>
              <w:szCs w:val="24"/>
            </w:rPr>
          </w:pPr>
          <w:hyperlink w:anchor="_xk5c2ksfa4eg">
            <w:r>
              <w:rPr>
                <w:color w:val="000000"/>
                <w:sz w:val="24"/>
                <w:szCs w:val="24"/>
              </w:rPr>
              <w:t>Element 4: Reflection</w:t>
            </w:r>
            <w:r>
              <w:rPr>
                <w:color w:val="000000"/>
                <w:sz w:val="24"/>
                <w:szCs w:val="24"/>
              </w:rPr>
              <w:tab/>
            </w:r>
          </w:hyperlink>
          <w:r>
            <w:fldChar w:fldCharType="begin"/>
          </w:r>
          <w:r>
            <w:instrText xml:space="preserve"> PAGEREF _xk5c2ksfa4eg \h </w:instrText>
          </w:r>
          <w:r>
            <w:fldChar w:fldCharType="separate"/>
          </w:r>
          <w:r>
            <w:rPr>
              <w:sz w:val="24"/>
              <w:szCs w:val="24"/>
            </w:rPr>
            <w:t>13</w:t>
          </w:r>
          <w:r>
            <w:fldChar w:fldCharType="end"/>
          </w:r>
        </w:p>
        <w:p w14:paraId="0BC4C372" w14:textId="77777777" w:rsidR="00510185" w:rsidRDefault="00424E35">
          <w:pPr>
            <w:widowControl w:val="0"/>
            <w:tabs>
              <w:tab w:val="right" w:pos="9360"/>
            </w:tabs>
            <w:spacing w:before="60" w:line="360" w:lineRule="auto"/>
            <w:jc w:val="both"/>
            <w:rPr>
              <w:color w:val="000000"/>
              <w:sz w:val="24"/>
              <w:szCs w:val="24"/>
            </w:rPr>
          </w:pPr>
          <w:hyperlink w:anchor="_qufat02ak3a3">
            <w:r>
              <w:rPr>
                <w:color w:val="000000"/>
                <w:sz w:val="24"/>
                <w:szCs w:val="24"/>
              </w:rPr>
              <w:t>References</w:t>
            </w:r>
            <w:r>
              <w:rPr>
                <w:color w:val="000000"/>
                <w:sz w:val="24"/>
                <w:szCs w:val="24"/>
              </w:rPr>
              <w:tab/>
            </w:r>
          </w:hyperlink>
          <w:r>
            <w:fldChar w:fldCharType="begin"/>
          </w:r>
          <w:r>
            <w:instrText xml:space="preserve"> PAGEREF _qufat02ak3a3 \h </w:instrText>
          </w:r>
          <w:r>
            <w:fldChar w:fldCharType="separate"/>
          </w:r>
          <w:r>
            <w:rPr>
              <w:sz w:val="24"/>
              <w:szCs w:val="24"/>
            </w:rPr>
            <w:t>15</w:t>
          </w:r>
          <w:r>
            <w:fldChar w:fldCharType="end"/>
          </w:r>
          <w:r>
            <w:fldChar w:fldCharType="end"/>
          </w:r>
        </w:p>
      </w:sdtContent>
    </w:sdt>
    <w:p w14:paraId="168AA73C" w14:textId="77777777" w:rsidR="00510185" w:rsidRDefault="00424E35">
      <w:pPr>
        <w:spacing w:line="360" w:lineRule="auto"/>
        <w:jc w:val="both"/>
        <w:rPr>
          <w:sz w:val="24"/>
          <w:szCs w:val="24"/>
        </w:rPr>
      </w:pPr>
      <w:r>
        <w:br w:type="page"/>
      </w:r>
    </w:p>
    <w:p w14:paraId="603E72D3" w14:textId="77777777" w:rsidR="00510185" w:rsidRDefault="00424E35">
      <w:pPr>
        <w:pStyle w:val="Heading1"/>
        <w:rPr>
          <w:rFonts w:ascii="Arial" w:eastAsia="Arial" w:hAnsi="Arial" w:cs="Arial"/>
        </w:rPr>
      </w:pPr>
      <w:bookmarkStart w:id="0" w:name="_1xg0q63f4ssi" w:colFirst="0" w:colLast="0"/>
      <w:bookmarkEnd w:id="0"/>
      <w:r>
        <w:rPr>
          <w:rFonts w:ascii="Arial" w:eastAsia="Arial" w:hAnsi="Arial" w:cs="Arial"/>
        </w:rPr>
        <w:lastRenderedPageBreak/>
        <w:t>Element 1: Sustainable Brand Extension Poster- Content Overview</w:t>
      </w:r>
    </w:p>
    <w:p w14:paraId="56C7F42C" w14:textId="77777777" w:rsidR="00510185" w:rsidRDefault="00424E35">
      <w:pPr>
        <w:spacing w:line="360" w:lineRule="auto"/>
        <w:jc w:val="center"/>
        <w:rPr>
          <w:sz w:val="24"/>
          <w:szCs w:val="24"/>
        </w:rPr>
      </w:pPr>
      <w:r>
        <w:rPr>
          <w:noProof/>
          <w:sz w:val="24"/>
          <w:szCs w:val="24"/>
          <w:lang w:val="en-IN"/>
        </w:rPr>
        <w:lastRenderedPageBreak/>
        <w:drawing>
          <wp:inline distT="114300" distB="114300" distL="114300" distR="114300" wp14:anchorId="4334DC85" wp14:editId="5DFCBBCC">
            <wp:extent cx="5943600" cy="84074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943600" cy="8407400"/>
                    </a:xfrm>
                    <a:prstGeom prst="rect">
                      <a:avLst/>
                    </a:prstGeom>
                    <a:ln/>
                  </pic:spPr>
                </pic:pic>
              </a:graphicData>
            </a:graphic>
          </wp:inline>
        </w:drawing>
      </w:r>
    </w:p>
    <w:p w14:paraId="4FEF2EEC" w14:textId="77777777" w:rsidR="00510185" w:rsidRDefault="00424E35">
      <w:pPr>
        <w:spacing w:line="360" w:lineRule="auto"/>
        <w:jc w:val="center"/>
        <w:rPr>
          <w:b/>
          <w:bCs/>
          <w:sz w:val="24"/>
          <w:szCs w:val="24"/>
        </w:rPr>
      </w:pPr>
      <w:r>
        <w:rPr>
          <w:b/>
          <w:bCs/>
          <w:sz w:val="24"/>
          <w:szCs w:val="24"/>
        </w:rPr>
        <w:lastRenderedPageBreak/>
        <w:t xml:space="preserve">Figure: Poster of Patagonia’s Renewed: From outdoor apparel to activist circular approach </w:t>
      </w:r>
    </w:p>
    <w:p w14:paraId="25E80600" w14:textId="77777777" w:rsidR="00510185" w:rsidRDefault="00424E35">
      <w:pPr>
        <w:spacing w:line="360" w:lineRule="auto"/>
        <w:jc w:val="center"/>
        <w:rPr>
          <w:sz w:val="24"/>
          <w:szCs w:val="24"/>
        </w:rPr>
      </w:pPr>
      <w:r>
        <w:rPr>
          <w:sz w:val="24"/>
          <w:szCs w:val="24"/>
        </w:rPr>
        <w:t>Source: (Self-Developed)</w:t>
      </w:r>
    </w:p>
    <w:p w14:paraId="513B07EA" w14:textId="77777777" w:rsidR="00510185" w:rsidRDefault="00424E35">
      <w:pPr>
        <w:pStyle w:val="Heading1"/>
        <w:rPr>
          <w:rFonts w:ascii="Arial" w:eastAsia="Arial" w:hAnsi="Arial" w:cs="Arial"/>
        </w:rPr>
      </w:pPr>
      <w:bookmarkStart w:id="1" w:name="_d4k7y55lxkqx" w:colFirst="0" w:colLast="0"/>
      <w:bookmarkEnd w:id="1"/>
      <w:r>
        <w:rPr>
          <w:rFonts w:ascii="Arial" w:eastAsia="Arial" w:hAnsi="Arial" w:cs="Arial"/>
        </w:rPr>
        <w:t>Element 2: Segmentation, Targeting, Differentiation and Positioning (STDP)</w:t>
      </w:r>
    </w:p>
    <w:p w14:paraId="60AB74A5" w14:textId="77777777" w:rsidR="00510185" w:rsidRDefault="00424E35">
      <w:pPr>
        <w:pStyle w:val="Heading2"/>
        <w:keepNext w:val="0"/>
        <w:keepLines w:val="0"/>
        <w:spacing w:before="300" w:after="160" w:line="360" w:lineRule="auto"/>
        <w:jc w:val="both"/>
        <w:rPr>
          <w:rFonts w:ascii="Arial" w:eastAsia="Arial" w:hAnsi="Arial" w:cs="Arial"/>
        </w:rPr>
      </w:pPr>
      <w:bookmarkStart w:id="2" w:name="_yjini4khu6tg" w:colFirst="0" w:colLast="0"/>
      <w:bookmarkEnd w:id="2"/>
      <w:r>
        <w:rPr>
          <w:rFonts w:ascii="Arial" w:eastAsia="Arial" w:hAnsi="Arial" w:cs="Arial"/>
          <w:noProof/>
          <w:lang w:val="en-IN"/>
        </w:rPr>
        <w:drawing>
          <wp:inline distT="114300" distB="114300" distL="114300" distR="114300" wp14:anchorId="43BD6703" wp14:editId="5425B920">
            <wp:extent cx="5943600" cy="39624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3962400"/>
                    </a:xfrm>
                    <a:prstGeom prst="rect">
                      <a:avLst/>
                    </a:prstGeom>
                    <a:ln/>
                  </pic:spPr>
                </pic:pic>
              </a:graphicData>
            </a:graphic>
          </wp:inline>
        </w:drawing>
      </w:r>
    </w:p>
    <w:p w14:paraId="2CA6D993" w14:textId="77777777" w:rsidR="00510185" w:rsidRDefault="00424E35">
      <w:pPr>
        <w:spacing w:line="360" w:lineRule="auto"/>
        <w:jc w:val="center"/>
        <w:rPr>
          <w:b/>
          <w:bCs/>
          <w:sz w:val="24"/>
          <w:szCs w:val="24"/>
        </w:rPr>
      </w:pPr>
      <w:r>
        <w:rPr>
          <w:b/>
          <w:bCs/>
          <w:sz w:val="24"/>
          <w:szCs w:val="24"/>
        </w:rPr>
        <w:t xml:space="preserve">Figure: The STDP Framework </w:t>
      </w:r>
    </w:p>
    <w:p w14:paraId="17F5AB01" w14:textId="77777777" w:rsidR="00510185" w:rsidRDefault="00424E35">
      <w:pPr>
        <w:spacing w:line="360" w:lineRule="auto"/>
        <w:jc w:val="center"/>
        <w:rPr>
          <w:sz w:val="24"/>
          <w:szCs w:val="24"/>
        </w:rPr>
      </w:pPr>
      <w:r>
        <w:rPr>
          <w:sz w:val="24"/>
          <w:szCs w:val="24"/>
        </w:rPr>
        <w:t xml:space="preserve">Source: (Aydin </w:t>
      </w:r>
      <w:proofErr w:type="spellStart"/>
      <w:r>
        <w:rPr>
          <w:sz w:val="24"/>
          <w:szCs w:val="24"/>
        </w:rPr>
        <w:t>ahrabi</w:t>
      </w:r>
      <w:proofErr w:type="spellEnd"/>
      <w:r>
        <w:rPr>
          <w:sz w:val="24"/>
          <w:szCs w:val="24"/>
        </w:rPr>
        <w:t>, 2026)</w:t>
      </w:r>
    </w:p>
    <w:p w14:paraId="46AE0D98" w14:textId="77777777" w:rsidR="00510185" w:rsidRDefault="00424E35">
      <w:pPr>
        <w:spacing w:line="360" w:lineRule="auto"/>
        <w:jc w:val="both"/>
        <w:rPr>
          <w:sz w:val="24"/>
          <w:szCs w:val="24"/>
        </w:rPr>
      </w:pPr>
      <w:r>
        <w:rPr>
          <w:sz w:val="24"/>
          <w:szCs w:val="24"/>
        </w:rPr>
        <w:t xml:space="preserve">The Segmentation, Targeting, Differentiation, and Positioning approach is a basic marketing concept which helps create consumer-oriented marketing programs. This model offers a step-by-step process for market analysis, audience selection, and developing competitive advantages which will be appealing to consumers (Aydin </w:t>
      </w:r>
      <w:proofErr w:type="spellStart"/>
      <w:r>
        <w:rPr>
          <w:sz w:val="24"/>
          <w:szCs w:val="24"/>
        </w:rPr>
        <w:t>ahrabi</w:t>
      </w:r>
      <w:proofErr w:type="spellEnd"/>
      <w:r>
        <w:rPr>
          <w:sz w:val="24"/>
          <w:szCs w:val="24"/>
        </w:rPr>
        <w:t>, 2026).</w:t>
      </w:r>
    </w:p>
    <w:p w14:paraId="1E4C5DF5" w14:textId="77777777" w:rsidR="00510185" w:rsidRDefault="00424E35">
      <w:pPr>
        <w:pStyle w:val="Heading2"/>
        <w:keepNext w:val="0"/>
        <w:keepLines w:val="0"/>
        <w:spacing w:before="300" w:after="160" w:line="360" w:lineRule="auto"/>
        <w:jc w:val="both"/>
        <w:rPr>
          <w:rFonts w:ascii="Arial" w:eastAsia="Arial" w:hAnsi="Arial" w:cs="Arial"/>
        </w:rPr>
      </w:pPr>
      <w:bookmarkStart w:id="3" w:name="_dtjj7kpxo6wv" w:colFirst="0" w:colLast="0"/>
      <w:bookmarkEnd w:id="3"/>
      <w:r>
        <w:rPr>
          <w:rFonts w:ascii="Arial" w:eastAsia="Arial" w:hAnsi="Arial" w:cs="Arial"/>
        </w:rPr>
        <w:t>Segmentation</w:t>
      </w:r>
    </w:p>
    <w:p w14:paraId="72BD3C65" w14:textId="77777777" w:rsidR="00510185" w:rsidRDefault="00424E35">
      <w:pPr>
        <w:spacing w:line="360" w:lineRule="auto"/>
        <w:jc w:val="center"/>
        <w:rPr>
          <w:sz w:val="24"/>
          <w:szCs w:val="24"/>
        </w:rPr>
      </w:pPr>
      <w:r>
        <w:rPr>
          <w:noProof/>
          <w:sz w:val="24"/>
          <w:szCs w:val="24"/>
          <w:lang w:val="en-IN"/>
        </w:rPr>
        <w:lastRenderedPageBreak/>
        <w:drawing>
          <wp:inline distT="114300" distB="114300" distL="114300" distR="114300" wp14:anchorId="463BF510" wp14:editId="05354AFF">
            <wp:extent cx="5943600" cy="3340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340100"/>
                    </a:xfrm>
                    <a:prstGeom prst="rect">
                      <a:avLst/>
                    </a:prstGeom>
                    <a:ln/>
                  </pic:spPr>
                </pic:pic>
              </a:graphicData>
            </a:graphic>
          </wp:inline>
        </w:drawing>
      </w:r>
    </w:p>
    <w:p w14:paraId="60C2D7F7" w14:textId="77777777" w:rsidR="00510185" w:rsidRDefault="00424E35">
      <w:pPr>
        <w:spacing w:line="360" w:lineRule="auto"/>
        <w:jc w:val="center"/>
        <w:rPr>
          <w:b/>
          <w:bCs/>
          <w:sz w:val="24"/>
          <w:szCs w:val="24"/>
        </w:rPr>
      </w:pPr>
      <w:r>
        <w:rPr>
          <w:b/>
          <w:bCs/>
          <w:sz w:val="24"/>
          <w:szCs w:val="24"/>
        </w:rPr>
        <w:t xml:space="preserve">Figure: Europe Second-hand clothing market </w:t>
      </w:r>
    </w:p>
    <w:p w14:paraId="2DE40083" w14:textId="77777777" w:rsidR="00510185" w:rsidRDefault="00424E35">
      <w:pPr>
        <w:spacing w:line="360" w:lineRule="auto"/>
        <w:jc w:val="center"/>
        <w:rPr>
          <w:sz w:val="24"/>
          <w:szCs w:val="24"/>
        </w:rPr>
      </w:pPr>
      <w:r>
        <w:rPr>
          <w:sz w:val="24"/>
          <w:szCs w:val="24"/>
        </w:rPr>
        <w:t>Source: (Market Data Forecast, 2026)</w:t>
      </w:r>
    </w:p>
    <w:p w14:paraId="1EF47D01" w14:textId="77777777" w:rsidR="00510185" w:rsidRDefault="00424E35">
      <w:pPr>
        <w:spacing w:after="200" w:line="360" w:lineRule="auto"/>
        <w:jc w:val="both"/>
        <w:rPr>
          <w:sz w:val="24"/>
          <w:szCs w:val="24"/>
        </w:rPr>
      </w:pPr>
      <w:r>
        <w:rPr>
          <w:b/>
          <w:bCs/>
          <w:i/>
          <w:iCs/>
          <w:sz w:val="24"/>
          <w:szCs w:val="24"/>
        </w:rPr>
        <w:t xml:space="preserve">Geographic: </w:t>
      </w:r>
      <w:r>
        <w:rPr>
          <w:sz w:val="24"/>
          <w:szCs w:val="24"/>
        </w:rPr>
        <w:t>The target market is primarily the United Kingdom and Western/Northern Europe, notably Germany, France, and the Nordic nations, which have high rates of outdoor recreation and fast-growing secondhand clothing markets in the industry with market growth 9.97% CAGR (Market Data Forecast, 2026). The region also has comparatively developed consumer and environmental bases and more aggressive regulatory climates concerning environmental advertisements, which is a strong positive for our brand-led reselling solution.</w:t>
      </w:r>
    </w:p>
    <w:p w14:paraId="246C59EB" w14:textId="77777777" w:rsidR="00510185" w:rsidRDefault="00424E35">
      <w:pPr>
        <w:spacing w:after="200" w:line="360" w:lineRule="auto"/>
        <w:jc w:val="both"/>
        <w:rPr>
          <w:sz w:val="24"/>
          <w:szCs w:val="24"/>
        </w:rPr>
      </w:pPr>
      <w:r>
        <w:rPr>
          <w:b/>
          <w:bCs/>
          <w:i/>
          <w:iCs/>
          <w:sz w:val="24"/>
          <w:szCs w:val="24"/>
        </w:rPr>
        <w:t>Demographic:</w:t>
      </w:r>
      <w:r>
        <w:rPr>
          <w:sz w:val="24"/>
          <w:szCs w:val="24"/>
        </w:rPr>
        <w:t xml:space="preserve"> The target market revolves around adults between 25-45 who work professionally or at the graduate level with higher disposable incomes compared to others, which is compatible with the premium clientele already served by Patagonia (</w:t>
      </w:r>
      <w:proofErr w:type="spellStart"/>
      <w:r>
        <w:rPr>
          <w:sz w:val="24"/>
          <w:szCs w:val="24"/>
        </w:rPr>
        <w:t>Papasolomou</w:t>
      </w:r>
      <w:proofErr w:type="spellEnd"/>
      <w:r>
        <w:rPr>
          <w:sz w:val="24"/>
          <w:szCs w:val="24"/>
        </w:rPr>
        <w:t xml:space="preserve"> </w:t>
      </w:r>
      <w:r>
        <w:rPr>
          <w:i/>
          <w:iCs/>
          <w:sz w:val="24"/>
          <w:szCs w:val="24"/>
        </w:rPr>
        <w:t>et al.,</w:t>
      </w:r>
      <w:r>
        <w:rPr>
          <w:sz w:val="24"/>
          <w:szCs w:val="24"/>
        </w:rPr>
        <w:t xml:space="preserve"> 2023). While the target demographic has more financial means to purchase Patagonia clothing items compared to the younger generation, they still have price consciousness that makes it worth their while to explore cheaper ways of acquiring Patagonia items. At the same time, they have sufficient financial background to feel comfortable with exchanging used goods through e-commerce with store credit (Sutinen </w:t>
      </w:r>
      <w:r>
        <w:rPr>
          <w:i/>
          <w:iCs/>
          <w:sz w:val="24"/>
          <w:szCs w:val="24"/>
        </w:rPr>
        <w:t>et al.,</w:t>
      </w:r>
      <w:r>
        <w:rPr>
          <w:sz w:val="24"/>
          <w:szCs w:val="24"/>
        </w:rPr>
        <w:t xml:space="preserve"> 2022).</w:t>
      </w:r>
    </w:p>
    <w:p w14:paraId="6BC25BF1" w14:textId="77777777" w:rsidR="00510185" w:rsidRDefault="00424E35">
      <w:pPr>
        <w:spacing w:after="200" w:line="360" w:lineRule="auto"/>
        <w:jc w:val="both"/>
        <w:rPr>
          <w:sz w:val="24"/>
          <w:szCs w:val="24"/>
        </w:rPr>
      </w:pPr>
      <w:r>
        <w:rPr>
          <w:b/>
          <w:bCs/>
          <w:i/>
          <w:iCs/>
          <w:sz w:val="24"/>
          <w:szCs w:val="24"/>
        </w:rPr>
        <w:lastRenderedPageBreak/>
        <w:t>Psychographic:</w:t>
      </w:r>
      <w:r>
        <w:rPr>
          <w:sz w:val="24"/>
          <w:szCs w:val="24"/>
        </w:rPr>
        <w:t xml:space="preserve"> The consumer base is highly identified with environmental and </w:t>
      </w:r>
      <w:proofErr w:type="gramStart"/>
      <w:r>
        <w:rPr>
          <w:sz w:val="24"/>
          <w:szCs w:val="24"/>
        </w:rPr>
        <w:t>outdoors</w:t>
      </w:r>
      <w:proofErr w:type="gramEnd"/>
      <w:r>
        <w:rPr>
          <w:sz w:val="24"/>
          <w:szCs w:val="24"/>
        </w:rPr>
        <w:t xml:space="preserve">-oriented values and has personal experience with climate-related issues. At the same time, they are becoming increasingly </w:t>
      </w:r>
      <w:proofErr w:type="spellStart"/>
      <w:r>
        <w:rPr>
          <w:sz w:val="24"/>
          <w:szCs w:val="24"/>
        </w:rPr>
        <w:t>sceptical</w:t>
      </w:r>
      <w:proofErr w:type="spellEnd"/>
      <w:r>
        <w:rPr>
          <w:sz w:val="24"/>
          <w:szCs w:val="24"/>
        </w:rPr>
        <w:t xml:space="preserve"> about unfounded “green” marketing efforts after the increased scrutiny of greenwashing practices within the UK and European Union (Vangeli </w:t>
      </w:r>
      <w:r>
        <w:rPr>
          <w:i/>
          <w:iCs/>
          <w:sz w:val="24"/>
          <w:szCs w:val="24"/>
        </w:rPr>
        <w:t>et al.,</w:t>
      </w:r>
      <w:r>
        <w:rPr>
          <w:sz w:val="24"/>
          <w:szCs w:val="24"/>
        </w:rPr>
        <w:t xml:space="preserve"> 2023). The </w:t>
      </w:r>
      <w:proofErr w:type="spellStart"/>
      <w:r>
        <w:rPr>
          <w:sz w:val="24"/>
          <w:szCs w:val="24"/>
        </w:rPr>
        <w:t>scepticism</w:t>
      </w:r>
      <w:proofErr w:type="spellEnd"/>
      <w:r>
        <w:rPr>
          <w:sz w:val="24"/>
          <w:szCs w:val="24"/>
        </w:rPr>
        <w:t xml:space="preserve"> can be seen both as a threat and as an advantage: a consumer that has trust in the activist nature of Patagonia will have greater confidence in a Patagonia-branded resale platform.</w:t>
      </w:r>
    </w:p>
    <w:p w14:paraId="1A4E2902" w14:textId="77777777" w:rsidR="00510185" w:rsidRDefault="00424E35">
      <w:pPr>
        <w:spacing w:after="200" w:line="360" w:lineRule="auto"/>
        <w:jc w:val="both"/>
        <w:rPr>
          <w:sz w:val="24"/>
          <w:szCs w:val="24"/>
        </w:rPr>
      </w:pPr>
      <w:proofErr w:type="spellStart"/>
      <w:r>
        <w:rPr>
          <w:b/>
          <w:bCs/>
          <w:i/>
          <w:iCs/>
          <w:sz w:val="24"/>
          <w:szCs w:val="24"/>
        </w:rPr>
        <w:t>Behavioural</w:t>
      </w:r>
      <w:proofErr w:type="spellEnd"/>
      <w:r>
        <w:rPr>
          <w:b/>
          <w:bCs/>
          <w:i/>
          <w:iCs/>
          <w:sz w:val="24"/>
          <w:szCs w:val="24"/>
        </w:rPr>
        <w:t>:</w:t>
      </w:r>
      <w:r>
        <w:rPr>
          <w:sz w:val="24"/>
          <w:szCs w:val="24"/>
        </w:rPr>
        <w:t xml:space="preserve"> This particular audience comprises not only existing owners of Patagonia who already have an experience of using the brand’s Worn Wear repair services but also a broader community of people who sell or purchase second-hand Patagonia products through generic peer-to-peer marketplaces like Vinted or Depop (Ray and Nayak, 2023; Patagonia, 2025). The members of this community show high levels of brand loyalty and reuse of products (repairing instead of throwing away) as well as involvement in reselling markets.</w:t>
      </w:r>
    </w:p>
    <w:p w14:paraId="43880054" w14:textId="77777777" w:rsidR="00510185" w:rsidRDefault="00424E35">
      <w:pPr>
        <w:pStyle w:val="Heading2"/>
        <w:spacing w:before="300" w:after="160" w:line="360" w:lineRule="auto"/>
        <w:jc w:val="both"/>
        <w:rPr>
          <w:rFonts w:ascii="Arial" w:eastAsia="Arial" w:hAnsi="Arial" w:cs="Arial"/>
        </w:rPr>
      </w:pPr>
      <w:bookmarkStart w:id="4" w:name="_noq46hynva6g" w:colFirst="0" w:colLast="0"/>
      <w:bookmarkEnd w:id="4"/>
      <w:r>
        <w:rPr>
          <w:rFonts w:ascii="Arial" w:eastAsia="Arial" w:hAnsi="Arial" w:cs="Arial"/>
        </w:rPr>
        <w:t>Targeting</w:t>
      </w:r>
    </w:p>
    <w:p w14:paraId="53815EBF" w14:textId="77777777" w:rsidR="00510185" w:rsidRDefault="00424E35">
      <w:pPr>
        <w:spacing w:after="200" w:line="360" w:lineRule="auto"/>
        <w:jc w:val="both"/>
        <w:rPr>
          <w:sz w:val="24"/>
          <w:szCs w:val="24"/>
        </w:rPr>
      </w:pPr>
      <w:r>
        <w:rPr>
          <w:sz w:val="24"/>
          <w:szCs w:val="24"/>
        </w:rPr>
        <w:t xml:space="preserve">For Patagonia Renewed, the business model requires that they employ a more targeted strategy aimed at capturing this loyal customer base within the UK and EU, rather than trying to compete directly against the large-scale resale websites (Guo, 2024). The target audience is </w:t>
      </w:r>
      <w:proofErr w:type="gramStart"/>
      <w:r>
        <w:rPr>
          <w:sz w:val="24"/>
          <w:szCs w:val="24"/>
        </w:rPr>
        <w:t>considerable, and</w:t>
      </w:r>
      <w:proofErr w:type="gramEnd"/>
      <w:r>
        <w:rPr>
          <w:sz w:val="24"/>
          <w:szCs w:val="24"/>
        </w:rPr>
        <w:t xml:space="preserve"> continues to </w:t>
      </w:r>
      <w:proofErr w:type="gramStart"/>
      <w:r>
        <w:rPr>
          <w:sz w:val="24"/>
          <w:szCs w:val="24"/>
        </w:rPr>
        <w:t>grow:</w:t>
      </w:r>
      <w:proofErr w:type="gramEnd"/>
      <w:r>
        <w:rPr>
          <w:sz w:val="24"/>
          <w:szCs w:val="24"/>
        </w:rPr>
        <w:t xml:space="preserve"> resale apparel within Europe is increasing at a faster rate than the total apparel market, while regulation changes, such as the introduction of the EU’s Empowering Consumers for the Green Transition Directive from September 2026, which limits unsubstantiated green claims, will further increase demand for sustainability propositions (European Commission, 2025).</w:t>
      </w:r>
    </w:p>
    <w:p w14:paraId="251CA320" w14:textId="77777777" w:rsidR="00510185" w:rsidRDefault="00424E35">
      <w:pPr>
        <w:spacing w:after="200" w:line="360" w:lineRule="auto"/>
        <w:jc w:val="both"/>
        <w:rPr>
          <w:sz w:val="24"/>
          <w:szCs w:val="24"/>
        </w:rPr>
      </w:pPr>
      <w:r>
        <w:rPr>
          <w:sz w:val="24"/>
          <w:szCs w:val="24"/>
        </w:rPr>
        <w:t xml:space="preserve">By first focusing on this </w:t>
      </w:r>
      <w:proofErr w:type="gramStart"/>
      <w:r>
        <w:rPr>
          <w:sz w:val="24"/>
          <w:szCs w:val="24"/>
        </w:rPr>
        <w:t>particular segment</w:t>
      </w:r>
      <w:proofErr w:type="gramEnd"/>
      <w:r>
        <w:rPr>
          <w:sz w:val="24"/>
          <w:szCs w:val="24"/>
        </w:rPr>
        <w:t xml:space="preserve">, Patagonia can demonstrate the viability of the trade-in and refurbishment business model, which is very complicated logistically, before extending into other segments, like occasional outdoor participants and gift-givers (Hong, 2025). This approach will allow Patagonia to directly confront the business challenge highlighted in the briefing statement income generated by the reselling of Patagonia products through peer-to-peer marketplaces that do not generate any profit for Patagonia </w:t>
      </w:r>
      <w:r>
        <w:rPr>
          <w:sz w:val="24"/>
          <w:szCs w:val="24"/>
        </w:rPr>
        <w:lastRenderedPageBreak/>
        <w:t xml:space="preserve">(Chi </w:t>
      </w:r>
      <w:r>
        <w:rPr>
          <w:i/>
          <w:iCs/>
          <w:sz w:val="24"/>
          <w:szCs w:val="24"/>
        </w:rPr>
        <w:t>et al.,</w:t>
      </w:r>
      <w:r>
        <w:rPr>
          <w:sz w:val="24"/>
          <w:szCs w:val="24"/>
        </w:rPr>
        <w:t xml:space="preserve"> 2025). By adopting a phased roll-out plan, starting in just one or two key cities in the UK and EU before expanding to more markets, there will be reduced logistical risk involved. Hence, undifferentiated targeting has been chosen for the marketing approach. </w:t>
      </w:r>
    </w:p>
    <w:p w14:paraId="56AABF04" w14:textId="77777777" w:rsidR="00510185" w:rsidRDefault="00424E35">
      <w:pPr>
        <w:pStyle w:val="Heading2"/>
        <w:spacing w:before="300" w:after="200" w:line="360" w:lineRule="auto"/>
        <w:jc w:val="both"/>
        <w:rPr>
          <w:rFonts w:ascii="Arial" w:eastAsia="Arial" w:hAnsi="Arial" w:cs="Arial"/>
        </w:rPr>
      </w:pPr>
      <w:bookmarkStart w:id="5" w:name="_vnnu57bxy7d9" w:colFirst="0" w:colLast="0"/>
      <w:bookmarkEnd w:id="5"/>
      <w:r>
        <w:rPr>
          <w:rFonts w:ascii="Arial" w:eastAsia="Arial" w:hAnsi="Arial" w:cs="Arial"/>
        </w:rPr>
        <w:t>Differentiation</w:t>
      </w:r>
    </w:p>
    <w:p w14:paraId="6F6EE5BA" w14:textId="77777777" w:rsidR="00510185" w:rsidRDefault="00424E35">
      <w:pPr>
        <w:spacing w:after="200" w:line="360" w:lineRule="auto"/>
        <w:jc w:val="both"/>
        <w:rPr>
          <w:sz w:val="24"/>
          <w:szCs w:val="24"/>
        </w:rPr>
      </w:pPr>
      <w:r>
        <w:rPr>
          <w:sz w:val="24"/>
          <w:szCs w:val="24"/>
        </w:rPr>
        <w:t>Patagonia Renewed, in contrast to peer-to-peer platforms like Vinted and Depop, differs due to its brand-verified authentication, refurbishing and grading, and limited warranty on refurbished products, something which is not possible for anonymous individual sellers. In comparison to fast fashion resale platforms, Patagonia Renewed preserves the brand’s premium and durability image and does not compete purely on price (</w:t>
      </w:r>
      <w:proofErr w:type="spellStart"/>
      <w:r>
        <w:rPr>
          <w:sz w:val="24"/>
          <w:szCs w:val="24"/>
        </w:rPr>
        <w:t>Pranta</w:t>
      </w:r>
      <w:proofErr w:type="spellEnd"/>
      <w:r>
        <w:rPr>
          <w:i/>
          <w:iCs/>
          <w:sz w:val="24"/>
          <w:szCs w:val="24"/>
        </w:rPr>
        <w:t xml:space="preserve"> et al., </w:t>
      </w:r>
      <w:r>
        <w:rPr>
          <w:sz w:val="24"/>
          <w:szCs w:val="24"/>
        </w:rPr>
        <w:t xml:space="preserve">2025). </w:t>
      </w:r>
    </w:p>
    <w:p w14:paraId="0C6FF248" w14:textId="77777777" w:rsidR="00510185" w:rsidRDefault="00424E35">
      <w:pPr>
        <w:spacing w:after="200" w:line="360" w:lineRule="auto"/>
        <w:jc w:val="both"/>
        <w:rPr>
          <w:sz w:val="24"/>
          <w:szCs w:val="24"/>
        </w:rPr>
      </w:pPr>
      <w:r>
        <w:rPr>
          <w:sz w:val="24"/>
          <w:szCs w:val="24"/>
        </w:rPr>
        <w:t>Moreover, the extension distinguishes Patagonia from other outdoor competitors that lack any activism-related image: Patagonia’s environmental image predates the particular initiative, so it appears to be a logical continuation of brand image, not a mere attempt at a sustainability campaign that can be accused of greenwashing under UK/EU regulations (Wong, 2025).</w:t>
      </w:r>
    </w:p>
    <w:p w14:paraId="3DAE623D" w14:textId="77777777" w:rsidR="00510185" w:rsidRDefault="00424E35">
      <w:pPr>
        <w:pStyle w:val="Heading2"/>
        <w:spacing w:before="300" w:after="160" w:line="360" w:lineRule="auto"/>
        <w:jc w:val="both"/>
        <w:rPr>
          <w:rFonts w:ascii="Arial" w:eastAsia="Arial" w:hAnsi="Arial" w:cs="Arial"/>
        </w:rPr>
      </w:pPr>
      <w:bookmarkStart w:id="6" w:name="_lgzh8duq1jea" w:colFirst="0" w:colLast="0"/>
      <w:bookmarkEnd w:id="6"/>
      <w:r>
        <w:rPr>
          <w:rFonts w:ascii="Arial" w:eastAsia="Arial" w:hAnsi="Arial" w:cs="Arial"/>
        </w:rPr>
        <w:t>Positioning</w:t>
      </w:r>
    </w:p>
    <w:p w14:paraId="65FB8CD5" w14:textId="77777777" w:rsidR="00510185" w:rsidRDefault="00424E35">
      <w:pPr>
        <w:spacing w:after="200" w:line="360" w:lineRule="auto"/>
        <w:jc w:val="both"/>
        <w:rPr>
          <w:sz w:val="24"/>
          <w:szCs w:val="24"/>
        </w:rPr>
      </w:pPr>
      <w:r>
        <w:rPr>
          <w:sz w:val="24"/>
          <w:szCs w:val="24"/>
        </w:rPr>
        <w:t xml:space="preserve">Positioning statement: For environmentally conscious outdoor consumers in the UK and Europe who desire durable and sustainable clothing at discounted prices without having to resort to non-branded peer-to-peer resale platforms or disposable fast-fashion resale outlets, Patagonia Renewed is the certified trade-in and resale site that prolongs the life of cherished gear unlike unbranded peer-to-peer markets or fast fashion resale, which is neither durable nor sustainable (Okur and </w:t>
      </w:r>
      <w:proofErr w:type="spellStart"/>
      <w:r>
        <w:rPr>
          <w:sz w:val="24"/>
          <w:szCs w:val="24"/>
        </w:rPr>
        <w:t>Saricam</w:t>
      </w:r>
      <w:proofErr w:type="spellEnd"/>
      <w:r>
        <w:rPr>
          <w:sz w:val="24"/>
          <w:szCs w:val="24"/>
        </w:rPr>
        <w:t>, 2025).</w:t>
      </w:r>
    </w:p>
    <w:p w14:paraId="7E56BCF0" w14:textId="77777777" w:rsidR="00510185" w:rsidRDefault="00424E35">
      <w:pPr>
        <w:spacing w:after="200" w:line="360" w:lineRule="auto"/>
        <w:jc w:val="both"/>
        <w:rPr>
          <w:sz w:val="24"/>
          <w:szCs w:val="24"/>
        </w:rPr>
      </w:pPr>
      <w:r>
        <w:rPr>
          <w:sz w:val="24"/>
          <w:szCs w:val="24"/>
        </w:rPr>
        <w:t xml:space="preserve">The perceptual map based on the axes of price (low–high) and sustainability credibility (low-high) places Patagonia Renewed in the high-price, high-credibility quadrant compared to peer-to-peer resale sites (low price, no credibility) and fast-fashion resale (low price, low credibility), while still being more affordable than purchasing new Patagonia products. Such clear-cut positioning will allow Patagonia to </w:t>
      </w:r>
      <w:proofErr w:type="spellStart"/>
      <w:r>
        <w:rPr>
          <w:sz w:val="24"/>
          <w:szCs w:val="24"/>
        </w:rPr>
        <w:t>emphasise</w:t>
      </w:r>
      <w:proofErr w:type="spellEnd"/>
      <w:r>
        <w:rPr>
          <w:sz w:val="24"/>
          <w:szCs w:val="24"/>
        </w:rPr>
        <w:t xml:space="preserve"> its activist brand story developed in Element 1 and justify premium pricing for resale items. Furthermore, it creates a unique selling position for Patagonia that cannot be easily </w:t>
      </w:r>
      <w:r>
        <w:rPr>
          <w:sz w:val="24"/>
          <w:szCs w:val="24"/>
        </w:rPr>
        <w:lastRenderedPageBreak/>
        <w:t>mimicked by the existing brands in the outdoor apparel category, which are largely activist-certificate deficient.</w:t>
      </w:r>
    </w:p>
    <w:p w14:paraId="609B432A" w14:textId="77777777" w:rsidR="00510185" w:rsidRDefault="00424E35">
      <w:pPr>
        <w:pStyle w:val="Heading1"/>
        <w:rPr>
          <w:rFonts w:ascii="Arial" w:eastAsia="Arial" w:hAnsi="Arial" w:cs="Arial"/>
        </w:rPr>
      </w:pPr>
      <w:bookmarkStart w:id="7" w:name="_hjnpcj15cftf" w:colFirst="0" w:colLast="0"/>
      <w:bookmarkEnd w:id="7"/>
      <w:r>
        <w:rPr>
          <w:rFonts w:ascii="Arial" w:eastAsia="Arial" w:hAnsi="Arial" w:cs="Arial"/>
        </w:rPr>
        <w:t>Element 3: Marketing Mix (7Ps)</w:t>
      </w:r>
    </w:p>
    <w:p w14:paraId="3F6C8563" w14:textId="77777777" w:rsidR="00510185" w:rsidRDefault="00424E35">
      <w:pPr>
        <w:spacing w:after="200" w:line="360" w:lineRule="auto"/>
        <w:jc w:val="both"/>
        <w:rPr>
          <w:sz w:val="24"/>
          <w:szCs w:val="24"/>
        </w:rPr>
      </w:pPr>
      <w:r>
        <w:rPr>
          <w:sz w:val="24"/>
          <w:szCs w:val="24"/>
        </w:rPr>
        <w:t xml:space="preserve">The 7Ps framework is one of the fundamental marketing frameworks that help develop effective strategies for business and marketing. By extending the four Ps (Product, Price, Place, and Promotion) framework by introducing three more aspects, People, Process, and Physical Evidence, the 7Ps framework allows for maximizing the whole process of </w:t>
      </w:r>
      <w:proofErr w:type="gramStart"/>
      <w:r>
        <w:rPr>
          <w:sz w:val="24"/>
          <w:szCs w:val="24"/>
        </w:rPr>
        <w:t>the customer</w:t>
      </w:r>
      <w:proofErr w:type="gramEnd"/>
      <w:r>
        <w:rPr>
          <w:sz w:val="24"/>
          <w:szCs w:val="24"/>
        </w:rPr>
        <w:t xml:space="preserve"> experience (Allen, 2020). The following 7Ps framework will be used </w:t>
      </w:r>
      <w:proofErr w:type="gramStart"/>
      <w:r>
        <w:rPr>
          <w:sz w:val="24"/>
          <w:szCs w:val="24"/>
        </w:rPr>
        <w:t>in order to</w:t>
      </w:r>
      <w:proofErr w:type="gramEnd"/>
      <w:r>
        <w:rPr>
          <w:sz w:val="24"/>
          <w:szCs w:val="24"/>
        </w:rPr>
        <w:t xml:space="preserve"> reflect the service-dominant approach of the Renewed proposition.</w:t>
      </w:r>
    </w:p>
    <w:p w14:paraId="41460CB8" w14:textId="77777777" w:rsidR="00510185" w:rsidRDefault="00424E35">
      <w:pPr>
        <w:spacing w:after="200" w:line="360" w:lineRule="auto"/>
        <w:jc w:val="center"/>
        <w:rPr>
          <w:sz w:val="24"/>
          <w:szCs w:val="24"/>
        </w:rPr>
      </w:pPr>
      <w:r>
        <w:rPr>
          <w:noProof/>
          <w:sz w:val="24"/>
          <w:szCs w:val="24"/>
          <w:lang w:val="en-IN"/>
        </w:rPr>
        <w:drawing>
          <wp:inline distT="114300" distB="114300" distL="114300" distR="114300" wp14:anchorId="688AC67E" wp14:editId="2EEDAFE8">
            <wp:extent cx="5943600" cy="33401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340100"/>
                    </a:xfrm>
                    <a:prstGeom prst="rect">
                      <a:avLst/>
                    </a:prstGeom>
                    <a:ln/>
                  </pic:spPr>
                </pic:pic>
              </a:graphicData>
            </a:graphic>
          </wp:inline>
        </w:drawing>
      </w:r>
    </w:p>
    <w:p w14:paraId="3762BBF2" w14:textId="77777777" w:rsidR="00510185" w:rsidRDefault="00424E35">
      <w:pPr>
        <w:spacing w:after="200" w:line="360" w:lineRule="auto"/>
        <w:jc w:val="center"/>
        <w:rPr>
          <w:b/>
          <w:bCs/>
          <w:sz w:val="24"/>
          <w:szCs w:val="24"/>
        </w:rPr>
      </w:pPr>
      <w:r>
        <w:rPr>
          <w:b/>
          <w:bCs/>
          <w:sz w:val="24"/>
          <w:szCs w:val="24"/>
        </w:rPr>
        <w:t xml:space="preserve">Figure: 7Ps of Service Marketing </w:t>
      </w:r>
    </w:p>
    <w:p w14:paraId="61D1093B" w14:textId="77777777" w:rsidR="00510185" w:rsidRDefault="00424E35">
      <w:pPr>
        <w:spacing w:after="200" w:line="360" w:lineRule="auto"/>
        <w:jc w:val="center"/>
        <w:rPr>
          <w:sz w:val="24"/>
          <w:szCs w:val="24"/>
        </w:rPr>
      </w:pPr>
      <w:r>
        <w:rPr>
          <w:sz w:val="24"/>
          <w:szCs w:val="24"/>
        </w:rPr>
        <w:t>Source: (Allen, 2020)</w:t>
      </w:r>
    </w:p>
    <w:p w14:paraId="2B5BFFDD" w14:textId="77777777" w:rsidR="00510185" w:rsidRDefault="00424E35">
      <w:pPr>
        <w:pStyle w:val="Heading2"/>
        <w:rPr>
          <w:rFonts w:ascii="Arial" w:eastAsia="Arial" w:hAnsi="Arial" w:cs="Arial"/>
        </w:rPr>
      </w:pPr>
      <w:bookmarkStart w:id="8" w:name="_ncrvx8ouuy2i" w:colFirst="0" w:colLast="0"/>
      <w:bookmarkEnd w:id="8"/>
      <w:r>
        <w:rPr>
          <w:rFonts w:ascii="Arial" w:eastAsia="Arial" w:hAnsi="Arial" w:cs="Arial"/>
        </w:rPr>
        <w:lastRenderedPageBreak/>
        <w:t>Product</w:t>
      </w:r>
    </w:p>
    <w:p w14:paraId="03739C8D" w14:textId="77777777" w:rsidR="00510185" w:rsidRDefault="00424E35">
      <w:pPr>
        <w:spacing w:after="200" w:line="360" w:lineRule="auto"/>
        <w:jc w:val="both"/>
        <w:rPr>
          <w:sz w:val="24"/>
          <w:szCs w:val="24"/>
        </w:rPr>
      </w:pPr>
      <w:r>
        <w:rPr>
          <w:noProof/>
          <w:sz w:val="24"/>
          <w:szCs w:val="24"/>
          <w:lang w:val="en-IN"/>
        </w:rPr>
        <w:drawing>
          <wp:inline distT="114300" distB="114300" distL="114300" distR="114300" wp14:anchorId="6F8232D7" wp14:editId="70E560F5">
            <wp:extent cx="5943600" cy="39624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943600" cy="3962400"/>
                    </a:xfrm>
                    <a:prstGeom prst="rect">
                      <a:avLst/>
                    </a:prstGeom>
                    <a:ln/>
                  </pic:spPr>
                </pic:pic>
              </a:graphicData>
            </a:graphic>
          </wp:inline>
        </w:drawing>
      </w:r>
    </w:p>
    <w:p w14:paraId="054989D8" w14:textId="77777777" w:rsidR="00510185" w:rsidRDefault="00424E35">
      <w:pPr>
        <w:spacing w:after="200" w:line="360" w:lineRule="auto"/>
        <w:jc w:val="center"/>
        <w:rPr>
          <w:b/>
          <w:bCs/>
          <w:sz w:val="24"/>
          <w:szCs w:val="24"/>
        </w:rPr>
      </w:pPr>
      <w:r>
        <w:rPr>
          <w:b/>
          <w:bCs/>
          <w:sz w:val="24"/>
          <w:szCs w:val="24"/>
        </w:rPr>
        <w:t>Figure: Patagonia’s Gear</w:t>
      </w:r>
    </w:p>
    <w:p w14:paraId="7139D4EB" w14:textId="77777777" w:rsidR="00510185" w:rsidRDefault="00424E35">
      <w:pPr>
        <w:spacing w:after="200" w:line="360" w:lineRule="auto"/>
        <w:jc w:val="center"/>
        <w:rPr>
          <w:sz w:val="24"/>
          <w:szCs w:val="24"/>
        </w:rPr>
      </w:pPr>
      <w:r>
        <w:rPr>
          <w:sz w:val="24"/>
          <w:szCs w:val="24"/>
        </w:rPr>
        <w:t>Source: (Patagonia, 2025)</w:t>
      </w:r>
    </w:p>
    <w:p w14:paraId="52AA3714" w14:textId="77777777" w:rsidR="00510185" w:rsidRDefault="00424E35">
      <w:pPr>
        <w:spacing w:after="200" w:line="360" w:lineRule="auto"/>
        <w:jc w:val="both"/>
        <w:rPr>
          <w:sz w:val="24"/>
          <w:szCs w:val="24"/>
        </w:rPr>
      </w:pPr>
      <w:r>
        <w:rPr>
          <w:sz w:val="24"/>
          <w:szCs w:val="24"/>
        </w:rPr>
        <w:t xml:space="preserve">Patagonia Renewed is an e-commerce trade-in and resale service: customers send in worn Patagonia gear in exchange for store credit, which is then graded, refurbished where necessary, and listed for resale as authenticated, brand-verified items (Patagonia, 2025). This builds directly on the existing Worn Wear repair ecosystem, adding a formal resale layer rather than replacing it, and preserves Patagonia's design and durability identity within a circular offer (Verma </w:t>
      </w:r>
      <w:r>
        <w:rPr>
          <w:i/>
          <w:iCs/>
          <w:sz w:val="24"/>
          <w:szCs w:val="24"/>
        </w:rPr>
        <w:t>et al.,</w:t>
      </w:r>
      <w:r>
        <w:rPr>
          <w:sz w:val="24"/>
          <w:szCs w:val="24"/>
        </w:rPr>
        <w:t xml:space="preserve"> 2026). Each piece is assessed rigorously </w:t>
      </w:r>
      <w:proofErr w:type="gramStart"/>
      <w:r>
        <w:rPr>
          <w:sz w:val="24"/>
          <w:szCs w:val="24"/>
        </w:rPr>
        <w:t>in order to</w:t>
      </w:r>
      <w:proofErr w:type="gramEnd"/>
      <w:r>
        <w:rPr>
          <w:sz w:val="24"/>
          <w:szCs w:val="24"/>
        </w:rPr>
        <w:t xml:space="preserve"> ensure that the product comes from an authentic source, and there are no imitation second-hand goods that would tarnish the market and jeopardize the intellectual property rights of the original brand. When it comes to the extended lifecycle of the product, the service extends the life of the product through repair and cleaning, making waste textiles perform like new pieces of clothing while preserving the essence of Patagonia's quality (Oh </w:t>
      </w:r>
      <w:r>
        <w:rPr>
          <w:i/>
          <w:iCs/>
          <w:sz w:val="24"/>
          <w:szCs w:val="24"/>
        </w:rPr>
        <w:t>et al.</w:t>
      </w:r>
      <w:proofErr w:type="gramStart"/>
      <w:r>
        <w:rPr>
          <w:i/>
          <w:iCs/>
          <w:sz w:val="24"/>
          <w:szCs w:val="24"/>
        </w:rPr>
        <w:t xml:space="preserve">, </w:t>
      </w:r>
      <w:r>
        <w:rPr>
          <w:sz w:val="24"/>
          <w:szCs w:val="24"/>
        </w:rPr>
        <w:t xml:space="preserve"> 2021</w:t>
      </w:r>
      <w:proofErr w:type="gramEnd"/>
      <w:r>
        <w:rPr>
          <w:sz w:val="24"/>
          <w:szCs w:val="24"/>
        </w:rPr>
        <w:t>).</w:t>
      </w:r>
    </w:p>
    <w:p w14:paraId="670FCFE8" w14:textId="77777777" w:rsidR="00510185" w:rsidRDefault="00424E35">
      <w:pPr>
        <w:pStyle w:val="Heading2"/>
        <w:jc w:val="both"/>
        <w:rPr>
          <w:rFonts w:ascii="Arial" w:eastAsia="Arial" w:hAnsi="Arial" w:cs="Arial"/>
        </w:rPr>
      </w:pPr>
      <w:bookmarkStart w:id="9" w:name="_72ebuati5jw4" w:colFirst="0" w:colLast="0"/>
      <w:bookmarkEnd w:id="9"/>
      <w:r>
        <w:rPr>
          <w:rFonts w:ascii="Arial" w:eastAsia="Arial" w:hAnsi="Arial" w:cs="Arial"/>
        </w:rPr>
        <w:lastRenderedPageBreak/>
        <w:t>Price</w:t>
      </w:r>
    </w:p>
    <w:p w14:paraId="64A7E8B9" w14:textId="77777777" w:rsidR="00510185" w:rsidRDefault="00424E35">
      <w:pPr>
        <w:spacing w:after="200" w:line="360" w:lineRule="auto"/>
        <w:jc w:val="both"/>
        <w:rPr>
          <w:sz w:val="24"/>
          <w:szCs w:val="24"/>
        </w:rPr>
      </w:pPr>
      <w:r>
        <w:rPr>
          <w:sz w:val="24"/>
          <w:szCs w:val="24"/>
        </w:rPr>
        <w:t>Store credit will be valued by means of a clear grading scale that is based on condition, and refurbished products will be sold at a reduced price compared to the equivalent brand-new product but above average peer-to-peer marketplaces, taking into account the premium associated with authenticating the item (Thanasi-</w:t>
      </w:r>
      <w:proofErr w:type="spellStart"/>
      <w:r>
        <w:rPr>
          <w:sz w:val="24"/>
          <w:szCs w:val="24"/>
        </w:rPr>
        <w:t>Boçe</w:t>
      </w:r>
      <w:proofErr w:type="spellEnd"/>
      <w:r>
        <w:rPr>
          <w:sz w:val="24"/>
          <w:szCs w:val="24"/>
        </w:rPr>
        <w:t xml:space="preserve"> and Al-Issa, 2025). All sustainability-based pricing/marketing claims should be possible to prove as the EU’s Empowering Consumers for the Green Transition Directive does not allow making generic environmental claims without demonstrable and </w:t>
      </w:r>
      <w:proofErr w:type="spellStart"/>
      <w:r>
        <w:rPr>
          <w:sz w:val="24"/>
          <w:szCs w:val="24"/>
        </w:rPr>
        <w:t>recognised</w:t>
      </w:r>
      <w:proofErr w:type="spellEnd"/>
      <w:r>
        <w:rPr>
          <w:sz w:val="24"/>
          <w:szCs w:val="24"/>
        </w:rPr>
        <w:t xml:space="preserve"> performance starting September 2026, and the UK Competition and Markets Authority Green Claims Code makes similar requirements (European Commission, 2026). This is why communication regarding pricing should be done in terms of certain measurable metrics like the number of units diverted from the landfill instead of using general terms like eco-friendly.</w:t>
      </w:r>
    </w:p>
    <w:p w14:paraId="1897DB33" w14:textId="77777777" w:rsidR="00510185" w:rsidRDefault="00424E35">
      <w:pPr>
        <w:spacing w:after="200" w:line="360" w:lineRule="auto"/>
        <w:jc w:val="both"/>
        <w:rPr>
          <w:sz w:val="24"/>
          <w:szCs w:val="24"/>
        </w:rPr>
      </w:pPr>
      <w:r>
        <w:rPr>
          <w:sz w:val="24"/>
          <w:szCs w:val="24"/>
        </w:rPr>
        <w:t xml:space="preserve">Having a grading scale disclosed in advance will prevent disputes related to trade-in valuation, and this will probably be a common reason </w:t>
      </w:r>
      <w:proofErr w:type="gramStart"/>
      <w:r>
        <w:rPr>
          <w:sz w:val="24"/>
          <w:szCs w:val="24"/>
        </w:rPr>
        <w:t>of</w:t>
      </w:r>
      <w:proofErr w:type="gramEnd"/>
      <w:r>
        <w:rPr>
          <w:sz w:val="24"/>
          <w:szCs w:val="24"/>
        </w:rPr>
        <w:t xml:space="preserve"> customer dissatisfaction. The pricing strategy creates a premium trade-in economy that maintains the integrity of the brand while complying with anti-greenwashing guidelines. Race to the bottom pricing does not occur as there is a clear financial incentive to engage in the behavior that is being encouraged (Burrell </w:t>
      </w:r>
      <w:r>
        <w:rPr>
          <w:i/>
          <w:iCs/>
          <w:sz w:val="24"/>
          <w:szCs w:val="24"/>
        </w:rPr>
        <w:t>et al.,</w:t>
      </w:r>
      <w:r>
        <w:rPr>
          <w:sz w:val="24"/>
          <w:szCs w:val="24"/>
        </w:rPr>
        <w:t xml:space="preserve"> 2025). To ensure proper financial incentives, Dual pricing approach, valuation transparency and regulatory compliance are employed. With dual pricing mechanism, Customers get a credit for trade ins based on the condition of the product, whereas products after refurbishment will be offered below the retail price, yet higher than peer-to-peer sites. The pricing strategy is designed to reflect the high costs of the brand validation and refurbishment processes. </w:t>
      </w:r>
    </w:p>
    <w:p w14:paraId="14C0ECC7" w14:textId="77777777" w:rsidR="00510185" w:rsidRDefault="00424E35">
      <w:pPr>
        <w:spacing w:after="200" w:line="360" w:lineRule="auto"/>
        <w:jc w:val="both"/>
        <w:rPr>
          <w:sz w:val="24"/>
          <w:szCs w:val="24"/>
        </w:rPr>
      </w:pPr>
      <w:r>
        <w:rPr>
          <w:sz w:val="24"/>
          <w:szCs w:val="24"/>
        </w:rPr>
        <w:t xml:space="preserve">Valuation transparency is achieved through Publicly available fixed scale of grading that reduces any potential issues associated with valuation while maintaining consumer trust (Elshaer </w:t>
      </w:r>
      <w:r>
        <w:rPr>
          <w:i/>
          <w:iCs/>
          <w:sz w:val="24"/>
          <w:szCs w:val="24"/>
        </w:rPr>
        <w:t>et al.,</w:t>
      </w:r>
      <w:r>
        <w:rPr>
          <w:sz w:val="24"/>
          <w:szCs w:val="24"/>
        </w:rPr>
        <w:t xml:space="preserve"> 2025). Regulatory compliance is achieved by Marketing claims conforming strictly to requirements set out by the EU’s Empowering Consumers for the Green Transition Directive and CMA Green Claims Code. Words like “eco-friendly” are not permitted. Pricing value is tied directly to concrete </w:t>
      </w:r>
      <w:proofErr w:type="gramStart"/>
      <w:r>
        <w:rPr>
          <w:sz w:val="24"/>
          <w:szCs w:val="24"/>
        </w:rPr>
        <w:t>numbers</w:t>
      </w:r>
      <w:proofErr w:type="gramEnd"/>
      <w:r>
        <w:rPr>
          <w:sz w:val="24"/>
          <w:szCs w:val="24"/>
        </w:rPr>
        <w:t xml:space="preserve"> for example the volume of landfill items removed from the waste stream.</w:t>
      </w:r>
    </w:p>
    <w:p w14:paraId="48483914" w14:textId="77777777" w:rsidR="00510185" w:rsidRDefault="00424E35">
      <w:pPr>
        <w:pStyle w:val="Heading2"/>
        <w:rPr>
          <w:rFonts w:ascii="Arial" w:eastAsia="Arial" w:hAnsi="Arial" w:cs="Arial"/>
        </w:rPr>
      </w:pPr>
      <w:bookmarkStart w:id="10" w:name="_yp366jvd99gh" w:colFirst="0" w:colLast="0"/>
      <w:bookmarkEnd w:id="10"/>
      <w:r>
        <w:rPr>
          <w:rFonts w:ascii="Arial" w:eastAsia="Arial" w:hAnsi="Arial" w:cs="Arial"/>
        </w:rPr>
        <w:lastRenderedPageBreak/>
        <w:t>Place</w:t>
      </w:r>
    </w:p>
    <w:p w14:paraId="15C2833E" w14:textId="77777777" w:rsidR="00510185" w:rsidRDefault="00424E35">
      <w:pPr>
        <w:spacing w:after="200" w:line="360" w:lineRule="auto"/>
        <w:jc w:val="both"/>
        <w:rPr>
          <w:sz w:val="24"/>
          <w:szCs w:val="24"/>
        </w:rPr>
      </w:pPr>
      <w:r>
        <w:rPr>
          <w:sz w:val="24"/>
          <w:szCs w:val="24"/>
        </w:rPr>
        <w:t>The distribution channel includes physical trade-in booths in the current flagship stores of Patagonia as well as the e-commerce section on the current Worn Wear platform (</w:t>
      </w:r>
      <w:proofErr w:type="spellStart"/>
      <w:r>
        <w:rPr>
          <w:sz w:val="24"/>
          <w:szCs w:val="24"/>
        </w:rPr>
        <w:t>Mangudhla</w:t>
      </w:r>
      <w:proofErr w:type="spellEnd"/>
      <w:r>
        <w:rPr>
          <w:sz w:val="24"/>
          <w:szCs w:val="24"/>
        </w:rPr>
        <w:t>, 2025). The fact that the business is going to operate across borders from the UK and the EU means that it will have to deal with issues related to customs and VAT regulations in relation to the returned and resold items, which could be avoided in case of EU or UK-only deployment (EU VAT FORUM, 2020).</w:t>
      </w:r>
    </w:p>
    <w:p w14:paraId="6231A63B" w14:textId="77777777" w:rsidR="00510185" w:rsidRDefault="00424E35">
      <w:pPr>
        <w:pStyle w:val="Heading2"/>
        <w:rPr>
          <w:rFonts w:ascii="Arial" w:eastAsia="Arial" w:hAnsi="Arial" w:cs="Arial"/>
        </w:rPr>
      </w:pPr>
      <w:bookmarkStart w:id="11" w:name="_auxt51u88y4x" w:colFirst="0" w:colLast="0"/>
      <w:bookmarkEnd w:id="11"/>
      <w:r>
        <w:rPr>
          <w:rFonts w:ascii="Arial" w:eastAsia="Arial" w:hAnsi="Arial" w:cs="Arial"/>
        </w:rPr>
        <w:t>Promotion</w:t>
      </w:r>
    </w:p>
    <w:p w14:paraId="25C314EE" w14:textId="77777777" w:rsidR="00510185" w:rsidRDefault="00424E35">
      <w:pPr>
        <w:spacing w:after="200" w:line="360" w:lineRule="auto"/>
        <w:jc w:val="both"/>
        <w:rPr>
          <w:sz w:val="24"/>
          <w:szCs w:val="24"/>
        </w:rPr>
      </w:pPr>
      <w:r>
        <w:rPr>
          <w:sz w:val="24"/>
          <w:szCs w:val="24"/>
        </w:rPr>
        <w:t>The promotion involves in-store “</w:t>
      </w:r>
      <w:r>
        <w:rPr>
          <w:b/>
          <w:bCs/>
          <w:i/>
          <w:iCs/>
          <w:sz w:val="24"/>
          <w:szCs w:val="24"/>
        </w:rPr>
        <w:t>Worn Wear</w:t>
      </w:r>
      <w:r>
        <w:rPr>
          <w:sz w:val="24"/>
          <w:szCs w:val="24"/>
        </w:rPr>
        <w:t>” repair events that are held in select European and UK flagship stores, thus allowing consumers to actively get acquainted with the concept of circularity through physical interaction, rather than passive promotion via digital means (Hong, 2025). The message is based around “buying less, buying better” and focuses on the importance of taking good care of garments, as well as repairing them along with returning them in the framework of a trade-in program, which helps to strengthen the message of authenticity, rather than just adding a new income source (</w:t>
      </w:r>
      <w:proofErr w:type="spellStart"/>
      <w:r>
        <w:rPr>
          <w:sz w:val="24"/>
          <w:szCs w:val="24"/>
        </w:rPr>
        <w:t>Bocken</w:t>
      </w:r>
      <w:proofErr w:type="spellEnd"/>
      <w:r>
        <w:rPr>
          <w:sz w:val="24"/>
          <w:szCs w:val="24"/>
        </w:rPr>
        <w:t xml:space="preserve"> </w:t>
      </w:r>
      <w:r>
        <w:rPr>
          <w:i/>
          <w:iCs/>
          <w:sz w:val="24"/>
          <w:szCs w:val="24"/>
        </w:rPr>
        <w:t>et al.,</w:t>
      </w:r>
      <w:r>
        <w:rPr>
          <w:sz w:val="24"/>
          <w:szCs w:val="24"/>
        </w:rPr>
        <w:t xml:space="preserve"> 2022). All the claims for promotions are based on existing reports on environmental and social responsibility of Patagonia and formulated in accordance with the UK and EU anti-greenwashing regulations (European Commission, 2026), thus preserving the premium pricing position of the core brand.</w:t>
      </w:r>
    </w:p>
    <w:p w14:paraId="4806ACBA" w14:textId="77777777" w:rsidR="00510185" w:rsidRDefault="00424E35">
      <w:pPr>
        <w:pStyle w:val="Heading2"/>
        <w:spacing w:line="360" w:lineRule="auto"/>
        <w:jc w:val="both"/>
        <w:rPr>
          <w:rFonts w:ascii="Arial" w:eastAsia="Arial" w:hAnsi="Arial" w:cs="Arial"/>
        </w:rPr>
      </w:pPr>
      <w:bookmarkStart w:id="12" w:name="_83q1gmh937k7" w:colFirst="0" w:colLast="0"/>
      <w:bookmarkEnd w:id="12"/>
      <w:r>
        <w:rPr>
          <w:rFonts w:ascii="Arial" w:eastAsia="Arial" w:hAnsi="Arial" w:cs="Arial"/>
        </w:rPr>
        <w:t>People</w:t>
      </w:r>
    </w:p>
    <w:p w14:paraId="431D333D" w14:textId="77777777" w:rsidR="00510185" w:rsidRDefault="00424E35">
      <w:pPr>
        <w:spacing w:after="200" w:line="360" w:lineRule="auto"/>
        <w:jc w:val="both"/>
        <w:rPr>
          <w:sz w:val="24"/>
          <w:szCs w:val="24"/>
        </w:rPr>
      </w:pPr>
      <w:r>
        <w:rPr>
          <w:sz w:val="24"/>
          <w:szCs w:val="24"/>
        </w:rPr>
        <w:t xml:space="preserve">The store staff must be trained to make assessments on the garments’ condition, explain the procedure for trade-ins and credits </w:t>
      </w:r>
      <w:proofErr w:type="gramStart"/>
      <w:r>
        <w:rPr>
          <w:sz w:val="24"/>
          <w:szCs w:val="24"/>
        </w:rPr>
        <w:t>and also</w:t>
      </w:r>
      <w:proofErr w:type="gramEnd"/>
      <w:r>
        <w:rPr>
          <w:sz w:val="24"/>
          <w:szCs w:val="24"/>
        </w:rPr>
        <w:t xml:space="preserve"> </w:t>
      </w:r>
      <w:proofErr w:type="spellStart"/>
      <w:r>
        <w:rPr>
          <w:sz w:val="24"/>
          <w:szCs w:val="24"/>
        </w:rPr>
        <w:t>organise</w:t>
      </w:r>
      <w:proofErr w:type="spellEnd"/>
      <w:r>
        <w:rPr>
          <w:sz w:val="24"/>
          <w:szCs w:val="24"/>
        </w:rPr>
        <w:t xml:space="preserve"> the repair events effectively and uniformly. A special team that will handle the refurbishments should be established, but it must operate from </w:t>
      </w:r>
      <w:proofErr w:type="spellStart"/>
      <w:r>
        <w:rPr>
          <w:sz w:val="24"/>
          <w:szCs w:val="24"/>
        </w:rPr>
        <w:t>centres</w:t>
      </w:r>
      <w:proofErr w:type="spellEnd"/>
      <w:r>
        <w:rPr>
          <w:sz w:val="24"/>
          <w:szCs w:val="24"/>
        </w:rPr>
        <w:t xml:space="preserve"> based on regions covering the UK and the EU separately (Fernandes and Ferrão, 2023).</w:t>
      </w:r>
    </w:p>
    <w:p w14:paraId="52437291" w14:textId="77777777" w:rsidR="00510185" w:rsidRDefault="00424E35">
      <w:pPr>
        <w:pStyle w:val="Heading2"/>
        <w:rPr>
          <w:rFonts w:ascii="Arial" w:eastAsia="Arial" w:hAnsi="Arial" w:cs="Arial"/>
        </w:rPr>
      </w:pPr>
      <w:bookmarkStart w:id="13" w:name="_qaa4ohz9gwae" w:colFirst="0" w:colLast="0"/>
      <w:bookmarkEnd w:id="13"/>
      <w:r>
        <w:rPr>
          <w:rFonts w:ascii="Arial" w:eastAsia="Arial" w:hAnsi="Arial" w:cs="Arial"/>
        </w:rPr>
        <w:t>Process</w:t>
      </w:r>
    </w:p>
    <w:p w14:paraId="008F027D" w14:textId="77777777" w:rsidR="00510185" w:rsidRDefault="00424E35">
      <w:pPr>
        <w:spacing w:after="200" w:line="360" w:lineRule="auto"/>
        <w:jc w:val="both"/>
        <w:rPr>
          <w:sz w:val="24"/>
          <w:szCs w:val="24"/>
        </w:rPr>
      </w:pPr>
      <w:r>
        <w:rPr>
          <w:sz w:val="24"/>
          <w:szCs w:val="24"/>
        </w:rPr>
        <w:t>This process is initiated with the submission of clothing via the online website or store and then followed by the process of grading, repair where necessary, issuing of store credits, and then listing (Jiang</w:t>
      </w:r>
      <w:r>
        <w:rPr>
          <w:i/>
          <w:iCs/>
          <w:sz w:val="24"/>
          <w:szCs w:val="24"/>
        </w:rPr>
        <w:t xml:space="preserve"> et al.,</w:t>
      </w:r>
      <w:r>
        <w:rPr>
          <w:sz w:val="24"/>
          <w:szCs w:val="24"/>
        </w:rPr>
        <w:t xml:space="preserve"> 2025). It is crucial to have an established and consistently implemented grading system because otherwise it will compromise not only </w:t>
      </w:r>
      <w:r>
        <w:rPr>
          <w:sz w:val="24"/>
          <w:szCs w:val="24"/>
        </w:rPr>
        <w:lastRenderedPageBreak/>
        <w:t xml:space="preserve">the trade-in process but also the catalog of resale. Any returns and warranty issues for the resold products need to be processed through the same customer service </w:t>
      </w:r>
      <w:proofErr w:type="gramStart"/>
      <w:r>
        <w:rPr>
          <w:sz w:val="24"/>
          <w:szCs w:val="24"/>
        </w:rPr>
        <w:t>systems</w:t>
      </w:r>
      <w:proofErr w:type="gramEnd"/>
      <w:r>
        <w:rPr>
          <w:sz w:val="24"/>
          <w:szCs w:val="24"/>
        </w:rPr>
        <w:t xml:space="preserve"> as new purchases from Patagonia (Patagonia, 2025).</w:t>
      </w:r>
    </w:p>
    <w:p w14:paraId="095F38C6" w14:textId="77777777" w:rsidR="00510185" w:rsidRDefault="00424E35">
      <w:pPr>
        <w:pStyle w:val="Heading2"/>
        <w:spacing w:line="360" w:lineRule="auto"/>
        <w:jc w:val="both"/>
        <w:rPr>
          <w:rFonts w:ascii="Arial" w:eastAsia="Arial" w:hAnsi="Arial" w:cs="Arial"/>
        </w:rPr>
      </w:pPr>
      <w:bookmarkStart w:id="14" w:name="_nlrx6lufu9k5" w:colFirst="0" w:colLast="0"/>
      <w:bookmarkEnd w:id="14"/>
      <w:r>
        <w:rPr>
          <w:rFonts w:ascii="Arial" w:eastAsia="Arial" w:hAnsi="Arial" w:cs="Arial"/>
        </w:rPr>
        <w:t>Physical Evidence</w:t>
      </w:r>
    </w:p>
    <w:p w14:paraId="2511C2B9" w14:textId="77777777" w:rsidR="00510185" w:rsidRDefault="00424E35">
      <w:pPr>
        <w:spacing w:after="200" w:line="360" w:lineRule="auto"/>
        <w:jc w:val="both"/>
        <w:rPr>
          <w:sz w:val="24"/>
          <w:szCs w:val="24"/>
        </w:rPr>
      </w:pPr>
      <w:r>
        <w:rPr>
          <w:sz w:val="24"/>
          <w:szCs w:val="24"/>
        </w:rPr>
        <w:t>Physical evidence entails the use of labeling for refurbished products that shows history of repairs and refurbishing, separate trade-in counters in current flagship stores, and packaging that clearly tells the circular narrative story without using generic sustainability language that will not conform to UK and European environmental claims laws (Patagonia, 2026). Physical evidence remains consistent in both countries to ensure customers feel assured that the used Patagonia products are of equal quality to those that are new, which was identified from the STDP framework.</w:t>
      </w:r>
    </w:p>
    <w:p w14:paraId="3567FA6D" w14:textId="77777777" w:rsidR="00510185" w:rsidRDefault="00424E35">
      <w:pPr>
        <w:pStyle w:val="Heading1"/>
        <w:keepNext w:val="0"/>
        <w:keepLines w:val="0"/>
        <w:spacing w:before="480" w:after="160"/>
        <w:rPr>
          <w:rFonts w:ascii="Arial" w:eastAsia="Arial" w:hAnsi="Arial" w:cs="Arial"/>
        </w:rPr>
      </w:pPr>
      <w:bookmarkStart w:id="15" w:name="_xk5c2ksfa4eg" w:colFirst="0" w:colLast="0"/>
      <w:bookmarkEnd w:id="15"/>
      <w:r>
        <w:rPr>
          <w:rFonts w:ascii="Arial" w:eastAsia="Arial" w:hAnsi="Arial" w:cs="Arial"/>
        </w:rPr>
        <w:t>Element 4: Reflection</w:t>
      </w:r>
    </w:p>
    <w:p w14:paraId="70FF072B" w14:textId="77777777" w:rsidR="00510185" w:rsidRDefault="00424E35">
      <w:pPr>
        <w:spacing w:after="200" w:line="360" w:lineRule="auto"/>
        <w:jc w:val="both"/>
        <w:rPr>
          <w:sz w:val="24"/>
          <w:szCs w:val="24"/>
        </w:rPr>
      </w:pPr>
      <w:r>
        <w:rPr>
          <w:sz w:val="24"/>
          <w:szCs w:val="24"/>
        </w:rPr>
        <w:t xml:space="preserve">This process entailed critical thinking around how an already highly positioned activist brand could be expanded into a different but highly operational product offering without jeopardizing the trust upon which its premium price is built. Learning from the current Worn Wear ecosystem at Patagonia and their </w:t>
      </w:r>
      <w:proofErr w:type="spellStart"/>
      <w:r>
        <w:rPr>
          <w:sz w:val="24"/>
          <w:szCs w:val="24"/>
        </w:rPr>
        <w:t>reorganisation</w:t>
      </w:r>
      <w:proofErr w:type="spellEnd"/>
      <w:r>
        <w:rPr>
          <w:sz w:val="24"/>
          <w:szCs w:val="24"/>
        </w:rPr>
        <w:t xml:space="preserve"> of 2022, I learned that a brand extension </w:t>
      </w:r>
      <w:proofErr w:type="gramStart"/>
      <w:r>
        <w:rPr>
          <w:sz w:val="24"/>
          <w:szCs w:val="24"/>
        </w:rPr>
        <w:t>has to</w:t>
      </w:r>
      <w:proofErr w:type="gramEnd"/>
      <w:r>
        <w:rPr>
          <w:sz w:val="24"/>
          <w:szCs w:val="24"/>
        </w:rPr>
        <w:t xml:space="preserve"> be backed up by a company's experience and not through opportunistic sustainability messaging.</w:t>
      </w:r>
    </w:p>
    <w:p w14:paraId="02C2DD6F" w14:textId="77777777" w:rsidR="00510185" w:rsidRDefault="00424E35">
      <w:pPr>
        <w:spacing w:after="200" w:line="360" w:lineRule="auto"/>
        <w:jc w:val="both"/>
        <w:rPr>
          <w:sz w:val="24"/>
          <w:szCs w:val="24"/>
        </w:rPr>
      </w:pPr>
      <w:r>
        <w:rPr>
          <w:sz w:val="24"/>
          <w:szCs w:val="24"/>
        </w:rPr>
        <w:t xml:space="preserve">The </w:t>
      </w:r>
      <w:proofErr w:type="spellStart"/>
      <w:r>
        <w:rPr>
          <w:sz w:val="24"/>
          <w:szCs w:val="24"/>
        </w:rPr>
        <w:t>localisation</w:t>
      </w:r>
      <w:proofErr w:type="spellEnd"/>
      <w:r>
        <w:rPr>
          <w:sz w:val="24"/>
          <w:szCs w:val="24"/>
        </w:rPr>
        <w:t xml:space="preserve"> of the strategy </w:t>
      </w:r>
      <w:proofErr w:type="gramStart"/>
      <w:r>
        <w:rPr>
          <w:sz w:val="24"/>
          <w:szCs w:val="24"/>
        </w:rPr>
        <w:t>in regard to</w:t>
      </w:r>
      <w:proofErr w:type="gramEnd"/>
      <w:r>
        <w:rPr>
          <w:sz w:val="24"/>
          <w:szCs w:val="24"/>
        </w:rPr>
        <w:t xml:space="preserve"> the UK and EU markets proved to be the hardest aspect of this project (Lee </w:t>
      </w:r>
      <w:r>
        <w:rPr>
          <w:i/>
          <w:iCs/>
          <w:sz w:val="24"/>
          <w:szCs w:val="24"/>
        </w:rPr>
        <w:t>et al.,</w:t>
      </w:r>
      <w:r>
        <w:rPr>
          <w:sz w:val="24"/>
          <w:szCs w:val="24"/>
        </w:rPr>
        <w:t xml:space="preserve"> 2021). The reason for this was the need to go beyond general knowledge of marketing mix and study the present-day legal framework with regard to making environmental claims and such legislation as the Empowering Consumers for the Green Transition Directive of the EU and the Green Claims Code of the UK (European Commission, 2026). In addition, the research altered my approach toward the Promotion and Price aspects of the marketing mix, because such terms as “eco-friendly”, which I could use before the research, would now involve certain legal risks. Furthermore, the difference between the UK and the EU became evident in that even though they are neighboring markets, they now require different treatment after Brexit (Wachowiak and </w:t>
      </w:r>
      <w:proofErr w:type="spellStart"/>
      <w:r>
        <w:rPr>
          <w:sz w:val="24"/>
          <w:szCs w:val="24"/>
        </w:rPr>
        <w:t>Zuleeg</w:t>
      </w:r>
      <w:proofErr w:type="spellEnd"/>
      <w:r>
        <w:rPr>
          <w:sz w:val="24"/>
          <w:szCs w:val="24"/>
        </w:rPr>
        <w:t>, 2022).</w:t>
      </w:r>
    </w:p>
    <w:p w14:paraId="08B59284" w14:textId="77777777" w:rsidR="00510185" w:rsidRDefault="00424E35">
      <w:pPr>
        <w:spacing w:after="200" w:line="360" w:lineRule="auto"/>
        <w:jc w:val="both"/>
        <w:rPr>
          <w:sz w:val="24"/>
          <w:szCs w:val="24"/>
        </w:rPr>
      </w:pPr>
      <w:r>
        <w:rPr>
          <w:sz w:val="24"/>
          <w:szCs w:val="24"/>
        </w:rPr>
        <w:lastRenderedPageBreak/>
        <w:t xml:space="preserve">Using the STDP process on a current customer base with a loyal following rather than a completely new market demanded an entirely different way of </w:t>
      </w:r>
      <w:proofErr w:type="spellStart"/>
      <w:r>
        <w:rPr>
          <w:sz w:val="24"/>
          <w:szCs w:val="24"/>
        </w:rPr>
        <w:t>analysing</w:t>
      </w:r>
      <w:proofErr w:type="spellEnd"/>
      <w:r>
        <w:rPr>
          <w:sz w:val="24"/>
          <w:szCs w:val="24"/>
        </w:rPr>
        <w:t xml:space="preserve"> the process compared to what I would have done in the case of an entirely new product development (More, 2023). Here, most of the value added by differentiation lies in codifying </w:t>
      </w:r>
      <w:proofErr w:type="spellStart"/>
      <w:r>
        <w:rPr>
          <w:sz w:val="24"/>
          <w:szCs w:val="24"/>
        </w:rPr>
        <w:t>behaviour</w:t>
      </w:r>
      <w:proofErr w:type="spellEnd"/>
      <w:r>
        <w:rPr>
          <w:sz w:val="24"/>
          <w:szCs w:val="24"/>
        </w:rPr>
        <w:t xml:space="preserve"> which exists independently of the brand anyway </w:t>
      </w:r>
      <w:proofErr w:type="gramStart"/>
      <w:r>
        <w:rPr>
          <w:sz w:val="24"/>
          <w:szCs w:val="24"/>
        </w:rPr>
        <w:t>in order to</w:t>
      </w:r>
      <w:proofErr w:type="gramEnd"/>
      <w:r>
        <w:rPr>
          <w:sz w:val="24"/>
          <w:szCs w:val="24"/>
        </w:rPr>
        <w:t xml:space="preserve"> turn that </w:t>
      </w:r>
      <w:proofErr w:type="spellStart"/>
      <w:r>
        <w:rPr>
          <w:sz w:val="24"/>
          <w:szCs w:val="24"/>
        </w:rPr>
        <w:t>behaviour</w:t>
      </w:r>
      <w:proofErr w:type="spellEnd"/>
      <w:r>
        <w:rPr>
          <w:sz w:val="24"/>
          <w:szCs w:val="24"/>
        </w:rPr>
        <w:t xml:space="preserve"> into </w:t>
      </w:r>
      <w:proofErr w:type="gramStart"/>
      <w:r>
        <w:rPr>
          <w:sz w:val="24"/>
          <w:szCs w:val="24"/>
        </w:rPr>
        <w:t>money</w:t>
      </w:r>
      <w:proofErr w:type="gramEnd"/>
      <w:r>
        <w:rPr>
          <w:sz w:val="24"/>
          <w:szCs w:val="24"/>
        </w:rPr>
        <w:t xml:space="preserve"> namely, resale and repair. The process of preparing the corresponding poster presentation reminded me of how crucial it was to be able to convey a relatively complex process of strategic and regulatory thinking in a succinct form understandable even to non-experts within a very limited amount of time, focusing on the sustainability aspect and market appeal rather than on all the details provided in the analysis (Kendrick </w:t>
      </w:r>
      <w:r>
        <w:rPr>
          <w:i/>
          <w:iCs/>
          <w:sz w:val="24"/>
          <w:szCs w:val="24"/>
        </w:rPr>
        <w:t>et al.,</w:t>
      </w:r>
      <w:r>
        <w:rPr>
          <w:sz w:val="24"/>
          <w:szCs w:val="24"/>
        </w:rPr>
        <w:t xml:space="preserve"> 2022).</w:t>
      </w:r>
    </w:p>
    <w:p w14:paraId="38C2855B" w14:textId="77777777" w:rsidR="00510185" w:rsidRDefault="00424E35">
      <w:pPr>
        <w:spacing w:after="200" w:line="360" w:lineRule="auto"/>
        <w:jc w:val="both"/>
        <w:rPr>
          <w:sz w:val="24"/>
          <w:szCs w:val="24"/>
        </w:rPr>
      </w:pPr>
      <w:r>
        <w:rPr>
          <w:sz w:val="24"/>
          <w:szCs w:val="24"/>
        </w:rPr>
        <w:t xml:space="preserve">In summary, this project enhanced my ability to judge brand extensions </w:t>
      </w:r>
      <w:proofErr w:type="gramStart"/>
      <w:r>
        <w:rPr>
          <w:sz w:val="24"/>
          <w:szCs w:val="24"/>
        </w:rPr>
        <w:t>on the basis of</w:t>
      </w:r>
      <w:proofErr w:type="gramEnd"/>
      <w:r>
        <w:rPr>
          <w:sz w:val="24"/>
          <w:szCs w:val="24"/>
        </w:rPr>
        <w:t xml:space="preserve"> commercial and regulatory considerations simultaneously, as well as my ability to adapt my marketing strategy to a particular regulatory framework that is changing right now. In order to further improve in these areas, I plan to monitor future developments in the realm of European and British regulation of environmental claims more closely, since this appears to be an issue that is still developing and will continue to be commercially relevant for a wide range of industries beyond outdoor clothing (Bebbington </w:t>
      </w:r>
      <w:r>
        <w:rPr>
          <w:i/>
          <w:iCs/>
          <w:sz w:val="24"/>
          <w:szCs w:val="24"/>
        </w:rPr>
        <w:t>et al.,</w:t>
      </w:r>
      <w:r>
        <w:rPr>
          <w:sz w:val="24"/>
          <w:szCs w:val="24"/>
        </w:rPr>
        <w:t xml:space="preserve"> 2023). I would also like to learn more about cross-border transport and customs procedures, as this turned out to be more relevant to this project than I first expected.</w:t>
      </w:r>
    </w:p>
    <w:p w14:paraId="1982D5C2" w14:textId="77777777" w:rsidR="00510185" w:rsidRDefault="00424E35">
      <w:pPr>
        <w:spacing w:after="200" w:line="360" w:lineRule="auto"/>
        <w:jc w:val="both"/>
        <w:rPr>
          <w:sz w:val="24"/>
          <w:szCs w:val="24"/>
        </w:rPr>
      </w:pPr>
      <w:r>
        <w:br w:type="page"/>
      </w:r>
    </w:p>
    <w:p w14:paraId="4B4F38A3" w14:textId="77777777" w:rsidR="00510185" w:rsidRDefault="00424E35">
      <w:pPr>
        <w:pStyle w:val="Heading1"/>
        <w:spacing w:after="200"/>
        <w:rPr>
          <w:rFonts w:ascii="Arial" w:eastAsia="Arial" w:hAnsi="Arial" w:cs="Arial"/>
        </w:rPr>
      </w:pPr>
      <w:bookmarkStart w:id="16" w:name="_qufat02ak3a3" w:colFirst="0" w:colLast="0"/>
      <w:bookmarkEnd w:id="16"/>
      <w:r>
        <w:rPr>
          <w:rFonts w:ascii="Arial" w:eastAsia="Arial" w:hAnsi="Arial" w:cs="Arial"/>
        </w:rPr>
        <w:lastRenderedPageBreak/>
        <w:t>References</w:t>
      </w:r>
    </w:p>
    <w:p w14:paraId="393C91CB" w14:textId="77777777" w:rsidR="00B15834" w:rsidRDefault="00B15834">
      <w:pPr>
        <w:spacing w:after="240" w:line="360" w:lineRule="auto"/>
        <w:jc w:val="both"/>
        <w:rPr>
          <w:sz w:val="24"/>
          <w:szCs w:val="24"/>
        </w:rPr>
      </w:pPr>
      <w:r>
        <w:rPr>
          <w:sz w:val="24"/>
          <w:szCs w:val="24"/>
        </w:rPr>
        <w:t xml:space="preserve">Adams, C., Alldredge, K. and Kohli, S. (2025). </w:t>
      </w:r>
      <w:r>
        <w:rPr>
          <w:i/>
          <w:iCs/>
          <w:sz w:val="24"/>
          <w:szCs w:val="24"/>
        </w:rPr>
        <w:t>State of the Consumer 2024: What’s Now and What’s next</w:t>
      </w:r>
      <w:r>
        <w:rPr>
          <w:sz w:val="24"/>
          <w:szCs w:val="24"/>
        </w:rPr>
        <w:t xml:space="preserve">. [online] McKinsey &amp; Company. Available at: </w:t>
      </w:r>
      <w:hyperlink r:id="rId12">
        <w:r>
          <w:rPr>
            <w:color w:val="1155CC"/>
            <w:sz w:val="24"/>
            <w:szCs w:val="24"/>
            <w:u w:val="single"/>
          </w:rPr>
          <w:t>https://www.mckinsey.com/industries/consumer-packaged-goods/our-insights/state-of-consumer</w:t>
        </w:r>
      </w:hyperlink>
      <w:r>
        <w:rPr>
          <w:sz w:val="24"/>
          <w:szCs w:val="24"/>
        </w:rPr>
        <w:t xml:space="preserve"> [Accessed 13 July 2026].</w:t>
      </w:r>
    </w:p>
    <w:p w14:paraId="63B1E4A6" w14:textId="77777777" w:rsidR="00B15834" w:rsidRDefault="00B15834">
      <w:pPr>
        <w:spacing w:after="240" w:line="360" w:lineRule="auto"/>
        <w:jc w:val="both"/>
        <w:rPr>
          <w:sz w:val="24"/>
          <w:szCs w:val="24"/>
        </w:rPr>
      </w:pPr>
      <w:r>
        <w:rPr>
          <w:sz w:val="24"/>
          <w:szCs w:val="24"/>
        </w:rPr>
        <w:t xml:space="preserve">Allen, A. (2020). </w:t>
      </w:r>
      <w:proofErr w:type="gramStart"/>
      <w:r>
        <w:rPr>
          <w:i/>
          <w:iCs/>
          <w:sz w:val="24"/>
          <w:szCs w:val="24"/>
        </w:rPr>
        <w:t>The 7</w:t>
      </w:r>
      <w:proofErr w:type="gramEnd"/>
      <w:r>
        <w:rPr>
          <w:i/>
          <w:iCs/>
          <w:sz w:val="24"/>
          <w:szCs w:val="24"/>
        </w:rPr>
        <w:t xml:space="preserve">Ps of </w:t>
      </w:r>
      <w:proofErr w:type="gramStart"/>
      <w:r>
        <w:rPr>
          <w:i/>
          <w:iCs/>
          <w:sz w:val="24"/>
          <w:szCs w:val="24"/>
        </w:rPr>
        <w:t>The Marketing</w:t>
      </w:r>
      <w:proofErr w:type="gramEnd"/>
      <w:r>
        <w:rPr>
          <w:i/>
          <w:iCs/>
          <w:sz w:val="24"/>
          <w:szCs w:val="24"/>
        </w:rPr>
        <w:t xml:space="preserve"> Mix</w:t>
      </w:r>
      <w:r>
        <w:rPr>
          <w:sz w:val="24"/>
          <w:szCs w:val="24"/>
        </w:rPr>
        <w:t xml:space="preserve">. [online] Oxford College of Marketing. Available at: </w:t>
      </w:r>
      <w:hyperlink r:id="rId13">
        <w:r>
          <w:rPr>
            <w:color w:val="1155CC"/>
            <w:sz w:val="24"/>
            <w:szCs w:val="24"/>
            <w:u w:val="single"/>
          </w:rPr>
          <w:t>https://blog.oxfordcollegeofmarketing.com/2020/10/08/understanding-the-7ps-of-the-marketing-mix/</w:t>
        </w:r>
      </w:hyperlink>
      <w:r>
        <w:rPr>
          <w:sz w:val="24"/>
          <w:szCs w:val="24"/>
        </w:rPr>
        <w:t xml:space="preserve"> [Accessed 13 July 2026].</w:t>
      </w:r>
    </w:p>
    <w:p w14:paraId="3A9D8E38" w14:textId="77777777" w:rsidR="00B15834" w:rsidRDefault="00B15834">
      <w:pPr>
        <w:spacing w:after="240" w:line="360" w:lineRule="auto"/>
        <w:jc w:val="both"/>
        <w:rPr>
          <w:sz w:val="24"/>
          <w:szCs w:val="24"/>
        </w:rPr>
      </w:pPr>
      <w:r>
        <w:rPr>
          <w:sz w:val="24"/>
          <w:szCs w:val="24"/>
        </w:rPr>
        <w:t xml:space="preserve">Aydin </w:t>
      </w:r>
      <w:proofErr w:type="spellStart"/>
      <w:r>
        <w:rPr>
          <w:sz w:val="24"/>
          <w:szCs w:val="24"/>
        </w:rPr>
        <w:t>ahrabi</w:t>
      </w:r>
      <w:proofErr w:type="spellEnd"/>
      <w:r>
        <w:rPr>
          <w:sz w:val="24"/>
          <w:szCs w:val="24"/>
        </w:rPr>
        <w:t xml:space="preserve"> (2026). </w:t>
      </w:r>
      <w:r>
        <w:rPr>
          <w:i/>
          <w:iCs/>
          <w:sz w:val="24"/>
          <w:szCs w:val="24"/>
        </w:rPr>
        <w:t>STDP Framework in Marketing</w:t>
      </w:r>
      <w:r>
        <w:rPr>
          <w:sz w:val="24"/>
          <w:szCs w:val="24"/>
        </w:rPr>
        <w:t xml:space="preserve">. [online] LinkedIn. Available at: </w:t>
      </w:r>
      <w:hyperlink r:id="rId14">
        <w:r>
          <w:rPr>
            <w:color w:val="1155CC"/>
            <w:sz w:val="24"/>
            <w:szCs w:val="24"/>
            <w:u w:val="single"/>
          </w:rPr>
          <w:t>https://www.linkedin.com/posts/aydin-ahrabi_stdp-segmentation-targeting-activity-7412383487904862208-zt0t/</w:t>
        </w:r>
      </w:hyperlink>
      <w:r>
        <w:rPr>
          <w:sz w:val="24"/>
          <w:szCs w:val="24"/>
        </w:rPr>
        <w:t xml:space="preserve"> [Accessed 13 July 2026].</w:t>
      </w:r>
    </w:p>
    <w:p w14:paraId="4965D2FC" w14:textId="77777777" w:rsidR="00B15834" w:rsidRDefault="00B15834">
      <w:pPr>
        <w:spacing w:after="240" w:line="360" w:lineRule="auto"/>
        <w:jc w:val="both"/>
        <w:rPr>
          <w:sz w:val="24"/>
          <w:szCs w:val="24"/>
        </w:rPr>
      </w:pPr>
      <w:r>
        <w:rPr>
          <w:color w:val="222222"/>
          <w:sz w:val="24"/>
          <w:szCs w:val="24"/>
          <w:highlight w:val="white"/>
        </w:rPr>
        <w:t xml:space="preserve">Bebbington, J., Laine, M., Larrinaga, C. and Michelon, G., 2023. Environmental accounting in the European accounting review: a reflection. </w:t>
      </w:r>
      <w:r>
        <w:rPr>
          <w:i/>
          <w:iCs/>
          <w:color w:val="222222"/>
          <w:sz w:val="24"/>
          <w:szCs w:val="24"/>
          <w:highlight w:val="white"/>
        </w:rPr>
        <w:t>European Accounting Review</w:t>
      </w:r>
      <w:r>
        <w:rPr>
          <w:color w:val="222222"/>
          <w:sz w:val="24"/>
          <w:szCs w:val="24"/>
          <w:highlight w:val="white"/>
        </w:rPr>
        <w:t xml:space="preserve">, </w:t>
      </w:r>
      <w:r>
        <w:rPr>
          <w:i/>
          <w:iCs/>
          <w:color w:val="222222"/>
          <w:sz w:val="24"/>
          <w:szCs w:val="24"/>
          <w:highlight w:val="white"/>
        </w:rPr>
        <w:t>32</w:t>
      </w:r>
      <w:r>
        <w:rPr>
          <w:color w:val="222222"/>
          <w:sz w:val="24"/>
          <w:szCs w:val="24"/>
          <w:highlight w:val="white"/>
        </w:rPr>
        <w:t>(5), pp.1107-1128.</w:t>
      </w:r>
      <w:hyperlink r:id="rId15">
        <w:r>
          <w:rPr>
            <w:color w:val="1155CC"/>
            <w:sz w:val="24"/>
            <w:szCs w:val="24"/>
            <w:u w:val="single"/>
          </w:rPr>
          <w:t>https://www.tandfonline.com/doi/abs/10.1080/09638180.2023.2254351</w:t>
        </w:r>
      </w:hyperlink>
      <w:r>
        <w:rPr>
          <w:sz w:val="24"/>
          <w:szCs w:val="24"/>
        </w:rPr>
        <w:t xml:space="preserve"> </w:t>
      </w:r>
    </w:p>
    <w:p w14:paraId="625BE2D0" w14:textId="77777777" w:rsidR="00B15834" w:rsidRDefault="00B15834">
      <w:pPr>
        <w:spacing w:after="240" w:line="360" w:lineRule="auto"/>
        <w:jc w:val="both"/>
        <w:rPr>
          <w:sz w:val="24"/>
          <w:szCs w:val="24"/>
        </w:rPr>
      </w:pPr>
      <w:proofErr w:type="spellStart"/>
      <w:r>
        <w:rPr>
          <w:color w:val="222222"/>
          <w:sz w:val="24"/>
          <w:szCs w:val="24"/>
          <w:highlight w:val="white"/>
        </w:rPr>
        <w:t>Bocken</w:t>
      </w:r>
      <w:proofErr w:type="spellEnd"/>
      <w:r>
        <w:rPr>
          <w:color w:val="222222"/>
          <w:sz w:val="24"/>
          <w:szCs w:val="24"/>
          <w:highlight w:val="white"/>
        </w:rPr>
        <w:t xml:space="preserve">, N.M., Niessen, L. and Short, S.W., 2022. The sufficiency-based circular economy—an analysis of 150 companies. </w:t>
      </w:r>
      <w:r>
        <w:rPr>
          <w:i/>
          <w:iCs/>
          <w:color w:val="222222"/>
          <w:sz w:val="24"/>
          <w:szCs w:val="24"/>
          <w:highlight w:val="white"/>
        </w:rPr>
        <w:t>Frontiers in sustainability</w:t>
      </w:r>
      <w:r>
        <w:rPr>
          <w:color w:val="222222"/>
          <w:sz w:val="24"/>
          <w:szCs w:val="24"/>
          <w:highlight w:val="white"/>
        </w:rPr>
        <w:t xml:space="preserve">, </w:t>
      </w:r>
      <w:r>
        <w:rPr>
          <w:i/>
          <w:iCs/>
          <w:color w:val="222222"/>
          <w:sz w:val="24"/>
          <w:szCs w:val="24"/>
          <w:highlight w:val="white"/>
        </w:rPr>
        <w:t>3</w:t>
      </w:r>
      <w:r>
        <w:rPr>
          <w:color w:val="222222"/>
          <w:sz w:val="24"/>
          <w:szCs w:val="24"/>
          <w:highlight w:val="white"/>
        </w:rPr>
        <w:t>, p.899289.</w:t>
      </w:r>
      <w:hyperlink r:id="rId16">
        <w:r>
          <w:rPr>
            <w:color w:val="1155CC"/>
            <w:sz w:val="24"/>
            <w:szCs w:val="24"/>
            <w:u w:val="single"/>
          </w:rPr>
          <w:t>https://www.frontiersin.org/journals/sustainability/articles/10.3389/frsus.2022.899289/full?trk=public_post_comment-text</w:t>
        </w:r>
      </w:hyperlink>
      <w:r>
        <w:rPr>
          <w:sz w:val="24"/>
          <w:szCs w:val="24"/>
        </w:rPr>
        <w:t xml:space="preserve"> </w:t>
      </w:r>
    </w:p>
    <w:p w14:paraId="7A193A86" w14:textId="77777777" w:rsidR="00B15834" w:rsidRDefault="00B15834">
      <w:pPr>
        <w:spacing w:after="240" w:line="360" w:lineRule="auto"/>
        <w:jc w:val="both"/>
        <w:rPr>
          <w:sz w:val="24"/>
          <w:szCs w:val="24"/>
        </w:rPr>
      </w:pPr>
      <w:r>
        <w:rPr>
          <w:color w:val="222222"/>
          <w:sz w:val="24"/>
          <w:szCs w:val="24"/>
          <w:highlight w:val="white"/>
        </w:rPr>
        <w:t xml:space="preserve">Burrell, D.N., Wansi, T., Morin, S.L., Rahim, E., Tessema, D.B., Alemu, B.A., Harris, N. and Conley, L., 2025. Harnessing Behavioral Economics, Green Promotions, and Financial Incentives as Catalysts for Sustainable Practices. </w:t>
      </w:r>
      <w:r>
        <w:rPr>
          <w:i/>
          <w:iCs/>
          <w:color w:val="222222"/>
          <w:sz w:val="24"/>
          <w:szCs w:val="24"/>
          <w:highlight w:val="white"/>
        </w:rPr>
        <w:t>Green Transition and Sustainable Development</w:t>
      </w:r>
      <w:r>
        <w:rPr>
          <w:color w:val="222222"/>
          <w:sz w:val="24"/>
          <w:szCs w:val="24"/>
          <w:highlight w:val="white"/>
        </w:rPr>
        <w:t xml:space="preserve">, </w:t>
      </w:r>
      <w:r>
        <w:rPr>
          <w:i/>
          <w:iCs/>
          <w:color w:val="222222"/>
          <w:sz w:val="24"/>
          <w:szCs w:val="24"/>
          <w:highlight w:val="white"/>
        </w:rPr>
        <w:t>1</w:t>
      </w:r>
      <w:r>
        <w:rPr>
          <w:color w:val="222222"/>
          <w:sz w:val="24"/>
          <w:szCs w:val="24"/>
          <w:highlight w:val="white"/>
        </w:rPr>
        <w:t>(1), pp.1-16.</w:t>
      </w:r>
      <w:hyperlink r:id="rId17">
        <w:r>
          <w:rPr>
            <w:color w:val="1155CC"/>
            <w:sz w:val="24"/>
            <w:szCs w:val="24"/>
            <w:u w:val="single"/>
          </w:rPr>
          <w:t>https://armgpublishing.com/journals/gtsd/volume-1-issue-1/article-1/</w:t>
        </w:r>
      </w:hyperlink>
      <w:r>
        <w:rPr>
          <w:sz w:val="24"/>
          <w:szCs w:val="24"/>
        </w:rPr>
        <w:t xml:space="preserve"> </w:t>
      </w:r>
    </w:p>
    <w:p w14:paraId="34E71546" w14:textId="77777777" w:rsidR="00B15834" w:rsidRDefault="00B15834">
      <w:pPr>
        <w:spacing w:after="240" w:line="360" w:lineRule="auto"/>
        <w:jc w:val="both"/>
        <w:rPr>
          <w:sz w:val="24"/>
          <w:szCs w:val="24"/>
        </w:rPr>
      </w:pPr>
      <w:r>
        <w:rPr>
          <w:color w:val="222222"/>
          <w:sz w:val="24"/>
          <w:szCs w:val="24"/>
          <w:highlight w:val="white"/>
        </w:rPr>
        <w:t xml:space="preserve">Chi, T., Desch, G., Huynh, H., Duquaine, M., Chen, Y. and Fang, L., 2025. Apparel resale program: how US consumers respond to the new business model. </w:t>
      </w:r>
      <w:r>
        <w:rPr>
          <w:i/>
          <w:iCs/>
          <w:color w:val="222222"/>
          <w:sz w:val="24"/>
          <w:szCs w:val="24"/>
          <w:highlight w:val="white"/>
        </w:rPr>
        <w:t xml:space="preserve">Journal of Responsible </w:t>
      </w:r>
      <w:r>
        <w:rPr>
          <w:i/>
          <w:iCs/>
          <w:color w:val="222222"/>
          <w:sz w:val="24"/>
          <w:szCs w:val="24"/>
          <w:highlight w:val="white"/>
        </w:rPr>
        <w:lastRenderedPageBreak/>
        <w:t>Production and Consumption</w:t>
      </w:r>
      <w:r>
        <w:rPr>
          <w:color w:val="222222"/>
          <w:sz w:val="24"/>
          <w:szCs w:val="24"/>
          <w:highlight w:val="white"/>
        </w:rPr>
        <w:t xml:space="preserve">, </w:t>
      </w:r>
      <w:r>
        <w:rPr>
          <w:i/>
          <w:iCs/>
          <w:color w:val="222222"/>
          <w:sz w:val="24"/>
          <w:szCs w:val="24"/>
          <w:highlight w:val="white"/>
        </w:rPr>
        <w:t>2</w:t>
      </w:r>
      <w:r>
        <w:rPr>
          <w:color w:val="222222"/>
          <w:sz w:val="24"/>
          <w:szCs w:val="24"/>
          <w:highlight w:val="white"/>
        </w:rPr>
        <w:t>(1), pp.496-524.</w:t>
      </w:r>
      <w:hyperlink r:id="rId18">
        <w:r>
          <w:rPr>
            <w:color w:val="1155CC"/>
            <w:sz w:val="24"/>
            <w:szCs w:val="24"/>
            <w:u w:val="single"/>
          </w:rPr>
          <w:t>https://www.emerald.com/jrpc/article/2/1/496/1298250</w:t>
        </w:r>
      </w:hyperlink>
      <w:r>
        <w:rPr>
          <w:sz w:val="24"/>
          <w:szCs w:val="24"/>
        </w:rPr>
        <w:t xml:space="preserve"> </w:t>
      </w:r>
    </w:p>
    <w:p w14:paraId="2027FC2B" w14:textId="77777777" w:rsidR="00B15834" w:rsidRDefault="00B15834">
      <w:pPr>
        <w:spacing w:after="240" w:line="360" w:lineRule="auto"/>
        <w:jc w:val="both"/>
        <w:rPr>
          <w:sz w:val="24"/>
          <w:szCs w:val="24"/>
        </w:rPr>
      </w:pPr>
      <w:r>
        <w:rPr>
          <w:color w:val="222222"/>
          <w:sz w:val="24"/>
          <w:szCs w:val="24"/>
          <w:highlight w:val="white"/>
        </w:rPr>
        <w:t xml:space="preserve">Elshaer, I.A., </w:t>
      </w:r>
      <w:proofErr w:type="spellStart"/>
      <w:r>
        <w:rPr>
          <w:color w:val="222222"/>
          <w:sz w:val="24"/>
          <w:szCs w:val="24"/>
          <w:highlight w:val="white"/>
        </w:rPr>
        <w:t>Azazz</w:t>
      </w:r>
      <w:proofErr w:type="spellEnd"/>
      <w:r>
        <w:rPr>
          <w:color w:val="222222"/>
          <w:sz w:val="24"/>
          <w:szCs w:val="24"/>
          <w:highlight w:val="white"/>
        </w:rPr>
        <w:t xml:space="preserve">, A.M., Fayyad, S., </w:t>
      </w:r>
      <w:proofErr w:type="spellStart"/>
      <w:r>
        <w:rPr>
          <w:color w:val="222222"/>
          <w:sz w:val="24"/>
          <w:szCs w:val="24"/>
          <w:highlight w:val="white"/>
        </w:rPr>
        <w:t>Aljoghaiman</w:t>
      </w:r>
      <w:proofErr w:type="spellEnd"/>
      <w:r>
        <w:rPr>
          <w:color w:val="222222"/>
          <w:sz w:val="24"/>
          <w:szCs w:val="24"/>
          <w:highlight w:val="white"/>
        </w:rPr>
        <w:t xml:space="preserve">, A., Fathy, E.A. and Fouad, A.M., 2025. From asymmetry to satisfaction: The dynamic role of perceived value and trust to boost customer satisfaction in the tourism industry. </w:t>
      </w:r>
      <w:r>
        <w:rPr>
          <w:i/>
          <w:iCs/>
          <w:color w:val="222222"/>
          <w:sz w:val="24"/>
          <w:szCs w:val="24"/>
          <w:highlight w:val="white"/>
        </w:rPr>
        <w:t>Tourism and Hospitality</w:t>
      </w:r>
      <w:r>
        <w:rPr>
          <w:color w:val="222222"/>
          <w:sz w:val="24"/>
          <w:szCs w:val="24"/>
          <w:highlight w:val="white"/>
        </w:rPr>
        <w:t xml:space="preserve">, </w:t>
      </w:r>
      <w:r>
        <w:rPr>
          <w:i/>
          <w:iCs/>
          <w:color w:val="222222"/>
          <w:sz w:val="24"/>
          <w:szCs w:val="24"/>
          <w:highlight w:val="white"/>
        </w:rPr>
        <w:t>6</w:t>
      </w:r>
      <w:r>
        <w:rPr>
          <w:color w:val="222222"/>
          <w:sz w:val="24"/>
          <w:szCs w:val="24"/>
          <w:highlight w:val="white"/>
        </w:rPr>
        <w:t>(2), p.68.</w:t>
      </w:r>
      <w:hyperlink r:id="rId19">
        <w:r>
          <w:rPr>
            <w:color w:val="1155CC"/>
            <w:sz w:val="24"/>
            <w:szCs w:val="24"/>
            <w:u w:val="single"/>
          </w:rPr>
          <w:t>https://www.mdpi.com/2673-5768/6/2/68</w:t>
        </w:r>
      </w:hyperlink>
      <w:r>
        <w:rPr>
          <w:sz w:val="24"/>
          <w:szCs w:val="24"/>
        </w:rPr>
        <w:t xml:space="preserve"> </w:t>
      </w:r>
    </w:p>
    <w:p w14:paraId="3901BA04" w14:textId="77777777" w:rsidR="00B15834" w:rsidRDefault="00B15834">
      <w:pPr>
        <w:spacing w:after="240" w:line="360" w:lineRule="auto"/>
        <w:jc w:val="both"/>
        <w:rPr>
          <w:sz w:val="24"/>
          <w:szCs w:val="24"/>
        </w:rPr>
      </w:pPr>
      <w:r>
        <w:rPr>
          <w:sz w:val="24"/>
          <w:szCs w:val="24"/>
        </w:rPr>
        <w:t xml:space="preserve">EU VAT FORUM (2020). </w:t>
      </w:r>
      <w:r>
        <w:rPr>
          <w:i/>
          <w:iCs/>
          <w:sz w:val="24"/>
          <w:szCs w:val="24"/>
        </w:rPr>
        <w:t>EU VAT FORUM “PREVENTION AND SOLUTION OF VAT DOUBLE TAXATION DISPUTE” REPORT</w:t>
      </w:r>
      <w:r>
        <w:rPr>
          <w:sz w:val="24"/>
          <w:szCs w:val="24"/>
        </w:rPr>
        <w:t xml:space="preserve">. [online] Available at: </w:t>
      </w:r>
      <w:hyperlink r:id="rId20">
        <w:r>
          <w:rPr>
            <w:color w:val="1155CC"/>
            <w:sz w:val="24"/>
            <w:szCs w:val="24"/>
            <w:u w:val="single"/>
          </w:rPr>
          <w:t>https://taxation-customs.ec.europa.eu/system/files/2020-01/01-2020-executive-note-eu-vat_forum.pdf</w:t>
        </w:r>
      </w:hyperlink>
      <w:r>
        <w:rPr>
          <w:sz w:val="24"/>
          <w:szCs w:val="24"/>
        </w:rPr>
        <w:t xml:space="preserve"> [Accessed 13 July 2026].</w:t>
      </w:r>
    </w:p>
    <w:p w14:paraId="1249EE5E" w14:textId="77777777" w:rsidR="00B15834" w:rsidRDefault="00B15834">
      <w:pPr>
        <w:spacing w:after="240" w:line="360" w:lineRule="auto"/>
        <w:jc w:val="both"/>
        <w:rPr>
          <w:sz w:val="24"/>
          <w:szCs w:val="24"/>
        </w:rPr>
      </w:pPr>
      <w:r>
        <w:rPr>
          <w:sz w:val="24"/>
          <w:szCs w:val="24"/>
        </w:rPr>
        <w:t xml:space="preserve">European Commission (2026). </w:t>
      </w:r>
      <w:r>
        <w:rPr>
          <w:i/>
          <w:iCs/>
          <w:sz w:val="24"/>
          <w:szCs w:val="24"/>
        </w:rPr>
        <w:t>Green claims</w:t>
      </w:r>
      <w:r>
        <w:rPr>
          <w:sz w:val="24"/>
          <w:szCs w:val="24"/>
        </w:rPr>
        <w:t xml:space="preserve">. [online] Environment. Available at: </w:t>
      </w:r>
      <w:hyperlink r:id="rId21">
        <w:r>
          <w:rPr>
            <w:color w:val="1155CC"/>
            <w:sz w:val="24"/>
            <w:szCs w:val="24"/>
            <w:u w:val="single"/>
          </w:rPr>
          <w:t>https://environment.ec.europa.eu/topics/circular-economy-topics/green-claims_en</w:t>
        </w:r>
      </w:hyperlink>
      <w:r>
        <w:rPr>
          <w:sz w:val="24"/>
          <w:szCs w:val="24"/>
        </w:rPr>
        <w:t xml:space="preserve"> [Accessed 13 July 2026].</w:t>
      </w:r>
    </w:p>
    <w:p w14:paraId="394A477E" w14:textId="77777777" w:rsidR="00B15834" w:rsidRDefault="00B15834">
      <w:pPr>
        <w:spacing w:after="240" w:line="360" w:lineRule="auto"/>
        <w:jc w:val="both"/>
        <w:rPr>
          <w:sz w:val="24"/>
          <w:szCs w:val="24"/>
        </w:rPr>
      </w:pPr>
      <w:r>
        <w:rPr>
          <w:color w:val="222222"/>
          <w:sz w:val="24"/>
          <w:szCs w:val="24"/>
          <w:highlight w:val="white"/>
        </w:rPr>
        <w:t xml:space="preserve">Fernandes, J. and Ferrão, P., 2023. A new framework for circular refurbishment of buildings to operationalize circular economy policies. </w:t>
      </w:r>
      <w:r>
        <w:rPr>
          <w:i/>
          <w:iCs/>
          <w:color w:val="222222"/>
          <w:sz w:val="24"/>
          <w:szCs w:val="24"/>
          <w:highlight w:val="white"/>
        </w:rPr>
        <w:t>Environments</w:t>
      </w:r>
      <w:r>
        <w:rPr>
          <w:color w:val="222222"/>
          <w:sz w:val="24"/>
          <w:szCs w:val="24"/>
          <w:highlight w:val="white"/>
        </w:rPr>
        <w:t xml:space="preserve">, </w:t>
      </w:r>
      <w:r>
        <w:rPr>
          <w:i/>
          <w:iCs/>
          <w:color w:val="222222"/>
          <w:sz w:val="24"/>
          <w:szCs w:val="24"/>
          <w:highlight w:val="white"/>
        </w:rPr>
        <w:t>10</w:t>
      </w:r>
      <w:r>
        <w:rPr>
          <w:color w:val="222222"/>
          <w:sz w:val="24"/>
          <w:szCs w:val="24"/>
          <w:highlight w:val="white"/>
        </w:rPr>
        <w:t>(3), p.51.</w:t>
      </w:r>
      <w:hyperlink r:id="rId22">
        <w:r>
          <w:rPr>
            <w:color w:val="1155CC"/>
            <w:sz w:val="24"/>
            <w:szCs w:val="24"/>
            <w:u w:val="single"/>
          </w:rPr>
          <w:t>https://www.mdpi.com/2076-3298/10/3/51</w:t>
        </w:r>
      </w:hyperlink>
      <w:r>
        <w:rPr>
          <w:sz w:val="24"/>
          <w:szCs w:val="24"/>
        </w:rPr>
        <w:t xml:space="preserve"> </w:t>
      </w:r>
    </w:p>
    <w:p w14:paraId="71A58137" w14:textId="77777777" w:rsidR="00B15834" w:rsidRDefault="00B15834">
      <w:pPr>
        <w:spacing w:after="240" w:line="360" w:lineRule="auto"/>
        <w:jc w:val="both"/>
        <w:rPr>
          <w:sz w:val="24"/>
          <w:szCs w:val="24"/>
        </w:rPr>
      </w:pPr>
      <w:r>
        <w:rPr>
          <w:color w:val="222222"/>
          <w:sz w:val="24"/>
          <w:szCs w:val="24"/>
          <w:highlight w:val="white"/>
        </w:rPr>
        <w:t xml:space="preserve">Guo, S., 2024. Circular business models in sustainable fashion brands: innovation, practice, and impact. </w:t>
      </w:r>
      <w:r>
        <w:rPr>
          <w:i/>
          <w:iCs/>
          <w:color w:val="222222"/>
          <w:sz w:val="24"/>
          <w:szCs w:val="24"/>
          <w:highlight w:val="white"/>
        </w:rPr>
        <w:t>Journal of Humanities, Arts and Social Science</w:t>
      </w:r>
      <w:r>
        <w:rPr>
          <w:color w:val="222222"/>
          <w:sz w:val="24"/>
          <w:szCs w:val="24"/>
          <w:highlight w:val="white"/>
        </w:rPr>
        <w:t xml:space="preserve">, </w:t>
      </w:r>
      <w:r>
        <w:rPr>
          <w:i/>
          <w:iCs/>
          <w:color w:val="222222"/>
          <w:sz w:val="24"/>
          <w:szCs w:val="24"/>
          <w:highlight w:val="white"/>
        </w:rPr>
        <w:t>8</w:t>
      </w:r>
      <w:r>
        <w:rPr>
          <w:color w:val="222222"/>
          <w:sz w:val="24"/>
          <w:szCs w:val="24"/>
          <w:highlight w:val="white"/>
        </w:rPr>
        <w:t>(1).</w:t>
      </w:r>
      <w:hyperlink r:id="rId23">
        <w:r>
          <w:rPr>
            <w:color w:val="1155CC"/>
            <w:sz w:val="24"/>
            <w:szCs w:val="24"/>
            <w:u w:val="single"/>
          </w:rPr>
          <w:t>https://www.hillpublisher.com/ArticleDetails/2717</w:t>
        </w:r>
      </w:hyperlink>
      <w:r>
        <w:rPr>
          <w:sz w:val="24"/>
          <w:szCs w:val="24"/>
        </w:rPr>
        <w:t xml:space="preserve"> </w:t>
      </w:r>
    </w:p>
    <w:p w14:paraId="755B1004" w14:textId="77777777" w:rsidR="00B15834" w:rsidRDefault="00B15834">
      <w:pPr>
        <w:spacing w:after="240" w:line="360" w:lineRule="auto"/>
        <w:jc w:val="both"/>
        <w:rPr>
          <w:sz w:val="24"/>
          <w:szCs w:val="24"/>
        </w:rPr>
      </w:pPr>
      <w:r>
        <w:rPr>
          <w:color w:val="222222"/>
          <w:sz w:val="24"/>
          <w:szCs w:val="24"/>
          <w:highlight w:val="white"/>
        </w:rPr>
        <w:t>Hong, T.K., 2025. Strategic International Marketing Plan: Patagonia’s Entry into India.</w:t>
      </w:r>
      <w:hyperlink r:id="rId24">
        <w:r>
          <w:rPr>
            <w:color w:val="1155CC"/>
            <w:sz w:val="24"/>
            <w:szCs w:val="24"/>
            <w:u w:val="single"/>
          </w:rPr>
          <w:t>https://www.researchgate.net/profile/Kwan-Hong-Tan/publication/391661964_Strategic_International_Marketing_Plan_Patagonia's_Entry_into_India/links/68219de7d1054b0207ee4bdf/Strategic-International-Marketing-Plan-Patagonias-Entry-into-India.pdf</w:t>
        </w:r>
      </w:hyperlink>
      <w:r>
        <w:rPr>
          <w:sz w:val="24"/>
          <w:szCs w:val="24"/>
        </w:rPr>
        <w:t xml:space="preserve"> </w:t>
      </w:r>
    </w:p>
    <w:p w14:paraId="41825F2A" w14:textId="77777777" w:rsidR="00B15834" w:rsidRDefault="00B15834">
      <w:pPr>
        <w:spacing w:after="240" w:line="360" w:lineRule="auto"/>
        <w:jc w:val="both"/>
        <w:rPr>
          <w:sz w:val="24"/>
          <w:szCs w:val="24"/>
        </w:rPr>
      </w:pPr>
      <w:r>
        <w:rPr>
          <w:color w:val="222222"/>
          <w:sz w:val="24"/>
          <w:szCs w:val="24"/>
          <w:highlight w:val="white"/>
        </w:rPr>
        <w:t xml:space="preserve">Jiang, G., Macintyre, L., </w:t>
      </w:r>
      <w:proofErr w:type="spellStart"/>
      <w:r>
        <w:rPr>
          <w:color w:val="222222"/>
          <w:sz w:val="24"/>
          <w:szCs w:val="24"/>
          <w:highlight w:val="white"/>
        </w:rPr>
        <w:t>Spanellis</w:t>
      </w:r>
      <w:proofErr w:type="spellEnd"/>
      <w:r>
        <w:rPr>
          <w:color w:val="222222"/>
          <w:sz w:val="24"/>
          <w:szCs w:val="24"/>
          <w:highlight w:val="white"/>
        </w:rPr>
        <w:t xml:space="preserve">, A. and Carrigan, M., 2025. The State of Garment Repair and Alteration Services in the UK: Typology, Evaluation of Online Information and </w:t>
      </w:r>
      <w:r>
        <w:rPr>
          <w:color w:val="222222"/>
          <w:sz w:val="24"/>
          <w:szCs w:val="24"/>
          <w:highlight w:val="white"/>
        </w:rPr>
        <w:lastRenderedPageBreak/>
        <w:t xml:space="preserve">Thematic Analysis of Customer Reviews. </w:t>
      </w:r>
      <w:r>
        <w:rPr>
          <w:i/>
          <w:iCs/>
          <w:color w:val="222222"/>
          <w:sz w:val="24"/>
          <w:szCs w:val="24"/>
          <w:highlight w:val="white"/>
        </w:rPr>
        <w:t>Journal of Community &amp; Applied Social Psychology</w:t>
      </w:r>
      <w:r>
        <w:rPr>
          <w:color w:val="222222"/>
          <w:sz w:val="24"/>
          <w:szCs w:val="24"/>
          <w:highlight w:val="white"/>
        </w:rPr>
        <w:t xml:space="preserve">, </w:t>
      </w:r>
      <w:r>
        <w:rPr>
          <w:i/>
          <w:iCs/>
          <w:color w:val="222222"/>
          <w:sz w:val="24"/>
          <w:szCs w:val="24"/>
          <w:highlight w:val="white"/>
        </w:rPr>
        <w:t>35</w:t>
      </w:r>
      <w:r>
        <w:rPr>
          <w:color w:val="222222"/>
          <w:sz w:val="24"/>
          <w:szCs w:val="24"/>
          <w:highlight w:val="white"/>
        </w:rPr>
        <w:t xml:space="preserve">(3), </w:t>
      </w:r>
      <w:proofErr w:type="gramStart"/>
      <w:r>
        <w:rPr>
          <w:color w:val="222222"/>
          <w:sz w:val="24"/>
          <w:szCs w:val="24"/>
          <w:highlight w:val="white"/>
        </w:rPr>
        <w:t>p.e</w:t>
      </w:r>
      <w:proofErr w:type="gramEnd"/>
      <w:r>
        <w:rPr>
          <w:color w:val="222222"/>
          <w:sz w:val="24"/>
          <w:szCs w:val="24"/>
          <w:highlight w:val="white"/>
        </w:rPr>
        <w:t>70091.</w:t>
      </w:r>
      <w:hyperlink r:id="rId25">
        <w:r>
          <w:rPr>
            <w:color w:val="1155CC"/>
            <w:sz w:val="24"/>
            <w:szCs w:val="24"/>
            <w:u w:val="single"/>
          </w:rPr>
          <w:t>https://onlinelibrary.wiley.com/doi/abs/10.1002/casp.70091</w:t>
        </w:r>
      </w:hyperlink>
      <w:r>
        <w:rPr>
          <w:sz w:val="24"/>
          <w:szCs w:val="24"/>
        </w:rPr>
        <w:t xml:space="preserve"> </w:t>
      </w:r>
    </w:p>
    <w:p w14:paraId="4189B5E2" w14:textId="77777777" w:rsidR="00B15834" w:rsidRDefault="00B15834">
      <w:pPr>
        <w:spacing w:after="240" w:line="360" w:lineRule="auto"/>
        <w:jc w:val="both"/>
        <w:rPr>
          <w:sz w:val="24"/>
          <w:szCs w:val="24"/>
        </w:rPr>
      </w:pPr>
      <w:r>
        <w:rPr>
          <w:color w:val="222222"/>
          <w:sz w:val="24"/>
          <w:szCs w:val="24"/>
          <w:highlight w:val="white"/>
        </w:rPr>
        <w:t xml:space="preserve">Kendrick, M., Early, M., </w:t>
      </w:r>
      <w:proofErr w:type="spellStart"/>
      <w:r>
        <w:rPr>
          <w:color w:val="222222"/>
          <w:sz w:val="24"/>
          <w:szCs w:val="24"/>
          <w:highlight w:val="white"/>
        </w:rPr>
        <w:t>Michalovich</w:t>
      </w:r>
      <w:proofErr w:type="spellEnd"/>
      <w:r>
        <w:rPr>
          <w:color w:val="222222"/>
          <w:sz w:val="24"/>
          <w:szCs w:val="24"/>
          <w:highlight w:val="white"/>
        </w:rPr>
        <w:t xml:space="preserve">, A. and Mangat, M., 2022. Digital storytelling with youth from refugee backgrounds: Possibilities for language and digital literacy learning. </w:t>
      </w:r>
      <w:proofErr w:type="spellStart"/>
      <w:r>
        <w:rPr>
          <w:i/>
          <w:iCs/>
          <w:color w:val="222222"/>
          <w:sz w:val="24"/>
          <w:szCs w:val="24"/>
          <w:highlight w:val="white"/>
        </w:rPr>
        <w:t>Tesol</w:t>
      </w:r>
      <w:proofErr w:type="spellEnd"/>
      <w:r>
        <w:rPr>
          <w:i/>
          <w:iCs/>
          <w:color w:val="222222"/>
          <w:sz w:val="24"/>
          <w:szCs w:val="24"/>
          <w:highlight w:val="white"/>
        </w:rPr>
        <w:t xml:space="preserve"> Quarterly</w:t>
      </w:r>
      <w:r>
        <w:rPr>
          <w:color w:val="222222"/>
          <w:sz w:val="24"/>
          <w:szCs w:val="24"/>
          <w:highlight w:val="white"/>
        </w:rPr>
        <w:t xml:space="preserve">, </w:t>
      </w:r>
      <w:r>
        <w:rPr>
          <w:i/>
          <w:iCs/>
          <w:color w:val="222222"/>
          <w:sz w:val="24"/>
          <w:szCs w:val="24"/>
          <w:highlight w:val="white"/>
        </w:rPr>
        <w:t>56</w:t>
      </w:r>
      <w:r>
        <w:rPr>
          <w:color w:val="222222"/>
          <w:sz w:val="24"/>
          <w:szCs w:val="24"/>
          <w:highlight w:val="white"/>
        </w:rPr>
        <w:t>(3), pp.961-984.</w:t>
      </w:r>
      <w:hyperlink r:id="rId26">
        <w:r>
          <w:rPr>
            <w:color w:val="1155CC"/>
            <w:sz w:val="24"/>
            <w:szCs w:val="24"/>
            <w:u w:val="single"/>
          </w:rPr>
          <w:t>https://onlinelibrary.wiley.com/doi/abs/10.1002/tesq.3146</w:t>
        </w:r>
      </w:hyperlink>
      <w:r>
        <w:rPr>
          <w:sz w:val="24"/>
          <w:szCs w:val="24"/>
        </w:rPr>
        <w:t xml:space="preserve"> </w:t>
      </w:r>
    </w:p>
    <w:p w14:paraId="5B1380F5" w14:textId="77777777" w:rsidR="00B15834" w:rsidRDefault="00B15834">
      <w:pPr>
        <w:spacing w:after="240" w:line="360" w:lineRule="auto"/>
        <w:jc w:val="both"/>
        <w:rPr>
          <w:sz w:val="24"/>
          <w:szCs w:val="24"/>
        </w:rPr>
      </w:pPr>
      <w:r>
        <w:rPr>
          <w:color w:val="222222"/>
          <w:sz w:val="24"/>
          <w:szCs w:val="24"/>
          <w:highlight w:val="white"/>
        </w:rPr>
        <w:t xml:space="preserve">Lee, J., Kim, J., Kim, J. and Choi, S., 2021. Why localization is necessary as a business strategy in emerging markets: The case comparison of </w:t>
      </w:r>
      <w:proofErr w:type="spellStart"/>
      <w:r>
        <w:rPr>
          <w:color w:val="222222"/>
          <w:sz w:val="24"/>
          <w:szCs w:val="24"/>
          <w:highlight w:val="white"/>
        </w:rPr>
        <w:t>hyundai</w:t>
      </w:r>
      <w:proofErr w:type="spellEnd"/>
      <w:r>
        <w:rPr>
          <w:color w:val="222222"/>
          <w:sz w:val="24"/>
          <w:szCs w:val="24"/>
          <w:highlight w:val="white"/>
        </w:rPr>
        <w:t xml:space="preserve"> and </w:t>
      </w:r>
      <w:proofErr w:type="spellStart"/>
      <w:r>
        <w:rPr>
          <w:color w:val="222222"/>
          <w:sz w:val="24"/>
          <w:szCs w:val="24"/>
          <w:highlight w:val="white"/>
        </w:rPr>
        <w:t>volkswagen</w:t>
      </w:r>
      <w:proofErr w:type="spellEnd"/>
      <w:r>
        <w:rPr>
          <w:color w:val="222222"/>
          <w:sz w:val="24"/>
          <w:szCs w:val="24"/>
          <w:highlight w:val="white"/>
        </w:rPr>
        <w:t xml:space="preserve">. </w:t>
      </w:r>
      <w:r>
        <w:rPr>
          <w:i/>
          <w:iCs/>
          <w:color w:val="222222"/>
          <w:sz w:val="24"/>
          <w:szCs w:val="24"/>
          <w:highlight w:val="white"/>
        </w:rPr>
        <w:t>Journal of Open Innovation: Technology, Market, and Complexity</w:t>
      </w:r>
      <w:r>
        <w:rPr>
          <w:color w:val="222222"/>
          <w:sz w:val="24"/>
          <w:szCs w:val="24"/>
          <w:highlight w:val="white"/>
        </w:rPr>
        <w:t xml:space="preserve">, </w:t>
      </w:r>
      <w:r>
        <w:rPr>
          <w:i/>
          <w:iCs/>
          <w:color w:val="222222"/>
          <w:sz w:val="24"/>
          <w:szCs w:val="24"/>
          <w:highlight w:val="white"/>
        </w:rPr>
        <w:t>7</w:t>
      </w:r>
      <w:r>
        <w:rPr>
          <w:color w:val="222222"/>
          <w:sz w:val="24"/>
          <w:szCs w:val="24"/>
          <w:highlight w:val="white"/>
        </w:rPr>
        <w:t>(3), p.190.</w:t>
      </w:r>
      <w:hyperlink r:id="rId27">
        <w:r>
          <w:rPr>
            <w:color w:val="1155CC"/>
            <w:sz w:val="24"/>
            <w:szCs w:val="24"/>
            <w:u w:val="single"/>
          </w:rPr>
          <w:t>https://www.mdpi.com/2199-8531/7/3/190</w:t>
        </w:r>
      </w:hyperlink>
      <w:r>
        <w:rPr>
          <w:sz w:val="24"/>
          <w:szCs w:val="24"/>
        </w:rPr>
        <w:t xml:space="preserve"> </w:t>
      </w:r>
    </w:p>
    <w:p w14:paraId="16471963" w14:textId="77777777" w:rsidR="00B15834" w:rsidRDefault="00B15834">
      <w:pPr>
        <w:spacing w:after="240" w:line="360" w:lineRule="auto"/>
        <w:jc w:val="both"/>
        <w:rPr>
          <w:sz w:val="24"/>
          <w:szCs w:val="24"/>
        </w:rPr>
      </w:pPr>
      <w:proofErr w:type="spellStart"/>
      <w:r>
        <w:rPr>
          <w:color w:val="222222"/>
          <w:sz w:val="24"/>
          <w:szCs w:val="24"/>
          <w:highlight w:val="white"/>
        </w:rPr>
        <w:t>Mangudhla</w:t>
      </w:r>
      <w:proofErr w:type="spellEnd"/>
      <w:r>
        <w:rPr>
          <w:color w:val="222222"/>
          <w:sz w:val="24"/>
          <w:szCs w:val="24"/>
          <w:highlight w:val="white"/>
        </w:rPr>
        <w:t xml:space="preserve">, T., 2025. Sustainable E-Commerce Platforms: Integrating Green Marketing Strategies in Digital Marketplaces. In </w:t>
      </w:r>
      <w:r>
        <w:rPr>
          <w:i/>
          <w:iCs/>
          <w:color w:val="222222"/>
          <w:sz w:val="24"/>
          <w:szCs w:val="24"/>
          <w:highlight w:val="white"/>
        </w:rPr>
        <w:t>Regulatory Frameworks and Digital Compliance in Green Marketing</w:t>
      </w:r>
      <w:r>
        <w:rPr>
          <w:color w:val="222222"/>
          <w:sz w:val="24"/>
          <w:szCs w:val="24"/>
          <w:highlight w:val="white"/>
        </w:rPr>
        <w:t xml:space="preserve"> (pp. 259-290). IGI Global Scientific Publishing.</w:t>
      </w:r>
      <w:hyperlink r:id="rId28">
        <w:r>
          <w:rPr>
            <w:color w:val="1155CC"/>
            <w:sz w:val="24"/>
            <w:szCs w:val="24"/>
            <w:u w:val="single"/>
          </w:rPr>
          <w:t>https://www.igi-global.com/chapter/sustainable-e-commerce-platforms/380389</w:t>
        </w:r>
      </w:hyperlink>
      <w:r>
        <w:rPr>
          <w:sz w:val="24"/>
          <w:szCs w:val="24"/>
        </w:rPr>
        <w:t xml:space="preserve"> </w:t>
      </w:r>
    </w:p>
    <w:p w14:paraId="40A5B166" w14:textId="77777777" w:rsidR="00B15834" w:rsidRDefault="00B15834">
      <w:pPr>
        <w:spacing w:after="240" w:line="360" w:lineRule="auto"/>
        <w:jc w:val="both"/>
        <w:rPr>
          <w:sz w:val="24"/>
          <w:szCs w:val="24"/>
        </w:rPr>
      </w:pPr>
      <w:r>
        <w:rPr>
          <w:sz w:val="24"/>
          <w:szCs w:val="24"/>
        </w:rPr>
        <w:t xml:space="preserve">Market Data Forecast (2026). </w:t>
      </w:r>
      <w:r>
        <w:rPr>
          <w:i/>
          <w:iCs/>
          <w:sz w:val="24"/>
          <w:szCs w:val="24"/>
        </w:rPr>
        <w:t xml:space="preserve">Europe </w:t>
      </w:r>
      <w:proofErr w:type="gramStart"/>
      <w:r>
        <w:rPr>
          <w:i/>
          <w:iCs/>
          <w:sz w:val="24"/>
          <w:szCs w:val="24"/>
        </w:rPr>
        <w:t>Second Hand</w:t>
      </w:r>
      <w:proofErr w:type="gramEnd"/>
      <w:r>
        <w:rPr>
          <w:i/>
          <w:iCs/>
          <w:sz w:val="24"/>
          <w:szCs w:val="24"/>
        </w:rPr>
        <w:t xml:space="preserve"> Clothing Market Report</w:t>
      </w:r>
      <w:r>
        <w:rPr>
          <w:sz w:val="24"/>
          <w:szCs w:val="24"/>
        </w:rPr>
        <w:t xml:space="preserve">. [online] Market Data Forecast. Available at: </w:t>
      </w:r>
      <w:hyperlink r:id="rId29">
        <w:r>
          <w:rPr>
            <w:color w:val="1155CC"/>
            <w:sz w:val="24"/>
            <w:szCs w:val="24"/>
            <w:u w:val="single"/>
          </w:rPr>
          <w:t>https://www.marketdataforecast.com/market-reports/Europe-second-hand-clothing-market</w:t>
        </w:r>
      </w:hyperlink>
      <w:r>
        <w:rPr>
          <w:sz w:val="24"/>
          <w:szCs w:val="24"/>
        </w:rPr>
        <w:t xml:space="preserve"> [Accessed 13 July 2026].</w:t>
      </w:r>
    </w:p>
    <w:p w14:paraId="2F936601" w14:textId="77777777" w:rsidR="00B15834" w:rsidRDefault="00B15834">
      <w:pPr>
        <w:spacing w:after="240" w:line="360" w:lineRule="auto"/>
        <w:jc w:val="both"/>
        <w:rPr>
          <w:sz w:val="24"/>
          <w:szCs w:val="24"/>
        </w:rPr>
      </w:pPr>
      <w:r>
        <w:rPr>
          <w:color w:val="222222"/>
          <w:sz w:val="24"/>
          <w:szCs w:val="24"/>
          <w:highlight w:val="white"/>
        </w:rPr>
        <w:t xml:space="preserve">More, A.B., 2023. Implementing digital age experience marketing to make customer relations more sustainable. In </w:t>
      </w:r>
      <w:r>
        <w:rPr>
          <w:i/>
          <w:iCs/>
          <w:color w:val="222222"/>
          <w:sz w:val="24"/>
          <w:szCs w:val="24"/>
          <w:highlight w:val="white"/>
        </w:rPr>
        <w:t>New Horizons for Industry 4.0 in modern business</w:t>
      </w:r>
      <w:r>
        <w:rPr>
          <w:color w:val="222222"/>
          <w:sz w:val="24"/>
          <w:szCs w:val="24"/>
          <w:highlight w:val="white"/>
        </w:rPr>
        <w:t xml:space="preserve"> (pp. 99-119). Cham: Springer International Publishing.</w:t>
      </w:r>
      <w:hyperlink r:id="rId30">
        <w:r>
          <w:rPr>
            <w:color w:val="1155CC"/>
            <w:sz w:val="24"/>
            <w:szCs w:val="24"/>
            <w:u w:val="single"/>
          </w:rPr>
          <w:t>https://link.springer.com/chapter/10.1007/978-3-031-20443-2_5</w:t>
        </w:r>
      </w:hyperlink>
      <w:r>
        <w:rPr>
          <w:sz w:val="24"/>
          <w:szCs w:val="24"/>
        </w:rPr>
        <w:t xml:space="preserve"> </w:t>
      </w:r>
    </w:p>
    <w:p w14:paraId="44BD06EF" w14:textId="77777777" w:rsidR="00B15834" w:rsidRDefault="00B15834">
      <w:pPr>
        <w:spacing w:after="240" w:line="360" w:lineRule="auto"/>
        <w:jc w:val="both"/>
        <w:rPr>
          <w:sz w:val="24"/>
          <w:szCs w:val="24"/>
        </w:rPr>
      </w:pPr>
      <w:r>
        <w:rPr>
          <w:color w:val="222222"/>
          <w:sz w:val="24"/>
          <w:szCs w:val="24"/>
          <w:highlight w:val="white"/>
        </w:rPr>
        <w:t xml:space="preserve">Oh, W.Y., Chang, Y.K., Park, J.H. and Han, S., 2021. Toward a sustainable paradigm: circular economy solutions in the fashion industry. In </w:t>
      </w:r>
      <w:r>
        <w:rPr>
          <w:i/>
          <w:iCs/>
          <w:color w:val="222222"/>
          <w:sz w:val="24"/>
          <w:szCs w:val="24"/>
          <w:highlight w:val="white"/>
        </w:rPr>
        <w:t>Research handbook of innovation for a circular economy</w:t>
      </w:r>
      <w:r>
        <w:rPr>
          <w:color w:val="222222"/>
          <w:sz w:val="24"/>
          <w:szCs w:val="24"/>
          <w:highlight w:val="white"/>
        </w:rPr>
        <w:t xml:space="preserve"> (pp. 47-58). Edward Elgar Publishing.</w:t>
      </w:r>
      <w:hyperlink r:id="rId31">
        <w:r>
          <w:rPr>
            <w:color w:val="1155CC"/>
            <w:sz w:val="24"/>
            <w:szCs w:val="24"/>
            <w:u w:val="single"/>
          </w:rPr>
          <w:t>https://www.elgaronline.com/abstract/edcoll/9781800373082/9781800373082.00012.xml</w:t>
        </w:r>
      </w:hyperlink>
      <w:r>
        <w:rPr>
          <w:sz w:val="24"/>
          <w:szCs w:val="24"/>
        </w:rPr>
        <w:t xml:space="preserve"> </w:t>
      </w:r>
    </w:p>
    <w:p w14:paraId="22BFDF1C" w14:textId="77777777" w:rsidR="00B15834" w:rsidRDefault="00B15834">
      <w:pPr>
        <w:spacing w:after="240" w:line="360" w:lineRule="auto"/>
        <w:jc w:val="both"/>
        <w:rPr>
          <w:sz w:val="24"/>
          <w:szCs w:val="24"/>
        </w:rPr>
      </w:pPr>
      <w:r>
        <w:rPr>
          <w:color w:val="222222"/>
          <w:sz w:val="24"/>
          <w:szCs w:val="24"/>
          <w:highlight w:val="white"/>
        </w:rPr>
        <w:lastRenderedPageBreak/>
        <w:t xml:space="preserve">Okur, N. and </w:t>
      </w:r>
      <w:proofErr w:type="spellStart"/>
      <w:r>
        <w:rPr>
          <w:color w:val="222222"/>
          <w:sz w:val="24"/>
          <w:szCs w:val="24"/>
          <w:highlight w:val="white"/>
        </w:rPr>
        <w:t>Saricam</w:t>
      </w:r>
      <w:proofErr w:type="spellEnd"/>
      <w:r>
        <w:rPr>
          <w:color w:val="222222"/>
          <w:sz w:val="24"/>
          <w:szCs w:val="24"/>
          <w:highlight w:val="white"/>
        </w:rPr>
        <w:t xml:space="preserve">, C., 2025. Sustainable Fashion Consumption in a Transformative Era. In </w:t>
      </w:r>
      <w:r>
        <w:rPr>
          <w:i/>
          <w:iCs/>
          <w:color w:val="222222"/>
          <w:sz w:val="24"/>
          <w:szCs w:val="24"/>
          <w:highlight w:val="white"/>
        </w:rPr>
        <w:t>Changing Textile and Apparel Consumption in Transformative Era of Sustainability and Digitalization</w:t>
      </w:r>
      <w:r>
        <w:rPr>
          <w:color w:val="222222"/>
          <w:sz w:val="24"/>
          <w:szCs w:val="24"/>
          <w:highlight w:val="white"/>
        </w:rPr>
        <w:t xml:space="preserve"> (pp. 15-69). Cham: Springer Nature Switzerland.</w:t>
      </w:r>
      <w:hyperlink r:id="rId32">
        <w:r>
          <w:rPr>
            <w:color w:val="1155CC"/>
            <w:sz w:val="24"/>
            <w:szCs w:val="24"/>
            <w:u w:val="single"/>
          </w:rPr>
          <w:t>https://www.researchgate.net/publication/392542103_A_Study_on_the_Effectiveness_of_Patagonias_Sustainability-Driven_Brand_Strategy</w:t>
        </w:r>
      </w:hyperlink>
      <w:r>
        <w:rPr>
          <w:sz w:val="24"/>
          <w:szCs w:val="24"/>
        </w:rPr>
        <w:t xml:space="preserve"> </w:t>
      </w:r>
    </w:p>
    <w:p w14:paraId="35DEF84F" w14:textId="77777777" w:rsidR="00B15834" w:rsidRDefault="00B15834">
      <w:pPr>
        <w:spacing w:after="240" w:line="360" w:lineRule="auto"/>
        <w:jc w:val="both"/>
        <w:rPr>
          <w:sz w:val="24"/>
          <w:szCs w:val="24"/>
        </w:rPr>
      </w:pPr>
      <w:proofErr w:type="spellStart"/>
      <w:r>
        <w:rPr>
          <w:color w:val="222222"/>
          <w:sz w:val="24"/>
          <w:szCs w:val="24"/>
          <w:highlight w:val="white"/>
        </w:rPr>
        <w:t>Papasolomou</w:t>
      </w:r>
      <w:proofErr w:type="spellEnd"/>
      <w:r>
        <w:rPr>
          <w:color w:val="222222"/>
          <w:sz w:val="24"/>
          <w:szCs w:val="24"/>
          <w:highlight w:val="white"/>
        </w:rPr>
        <w:t xml:space="preserve">, I., </w:t>
      </w:r>
      <w:proofErr w:type="spellStart"/>
      <w:r>
        <w:rPr>
          <w:color w:val="222222"/>
          <w:sz w:val="24"/>
          <w:szCs w:val="24"/>
          <w:highlight w:val="white"/>
        </w:rPr>
        <w:t>Melanthiou</w:t>
      </w:r>
      <w:proofErr w:type="spellEnd"/>
      <w:r>
        <w:rPr>
          <w:color w:val="222222"/>
          <w:sz w:val="24"/>
          <w:szCs w:val="24"/>
          <w:highlight w:val="white"/>
        </w:rPr>
        <w:t xml:space="preserve">, Y. and </w:t>
      </w:r>
      <w:proofErr w:type="spellStart"/>
      <w:r>
        <w:rPr>
          <w:color w:val="222222"/>
          <w:sz w:val="24"/>
          <w:szCs w:val="24"/>
          <w:highlight w:val="white"/>
        </w:rPr>
        <w:t>Tsamouridis</w:t>
      </w:r>
      <w:proofErr w:type="spellEnd"/>
      <w:r>
        <w:rPr>
          <w:color w:val="222222"/>
          <w:sz w:val="24"/>
          <w:szCs w:val="24"/>
          <w:highlight w:val="white"/>
        </w:rPr>
        <w:t xml:space="preserve">, A., 2023. The fast fashion vs environment debate: Consumers’ level of awareness, feelings, and </w:t>
      </w:r>
      <w:proofErr w:type="spellStart"/>
      <w:r>
        <w:rPr>
          <w:color w:val="222222"/>
          <w:sz w:val="24"/>
          <w:szCs w:val="24"/>
          <w:highlight w:val="white"/>
        </w:rPr>
        <w:t>behaviour</w:t>
      </w:r>
      <w:proofErr w:type="spellEnd"/>
      <w:r>
        <w:rPr>
          <w:color w:val="222222"/>
          <w:sz w:val="24"/>
          <w:szCs w:val="24"/>
          <w:highlight w:val="white"/>
        </w:rPr>
        <w:t xml:space="preserve"> towards sustainability within the fast-fashion sector. </w:t>
      </w:r>
      <w:r>
        <w:rPr>
          <w:i/>
          <w:iCs/>
          <w:color w:val="222222"/>
          <w:sz w:val="24"/>
          <w:szCs w:val="24"/>
          <w:highlight w:val="white"/>
        </w:rPr>
        <w:t>Journal of marketing communications</w:t>
      </w:r>
      <w:r>
        <w:rPr>
          <w:color w:val="222222"/>
          <w:sz w:val="24"/>
          <w:szCs w:val="24"/>
          <w:highlight w:val="white"/>
        </w:rPr>
        <w:t xml:space="preserve">, </w:t>
      </w:r>
      <w:r>
        <w:rPr>
          <w:i/>
          <w:iCs/>
          <w:color w:val="222222"/>
          <w:sz w:val="24"/>
          <w:szCs w:val="24"/>
          <w:highlight w:val="white"/>
        </w:rPr>
        <w:t>29</w:t>
      </w:r>
      <w:r>
        <w:rPr>
          <w:color w:val="222222"/>
          <w:sz w:val="24"/>
          <w:szCs w:val="24"/>
          <w:highlight w:val="white"/>
        </w:rPr>
        <w:t>(2), pp.191-209.</w:t>
      </w:r>
      <w:hyperlink r:id="rId33">
        <w:r>
          <w:rPr>
            <w:color w:val="1155CC"/>
            <w:sz w:val="24"/>
            <w:szCs w:val="24"/>
            <w:u w:val="single"/>
          </w:rPr>
          <w:t>https://www.tandfonline.com/doi/abs/10.1080/13527266.2022.2154059</w:t>
        </w:r>
      </w:hyperlink>
      <w:r>
        <w:rPr>
          <w:sz w:val="24"/>
          <w:szCs w:val="24"/>
        </w:rPr>
        <w:t xml:space="preserve"> </w:t>
      </w:r>
    </w:p>
    <w:p w14:paraId="45E8BEF3" w14:textId="77777777" w:rsidR="00B15834" w:rsidRDefault="00B15834">
      <w:pPr>
        <w:spacing w:after="240" w:line="360" w:lineRule="auto"/>
        <w:jc w:val="both"/>
        <w:rPr>
          <w:sz w:val="24"/>
          <w:szCs w:val="24"/>
        </w:rPr>
      </w:pPr>
      <w:r>
        <w:rPr>
          <w:sz w:val="24"/>
          <w:szCs w:val="24"/>
        </w:rPr>
        <w:t xml:space="preserve">Patagonia (2025). </w:t>
      </w:r>
      <w:r>
        <w:rPr>
          <w:i/>
          <w:iCs/>
          <w:sz w:val="24"/>
          <w:szCs w:val="24"/>
        </w:rPr>
        <w:t>Worn Wear - Better than New</w:t>
      </w:r>
      <w:r>
        <w:rPr>
          <w:sz w:val="24"/>
          <w:szCs w:val="24"/>
        </w:rPr>
        <w:t xml:space="preserve">. [online] Patagonia.com. Available at: </w:t>
      </w:r>
      <w:hyperlink r:id="rId34">
        <w:r>
          <w:rPr>
            <w:color w:val="1155CC"/>
            <w:sz w:val="24"/>
            <w:szCs w:val="24"/>
            <w:u w:val="single"/>
          </w:rPr>
          <w:t>https://wornwear.patagonia.com/</w:t>
        </w:r>
      </w:hyperlink>
      <w:r>
        <w:rPr>
          <w:sz w:val="24"/>
          <w:szCs w:val="24"/>
        </w:rPr>
        <w:t xml:space="preserve"> [Accessed 13 July 2026].</w:t>
      </w:r>
    </w:p>
    <w:p w14:paraId="0CF2385D" w14:textId="77777777" w:rsidR="00B15834" w:rsidRDefault="00B15834">
      <w:pPr>
        <w:spacing w:after="240" w:line="360" w:lineRule="auto"/>
        <w:jc w:val="both"/>
        <w:rPr>
          <w:sz w:val="24"/>
          <w:szCs w:val="24"/>
        </w:rPr>
      </w:pPr>
      <w:r>
        <w:rPr>
          <w:sz w:val="24"/>
          <w:szCs w:val="24"/>
        </w:rPr>
        <w:t xml:space="preserve">Patagonia (2025a). </w:t>
      </w:r>
      <w:r>
        <w:rPr>
          <w:i/>
          <w:iCs/>
          <w:sz w:val="24"/>
          <w:szCs w:val="24"/>
        </w:rPr>
        <w:t>Our Footprint</w:t>
      </w:r>
      <w:r>
        <w:rPr>
          <w:sz w:val="24"/>
          <w:szCs w:val="24"/>
        </w:rPr>
        <w:t xml:space="preserve">. [online] Patagonia. Available at: </w:t>
      </w:r>
      <w:hyperlink r:id="rId35">
        <w:r>
          <w:rPr>
            <w:color w:val="1155CC"/>
            <w:sz w:val="24"/>
            <w:szCs w:val="24"/>
            <w:u w:val="single"/>
          </w:rPr>
          <w:t>https://www.patagonia.com/our-footprint/</w:t>
        </w:r>
      </w:hyperlink>
      <w:r>
        <w:rPr>
          <w:sz w:val="24"/>
          <w:szCs w:val="24"/>
        </w:rPr>
        <w:t xml:space="preserve"> [Accessed 13 July 2026a].</w:t>
      </w:r>
    </w:p>
    <w:p w14:paraId="4368F138" w14:textId="77777777" w:rsidR="00B15834" w:rsidRDefault="00B15834">
      <w:pPr>
        <w:spacing w:after="240" w:line="360" w:lineRule="auto"/>
        <w:jc w:val="both"/>
        <w:rPr>
          <w:sz w:val="24"/>
          <w:szCs w:val="24"/>
        </w:rPr>
      </w:pPr>
      <w:r>
        <w:rPr>
          <w:sz w:val="24"/>
          <w:szCs w:val="24"/>
        </w:rPr>
        <w:t xml:space="preserve">Patagonia (2025a). </w:t>
      </w:r>
      <w:r>
        <w:rPr>
          <w:i/>
          <w:iCs/>
          <w:sz w:val="24"/>
          <w:szCs w:val="24"/>
        </w:rPr>
        <w:t>Patagonia® Returns and Repairs</w:t>
      </w:r>
      <w:r>
        <w:rPr>
          <w:sz w:val="24"/>
          <w:szCs w:val="24"/>
        </w:rPr>
        <w:t xml:space="preserve">. [online] Patagonia.com. Available at: </w:t>
      </w:r>
      <w:hyperlink r:id="rId36">
        <w:r>
          <w:rPr>
            <w:color w:val="1155CC"/>
            <w:sz w:val="24"/>
            <w:szCs w:val="24"/>
            <w:u w:val="single"/>
          </w:rPr>
          <w:t>https://www.patagonia.com/returns.html</w:t>
        </w:r>
      </w:hyperlink>
      <w:r>
        <w:rPr>
          <w:sz w:val="24"/>
          <w:szCs w:val="24"/>
        </w:rPr>
        <w:t xml:space="preserve"> [Accessed 13 July 2026a].</w:t>
      </w:r>
    </w:p>
    <w:p w14:paraId="2BFADC58" w14:textId="77777777" w:rsidR="00B15834" w:rsidRDefault="00B15834">
      <w:pPr>
        <w:spacing w:after="240" w:line="360" w:lineRule="auto"/>
        <w:jc w:val="both"/>
        <w:rPr>
          <w:sz w:val="24"/>
          <w:szCs w:val="24"/>
        </w:rPr>
      </w:pPr>
      <w:r>
        <w:rPr>
          <w:sz w:val="24"/>
          <w:szCs w:val="24"/>
        </w:rPr>
        <w:t xml:space="preserve">Patagonia (2025b). </w:t>
      </w:r>
      <w:r>
        <w:rPr>
          <w:i/>
          <w:iCs/>
          <w:sz w:val="24"/>
          <w:szCs w:val="24"/>
        </w:rPr>
        <w:t>Worn Wear - Better than New</w:t>
      </w:r>
      <w:r>
        <w:rPr>
          <w:sz w:val="24"/>
          <w:szCs w:val="24"/>
        </w:rPr>
        <w:t xml:space="preserve">. [online] Patagonia.com. Available at: </w:t>
      </w:r>
      <w:hyperlink r:id="rId37">
        <w:r>
          <w:rPr>
            <w:color w:val="1155CC"/>
            <w:sz w:val="24"/>
            <w:szCs w:val="24"/>
            <w:u w:val="single"/>
          </w:rPr>
          <w:t>https://wornwear.patagonia.com/</w:t>
        </w:r>
      </w:hyperlink>
      <w:r>
        <w:rPr>
          <w:sz w:val="24"/>
          <w:szCs w:val="24"/>
        </w:rPr>
        <w:t xml:space="preserve"> [Accessed 13 July 2026b].</w:t>
      </w:r>
    </w:p>
    <w:p w14:paraId="51E3DE21" w14:textId="77777777" w:rsidR="00B15834" w:rsidRDefault="00B15834">
      <w:pPr>
        <w:spacing w:after="240" w:line="360" w:lineRule="auto"/>
        <w:jc w:val="both"/>
        <w:rPr>
          <w:sz w:val="24"/>
          <w:szCs w:val="24"/>
        </w:rPr>
      </w:pPr>
      <w:proofErr w:type="spellStart"/>
      <w:r>
        <w:rPr>
          <w:color w:val="222222"/>
          <w:sz w:val="24"/>
          <w:szCs w:val="24"/>
          <w:highlight w:val="white"/>
        </w:rPr>
        <w:t>Pranta</w:t>
      </w:r>
      <w:proofErr w:type="spellEnd"/>
      <w:r>
        <w:rPr>
          <w:color w:val="222222"/>
          <w:sz w:val="24"/>
          <w:szCs w:val="24"/>
          <w:highlight w:val="white"/>
        </w:rPr>
        <w:t xml:space="preserve">, A.D., </w:t>
      </w:r>
      <w:proofErr w:type="spellStart"/>
      <w:r>
        <w:rPr>
          <w:color w:val="222222"/>
          <w:sz w:val="24"/>
          <w:szCs w:val="24"/>
          <w:highlight w:val="white"/>
        </w:rPr>
        <w:t>Repon</w:t>
      </w:r>
      <w:proofErr w:type="spellEnd"/>
      <w:r>
        <w:rPr>
          <w:color w:val="222222"/>
          <w:sz w:val="24"/>
          <w:szCs w:val="24"/>
          <w:highlight w:val="white"/>
        </w:rPr>
        <w:t xml:space="preserve">, M.R., Haji, A., Rahman, M. and Rahman, M.M., 2025. Sustainable merchandising for recycled textiles and apparel in the western apparel industry: Strategies, challenges and market opportunities. </w:t>
      </w:r>
      <w:r>
        <w:rPr>
          <w:i/>
          <w:iCs/>
          <w:color w:val="222222"/>
          <w:sz w:val="24"/>
          <w:szCs w:val="24"/>
          <w:highlight w:val="white"/>
        </w:rPr>
        <w:t>Journal of Engineered Fibers and Fabrics</w:t>
      </w:r>
      <w:r>
        <w:rPr>
          <w:color w:val="222222"/>
          <w:sz w:val="24"/>
          <w:szCs w:val="24"/>
          <w:highlight w:val="white"/>
        </w:rPr>
        <w:t xml:space="preserve">, </w:t>
      </w:r>
      <w:r>
        <w:rPr>
          <w:i/>
          <w:iCs/>
          <w:color w:val="222222"/>
          <w:sz w:val="24"/>
          <w:szCs w:val="24"/>
          <w:highlight w:val="white"/>
        </w:rPr>
        <w:t>20</w:t>
      </w:r>
      <w:r>
        <w:rPr>
          <w:color w:val="222222"/>
          <w:sz w:val="24"/>
          <w:szCs w:val="24"/>
          <w:highlight w:val="white"/>
        </w:rPr>
        <w:t>, p.15589250251359273.</w:t>
      </w:r>
      <w:hyperlink r:id="rId38">
        <w:r>
          <w:rPr>
            <w:color w:val="1155CC"/>
            <w:sz w:val="24"/>
            <w:szCs w:val="24"/>
            <w:u w:val="single"/>
          </w:rPr>
          <w:t>https://journals.sagepub.com/doi/abs/10.1177/15589250251359273</w:t>
        </w:r>
      </w:hyperlink>
      <w:r>
        <w:rPr>
          <w:sz w:val="24"/>
          <w:szCs w:val="24"/>
        </w:rPr>
        <w:t xml:space="preserve"> </w:t>
      </w:r>
      <w:r>
        <w:rPr>
          <w:sz w:val="24"/>
          <w:szCs w:val="24"/>
        </w:rPr>
        <w:br/>
      </w:r>
      <w:r>
        <w:rPr>
          <w:color w:val="222222"/>
          <w:sz w:val="24"/>
          <w:szCs w:val="24"/>
          <w:highlight w:val="white"/>
        </w:rPr>
        <w:t xml:space="preserve">Wong, Y.A., 2025. A study on the effectiveness of Patagonia’s sustainability-driven brand strategy. </w:t>
      </w:r>
      <w:r>
        <w:rPr>
          <w:i/>
          <w:iCs/>
          <w:color w:val="222222"/>
          <w:sz w:val="24"/>
          <w:szCs w:val="24"/>
          <w:highlight w:val="white"/>
        </w:rPr>
        <w:t>Adv Econ Manag Polit Sci</w:t>
      </w:r>
      <w:r>
        <w:rPr>
          <w:color w:val="222222"/>
          <w:sz w:val="24"/>
          <w:szCs w:val="24"/>
          <w:highlight w:val="white"/>
        </w:rPr>
        <w:t xml:space="preserve">, </w:t>
      </w:r>
      <w:r>
        <w:rPr>
          <w:i/>
          <w:iCs/>
          <w:color w:val="222222"/>
          <w:sz w:val="24"/>
          <w:szCs w:val="24"/>
          <w:highlight w:val="white"/>
        </w:rPr>
        <w:t>180</w:t>
      </w:r>
      <w:r>
        <w:rPr>
          <w:color w:val="222222"/>
          <w:sz w:val="24"/>
          <w:szCs w:val="24"/>
          <w:highlight w:val="white"/>
        </w:rPr>
        <w:t>(1), pp.302-306.</w:t>
      </w:r>
      <w:hyperlink r:id="rId39">
        <w:r>
          <w:rPr>
            <w:color w:val="1155CC"/>
            <w:sz w:val="24"/>
            <w:szCs w:val="24"/>
            <w:u w:val="single"/>
          </w:rPr>
          <w:t>https://www.researchgate.net/publication/392542103_A_Study_on_the_Effectiveness_of_Patagonias_Sustainability-Driven_Brand_Strategy</w:t>
        </w:r>
      </w:hyperlink>
      <w:r>
        <w:rPr>
          <w:sz w:val="24"/>
          <w:szCs w:val="24"/>
        </w:rPr>
        <w:t xml:space="preserve"> </w:t>
      </w:r>
    </w:p>
    <w:p w14:paraId="2DCD80BD" w14:textId="77777777" w:rsidR="00B15834" w:rsidRDefault="00B15834">
      <w:pPr>
        <w:spacing w:after="240" w:line="360" w:lineRule="auto"/>
        <w:jc w:val="both"/>
        <w:rPr>
          <w:sz w:val="24"/>
          <w:szCs w:val="24"/>
        </w:rPr>
      </w:pPr>
      <w:r>
        <w:rPr>
          <w:color w:val="222222"/>
          <w:sz w:val="24"/>
          <w:szCs w:val="24"/>
          <w:highlight w:val="white"/>
        </w:rPr>
        <w:lastRenderedPageBreak/>
        <w:t xml:space="preserve">Ray, S. and Nayak, L., 2023. Marketing sustainable fashion: trends and future directions. </w:t>
      </w:r>
      <w:r>
        <w:rPr>
          <w:i/>
          <w:iCs/>
          <w:color w:val="222222"/>
          <w:sz w:val="24"/>
          <w:szCs w:val="24"/>
          <w:highlight w:val="white"/>
        </w:rPr>
        <w:t>Sustainability</w:t>
      </w:r>
      <w:r>
        <w:rPr>
          <w:color w:val="222222"/>
          <w:sz w:val="24"/>
          <w:szCs w:val="24"/>
          <w:highlight w:val="white"/>
        </w:rPr>
        <w:t xml:space="preserve">, </w:t>
      </w:r>
      <w:r>
        <w:rPr>
          <w:i/>
          <w:iCs/>
          <w:color w:val="222222"/>
          <w:sz w:val="24"/>
          <w:szCs w:val="24"/>
          <w:highlight w:val="white"/>
        </w:rPr>
        <w:t>15</w:t>
      </w:r>
      <w:r>
        <w:rPr>
          <w:color w:val="222222"/>
          <w:sz w:val="24"/>
          <w:szCs w:val="24"/>
          <w:highlight w:val="white"/>
        </w:rPr>
        <w:t>(7), p.6202.</w:t>
      </w:r>
      <w:hyperlink r:id="rId40">
        <w:r>
          <w:rPr>
            <w:color w:val="1155CC"/>
            <w:sz w:val="24"/>
            <w:szCs w:val="24"/>
            <w:u w:val="single"/>
          </w:rPr>
          <w:t>https://www.mdpi.com/2071-1050/15/7/6202</w:t>
        </w:r>
      </w:hyperlink>
      <w:r>
        <w:rPr>
          <w:sz w:val="24"/>
          <w:szCs w:val="24"/>
        </w:rPr>
        <w:t xml:space="preserve"> </w:t>
      </w:r>
    </w:p>
    <w:p w14:paraId="3FD0A9F4" w14:textId="77777777" w:rsidR="00B15834" w:rsidRDefault="00B15834">
      <w:pPr>
        <w:spacing w:after="240" w:line="360" w:lineRule="auto"/>
        <w:jc w:val="both"/>
        <w:rPr>
          <w:sz w:val="24"/>
          <w:szCs w:val="24"/>
        </w:rPr>
      </w:pPr>
      <w:r>
        <w:rPr>
          <w:color w:val="222222"/>
          <w:sz w:val="24"/>
          <w:szCs w:val="24"/>
          <w:highlight w:val="white"/>
        </w:rPr>
        <w:t xml:space="preserve">Sutinen, U.M., </w:t>
      </w:r>
      <w:proofErr w:type="spellStart"/>
      <w:r>
        <w:rPr>
          <w:color w:val="222222"/>
          <w:sz w:val="24"/>
          <w:szCs w:val="24"/>
          <w:highlight w:val="white"/>
        </w:rPr>
        <w:t>Saarijärvi</w:t>
      </w:r>
      <w:proofErr w:type="spellEnd"/>
      <w:r>
        <w:rPr>
          <w:color w:val="222222"/>
          <w:sz w:val="24"/>
          <w:szCs w:val="24"/>
          <w:highlight w:val="white"/>
        </w:rPr>
        <w:t xml:space="preserve">, H. and Yrjölä, M., 2022. Shop at your own risk? Consumer activities in fashion e‐commerce. </w:t>
      </w:r>
      <w:r>
        <w:rPr>
          <w:i/>
          <w:iCs/>
          <w:color w:val="222222"/>
          <w:sz w:val="24"/>
          <w:szCs w:val="24"/>
          <w:highlight w:val="white"/>
        </w:rPr>
        <w:t>International Journal of Consumer Studies</w:t>
      </w:r>
      <w:r>
        <w:rPr>
          <w:color w:val="222222"/>
          <w:sz w:val="24"/>
          <w:szCs w:val="24"/>
          <w:highlight w:val="white"/>
        </w:rPr>
        <w:t xml:space="preserve">, </w:t>
      </w:r>
      <w:r>
        <w:rPr>
          <w:i/>
          <w:iCs/>
          <w:color w:val="222222"/>
          <w:sz w:val="24"/>
          <w:szCs w:val="24"/>
          <w:highlight w:val="white"/>
        </w:rPr>
        <w:t>46</w:t>
      </w:r>
      <w:r>
        <w:rPr>
          <w:color w:val="222222"/>
          <w:sz w:val="24"/>
          <w:szCs w:val="24"/>
          <w:highlight w:val="white"/>
        </w:rPr>
        <w:t>(4), pp.1299-1318.</w:t>
      </w:r>
      <w:hyperlink r:id="rId41">
        <w:r>
          <w:rPr>
            <w:color w:val="1155CC"/>
            <w:sz w:val="24"/>
            <w:szCs w:val="24"/>
            <w:u w:val="single"/>
          </w:rPr>
          <w:t>https://onlinelibrary.wiley.com/doi/abs/10.1111/ijcs.12759</w:t>
        </w:r>
      </w:hyperlink>
      <w:r>
        <w:rPr>
          <w:sz w:val="24"/>
          <w:szCs w:val="24"/>
        </w:rPr>
        <w:t xml:space="preserve"> </w:t>
      </w:r>
    </w:p>
    <w:p w14:paraId="4314C092" w14:textId="77777777" w:rsidR="00B15834" w:rsidRDefault="00B15834">
      <w:pPr>
        <w:spacing w:after="240" w:line="360" w:lineRule="auto"/>
        <w:jc w:val="both"/>
        <w:rPr>
          <w:sz w:val="24"/>
          <w:szCs w:val="24"/>
        </w:rPr>
      </w:pPr>
      <w:r>
        <w:rPr>
          <w:color w:val="222222"/>
          <w:sz w:val="24"/>
          <w:szCs w:val="24"/>
          <w:highlight w:val="white"/>
        </w:rPr>
        <w:t>Thanasi-</w:t>
      </w:r>
      <w:proofErr w:type="spellStart"/>
      <w:r>
        <w:rPr>
          <w:color w:val="222222"/>
          <w:sz w:val="24"/>
          <w:szCs w:val="24"/>
          <w:highlight w:val="white"/>
        </w:rPr>
        <w:t>Boçe</w:t>
      </w:r>
      <w:proofErr w:type="spellEnd"/>
      <w:r>
        <w:rPr>
          <w:color w:val="222222"/>
          <w:sz w:val="24"/>
          <w:szCs w:val="24"/>
          <w:highlight w:val="white"/>
        </w:rPr>
        <w:t xml:space="preserve">, M. and Al-Issa, N., 2025. The secondary luxury market: </w:t>
      </w:r>
      <w:proofErr w:type="gramStart"/>
      <w:r>
        <w:rPr>
          <w:color w:val="222222"/>
          <w:sz w:val="24"/>
          <w:szCs w:val="24"/>
          <w:highlight w:val="white"/>
        </w:rPr>
        <w:t>a systematic</w:t>
      </w:r>
      <w:proofErr w:type="gramEnd"/>
      <w:r>
        <w:rPr>
          <w:color w:val="222222"/>
          <w:sz w:val="24"/>
          <w:szCs w:val="24"/>
          <w:highlight w:val="white"/>
        </w:rPr>
        <w:t xml:space="preserve"> review and theoretical integration. </w:t>
      </w:r>
      <w:r>
        <w:rPr>
          <w:i/>
          <w:iCs/>
          <w:color w:val="222222"/>
          <w:sz w:val="24"/>
          <w:szCs w:val="24"/>
          <w:highlight w:val="white"/>
        </w:rPr>
        <w:t>Cogent Business &amp; Management</w:t>
      </w:r>
      <w:r>
        <w:rPr>
          <w:color w:val="222222"/>
          <w:sz w:val="24"/>
          <w:szCs w:val="24"/>
          <w:highlight w:val="white"/>
        </w:rPr>
        <w:t xml:space="preserve">, </w:t>
      </w:r>
      <w:r>
        <w:rPr>
          <w:i/>
          <w:iCs/>
          <w:color w:val="222222"/>
          <w:sz w:val="24"/>
          <w:szCs w:val="24"/>
          <w:highlight w:val="white"/>
        </w:rPr>
        <w:t>12</w:t>
      </w:r>
      <w:r>
        <w:rPr>
          <w:color w:val="222222"/>
          <w:sz w:val="24"/>
          <w:szCs w:val="24"/>
          <w:highlight w:val="white"/>
        </w:rPr>
        <w:t>(1), p.2523405.</w:t>
      </w:r>
      <w:hyperlink r:id="rId42">
        <w:r>
          <w:rPr>
            <w:color w:val="1155CC"/>
            <w:sz w:val="24"/>
            <w:szCs w:val="24"/>
            <w:u w:val="single"/>
          </w:rPr>
          <w:t>https://www.tandfonline.com/doi/abs/10.1080/23311975.2025.2523405</w:t>
        </w:r>
      </w:hyperlink>
      <w:r>
        <w:rPr>
          <w:sz w:val="24"/>
          <w:szCs w:val="24"/>
        </w:rPr>
        <w:t xml:space="preserve"> </w:t>
      </w:r>
    </w:p>
    <w:p w14:paraId="0E2C6D18" w14:textId="77777777" w:rsidR="00B15834" w:rsidRDefault="00B15834">
      <w:pPr>
        <w:spacing w:after="240" w:line="360" w:lineRule="auto"/>
        <w:jc w:val="both"/>
        <w:rPr>
          <w:sz w:val="24"/>
          <w:szCs w:val="24"/>
        </w:rPr>
      </w:pPr>
      <w:r>
        <w:rPr>
          <w:color w:val="222222"/>
          <w:sz w:val="24"/>
          <w:szCs w:val="24"/>
          <w:highlight w:val="white"/>
        </w:rPr>
        <w:t xml:space="preserve">Vangeli, A., </w:t>
      </w:r>
      <w:proofErr w:type="spellStart"/>
      <w:r>
        <w:rPr>
          <w:color w:val="222222"/>
          <w:sz w:val="24"/>
          <w:szCs w:val="24"/>
          <w:highlight w:val="white"/>
        </w:rPr>
        <w:t>Małecka</w:t>
      </w:r>
      <w:proofErr w:type="spellEnd"/>
      <w:r>
        <w:rPr>
          <w:color w:val="222222"/>
          <w:sz w:val="24"/>
          <w:szCs w:val="24"/>
          <w:highlight w:val="white"/>
        </w:rPr>
        <w:t xml:space="preserve">, A., </w:t>
      </w:r>
      <w:proofErr w:type="spellStart"/>
      <w:r>
        <w:rPr>
          <w:color w:val="222222"/>
          <w:sz w:val="24"/>
          <w:szCs w:val="24"/>
          <w:highlight w:val="white"/>
        </w:rPr>
        <w:t>Mitręga</w:t>
      </w:r>
      <w:proofErr w:type="spellEnd"/>
      <w:r>
        <w:rPr>
          <w:color w:val="222222"/>
          <w:sz w:val="24"/>
          <w:szCs w:val="24"/>
          <w:highlight w:val="white"/>
        </w:rPr>
        <w:t xml:space="preserve">, M. and </w:t>
      </w:r>
      <w:proofErr w:type="spellStart"/>
      <w:r>
        <w:rPr>
          <w:color w:val="222222"/>
          <w:sz w:val="24"/>
          <w:szCs w:val="24"/>
          <w:highlight w:val="white"/>
        </w:rPr>
        <w:t>Pfajfar</w:t>
      </w:r>
      <w:proofErr w:type="spellEnd"/>
      <w:r>
        <w:rPr>
          <w:color w:val="222222"/>
          <w:sz w:val="24"/>
          <w:szCs w:val="24"/>
          <w:highlight w:val="white"/>
        </w:rPr>
        <w:t xml:space="preserve">, G., 2023. From greenwashing to green B2B marketing: A systematic literature review. </w:t>
      </w:r>
      <w:r>
        <w:rPr>
          <w:i/>
          <w:iCs/>
          <w:color w:val="222222"/>
          <w:sz w:val="24"/>
          <w:szCs w:val="24"/>
          <w:highlight w:val="white"/>
        </w:rPr>
        <w:t>Industrial Marketing Management</w:t>
      </w:r>
      <w:r>
        <w:rPr>
          <w:color w:val="222222"/>
          <w:sz w:val="24"/>
          <w:szCs w:val="24"/>
          <w:highlight w:val="white"/>
        </w:rPr>
        <w:t xml:space="preserve">, </w:t>
      </w:r>
      <w:r>
        <w:rPr>
          <w:i/>
          <w:iCs/>
          <w:color w:val="222222"/>
          <w:sz w:val="24"/>
          <w:szCs w:val="24"/>
          <w:highlight w:val="white"/>
        </w:rPr>
        <w:t>115</w:t>
      </w:r>
      <w:r>
        <w:rPr>
          <w:color w:val="222222"/>
          <w:sz w:val="24"/>
          <w:szCs w:val="24"/>
          <w:highlight w:val="white"/>
        </w:rPr>
        <w:t>, pp.281-299.</w:t>
      </w:r>
      <w:hyperlink r:id="rId43">
        <w:r>
          <w:rPr>
            <w:color w:val="1155CC"/>
            <w:sz w:val="24"/>
            <w:szCs w:val="24"/>
            <w:u w:val="single"/>
          </w:rPr>
          <w:t>https://www.sciencedirect.com/science/article/pii/S001985012300192X</w:t>
        </w:r>
      </w:hyperlink>
      <w:r>
        <w:rPr>
          <w:sz w:val="24"/>
          <w:szCs w:val="24"/>
        </w:rPr>
        <w:t xml:space="preserve"> </w:t>
      </w:r>
    </w:p>
    <w:p w14:paraId="5961F334" w14:textId="77777777" w:rsidR="00B15834" w:rsidRDefault="00B15834">
      <w:pPr>
        <w:spacing w:after="240" w:line="360" w:lineRule="auto"/>
        <w:jc w:val="both"/>
        <w:rPr>
          <w:sz w:val="24"/>
          <w:szCs w:val="24"/>
        </w:rPr>
      </w:pPr>
      <w:r>
        <w:rPr>
          <w:color w:val="222222"/>
          <w:sz w:val="24"/>
          <w:szCs w:val="24"/>
          <w:highlight w:val="white"/>
        </w:rPr>
        <w:t xml:space="preserve">Verma, P., Ahuja, T.K., Bisht, D. and Iqbal, M.I., 2026. Driving Circular Economy Success: The Power of Collaborative Platforms. In </w:t>
      </w:r>
      <w:r>
        <w:rPr>
          <w:i/>
          <w:iCs/>
          <w:color w:val="222222"/>
          <w:sz w:val="24"/>
          <w:szCs w:val="24"/>
          <w:highlight w:val="white"/>
        </w:rPr>
        <w:t>Smart Sustainability</w:t>
      </w:r>
      <w:r>
        <w:rPr>
          <w:color w:val="222222"/>
          <w:sz w:val="24"/>
          <w:szCs w:val="24"/>
          <w:highlight w:val="white"/>
        </w:rPr>
        <w:t xml:space="preserve"> (pp. 130-153). Productivity Press.</w:t>
      </w:r>
      <w:hyperlink r:id="rId44">
        <w:r>
          <w:rPr>
            <w:color w:val="1155CC"/>
            <w:sz w:val="24"/>
            <w:szCs w:val="24"/>
            <w:u w:val="single"/>
          </w:rPr>
          <w:t>https://www.taylorfrancis.com/chapters/edit/10.4324/9781003614111-7/driving-circular-economy-success-priyanshu-verma-tarunpreet-kaur-ahuja-deepa-bisht-mohammed-ismail-iqbal</w:t>
        </w:r>
      </w:hyperlink>
      <w:r>
        <w:rPr>
          <w:sz w:val="24"/>
          <w:szCs w:val="24"/>
        </w:rPr>
        <w:t xml:space="preserve"> </w:t>
      </w:r>
    </w:p>
    <w:p w14:paraId="1DBC08A8" w14:textId="77777777" w:rsidR="00B15834" w:rsidRDefault="00B15834">
      <w:pPr>
        <w:spacing w:after="240" w:line="360" w:lineRule="auto"/>
        <w:jc w:val="both"/>
        <w:rPr>
          <w:sz w:val="24"/>
          <w:szCs w:val="24"/>
        </w:rPr>
      </w:pPr>
      <w:r>
        <w:rPr>
          <w:color w:val="222222"/>
          <w:sz w:val="24"/>
          <w:szCs w:val="24"/>
          <w:highlight w:val="white"/>
        </w:rPr>
        <w:t xml:space="preserve">Wachowiak, J. and </w:t>
      </w:r>
      <w:proofErr w:type="spellStart"/>
      <w:r>
        <w:rPr>
          <w:color w:val="222222"/>
          <w:sz w:val="24"/>
          <w:szCs w:val="24"/>
          <w:highlight w:val="white"/>
        </w:rPr>
        <w:t>Zuleeg</w:t>
      </w:r>
      <w:proofErr w:type="spellEnd"/>
      <w:r>
        <w:rPr>
          <w:color w:val="222222"/>
          <w:sz w:val="24"/>
          <w:szCs w:val="24"/>
          <w:highlight w:val="white"/>
        </w:rPr>
        <w:t xml:space="preserve">, F., 2022. Brexit and the trade and cooperation agreement: Implications for internal and external EU differentiation. </w:t>
      </w:r>
      <w:r>
        <w:rPr>
          <w:i/>
          <w:iCs/>
          <w:color w:val="222222"/>
          <w:sz w:val="24"/>
          <w:szCs w:val="24"/>
          <w:highlight w:val="white"/>
        </w:rPr>
        <w:t>The International Spectator</w:t>
      </w:r>
      <w:r>
        <w:rPr>
          <w:color w:val="222222"/>
          <w:sz w:val="24"/>
          <w:szCs w:val="24"/>
          <w:highlight w:val="white"/>
        </w:rPr>
        <w:t xml:space="preserve">, </w:t>
      </w:r>
      <w:r>
        <w:rPr>
          <w:i/>
          <w:iCs/>
          <w:color w:val="222222"/>
          <w:sz w:val="24"/>
          <w:szCs w:val="24"/>
          <w:highlight w:val="white"/>
        </w:rPr>
        <w:t>57</w:t>
      </w:r>
      <w:r>
        <w:rPr>
          <w:color w:val="222222"/>
          <w:sz w:val="24"/>
          <w:szCs w:val="24"/>
          <w:highlight w:val="white"/>
        </w:rPr>
        <w:t>(1), pp.142-159.</w:t>
      </w:r>
      <w:hyperlink r:id="rId45">
        <w:r>
          <w:rPr>
            <w:color w:val="1155CC"/>
            <w:sz w:val="24"/>
            <w:szCs w:val="24"/>
            <w:u w:val="single"/>
          </w:rPr>
          <w:t>https://www.tandfonline.com/doi/abs/10.1080/03932729.2022.2030604</w:t>
        </w:r>
      </w:hyperlink>
      <w:r>
        <w:rPr>
          <w:sz w:val="24"/>
          <w:szCs w:val="24"/>
        </w:rPr>
        <w:t xml:space="preserve"> </w:t>
      </w:r>
    </w:p>
    <w:p w14:paraId="51A4C4AF" w14:textId="77777777" w:rsidR="00510185" w:rsidRDefault="00510185">
      <w:pPr>
        <w:spacing w:after="240" w:line="360" w:lineRule="auto"/>
        <w:jc w:val="both"/>
        <w:rPr>
          <w:sz w:val="24"/>
          <w:szCs w:val="24"/>
        </w:rPr>
      </w:pPr>
    </w:p>
    <w:p w14:paraId="391A5B7F" w14:textId="77777777" w:rsidR="00510185" w:rsidRDefault="00510185">
      <w:pPr>
        <w:spacing w:after="240" w:line="360" w:lineRule="auto"/>
        <w:jc w:val="both"/>
        <w:rPr>
          <w:sz w:val="24"/>
          <w:szCs w:val="24"/>
        </w:rPr>
      </w:pPr>
    </w:p>
    <w:sectPr w:rsidR="00510185">
      <w:footerReference w:type="default" r:id="rId4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731C56" w14:textId="77777777" w:rsidR="00B304B4" w:rsidRDefault="00B304B4">
      <w:pPr>
        <w:spacing w:line="240" w:lineRule="auto"/>
      </w:pPr>
      <w:r>
        <w:separator/>
      </w:r>
    </w:p>
  </w:endnote>
  <w:endnote w:type="continuationSeparator" w:id="0">
    <w:p w14:paraId="2FD28FD5" w14:textId="77777777" w:rsidR="00B304B4" w:rsidRDefault="00B304B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C81BF6A-CB0B-423D-B3AB-12E138E510ED}"/>
  </w:font>
  <w:font w:name="Cambria">
    <w:panose1 w:val="02040503050406030204"/>
    <w:charset w:val="00"/>
    <w:family w:val="roman"/>
    <w:pitch w:val="variable"/>
    <w:sig w:usb0="E00006FF" w:usb1="420024FF" w:usb2="02000000" w:usb3="00000000" w:csb0="0000019F" w:csb1="00000000"/>
    <w:embedRegular r:id="rId2" w:fontKey="{AD117673-7B02-46CC-BCD3-E5888242201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8E0A67" w14:textId="77777777" w:rsidR="00510185" w:rsidRDefault="00424E35">
    <w:pPr>
      <w:spacing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B15834">
      <w:rPr>
        <w:rFonts w:ascii="Times New Roman" w:eastAsia="Times New Roman" w:hAnsi="Times New Roman" w:cs="Times New Roman"/>
        <w:noProof/>
        <w:sz w:val="24"/>
        <w:szCs w:val="24"/>
      </w:rPr>
      <w:t>15</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F02798" w14:textId="77777777" w:rsidR="00B304B4" w:rsidRDefault="00B304B4">
      <w:pPr>
        <w:spacing w:line="240" w:lineRule="auto"/>
      </w:pPr>
      <w:r>
        <w:separator/>
      </w:r>
    </w:p>
  </w:footnote>
  <w:footnote w:type="continuationSeparator" w:id="0">
    <w:p w14:paraId="10BCCCA0" w14:textId="77777777" w:rsidR="00B304B4" w:rsidRDefault="00B304B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0185"/>
    <w:rsid w:val="000D34BB"/>
    <w:rsid w:val="00424E35"/>
    <w:rsid w:val="00510185"/>
    <w:rsid w:val="00843A6D"/>
    <w:rsid w:val="00B15834"/>
    <w:rsid w:val="00B304B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41F00"/>
  <w15:docId w15:val="{7CA814A5-9663-459F-9AC8-64B2442A9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D34BB"/>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pPr>
      <w:keepNext/>
      <w:keepLines/>
      <w:outlineLvl w:val="1"/>
    </w:pPr>
    <w:rPr>
      <w:rFonts w:ascii="Times New Roman" w:eastAsia="Times New Roman" w:hAnsi="Times New Roman" w:cs="Times New Roman"/>
      <w:b/>
      <w:bCs/>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blog.oxfordcollegeofmarketing.com/2020/10/08/understanding-the-7ps-of-the-marketing-mix/" TargetMode="External"/><Relationship Id="rId18" Type="http://schemas.openxmlformats.org/officeDocument/2006/relationships/hyperlink" Target="https://www.emerald.com/jrpc/article/2/1/496/1298250" TargetMode="External"/><Relationship Id="rId26" Type="http://schemas.openxmlformats.org/officeDocument/2006/relationships/hyperlink" Target="https://onlinelibrary.wiley.com/doi/abs/10.1002/tesq.3146" TargetMode="External"/><Relationship Id="rId39" Type="http://schemas.openxmlformats.org/officeDocument/2006/relationships/hyperlink" Target="https://www.researchgate.net/publication/392542103_A_Study_on_the_Effectiveness_of_Patagonias_Sustainability-Driven_Brand_Strategy" TargetMode="External"/><Relationship Id="rId21" Type="http://schemas.openxmlformats.org/officeDocument/2006/relationships/hyperlink" Target="https://environment.ec.europa.eu/topics/circular-economy-topics/green-claims_en" TargetMode="External"/><Relationship Id="rId34" Type="http://schemas.openxmlformats.org/officeDocument/2006/relationships/hyperlink" Target="https://wornwear.patagonia.com/" TargetMode="External"/><Relationship Id="rId42" Type="http://schemas.openxmlformats.org/officeDocument/2006/relationships/hyperlink" Target="https://www.tandfonline.com/doi/abs/10.1080/23311975.2025.2523405" TargetMode="External"/><Relationship Id="rId47"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www.frontiersin.org/journals/sustainability/articles/10.3389/frsus.2022.899289/full?trk=public_post_comment-text" TargetMode="External"/><Relationship Id="rId29" Type="http://schemas.openxmlformats.org/officeDocument/2006/relationships/hyperlink" Target="https://www.marketdataforecast.com/market-reports/Europe-second-hand-clothing-market"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researchgate.net/profile/Kwan-Hong-Tan/publication/391661964_Strategic_International_Marketing_Plan_Patagonia's_Entry_into_India/links/68219de7d1054b0207ee4bdf/Strategic-International-Marketing-Plan-Patagonias-Entry-into-India.pdf" TargetMode="External"/><Relationship Id="rId32" Type="http://schemas.openxmlformats.org/officeDocument/2006/relationships/hyperlink" Target="https://www.researchgate.net/publication/392542103_A_Study_on_the_Effectiveness_of_Patagonias_Sustainability-Driven_Brand_Strategy" TargetMode="External"/><Relationship Id="rId37" Type="http://schemas.openxmlformats.org/officeDocument/2006/relationships/hyperlink" Target="https://wornwear.patagonia.com/" TargetMode="External"/><Relationship Id="rId40" Type="http://schemas.openxmlformats.org/officeDocument/2006/relationships/hyperlink" Target="https://www.mdpi.com/2071-1050/15/7/6202" TargetMode="External"/><Relationship Id="rId45" Type="http://schemas.openxmlformats.org/officeDocument/2006/relationships/hyperlink" Target="https://www.tandfonline.com/doi/abs/10.1080/03932729.2022.2030604" TargetMode="External"/><Relationship Id="rId5" Type="http://schemas.openxmlformats.org/officeDocument/2006/relationships/endnotes" Target="endnotes.xml"/><Relationship Id="rId15" Type="http://schemas.openxmlformats.org/officeDocument/2006/relationships/hyperlink" Target="https://www.tandfonline.com/doi/abs/10.1080/09638180.2023.2254351" TargetMode="External"/><Relationship Id="rId23" Type="http://schemas.openxmlformats.org/officeDocument/2006/relationships/hyperlink" Target="https://www.hillpublisher.com/ArticleDetails/2717" TargetMode="External"/><Relationship Id="rId28" Type="http://schemas.openxmlformats.org/officeDocument/2006/relationships/hyperlink" Target="https://www.igi-global.com/chapter/sustainable-e-commerce-platforms/380389" TargetMode="External"/><Relationship Id="rId36" Type="http://schemas.openxmlformats.org/officeDocument/2006/relationships/hyperlink" Target="https://www.patagonia.com/returns.html" TargetMode="External"/><Relationship Id="rId10" Type="http://schemas.openxmlformats.org/officeDocument/2006/relationships/image" Target="media/image5.png"/><Relationship Id="rId19" Type="http://schemas.openxmlformats.org/officeDocument/2006/relationships/hyperlink" Target="https://www.mdpi.com/2673-5768/6/2/68" TargetMode="External"/><Relationship Id="rId31" Type="http://schemas.openxmlformats.org/officeDocument/2006/relationships/hyperlink" Target="https://www.elgaronline.com/abstract/edcoll/9781800373082/9781800373082.00012.xml" TargetMode="External"/><Relationship Id="rId44" Type="http://schemas.openxmlformats.org/officeDocument/2006/relationships/hyperlink" Target="https://www.taylorfrancis.com/chapters/edit/10.4324/9781003614111-7/driving-circular-economy-success-priyanshu-verma-tarunpreet-kaur-ahuja-deepa-bisht-mohammed-ismail-iqbal"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linkedin.com/posts/aydin-ahrabi_stdp-segmentation-targeting-activity-7412383487904862208-zt0t/" TargetMode="External"/><Relationship Id="rId22" Type="http://schemas.openxmlformats.org/officeDocument/2006/relationships/hyperlink" Target="https://www.mdpi.com/2076-3298/10/3/51" TargetMode="External"/><Relationship Id="rId27" Type="http://schemas.openxmlformats.org/officeDocument/2006/relationships/hyperlink" Target="https://www.mdpi.com/2199-8531/7/3/190" TargetMode="External"/><Relationship Id="rId30" Type="http://schemas.openxmlformats.org/officeDocument/2006/relationships/hyperlink" Target="https://link.springer.com/chapter/10.1007/978-3-031-20443-2_5" TargetMode="External"/><Relationship Id="rId35" Type="http://schemas.openxmlformats.org/officeDocument/2006/relationships/hyperlink" Target="https://www.patagonia.com/our-footprint/" TargetMode="External"/><Relationship Id="rId43" Type="http://schemas.openxmlformats.org/officeDocument/2006/relationships/hyperlink" Target="https://www.sciencedirect.com/science/article/pii/S001985012300192X" TargetMode="External"/><Relationship Id="rId48" Type="http://schemas.openxmlformats.org/officeDocument/2006/relationships/theme" Target="theme/theme1.xml"/><Relationship Id="rId8" Type="http://schemas.openxmlformats.org/officeDocument/2006/relationships/image" Target="media/image3.png"/><Relationship Id="rId3" Type="http://schemas.openxmlformats.org/officeDocument/2006/relationships/webSettings" Target="webSettings.xml"/><Relationship Id="rId12" Type="http://schemas.openxmlformats.org/officeDocument/2006/relationships/hyperlink" Target="https://www.mckinsey.com/industries/consumer-packaged-goods/our-insights/state-of-consumer" TargetMode="External"/><Relationship Id="rId17" Type="http://schemas.openxmlformats.org/officeDocument/2006/relationships/hyperlink" Target="https://armgpublishing.com/journals/gtsd/volume-1-issue-1/article-1/" TargetMode="External"/><Relationship Id="rId25" Type="http://schemas.openxmlformats.org/officeDocument/2006/relationships/hyperlink" Target="https://onlinelibrary.wiley.com/doi/abs/10.1002/casp.70091" TargetMode="External"/><Relationship Id="rId33" Type="http://schemas.openxmlformats.org/officeDocument/2006/relationships/hyperlink" Target="https://www.tandfonline.com/doi/abs/10.1080/13527266.2022.2154059" TargetMode="External"/><Relationship Id="rId38" Type="http://schemas.openxmlformats.org/officeDocument/2006/relationships/hyperlink" Target="https://journals.sagepub.com/doi/abs/10.1177/15589250251359273" TargetMode="External"/><Relationship Id="rId46" Type="http://schemas.openxmlformats.org/officeDocument/2006/relationships/footer" Target="footer1.xml"/><Relationship Id="rId20" Type="http://schemas.openxmlformats.org/officeDocument/2006/relationships/hyperlink" Target="https://taxation-customs.ec.europa.eu/system/files/2020-01/01-2020-executive-note-eu-vat_forum.pdf" TargetMode="External"/><Relationship Id="rId41" Type="http://schemas.openxmlformats.org/officeDocument/2006/relationships/hyperlink" Target="https://onlinelibrary.wiley.com/doi/abs/10.1111/ijcs.12759"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19</Pages>
  <Words>4566</Words>
  <Characters>26031</Characters>
  <Application>Microsoft Office Word</Application>
  <DocSecurity>0</DocSecurity>
  <Lines>216</Lines>
  <Paragraphs>61</Paragraphs>
  <ScaleCrop>false</ScaleCrop>
  <Company/>
  <LinksUpToDate>false</LinksUpToDate>
  <CharactersWithSpaces>30536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patel Dhruv</dc:creator>
  <cp:lastModifiedBy>patel Dhruv</cp:lastModifiedBy>
  <cp:revision>2</cp:revision>
  <dcterms:created xsi:type="dcterms:W3CDTF">2026-08-14T01:46:00Z</dcterms:created>
  <dcterms:modified xsi:type="dcterms:W3CDTF">2026-08-14T01:46:00Z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86c8e22f-2f68-4e7c-b426-d8c11de3167d</vt:lpwstr>
  </property>
</Properties>
</file>