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CF09D" w14:textId="124C7258" w:rsidR="00E836EB" w:rsidRPr="00E836EB" w:rsidRDefault="00E836EB" w:rsidP="00E836EB">
      <w:pPr>
        <w:jc w:val="center"/>
        <w:rPr>
          <w:rFonts w:ascii="Georgia" w:hAnsi="Georgia"/>
          <w:sz w:val="32"/>
          <w:szCs w:val="32"/>
          <w:u w:val="single"/>
        </w:rPr>
      </w:pPr>
      <w:r>
        <w:rPr>
          <w:rFonts w:ascii="Georgia" w:hAnsi="Georgia"/>
          <w:sz w:val="32"/>
          <w:szCs w:val="32"/>
          <w:u w:val="single"/>
        </w:rPr>
        <w:t>Amina Wadud’s School of Thought</w:t>
      </w:r>
    </w:p>
    <w:p w14:paraId="00F5C17B" w14:textId="77777777" w:rsidR="00E836EB" w:rsidRDefault="00E836EB" w:rsidP="00E836EB">
      <w:pPr>
        <w:rPr>
          <w:rFonts w:ascii="Georgia" w:hAnsi="Georgia"/>
        </w:rPr>
      </w:pPr>
    </w:p>
    <w:p w14:paraId="72006793" w14:textId="0B7775FA" w:rsidR="00E836EB" w:rsidRPr="00E836EB" w:rsidRDefault="00E836EB" w:rsidP="00E836EB">
      <w:pPr>
        <w:rPr>
          <w:rFonts w:ascii="Georgia" w:hAnsi="Georgia"/>
        </w:rPr>
      </w:pPr>
      <w:r w:rsidRPr="00E836EB">
        <w:rPr>
          <w:rFonts w:ascii="Georgia" w:hAnsi="Georgia"/>
        </w:rPr>
        <w:t xml:space="preserve">Western feminism is defined as being ‘the belief in social, economic and political equality of the sexes’ (Brunell and Burkett, 2024), however in this essay the main focus will be on Islamic feminism which deviates towards the redefinition of Islamic women’s identities into a ‘more genuinely modern manner that befits their religion and culture’ (Yvonne Yazbeck Haddad and Esposito, 1998, p.13, cited in </w:t>
      </w:r>
      <w:proofErr w:type="spellStart"/>
      <w:r w:rsidRPr="00E836EB">
        <w:rPr>
          <w:rFonts w:ascii="Georgia" w:hAnsi="Georgia"/>
        </w:rPr>
        <w:t>Grami</w:t>
      </w:r>
      <w:proofErr w:type="spellEnd"/>
      <w:r w:rsidRPr="00E836EB">
        <w:rPr>
          <w:rFonts w:ascii="Georgia" w:hAnsi="Georgia"/>
        </w:rPr>
        <w:t xml:space="preserve">, 2013 p.102). Islamic feminism is not a contemporary idea with it finding its foundations in the late 19th century through the works of Qasim Amin. His most influential work, </w:t>
      </w:r>
      <w:r w:rsidRPr="00E836EB">
        <w:rPr>
          <w:rFonts w:ascii="Georgia" w:hAnsi="Georgia"/>
          <w:i/>
          <w:iCs/>
        </w:rPr>
        <w:t>The Liberation of Woman</w:t>
      </w:r>
      <w:r w:rsidRPr="00E836EB">
        <w:rPr>
          <w:rFonts w:ascii="Georgia" w:hAnsi="Georgia"/>
        </w:rPr>
        <w:t>, speaks on the status of Egyptian and Muslim women while using the Islamic principles laid out in the Qur’an to justify and argue for their education and equality (Amin, 2000 p.12). This revolutionary idea would not gain large amounts of traction until the later end of the 20th century with the rise of conservative readings of Islamic texts, causing negative effects on women and displaying them as second class to their male counterparts (Badran, 2005 p.9; Jawad, 2003 p.107). What distinguishes the difference between the patriarchal teachings of earlier centuries and the 20th is the educational level of women, with women being the most educated they had ever been in relation to the teachings of the Qur’an (Badran, 2005 p.9). With this they were able to rebuke the spread of the harmful teaching and therefore the rise of the term ‘Islamic feminism’ began to become more common in scholarly work (Jawad, 2016). Through the development of this movement, the use of Islamic women’s academic work was utilised to substantiate the arguments of those pushing against patriarchal condemnation. </w:t>
      </w:r>
    </w:p>
    <w:p w14:paraId="1492706F" w14:textId="77777777" w:rsidR="00E836EB" w:rsidRPr="00E836EB" w:rsidRDefault="00E836EB" w:rsidP="00E836EB">
      <w:pPr>
        <w:rPr>
          <w:rFonts w:ascii="Georgia" w:hAnsi="Georgia"/>
        </w:rPr>
      </w:pPr>
    </w:p>
    <w:p w14:paraId="50F019E1" w14:textId="77777777" w:rsidR="00E836EB" w:rsidRPr="00E836EB" w:rsidRDefault="00E836EB" w:rsidP="00E836EB">
      <w:pPr>
        <w:rPr>
          <w:rFonts w:ascii="Georgia" w:hAnsi="Georgia"/>
        </w:rPr>
      </w:pPr>
      <w:r w:rsidRPr="00E836EB">
        <w:rPr>
          <w:rFonts w:ascii="Georgia" w:hAnsi="Georgia"/>
        </w:rPr>
        <w:t xml:space="preserve">One of the most powerful voices was that of Amina Wadud, an African-American woman who converted to Islam at the age of 20 after being raised Buddhist (Katajun </w:t>
      </w:r>
      <w:proofErr w:type="spellStart"/>
      <w:r w:rsidRPr="00E836EB">
        <w:rPr>
          <w:rFonts w:ascii="Georgia" w:hAnsi="Georgia"/>
        </w:rPr>
        <w:t>Amirpur</w:t>
      </w:r>
      <w:proofErr w:type="spellEnd"/>
      <w:r w:rsidRPr="00E836EB">
        <w:rPr>
          <w:rFonts w:ascii="Georgia" w:hAnsi="Georgia"/>
        </w:rPr>
        <w:t xml:space="preserve">, 2016, p.89). Through her educational career she began with aspirations to become a teacher, obtaining a teaching degree from the University of Pennsylvania before achieving a masters in middle eastern studies after having her first child in Libya which had sparked her interest into the limitations placed on her because of her new label of mother in the name of the sacred scripture (Katajun </w:t>
      </w:r>
      <w:proofErr w:type="spellStart"/>
      <w:r w:rsidRPr="00E836EB">
        <w:rPr>
          <w:rFonts w:ascii="Georgia" w:hAnsi="Georgia"/>
        </w:rPr>
        <w:t>Amirpur</w:t>
      </w:r>
      <w:proofErr w:type="spellEnd"/>
      <w:r w:rsidRPr="00E836EB">
        <w:rPr>
          <w:rFonts w:ascii="Georgia" w:hAnsi="Georgia"/>
        </w:rPr>
        <w:t xml:space="preserve">, 2016, p.91). Her rejection of these prohibitions led her to study the Qur’an herself, re-analysing the verses that were largely patriarchal in a female perspective and outlining how the sacred text revolves around justice and equity (Wadud, 1999 </w:t>
      </w:r>
      <w:proofErr w:type="spellStart"/>
      <w:r w:rsidRPr="00E836EB">
        <w:rPr>
          <w:rFonts w:ascii="Georgia" w:hAnsi="Georgia"/>
        </w:rPr>
        <w:t>p.xiii</w:t>
      </w:r>
      <w:proofErr w:type="spellEnd"/>
      <w:r w:rsidRPr="00E836EB">
        <w:rPr>
          <w:rFonts w:ascii="Georgia" w:hAnsi="Georgia"/>
        </w:rPr>
        <w:t xml:space="preserve">); her main messages throughout her dissertation (Katajun </w:t>
      </w:r>
      <w:proofErr w:type="spellStart"/>
      <w:r w:rsidRPr="00E836EB">
        <w:rPr>
          <w:rFonts w:ascii="Georgia" w:hAnsi="Georgia"/>
        </w:rPr>
        <w:t>Amirpur</w:t>
      </w:r>
      <w:proofErr w:type="spellEnd"/>
      <w:r w:rsidRPr="00E836EB">
        <w:rPr>
          <w:rFonts w:ascii="Georgia" w:hAnsi="Georgia"/>
        </w:rPr>
        <w:t xml:space="preserve">, 2016, p.94) </w:t>
      </w:r>
      <w:r w:rsidRPr="00E836EB">
        <w:rPr>
          <w:rFonts w:ascii="Georgia" w:hAnsi="Georgia"/>
          <w:i/>
          <w:iCs/>
        </w:rPr>
        <w:t>Qur’an and Woman: Rereading the Sacred Text from a Woman's Perspective</w:t>
      </w:r>
      <w:r w:rsidRPr="00E836EB">
        <w:rPr>
          <w:rFonts w:ascii="Georgia" w:hAnsi="Georgia"/>
        </w:rPr>
        <w:t>. </w:t>
      </w:r>
    </w:p>
    <w:p w14:paraId="261DB87D" w14:textId="77777777" w:rsidR="00E836EB" w:rsidRPr="00E836EB" w:rsidRDefault="00E836EB" w:rsidP="00E836EB">
      <w:pPr>
        <w:rPr>
          <w:rFonts w:ascii="Georgia" w:hAnsi="Georgia"/>
        </w:rPr>
      </w:pPr>
    </w:p>
    <w:p w14:paraId="5D3B4E87" w14:textId="77777777" w:rsidR="00E836EB" w:rsidRPr="00E836EB" w:rsidRDefault="00E836EB" w:rsidP="00E836EB">
      <w:pPr>
        <w:rPr>
          <w:rFonts w:ascii="Georgia" w:hAnsi="Georgia"/>
        </w:rPr>
      </w:pPr>
      <w:r w:rsidRPr="00E836EB">
        <w:rPr>
          <w:rFonts w:ascii="Georgia" w:hAnsi="Georgia"/>
        </w:rPr>
        <w:t>Its publication in 1992 created the catalyst many Islamic feminists needed to legitimise and authenticate their beliefs (Webb and Wadud, 2000 p.519). Additionally, outside of the scholarly perspective it also gave Muslim women a way to go against the male favoured viewpoint and educate themselves on other understandings of the Qur’an while still keeping within their belief system (Webb and Wadud, 2000 p.519). The work gave them not only a deeper, more contextual basis but also created a feminist hermeneutical framework for which other scholars and activists could utilise in further research.  </w:t>
      </w:r>
    </w:p>
    <w:p w14:paraId="474076F2" w14:textId="77777777" w:rsidR="00E836EB" w:rsidRPr="00E836EB" w:rsidRDefault="00E836EB" w:rsidP="00E836EB">
      <w:pPr>
        <w:rPr>
          <w:rFonts w:ascii="Georgia" w:hAnsi="Georgia"/>
        </w:rPr>
      </w:pPr>
    </w:p>
    <w:p w14:paraId="0F1FFCF5" w14:textId="77777777" w:rsidR="00E836EB" w:rsidRPr="00E836EB" w:rsidRDefault="00E836EB" w:rsidP="00E836EB">
      <w:pPr>
        <w:rPr>
          <w:rFonts w:ascii="Georgia" w:hAnsi="Georgia"/>
        </w:rPr>
      </w:pPr>
      <w:r w:rsidRPr="00E836EB">
        <w:rPr>
          <w:rFonts w:ascii="Georgia" w:hAnsi="Georgia"/>
        </w:rPr>
        <w:t xml:space="preserve">Wadud outlines this feminist hermeneutical framework at the beginning of her dissertation, displaying how Qur’anic verses need to be placed in historical context in order to understand the base meaning before applying it to a more modern circumstance (Wadud, 1999 p.4). Within this framework she splits it into three different analyses; the first being to analyse the </w:t>
      </w:r>
      <w:r w:rsidRPr="00E836EB">
        <w:rPr>
          <w:rFonts w:ascii="Georgia" w:hAnsi="Georgia"/>
        </w:rPr>
        <w:lastRenderedPageBreak/>
        <w:t xml:space="preserve">context in which the text was written, then the grammatical composition of said text and lastly the whole text or world over-view (Wadud, 1999 p.3). In using this she also acknowledges the bias limitation of Qur’an exegesis which suggests that no perspective will be objective as the Qur’an is not written in an objective manner, rather it is left for interpretation (Wadud, 1999 p.1).  Additionally, her work can be broken down into the aforementioned categories in which she believes the Qur’an upholds; justice and equity (Wadud, 1999 </w:t>
      </w:r>
      <w:proofErr w:type="spellStart"/>
      <w:r w:rsidRPr="00E836EB">
        <w:rPr>
          <w:rFonts w:ascii="Georgia" w:hAnsi="Georgia"/>
        </w:rPr>
        <w:t>p.xiii</w:t>
      </w:r>
      <w:proofErr w:type="spellEnd"/>
      <w:r w:rsidRPr="00E836EB">
        <w:rPr>
          <w:rFonts w:ascii="Georgia" w:hAnsi="Georgia"/>
        </w:rPr>
        <w:t>). </w:t>
      </w:r>
    </w:p>
    <w:p w14:paraId="5937EAB7" w14:textId="77777777" w:rsidR="00E836EB" w:rsidRPr="00E836EB" w:rsidRDefault="00E836EB" w:rsidP="00E836EB">
      <w:pPr>
        <w:rPr>
          <w:rFonts w:ascii="Georgia" w:hAnsi="Georgia"/>
        </w:rPr>
      </w:pPr>
    </w:p>
    <w:p w14:paraId="513452A9" w14:textId="77777777" w:rsidR="00E836EB" w:rsidRPr="00E836EB" w:rsidRDefault="00E836EB" w:rsidP="00E836EB">
      <w:pPr>
        <w:rPr>
          <w:rFonts w:ascii="Georgia" w:hAnsi="Georgia"/>
        </w:rPr>
      </w:pPr>
      <w:r w:rsidRPr="00E836EB">
        <w:rPr>
          <w:rFonts w:ascii="Georgia" w:hAnsi="Georgia"/>
        </w:rPr>
        <w:t>Justice is often defined as the ensuring of ‘equal basic rights and opportunities’ (</w:t>
      </w:r>
      <w:proofErr w:type="spellStart"/>
      <w:r w:rsidRPr="00E836EB">
        <w:rPr>
          <w:rFonts w:ascii="Georgia" w:hAnsi="Georgia"/>
        </w:rPr>
        <w:t>PolSci</w:t>
      </w:r>
      <w:proofErr w:type="spellEnd"/>
      <w:r w:rsidRPr="00E836EB">
        <w:rPr>
          <w:rFonts w:ascii="Georgia" w:hAnsi="Georgia"/>
        </w:rPr>
        <w:t xml:space="preserve"> Institute, 2023), which in Wadud’s work is not remiss however she mainly focuses on the balance that justice brings and uses the first two chapters, the story of mankind's creation and the female characters in the Qur’an, to showcase how man and woman are kept fair. Chapter one talks eloquently on the thought that man and woman were created the same with neither containing any significant or essential differences that would limit them more or less than their counterpart (Wadud, 1999 p.15). This is important as it emphasises her school of thought that the Qur’an itself isn’t inherently unjust rather the later Islamic theologists bias plastered it with a patriarchal facade. Additionally during the creation of mankind Allah breathes in the spirit of himself into ‘each human- male or female’ (Wadud, 1999 p.17), this again shows that man and woman are treated justly in the basis of the Qur’an that there is no difference in their level of spirituality and therefore defines them as equal in the eyes of Allah. This equality is again embraced in the exhibition that ‘male is irrevocably linked with the female as man is comparably linked with woman’  (Wadud, 1999 p.21) showcasing how both genders are placed on the same level, refuting the often accepted ideal that men are above women. In reference to the earlier conservative teachings that had spread in the early 90s, bold irrefutable statements such as this one was partly why Wadud’s school of thought was so widely accepted by those in the Islamic feminist community as it began the argument against those using the Qur’an as a way to mistreat women and therefore going against the principle of justice. </w:t>
      </w:r>
    </w:p>
    <w:p w14:paraId="5F53F19D" w14:textId="77777777" w:rsidR="00E836EB" w:rsidRPr="00E836EB" w:rsidRDefault="00E836EB" w:rsidP="00E836EB">
      <w:pPr>
        <w:rPr>
          <w:rFonts w:ascii="Georgia" w:hAnsi="Georgia"/>
        </w:rPr>
      </w:pPr>
    </w:p>
    <w:p w14:paraId="3268F42B" w14:textId="77777777" w:rsidR="00E836EB" w:rsidRPr="00E836EB" w:rsidRDefault="00E836EB" w:rsidP="00E836EB">
      <w:pPr>
        <w:rPr>
          <w:rFonts w:ascii="Georgia" w:hAnsi="Georgia"/>
        </w:rPr>
      </w:pPr>
      <w:r w:rsidRPr="00E836EB">
        <w:rPr>
          <w:rFonts w:ascii="Georgia" w:hAnsi="Georgia"/>
        </w:rPr>
        <w:t>Wadud continues this thought throughout chapter two as well as she talks on the female characters for which she states that the Qur’an does not ‘support a specific and stereotyped role of its characters male or female’ (Wadud, 1999 p.29). In this it again holds both genders at the same level of importance, neither fit into the stereotypes often placed on them, such as the female being motherly, and therefore treated them in a fair light. As to not repeat her ideals of the importance of justice again, later in the chapter she talks on the way in which the Queen of Sheba, Bilqis, handles matters in a political stance with her asking her advisor their opinion before formulating a response to the invitation she has received  (Wadud, 1999 p.41). Wadud quickly flattens any idea that this is showing the Queen as unable to make her own decisions and rather as a woman in control that follows ‘protocol and diplomacy’  (Wadud, 1999 p.41). It again fits with the principle of justice however the main point shown here is the way in which the Quran handles the idea of a female leader, which happens to be the same in which it would handle a male; with diplomacy and a level mind  (Wadud, 1999 p.42). She states how these women are not meant to be role models but rather the backbone for moral thought, therefore they should not be seen as what a woman should be but rather the distinction for their gender is unimportant to the lesson the Qur’an is trying to express  (Wadud, 1999 p.32). </w:t>
      </w:r>
    </w:p>
    <w:p w14:paraId="7F6BF12E" w14:textId="77777777" w:rsidR="00E836EB" w:rsidRPr="00E836EB" w:rsidRDefault="00E836EB" w:rsidP="00E836EB">
      <w:pPr>
        <w:rPr>
          <w:rFonts w:ascii="Georgia" w:hAnsi="Georgia"/>
        </w:rPr>
      </w:pPr>
    </w:p>
    <w:p w14:paraId="6B107090" w14:textId="77777777" w:rsidR="00E836EB" w:rsidRPr="00E836EB" w:rsidRDefault="00E836EB" w:rsidP="00E836EB">
      <w:pPr>
        <w:rPr>
          <w:rFonts w:ascii="Georgia" w:hAnsi="Georgia"/>
        </w:rPr>
      </w:pPr>
      <w:r w:rsidRPr="00E836EB">
        <w:rPr>
          <w:rFonts w:ascii="Georgia" w:hAnsi="Georgia"/>
        </w:rPr>
        <w:lastRenderedPageBreak/>
        <w:t xml:space="preserve">Justice and equity follow the same pattern in terms of meaning being fair and equal, however, equity revolves around recognising that ‘each person has different circumstances and allocates the exact resources and opportunities needed to reach an equal outcome’ (Milken Institute School of Public Health, 2020). Through this definition Wadud showcases the idea of there being equity in the Qur’an, in which gender division is not unheard of  (Wadud, 1999 p.44), within the belief of recompense, before splitting  into the stages of hereafter. Ones such as death, resurrection and judgement are seen as not having any distinction between gender as Wadud states ‘all deeds are individual’  (Wadud, 1999 p.48) meaning that it is individualistic and therefore one's gender is not important but rather the character of the person. This is again stated with the idea that all humans die, meaning there cannot be a distinction between male or female death  (Wadud, 1999 p.45). Paradise is a contested topic in her book as she re-works certain stances that have been long accepted. It is firmly stated in the Qur’an that there are ‘earthly things like wealth, power, food, family status, offspring, and women’ (Wadud, 1999 p.53), however, the way in which people (mostly men) have interpreted this is that it is consistent between person to person, which cannot be true as paradise is something unimaginable by those on earth. This therefore expresses equity through the idea that men and women have different definitions of paradise and therefore would receive different outcomes. This is similar to the use of </w:t>
      </w:r>
      <w:proofErr w:type="spellStart"/>
      <w:r w:rsidRPr="00E836EB">
        <w:rPr>
          <w:rFonts w:ascii="Georgia" w:hAnsi="Georgia"/>
        </w:rPr>
        <w:t>azwaj</w:t>
      </w:r>
      <w:proofErr w:type="spellEnd"/>
      <w:r w:rsidRPr="00E836EB">
        <w:rPr>
          <w:rFonts w:ascii="Georgia" w:hAnsi="Georgia"/>
        </w:rPr>
        <w:t xml:space="preserve"> in which Wadud states that the use of the plural has been used out of context by male Islamic theologists and earlier interpreters in statements such as the idea that a man will obtain ‘multiple </w:t>
      </w:r>
      <w:proofErr w:type="spellStart"/>
      <w:r w:rsidRPr="00E836EB">
        <w:rPr>
          <w:rFonts w:ascii="Georgia" w:hAnsi="Georgia"/>
        </w:rPr>
        <w:t>huri</w:t>
      </w:r>
      <w:proofErr w:type="spellEnd"/>
      <w:r w:rsidRPr="00E836EB">
        <w:rPr>
          <w:rFonts w:ascii="Georgia" w:hAnsi="Georgia"/>
        </w:rPr>
        <w:t xml:space="preserve"> (paradisal being) for his pleasure’ (Wadud, 1999 p.57). This contradicts the promotion of being pious and practicing self-constraint meaning that Wadud reiterates that the actual meaning may revolve more around the idea that a companion awaits those who believe, not multiple wives (Wadud, 1999 p.57). This contradiction of other Qur’anic phrases is seen again through the translations of </w:t>
      </w:r>
      <w:proofErr w:type="spellStart"/>
      <w:r w:rsidRPr="00E836EB">
        <w:rPr>
          <w:rFonts w:ascii="Georgia" w:hAnsi="Georgia"/>
        </w:rPr>
        <w:t>zwaj</w:t>
      </w:r>
      <w:proofErr w:type="spellEnd"/>
      <w:r w:rsidRPr="00E836EB">
        <w:rPr>
          <w:rFonts w:ascii="Georgia" w:hAnsi="Georgia"/>
        </w:rPr>
        <w:t>, commonly believed to be the idea that a ‘man has the power to directly determine the fate of his spouse’ (Wadud, 1999 p.55). This goes against the idea that everyone is evaluated individualistically after death, meaning it goes against the ‘Qur’anic stand against individual intercession at the judgement’ (Wadud, 1999 p.56). The use of language is intertwined with the importance of recompense in association to the division of gender as Wadud expresses the use of the neuter. Being both masculine and feminine means that there is little importance to the gender of a person when it comes to the Qur'an's views on recompense  or the Hereafter (Wadud, 1999 p.49). </w:t>
      </w:r>
    </w:p>
    <w:p w14:paraId="70BB3214" w14:textId="77777777" w:rsidR="00E836EB" w:rsidRPr="00E836EB" w:rsidRDefault="00E836EB" w:rsidP="00E836EB">
      <w:pPr>
        <w:rPr>
          <w:rFonts w:ascii="Georgia" w:hAnsi="Georgia"/>
        </w:rPr>
      </w:pPr>
    </w:p>
    <w:p w14:paraId="587D2D83" w14:textId="77777777" w:rsidR="00E836EB" w:rsidRPr="00E836EB" w:rsidRDefault="00E836EB" w:rsidP="00E836EB">
      <w:pPr>
        <w:rPr>
          <w:rFonts w:ascii="Georgia" w:hAnsi="Georgia"/>
        </w:rPr>
      </w:pPr>
      <w:r w:rsidRPr="00E836EB">
        <w:rPr>
          <w:rFonts w:ascii="Georgia" w:hAnsi="Georgia"/>
        </w:rPr>
        <w:t xml:space="preserve">Wadud’s school of thought can be seen as the examination of </w:t>
      </w:r>
      <w:proofErr w:type="spellStart"/>
      <w:r w:rsidRPr="00E836EB">
        <w:rPr>
          <w:rFonts w:ascii="Georgia" w:hAnsi="Georgia"/>
        </w:rPr>
        <w:t>islamic</w:t>
      </w:r>
      <w:proofErr w:type="spellEnd"/>
      <w:r w:rsidRPr="00E836EB">
        <w:rPr>
          <w:rFonts w:ascii="Georgia" w:hAnsi="Georgia"/>
        </w:rPr>
        <w:t xml:space="preserve"> verses such as those that were compromised by masculine influence in a patriarchal society through the strong lenses of justice and equity, with this in mind she goes on to look into the themes of Islamic law. This essay will focus solely on the theme of divorce in the Qur’an. </w:t>
      </w:r>
    </w:p>
    <w:p w14:paraId="5547EB5B" w14:textId="77777777" w:rsidR="00E836EB" w:rsidRPr="00E836EB" w:rsidRDefault="00E836EB" w:rsidP="00E836EB">
      <w:pPr>
        <w:rPr>
          <w:rFonts w:ascii="Georgia" w:hAnsi="Georgia"/>
        </w:rPr>
      </w:pPr>
    </w:p>
    <w:p w14:paraId="431CEA0F" w14:textId="77777777" w:rsidR="00E836EB" w:rsidRPr="00E836EB" w:rsidRDefault="00E836EB" w:rsidP="00E836EB">
      <w:pPr>
        <w:rPr>
          <w:rFonts w:ascii="Georgia" w:hAnsi="Georgia"/>
        </w:rPr>
      </w:pPr>
      <w:r w:rsidRPr="00E836EB">
        <w:rPr>
          <w:rFonts w:ascii="Georgia" w:hAnsi="Georgia"/>
        </w:rPr>
        <w:t xml:space="preserve">Despite the word divorce meaning the ‘legal process of ending a marriage’ (BP Legal, 2025) for many people the process itself also revolves around their religious beliefs. Large religions such as Christianity, for example, believe that divorce is a last resort and in some </w:t>
      </w:r>
      <w:proofErr w:type="spellStart"/>
      <w:r w:rsidRPr="00E836EB">
        <w:rPr>
          <w:rFonts w:ascii="Georgia" w:hAnsi="Georgia"/>
        </w:rPr>
        <w:t>orthodoxes</w:t>
      </w:r>
      <w:proofErr w:type="spellEnd"/>
      <w:r w:rsidRPr="00E836EB">
        <w:rPr>
          <w:rFonts w:ascii="Georgia" w:hAnsi="Georgia"/>
        </w:rPr>
        <w:t xml:space="preserve"> restricted completely. The belief revolves around how Jesus, during his time on earth, rebuked the idea of divorce and tried to reaffirm the sanctity of marriage, creating more and more perimeters in which a married couple can divorce (Mooney, 2024). Additionally, it states in the bibles God’s dislike for the practice and how it is violent by causing emotional, physical and spiritual harm to the ones getting divorced and their families (Mooney, 2024). Due to this, depending on how strict the person is with their religion, divorce is often looked past and if achieved looked down upon. On the opposite end of the spectrum, Buddhism is less strict with its idea on divorce, being that those who are strictly following the Buddha’s </w:t>
      </w:r>
      <w:r w:rsidRPr="00E836EB">
        <w:rPr>
          <w:rFonts w:ascii="Georgia" w:hAnsi="Georgia"/>
        </w:rPr>
        <w:lastRenderedPageBreak/>
        <w:t xml:space="preserve">teachings and feel as though separation is the best option are free to do so in order to keep a happier home (Buddhism Info, </w:t>
      </w:r>
      <w:proofErr w:type="spellStart"/>
      <w:r w:rsidRPr="00E836EB">
        <w:rPr>
          <w:rFonts w:ascii="Georgia" w:hAnsi="Georgia"/>
        </w:rPr>
        <w:t>n.d</w:t>
      </w:r>
      <w:proofErr w:type="spellEnd"/>
      <w:r w:rsidRPr="00E836EB">
        <w:rPr>
          <w:rFonts w:ascii="Georgia" w:hAnsi="Georgia"/>
        </w:rPr>
        <w:t xml:space="preserve">). Furthermore, unlike some religions where it is not as </w:t>
      </w:r>
      <w:proofErr w:type="spellStart"/>
      <w:r w:rsidRPr="00E836EB">
        <w:rPr>
          <w:rFonts w:ascii="Georgia" w:hAnsi="Georgia"/>
        </w:rPr>
        <w:t>thought</w:t>
      </w:r>
      <w:proofErr w:type="spellEnd"/>
      <w:r w:rsidRPr="00E836EB">
        <w:rPr>
          <w:rFonts w:ascii="Georgia" w:hAnsi="Georgia"/>
        </w:rPr>
        <w:t xml:space="preserve"> on, the Buddha’s discourages the marriage between the old and the young as the likelihood of the marriage being longstanding is limited (Buddhism Info, n.d.). Non-religious stances on divorce range from being completely closed off to it to being more open to the idea; this is an oversimplification of the Western belief in non-religious thoughts of divorce (</w:t>
      </w:r>
      <w:proofErr w:type="spellStart"/>
      <w:r w:rsidRPr="00E836EB">
        <w:rPr>
          <w:rFonts w:ascii="Georgia" w:hAnsi="Georgia"/>
        </w:rPr>
        <w:t>Mentser</w:t>
      </w:r>
      <w:proofErr w:type="spellEnd"/>
      <w:r w:rsidRPr="00E836EB">
        <w:rPr>
          <w:rFonts w:ascii="Georgia" w:hAnsi="Georgia"/>
        </w:rPr>
        <w:t xml:space="preserve"> and Sagiv, 2025). Similar to the ones listed above, Islam also has its own unique practices and rules for which people need to follow to divorce. </w:t>
      </w:r>
    </w:p>
    <w:p w14:paraId="474C1FC9" w14:textId="77777777" w:rsidR="00E836EB" w:rsidRPr="00E836EB" w:rsidRDefault="00E836EB" w:rsidP="00E836EB">
      <w:pPr>
        <w:rPr>
          <w:rFonts w:ascii="Georgia" w:hAnsi="Georgia"/>
        </w:rPr>
      </w:pPr>
    </w:p>
    <w:p w14:paraId="4E6C2FCB" w14:textId="77777777" w:rsidR="00E836EB" w:rsidRPr="00E836EB" w:rsidRDefault="00E836EB" w:rsidP="00E836EB">
      <w:pPr>
        <w:rPr>
          <w:rFonts w:ascii="Georgia" w:hAnsi="Georgia"/>
        </w:rPr>
      </w:pPr>
      <w:r w:rsidRPr="00E836EB">
        <w:rPr>
          <w:rFonts w:ascii="Georgia" w:hAnsi="Georgia"/>
        </w:rPr>
        <w:t>Islam has many different types of divorce, each with a specific set of rules in which the couple need to follow to either finalise the divorce or reconcile it. Talaq is a type of divorce in which the husband initiates it by speaking the term 3 times, or speaks ‘I divorce thee’ three times (Sharma, 2021). Talaq al-Ahsan states that the term must be announced during a time of purity (when the woman is not on her menstrual cycle) and then followed by iddah which is a following three menstrual cycles in which the couple is prohibited from having sexual relations (Sharma, 2021). However, if relations or reconciliation happens during this three month period then the marriage continues, meaning that if this does not happen then the divorce is finalised (Sharma, 2021). Talaq al-Hasan comparatively has the husband say it each month for which the woman has a cycle, giving the man time to think on the decision before finalising the divorce if it is stated all 3 times (Sharma, 2021). Talaq al-</w:t>
      </w:r>
      <w:proofErr w:type="spellStart"/>
      <w:r w:rsidRPr="00E836EB">
        <w:rPr>
          <w:rFonts w:ascii="Georgia" w:hAnsi="Georgia"/>
        </w:rPr>
        <w:t>Bid’ah</w:t>
      </w:r>
      <w:proofErr w:type="spellEnd"/>
      <w:r w:rsidRPr="00E836EB">
        <w:rPr>
          <w:rFonts w:ascii="Georgia" w:hAnsi="Georgia"/>
        </w:rPr>
        <w:t xml:space="preserve"> is the most frowned upon version of Talaq with it being banned in certain countries as it goes against constitutional rights and against Islamic law (Sharma, 2021). This form of talaq has the husband speaking the phrase of three in one sitting, giving no time for reflection or reconciliation and is irrevocable after the iddah or the third talaq (Sharma, 2021). </w:t>
      </w:r>
      <w:proofErr w:type="spellStart"/>
      <w:r w:rsidRPr="00E836EB">
        <w:rPr>
          <w:rFonts w:ascii="Georgia" w:hAnsi="Georgia"/>
        </w:rPr>
        <w:t>Khul</w:t>
      </w:r>
      <w:proofErr w:type="spellEnd"/>
      <w:r w:rsidRPr="00E836EB">
        <w:rPr>
          <w:rFonts w:ascii="Georgia" w:hAnsi="Georgia"/>
        </w:rPr>
        <w:t xml:space="preserve">, however, is instead initiated by the wife by offering the husband back her dowry or compensation in another form (Fatima, 2025). To do so the wife must petition to the husband or to the court, if the husband were to disagree with the divorce then the judge has the ability to annul it if the wife provides evidence on reasonable grounds (Mushtaq, 2025). Much like the talaq, </w:t>
      </w:r>
      <w:proofErr w:type="spellStart"/>
      <w:r w:rsidRPr="00E836EB">
        <w:rPr>
          <w:rFonts w:ascii="Georgia" w:hAnsi="Georgia"/>
        </w:rPr>
        <w:t>Khul</w:t>
      </w:r>
      <w:proofErr w:type="spellEnd"/>
      <w:r w:rsidRPr="00E836EB">
        <w:rPr>
          <w:rFonts w:ascii="Georgia" w:hAnsi="Georgia"/>
        </w:rPr>
        <w:t xml:space="preserve"> is irrevocable once granted, however, it gives the woman a degree of control over rights towards the marriage which is why it is favoured by Islamic feminists as it empowers those who used to not have much power in marriage (Fatima, 2025). The action of the wife taking the </w:t>
      </w:r>
      <w:proofErr w:type="spellStart"/>
      <w:r w:rsidRPr="00E836EB">
        <w:rPr>
          <w:rFonts w:ascii="Georgia" w:hAnsi="Georgia"/>
        </w:rPr>
        <w:t>Khul</w:t>
      </w:r>
      <w:proofErr w:type="spellEnd"/>
      <w:r w:rsidRPr="00E836EB">
        <w:rPr>
          <w:rFonts w:ascii="Georgia" w:hAnsi="Georgia"/>
        </w:rPr>
        <w:t xml:space="preserve"> to court can also present as </w:t>
      </w:r>
      <w:proofErr w:type="spellStart"/>
      <w:r w:rsidRPr="00E836EB">
        <w:rPr>
          <w:rFonts w:ascii="Georgia" w:hAnsi="Georgia"/>
        </w:rPr>
        <w:t>Faskh</w:t>
      </w:r>
      <w:proofErr w:type="spellEnd"/>
      <w:r w:rsidRPr="00E836EB">
        <w:rPr>
          <w:rFonts w:ascii="Georgia" w:hAnsi="Georgia"/>
        </w:rPr>
        <w:t>, a judge's dissolution of the marriage under certain grounds (</w:t>
      </w:r>
      <w:proofErr w:type="spellStart"/>
      <w:r w:rsidRPr="00E836EB">
        <w:rPr>
          <w:rFonts w:ascii="Georgia" w:hAnsi="Georgia"/>
        </w:rPr>
        <w:t>Alfalaah</w:t>
      </w:r>
      <w:proofErr w:type="spellEnd"/>
      <w:r w:rsidRPr="00E836EB">
        <w:rPr>
          <w:rFonts w:ascii="Georgia" w:hAnsi="Georgia"/>
        </w:rPr>
        <w:t>, 2025). These grounds can range from abuse, impotence or illness to the breach of the marriage contract (</w:t>
      </w:r>
      <w:proofErr w:type="spellStart"/>
      <w:r w:rsidRPr="00E836EB">
        <w:rPr>
          <w:rFonts w:ascii="Georgia" w:hAnsi="Georgia"/>
        </w:rPr>
        <w:t>Alfalaah</w:t>
      </w:r>
      <w:proofErr w:type="spellEnd"/>
      <w:r w:rsidRPr="00E836EB">
        <w:rPr>
          <w:rFonts w:ascii="Georgia" w:hAnsi="Georgia"/>
        </w:rPr>
        <w:t xml:space="preserve">, 2025). Evidence must be provided and is therefore irrevocable, protecting women from their husbands when other measures are ignored or refused (Alfalaah, 2025). Unlike the other types of divorce the </w:t>
      </w:r>
      <w:proofErr w:type="spellStart"/>
      <w:r w:rsidRPr="00E836EB">
        <w:rPr>
          <w:rFonts w:ascii="Georgia" w:hAnsi="Georgia"/>
        </w:rPr>
        <w:t>Mubarat</w:t>
      </w:r>
      <w:proofErr w:type="spellEnd"/>
      <w:r w:rsidRPr="00E836EB">
        <w:rPr>
          <w:rFonts w:ascii="Georgia" w:hAnsi="Georgia"/>
        </w:rPr>
        <w:t xml:space="preserve"> is a mutual parting of both parties, consensual and agreed upon; negotiations are made in which the wife may be required to return part of the dowry or other compensation from either (Khan, 2024). These are not all the types of divorce, however, they showcase the variety of rules and practices those divorcing must follow. </w:t>
      </w:r>
    </w:p>
    <w:p w14:paraId="27726D6B" w14:textId="77777777" w:rsidR="00E836EB" w:rsidRPr="00E836EB" w:rsidRDefault="00E836EB" w:rsidP="00E836EB">
      <w:pPr>
        <w:rPr>
          <w:rFonts w:ascii="Georgia" w:hAnsi="Georgia"/>
        </w:rPr>
      </w:pPr>
    </w:p>
    <w:p w14:paraId="6BDC6036" w14:textId="77777777" w:rsidR="00E836EB" w:rsidRPr="00E836EB" w:rsidRDefault="00E836EB" w:rsidP="00E836EB">
      <w:pPr>
        <w:rPr>
          <w:rFonts w:ascii="Georgia" w:hAnsi="Georgia"/>
        </w:rPr>
      </w:pPr>
      <w:r w:rsidRPr="00E836EB">
        <w:rPr>
          <w:rFonts w:ascii="Georgia" w:hAnsi="Georgia"/>
        </w:rPr>
        <w:t>The social view towards divorce in Islam is similar to many other religions with the belief that it is the very last resort for a couple, as marriage is meant to be built upon ‘</w:t>
      </w:r>
      <w:proofErr w:type="spellStart"/>
      <w:r w:rsidRPr="00E836EB">
        <w:rPr>
          <w:rFonts w:ascii="Georgia" w:hAnsi="Georgia"/>
        </w:rPr>
        <w:t>tranquility</w:t>
      </w:r>
      <w:proofErr w:type="spellEnd"/>
      <w:r w:rsidRPr="00E836EB">
        <w:rPr>
          <w:rFonts w:ascii="Georgia" w:hAnsi="Georgia"/>
        </w:rPr>
        <w:t>, love and compassion’ (</w:t>
      </w:r>
      <w:proofErr w:type="spellStart"/>
      <w:r w:rsidRPr="00E836EB">
        <w:rPr>
          <w:rFonts w:ascii="Georgia" w:hAnsi="Georgia"/>
        </w:rPr>
        <w:t>Islamweb</w:t>
      </w:r>
      <w:proofErr w:type="spellEnd"/>
      <w:r w:rsidRPr="00E836EB">
        <w:rPr>
          <w:rFonts w:ascii="Georgia" w:hAnsi="Georgia"/>
        </w:rPr>
        <w:t>, 2025). While it is not encouraged it is shown to not be completely banned as seen above with the many ways in which a couple can get divorced without religious repercussions. What is evident in the types of divorce above is the little influence the wife has, without the more contemporary ideas, this stance comes from the Qur’an with the belief that a wife needs a reasonable excuse to constitute a divorce whereas a man may divorce without reason (</w:t>
      </w:r>
      <w:proofErr w:type="spellStart"/>
      <w:r w:rsidRPr="00E836EB">
        <w:rPr>
          <w:rFonts w:ascii="Georgia" w:hAnsi="Georgia"/>
        </w:rPr>
        <w:t>Islamweb</w:t>
      </w:r>
      <w:proofErr w:type="spellEnd"/>
      <w:r w:rsidRPr="00E836EB">
        <w:rPr>
          <w:rFonts w:ascii="Georgia" w:hAnsi="Georgia"/>
        </w:rPr>
        <w:t xml:space="preserve">, 2025). The verse states that ‘due to them </w:t>
      </w:r>
      <w:r w:rsidRPr="00E836EB">
        <w:rPr>
          <w:rFonts w:ascii="Georgia" w:hAnsi="Georgia"/>
        </w:rPr>
        <w:lastRenderedPageBreak/>
        <w:t>[wives] is similar to what is expected of them, according to what is reasonable. But the men have a degree over them [in responsibility and authority]’; with the simplistic analysis of this being that men hold more power and authority over marital affairs (</w:t>
      </w:r>
      <w:proofErr w:type="spellStart"/>
      <w:r w:rsidRPr="00E836EB">
        <w:rPr>
          <w:rFonts w:ascii="Georgia" w:hAnsi="Georgia"/>
        </w:rPr>
        <w:t>Islamweb</w:t>
      </w:r>
      <w:proofErr w:type="spellEnd"/>
      <w:r w:rsidRPr="00E836EB">
        <w:rPr>
          <w:rFonts w:ascii="Georgia" w:hAnsi="Georgia"/>
        </w:rPr>
        <w:t>, 2025). The woman is not completely forgotten in the Qur’an however as it is stated in 2:231 that a husband should leave but treat the woman with kindness despite their separation (</w:t>
      </w:r>
      <w:proofErr w:type="spellStart"/>
      <w:r w:rsidRPr="00E836EB">
        <w:rPr>
          <w:rFonts w:ascii="Georgia" w:hAnsi="Georgia"/>
        </w:rPr>
        <w:t>Islamweb</w:t>
      </w:r>
      <w:proofErr w:type="spellEnd"/>
      <w:r w:rsidRPr="00E836EB">
        <w:rPr>
          <w:rFonts w:ascii="Georgia" w:hAnsi="Georgia"/>
        </w:rPr>
        <w:t>, 2025).</w:t>
      </w:r>
    </w:p>
    <w:p w14:paraId="0063D641" w14:textId="77777777" w:rsidR="00E836EB" w:rsidRPr="00E836EB" w:rsidRDefault="00E836EB" w:rsidP="00E836EB">
      <w:pPr>
        <w:rPr>
          <w:rFonts w:ascii="Georgia" w:hAnsi="Georgia"/>
        </w:rPr>
      </w:pPr>
    </w:p>
    <w:p w14:paraId="111F3EFA" w14:textId="77777777" w:rsidR="00E836EB" w:rsidRPr="00E836EB" w:rsidRDefault="00E836EB" w:rsidP="00E836EB">
      <w:pPr>
        <w:rPr>
          <w:rFonts w:ascii="Georgia" w:hAnsi="Georgia"/>
        </w:rPr>
      </w:pPr>
      <w:r w:rsidRPr="00E836EB">
        <w:rPr>
          <w:rFonts w:ascii="Georgia" w:hAnsi="Georgia"/>
        </w:rPr>
        <w:t>This notion of woman being merely a passive partaker in marriage is viewed in Wadud’s work as she states that the power men have with the use of ‘</w:t>
      </w:r>
      <w:proofErr w:type="spellStart"/>
      <w:r w:rsidRPr="00E836EB">
        <w:rPr>
          <w:rFonts w:ascii="Georgia" w:hAnsi="Georgia"/>
        </w:rPr>
        <w:t>darajah</w:t>
      </w:r>
      <w:proofErr w:type="spellEnd"/>
      <w:r w:rsidRPr="00E836EB">
        <w:rPr>
          <w:rFonts w:ascii="Georgia" w:hAnsi="Georgia"/>
        </w:rPr>
        <w:t xml:space="preserve">’ highlight a point of inequity within the Qur’an as they therefore have the power to reject what is proposed to them (Wadud, 1999 p.79). However, Wadud uses her methodology to showcase the ‘evolution of marriage’ (Wadud, 1999 p.79) as she calls it with it being the growth of modern ideas and the presentation of them in marital law. She uses the example of Malaysia to express this as both respective parties must go to court to air their grievances before they are allowed to annul their marriage, this therefore shows how women are becoming less like compliant placeholders and more like active participants in their marriages (Wadud, 1999 p.79). However, through the growth of women's rights it is also seen to have gained negative feedback from their male counterparts as they view the concept of divorce as a male privilege and consequently do not agree with the stipulations being placed upon them (Wadud, 1999 p.79). Despite the earlier restrictions placed on women through the ways in which they are able to obtain a divorce in accordance with the Qur’an, Wadud fervently states how it is also there to protect the wives from economic and possibly physical harm (Wadud, 1999 p.80). Whilst referencing the Qur’an she asserts how man must ‘either take them back on equitable terms or set them free on equitable terms, do not take them back to injure them, or take unfair advantage’ of them (Wadud, 1999 p.80). The wording can be interpreted simply as the protection of women in and at the end of a marriage, stating comprehensively that a man must not take a woman back if it were to be to treat them indignantly. In this it does present how Wadud’s principle of equity is used, if a man has almost complete control over repudiation then a woman must, to keep it balanced, have some form of protection to keep her from the misuse of talaq. Through </w:t>
      </w:r>
      <w:r w:rsidRPr="00E836EB">
        <w:rPr>
          <w:rFonts w:ascii="Georgia" w:hAnsi="Georgia"/>
          <w:i/>
          <w:iCs/>
        </w:rPr>
        <w:t xml:space="preserve">Qur’an and Women </w:t>
      </w:r>
      <w:r w:rsidRPr="00E836EB">
        <w:rPr>
          <w:rFonts w:ascii="Georgia" w:hAnsi="Georgia"/>
        </w:rPr>
        <w:t>it is evident that those who interpreted the Qur’an before saw that if something is not clearly written in it then it is not applicable to that person or gender. There is no evidence of women repudiating their husbands and therefore the practice is either banned or null, however, does the lack of specification firmly imply that the verses do not apply to both genders? In the historical context, pre-Islamic, Wadud states how if a woman wanted to divorce or end ‘ conjugal relations with a man’ (Wadud, 1999 p.80) she would simply turn the entrance to her tent away. With the simplicity of these actions, it is not unprecedented that the Qur’an does not suggest it as it was already a system that worked, meaning that simply because it is not expressed in the Qur’an does not mean that all rights to repudiation should be taken away from women all together (Wadud, 1999 p.80). Ending her section on divorce she states briskly how the Qur’an protects woman from abandonment or misuse (Wadud, 1999 p.80), this goes hand in hand to the aforementioned protection of women from economic harm as the Qur’an itself states to ‘not force them out of their homes, nor should they leave- unless they commit a blatant misconduct’ (Qur’an 65:1–2). In doing so it prevents women from being homeless, possibly homeless mothers, and puts a limit on how fast the man is willing to announce divorce. </w:t>
      </w:r>
    </w:p>
    <w:p w14:paraId="76BFBB9C" w14:textId="77777777" w:rsidR="00E836EB" w:rsidRPr="00E836EB" w:rsidRDefault="00E836EB" w:rsidP="00E836EB">
      <w:pPr>
        <w:rPr>
          <w:rFonts w:ascii="Georgia" w:hAnsi="Georgia"/>
        </w:rPr>
      </w:pPr>
    </w:p>
    <w:p w14:paraId="348D401F" w14:textId="77777777" w:rsidR="00E836EB" w:rsidRPr="00E836EB" w:rsidRDefault="00E836EB" w:rsidP="00E836EB">
      <w:pPr>
        <w:rPr>
          <w:rFonts w:ascii="Georgia" w:hAnsi="Georgia"/>
        </w:rPr>
      </w:pPr>
      <w:r w:rsidRPr="00E836EB">
        <w:rPr>
          <w:rFonts w:ascii="Georgia" w:hAnsi="Georgia"/>
        </w:rPr>
        <w:t xml:space="preserve">Despite the ways in which Wadud’s work has advanced and authenticated feminist schools of thought, it is not free from criticism mainly revolving around the push of feminist ideology </w:t>
      </w:r>
      <w:r w:rsidRPr="00E836EB">
        <w:rPr>
          <w:rFonts w:ascii="Georgia" w:hAnsi="Georgia"/>
        </w:rPr>
        <w:lastRenderedPageBreak/>
        <w:t>and method. Some critics suggest that she so harshly goes against the traditional commentaries that she ignores the plainly patriarchal verses  of the Qur’an, such as verse 4:43 in which men are named the caretakers of women (Jawad, 2003 p.124). Additionally, with her soul focus being on the Qur’an some say she misses the relevance of spirituality in the Islamic faith which has been historically favoured by women with predominantly female activities (Jawad, 2003 p.124). The use of her methodology is often contested as the hermeneutical model is seen as simply stating things in the context of which it is written and not that of its social context. This therefore means that  some verses and sentences in the Qur’an cannot be analysed by looking at them just on the page, rather certain verses need to be contextualised in their history for the understanding of them to be correct (</w:t>
      </w:r>
      <w:proofErr w:type="spellStart"/>
      <w:r w:rsidRPr="00E836EB">
        <w:rPr>
          <w:rFonts w:ascii="Georgia" w:hAnsi="Georgia"/>
        </w:rPr>
        <w:t>Mambrol</w:t>
      </w:r>
      <w:proofErr w:type="spellEnd"/>
      <w:r w:rsidRPr="00E836EB">
        <w:rPr>
          <w:rFonts w:ascii="Georgia" w:hAnsi="Georgia"/>
        </w:rPr>
        <w:t>, 2016). </w:t>
      </w:r>
    </w:p>
    <w:p w14:paraId="29E1B942" w14:textId="77777777" w:rsidR="00E836EB" w:rsidRPr="00E836EB" w:rsidRDefault="00E836EB" w:rsidP="00E836EB">
      <w:pPr>
        <w:rPr>
          <w:rFonts w:ascii="Georgia" w:hAnsi="Georgia"/>
        </w:rPr>
      </w:pPr>
    </w:p>
    <w:p w14:paraId="538CE434" w14:textId="77777777" w:rsidR="00E836EB" w:rsidRPr="00E836EB" w:rsidRDefault="00E836EB" w:rsidP="00E836EB">
      <w:pPr>
        <w:rPr>
          <w:rFonts w:ascii="Georgia" w:hAnsi="Georgia"/>
        </w:rPr>
      </w:pPr>
      <w:r w:rsidRPr="00E836EB">
        <w:rPr>
          <w:rFonts w:ascii="Georgia" w:hAnsi="Georgia"/>
        </w:rPr>
        <w:t>In conclusion, Amina Wadud’s school of thought revolves around a justice-centric ideology in which she analyses the Qur’an through a feminist perspective. In doing so she interprets divorce differently than the traditional with an emphasis on the fairness the Qur’an brings to the ordeal, with women having protections laid out for them in order to keep them from ruin and the power men hold in which they can demand divorce without reason. While her method can be seen as revolving on subjectivity it still provides a powerful female-lead perspective for which had not been provided and allowing for women to utilise these teachings to expand their understanding of the Qur’an. Ultimately Amina Wadud’s work will continue to hold great standing in the Islamic feminist community as it provides a foundation for those going into Islamic theology with a less patriarchal viewpoint. </w:t>
      </w:r>
    </w:p>
    <w:p w14:paraId="1696558E" w14:textId="77777777" w:rsidR="006E52E6" w:rsidRDefault="006E52E6">
      <w:pPr>
        <w:rPr>
          <w:rFonts w:ascii="Georgia" w:hAnsi="Georgia"/>
        </w:rPr>
      </w:pPr>
    </w:p>
    <w:p w14:paraId="263BED8A" w14:textId="77777777" w:rsidR="00E836EB" w:rsidRDefault="00E836EB">
      <w:pPr>
        <w:rPr>
          <w:rFonts w:ascii="Georgia" w:hAnsi="Georgia"/>
        </w:rPr>
      </w:pPr>
    </w:p>
    <w:p w14:paraId="019C39BE" w14:textId="77777777" w:rsidR="00E836EB" w:rsidRDefault="00E836EB">
      <w:pPr>
        <w:rPr>
          <w:rFonts w:ascii="Georgia" w:hAnsi="Georgia"/>
        </w:rPr>
      </w:pPr>
    </w:p>
    <w:p w14:paraId="37633147" w14:textId="77777777" w:rsidR="00E836EB" w:rsidRDefault="00E836EB">
      <w:pPr>
        <w:rPr>
          <w:rFonts w:ascii="Georgia" w:hAnsi="Georgia"/>
        </w:rPr>
      </w:pPr>
    </w:p>
    <w:p w14:paraId="32DD41F8" w14:textId="77777777" w:rsidR="00E836EB" w:rsidRDefault="00E836EB">
      <w:pPr>
        <w:rPr>
          <w:rFonts w:ascii="Georgia" w:hAnsi="Georgia"/>
        </w:rPr>
      </w:pPr>
    </w:p>
    <w:p w14:paraId="2F1892CB" w14:textId="77777777" w:rsidR="00E836EB" w:rsidRDefault="00E836EB">
      <w:pPr>
        <w:rPr>
          <w:rFonts w:ascii="Georgia" w:hAnsi="Georgia"/>
        </w:rPr>
      </w:pPr>
    </w:p>
    <w:p w14:paraId="6F709EB8" w14:textId="77777777" w:rsidR="00E836EB" w:rsidRDefault="00E836EB">
      <w:pPr>
        <w:rPr>
          <w:rFonts w:ascii="Georgia" w:hAnsi="Georgia"/>
        </w:rPr>
      </w:pPr>
    </w:p>
    <w:p w14:paraId="00158822" w14:textId="77777777" w:rsidR="00E836EB" w:rsidRDefault="00E836EB">
      <w:pPr>
        <w:rPr>
          <w:rFonts w:ascii="Georgia" w:hAnsi="Georgia"/>
        </w:rPr>
      </w:pPr>
    </w:p>
    <w:p w14:paraId="044E6F99" w14:textId="77777777" w:rsidR="00E836EB" w:rsidRDefault="00E836EB">
      <w:pPr>
        <w:rPr>
          <w:rFonts w:ascii="Georgia" w:hAnsi="Georgia"/>
        </w:rPr>
      </w:pPr>
    </w:p>
    <w:p w14:paraId="59552D4E" w14:textId="77777777" w:rsidR="00E836EB" w:rsidRDefault="00E836EB">
      <w:pPr>
        <w:rPr>
          <w:rFonts w:ascii="Georgia" w:hAnsi="Georgia"/>
        </w:rPr>
      </w:pPr>
    </w:p>
    <w:p w14:paraId="310321FA" w14:textId="77777777" w:rsidR="00E836EB" w:rsidRDefault="00E836EB">
      <w:pPr>
        <w:rPr>
          <w:rFonts w:ascii="Georgia" w:hAnsi="Georgia"/>
        </w:rPr>
      </w:pPr>
    </w:p>
    <w:p w14:paraId="5CF70B63" w14:textId="77777777" w:rsidR="00E836EB" w:rsidRDefault="00E836EB">
      <w:pPr>
        <w:rPr>
          <w:rFonts w:ascii="Georgia" w:hAnsi="Georgia"/>
        </w:rPr>
      </w:pPr>
    </w:p>
    <w:p w14:paraId="26988305" w14:textId="77777777" w:rsidR="00E836EB" w:rsidRDefault="00E836EB">
      <w:pPr>
        <w:rPr>
          <w:rFonts w:ascii="Georgia" w:hAnsi="Georgia"/>
        </w:rPr>
      </w:pPr>
    </w:p>
    <w:p w14:paraId="12040B1A" w14:textId="77777777" w:rsidR="00E836EB" w:rsidRDefault="00E836EB">
      <w:pPr>
        <w:rPr>
          <w:rFonts w:ascii="Georgia" w:hAnsi="Georgia"/>
        </w:rPr>
      </w:pPr>
    </w:p>
    <w:p w14:paraId="3DF62031" w14:textId="77777777" w:rsidR="00E836EB" w:rsidRDefault="00E836EB">
      <w:pPr>
        <w:rPr>
          <w:rFonts w:ascii="Georgia" w:hAnsi="Georgia"/>
        </w:rPr>
      </w:pPr>
    </w:p>
    <w:p w14:paraId="29C3533B" w14:textId="77777777" w:rsidR="00E836EB" w:rsidRDefault="00E836EB">
      <w:pPr>
        <w:rPr>
          <w:rFonts w:ascii="Georgia" w:hAnsi="Georgia"/>
        </w:rPr>
      </w:pPr>
    </w:p>
    <w:p w14:paraId="1252901A" w14:textId="77777777" w:rsidR="00E836EB" w:rsidRDefault="00E836EB">
      <w:pPr>
        <w:rPr>
          <w:rFonts w:ascii="Georgia" w:hAnsi="Georgia"/>
        </w:rPr>
      </w:pPr>
    </w:p>
    <w:p w14:paraId="2E26D4B1" w14:textId="48EE3EA3" w:rsidR="00E836EB" w:rsidRDefault="00E836EB">
      <w:pPr>
        <w:rPr>
          <w:rFonts w:ascii="Georgia" w:hAnsi="Georgia"/>
        </w:rPr>
      </w:pPr>
      <w:r>
        <w:rPr>
          <w:rFonts w:ascii="Georgia" w:hAnsi="Georgia"/>
        </w:rPr>
        <w:lastRenderedPageBreak/>
        <w:t xml:space="preserve">Bibliography: </w:t>
      </w:r>
    </w:p>
    <w:p w14:paraId="7FF1694F" w14:textId="77777777" w:rsidR="00E836EB" w:rsidRPr="00E836EB" w:rsidRDefault="00E836EB" w:rsidP="00E836EB">
      <w:pPr>
        <w:rPr>
          <w:rFonts w:ascii="Georgia" w:hAnsi="Georgia"/>
        </w:rPr>
      </w:pPr>
      <w:proofErr w:type="spellStart"/>
      <w:r w:rsidRPr="00E836EB">
        <w:rPr>
          <w:rFonts w:ascii="Georgia" w:hAnsi="Georgia"/>
        </w:rPr>
        <w:t>Alfalaah</w:t>
      </w:r>
      <w:proofErr w:type="spellEnd"/>
      <w:r w:rsidRPr="00E836EB">
        <w:rPr>
          <w:rFonts w:ascii="Georgia" w:hAnsi="Georgia"/>
        </w:rPr>
        <w:t xml:space="preserve"> (2025). </w:t>
      </w:r>
      <w:r w:rsidRPr="00E836EB">
        <w:rPr>
          <w:rFonts w:ascii="Georgia" w:hAnsi="Georgia"/>
          <w:i/>
          <w:iCs/>
        </w:rPr>
        <w:t xml:space="preserve">Understanding </w:t>
      </w:r>
      <w:proofErr w:type="spellStart"/>
      <w:r w:rsidRPr="00E836EB">
        <w:rPr>
          <w:rFonts w:ascii="Georgia" w:hAnsi="Georgia"/>
          <w:i/>
          <w:iCs/>
        </w:rPr>
        <w:t>Faskh</w:t>
      </w:r>
      <w:proofErr w:type="spellEnd"/>
      <w:r w:rsidRPr="00E836EB">
        <w:rPr>
          <w:rFonts w:ascii="Georgia" w:hAnsi="Georgia"/>
          <w:i/>
          <w:iCs/>
        </w:rPr>
        <w:t xml:space="preserve"> e Nikah: Judicial Dissolution in Islamic Law - Islamic Sharia Council</w:t>
      </w:r>
      <w:r w:rsidRPr="00E836EB">
        <w:rPr>
          <w:rFonts w:ascii="Georgia" w:hAnsi="Georgia"/>
        </w:rPr>
        <w:t>. [online] Islamic Sharia Council - Scotland UK. Available at:</w:t>
      </w:r>
      <w:hyperlink r:id="rId4" w:history="1">
        <w:r w:rsidRPr="00E836EB">
          <w:rPr>
            <w:rStyle w:val="Hyperlink"/>
            <w:rFonts w:ascii="Georgia" w:hAnsi="Georgia"/>
          </w:rPr>
          <w:t xml:space="preserve"> https://islamicshariascotland.co.uk/understanding-faskh-e-nikah-judicial-dissolution-in-islamic-law/</w:t>
        </w:r>
      </w:hyperlink>
      <w:r w:rsidRPr="00E836EB">
        <w:rPr>
          <w:rFonts w:ascii="Georgia" w:hAnsi="Georgia"/>
        </w:rPr>
        <w:t xml:space="preserve"> [Accessed 30 Nov. 2025].</w:t>
      </w:r>
    </w:p>
    <w:p w14:paraId="6B61E904" w14:textId="77777777" w:rsidR="00E836EB" w:rsidRPr="00E836EB" w:rsidRDefault="00E836EB" w:rsidP="00E836EB">
      <w:pPr>
        <w:rPr>
          <w:rFonts w:ascii="Georgia" w:hAnsi="Georgia"/>
        </w:rPr>
      </w:pPr>
      <w:r w:rsidRPr="00E836EB">
        <w:rPr>
          <w:rFonts w:ascii="Georgia" w:hAnsi="Georgia"/>
        </w:rPr>
        <w:t xml:space="preserve">Amin, Q. (2000). </w:t>
      </w:r>
      <w:r w:rsidRPr="00E836EB">
        <w:rPr>
          <w:rFonts w:ascii="Georgia" w:hAnsi="Georgia"/>
          <w:i/>
          <w:iCs/>
        </w:rPr>
        <w:t>The Liberation of Women and The New Woman: Two Documents in the History of Egyptian Feminism</w:t>
      </w:r>
      <w:r w:rsidRPr="00E836EB">
        <w:rPr>
          <w:rFonts w:ascii="Georgia" w:hAnsi="Georgia"/>
        </w:rPr>
        <w:t>. Translated by Samiha Sidhom Peterson. Cairo: American University in Cairo Press. Available at:</w:t>
      </w:r>
      <w:hyperlink r:id="rId5" w:history="1">
        <w:r w:rsidRPr="00E836EB">
          <w:rPr>
            <w:rStyle w:val="Hyperlink"/>
            <w:rFonts w:ascii="Georgia" w:hAnsi="Georgia"/>
          </w:rPr>
          <w:t xml:space="preserve"> https://archive.org/details/liberationofwome0000qasi_i8y8/page/n5/mode/2up</w:t>
        </w:r>
      </w:hyperlink>
    </w:p>
    <w:p w14:paraId="26353F42" w14:textId="77777777" w:rsidR="00E836EB" w:rsidRPr="00E836EB" w:rsidRDefault="00E836EB" w:rsidP="00E836EB">
      <w:pPr>
        <w:rPr>
          <w:rFonts w:ascii="Georgia" w:hAnsi="Georgia"/>
        </w:rPr>
      </w:pPr>
      <w:proofErr w:type="spellStart"/>
      <w:r w:rsidRPr="00E836EB">
        <w:rPr>
          <w:rFonts w:ascii="Georgia" w:hAnsi="Georgia"/>
        </w:rPr>
        <w:t>Amirpur</w:t>
      </w:r>
      <w:proofErr w:type="spellEnd"/>
      <w:r w:rsidRPr="00E836EB">
        <w:rPr>
          <w:rFonts w:ascii="Georgia" w:hAnsi="Georgia"/>
        </w:rPr>
        <w:t xml:space="preserve">, K. (2016). </w:t>
      </w:r>
      <w:r w:rsidRPr="00E836EB">
        <w:rPr>
          <w:rFonts w:ascii="Georgia" w:hAnsi="Georgia"/>
          <w:i/>
          <w:iCs/>
        </w:rPr>
        <w:t>New Thinking in Islam</w:t>
      </w:r>
      <w:r w:rsidRPr="00E836EB">
        <w:rPr>
          <w:rFonts w:ascii="Georgia" w:hAnsi="Georgia"/>
        </w:rPr>
        <w:t>. [online] Gingko Library, pp.87–116. Available at:</w:t>
      </w:r>
      <w:hyperlink r:id="rId6" w:history="1">
        <w:r w:rsidRPr="00E836EB">
          <w:rPr>
            <w:rStyle w:val="Hyperlink"/>
            <w:rFonts w:ascii="Georgia" w:hAnsi="Georgia"/>
          </w:rPr>
          <w:t xml:space="preserve"> https://www.jstor.org/stable/pdf/j.ctt1h4mh5h.8.pdf</w:t>
        </w:r>
      </w:hyperlink>
      <w:r w:rsidRPr="00E836EB">
        <w:rPr>
          <w:rFonts w:ascii="Georgia" w:hAnsi="Georgia"/>
        </w:rPr>
        <w:t>.</w:t>
      </w:r>
    </w:p>
    <w:p w14:paraId="63C883BE" w14:textId="77777777" w:rsidR="00E836EB" w:rsidRPr="00E836EB" w:rsidRDefault="00E836EB" w:rsidP="00E836EB">
      <w:pPr>
        <w:rPr>
          <w:rFonts w:ascii="Georgia" w:hAnsi="Georgia"/>
        </w:rPr>
      </w:pPr>
      <w:r w:rsidRPr="00E836EB">
        <w:rPr>
          <w:rFonts w:ascii="Georgia" w:hAnsi="Georgia"/>
        </w:rPr>
        <w:t xml:space="preserve">Badran, M. (2005). </w:t>
      </w:r>
      <w:r w:rsidRPr="00E836EB">
        <w:rPr>
          <w:rFonts w:ascii="Georgia" w:hAnsi="Georgia"/>
          <w:i/>
          <w:iCs/>
        </w:rPr>
        <w:t>Between Secular and Islamic Feminism/s: Reflections on the Middle East and Beyond</w:t>
      </w:r>
      <w:r w:rsidRPr="00E836EB">
        <w:rPr>
          <w:rFonts w:ascii="Georgia" w:hAnsi="Georgia"/>
        </w:rPr>
        <w:t xml:space="preserve">. Journal of Middle East Women’s Studies, [online] 1(1), pp.8–9. </w:t>
      </w:r>
      <w:proofErr w:type="spellStart"/>
      <w:r w:rsidRPr="00E836EB">
        <w:rPr>
          <w:rFonts w:ascii="Georgia" w:hAnsi="Georgia"/>
        </w:rPr>
        <w:t>doi:https</w:t>
      </w:r>
      <w:proofErr w:type="spellEnd"/>
      <w:r w:rsidRPr="00E836EB">
        <w:rPr>
          <w:rFonts w:ascii="Georgia" w:hAnsi="Georgia"/>
        </w:rPr>
        <w:t>://doi.org/10.2307/40326847.</w:t>
      </w:r>
    </w:p>
    <w:p w14:paraId="1E72F5C7" w14:textId="77777777" w:rsidR="00E836EB" w:rsidRPr="00E836EB" w:rsidRDefault="00E836EB" w:rsidP="00E836EB">
      <w:pPr>
        <w:rPr>
          <w:rFonts w:ascii="Georgia" w:hAnsi="Georgia"/>
        </w:rPr>
      </w:pPr>
      <w:r w:rsidRPr="00E836EB">
        <w:rPr>
          <w:rFonts w:ascii="Georgia" w:hAnsi="Georgia"/>
        </w:rPr>
        <w:t xml:space="preserve">BP Legal (2025). </w:t>
      </w:r>
      <w:r w:rsidRPr="00E836EB">
        <w:rPr>
          <w:rFonts w:ascii="Georgia" w:hAnsi="Georgia"/>
          <w:i/>
          <w:iCs/>
        </w:rPr>
        <w:t>What is a Divorce in the UK? – BP Legal</w:t>
      </w:r>
      <w:r w:rsidRPr="00E836EB">
        <w:rPr>
          <w:rFonts w:ascii="Georgia" w:hAnsi="Georgia"/>
        </w:rPr>
        <w:t>. [online] Bplegal.co.uk. Available at:</w:t>
      </w:r>
      <w:hyperlink r:id="rId7" w:history="1">
        <w:r w:rsidRPr="00E836EB">
          <w:rPr>
            <w:rStyle w:val="Hyperlink"/>
            <w:rFonts w:ascii="Georgia" w:hAnsi="Georgia"/>
          </w:rPr>
          <w:t xml:space="preserve"> https://bplegal.co.uk/what-is-a-divorce-in-the-uk/</w:t>
        </w:r>
      </w:hyperlink>
      <w:r w:rsidRPr="00E836EB">
        <w:rPr>
          <w:rFonts w:ascii="Georgia" w:hAnsi="Georgia"/>
        </w:rPr>
        <w:t>.</w:t>
      </w:r>
    </w:p>
    <w:p w14:paraId="3B4BA065" w14:textId="77777777" w:rsidR="00E836EB" w:rsidRPr="00E836EB" w:rsidRDefault="00E836EB" w:rsidP="00E836EB">
      <w:pPr>
        <w:rPr>
          <w:rFonts w:ascii="Georgia" w:hAnsi="Georgia"/>
        </w:rPr>
      </w:pPr>
      <w:r w:rsidRPr="00E836EB">
        <w:rPr>
          <w:rFonts w:ascii="Georgia" w:hAnsi="Georgia"/>
        </w:rPr>
        <w:t xml:space="preserve">Brunell, L. and Burkett, E. (2024). </w:t>
      </w:r>
      <w:r w:rsidRPr="00E836EB">
        <w:rPr>
          <w:rFonts w:ascii="Georgia" w:hAnsi="Georgia"/>
          <w:i/>
          <w:iCs/>
        </w:rPr>
        <w:t>Feminism</w:t>
      </w:r>
      <w:r w:rsidRPr="00E836EB">
        <w:rPr>
          <w:rFonts w:ascii="Georgia" w:hAnsi="Georgia"/>
        </w:rPr>
        <w:t>. In: Encyclopaedia Britannica. [online] Available at:</w:t>
      </w:r>
      <w:hyperlink r:id="rId8" w:history="1">
        <w:r w:rsidRPr="00E836EB">
          <w:rPr>
            <w:rStyle w:val="Hyperlink"/>
            <w:rFonts w:ascii="Georgia" w:hAnsi="Georgia"/>
          </w:rPr>
          <w:t xml:space="preserve"> https://www.britannica.com/topic/feminism</w:t>
        </w:r>
      </w:hyperlink>
      <w:r w:rsidRPr="00E836EB">
        <w:rPr>
          <w:rFonts w:ascii="Georgia" w:hAnsi="Georgia"/>
        </w:rPr>
        <w:t>.</w:t>
      </w:r>
    </w:p>
    <w:p w14:paraId="5F551902" w14:textId="77777777" w:rsidR="00E836EB" w:rsidRPr="00E836EB" w:rsidRDefault="00E836EB" w:rsidP="00E836EB">
      <w:pPr>
        <w:rPr>
          <w:rFonts w:ascii="Georgia" w:hAnsi="Georgia"/>
        </w:rPr>
      </w:pPr>
      <w:r w:rsidRPr="00E836EB">
        <w:rPr>
          <w:rFonts w:ascii="Georgia" w:hAnsi="Georgia"/>
        </w:rPr>
        <w:t xml:space="preserve">Buddhism Info (n.d.). </w:t>
      </w:r>
      <w:r w:rsidRPr="00E836EB">
        <w:rPr>
          <w:rFonts w:ascii="Georgia" w:hAnsi="Georgia"/>
          <w:i/>
          <w:iCs/>
        </w:rPr>
        <w:t>Buddhist Views on Marriage and Divorce Buddhism Info</w:t>
      </w:r>
      <w:r w:rsidRPr="00E836EB">
        <w:rPr>
          <w:rFonts w:ascii="Georgia" w:hAnsi="Georgia"/>
        </w:rPr>
        <w:t>. [online] Buddhism Info. Available at:</w:t>
      </w:r>
      <w:hyperlink r:id="rId9" w:history="1">
        <w:r w:rsidRPr="00E836EB">
          <w:rPr>
            <w:rStyle w:val="Hyperlink"/>
            <w:rFonts w:ascii="Georgia" w:hAnsi="Georgia"/>
          </w:rPr>
          <w:t xml:space="preserve"> https://buddhism.info/buddhist-views-on-marriage-and-divorce/</w:t>
        </w:r>
      </w:hyperlink>
      <w:r w:rsidRPr="00E836EB">
        <w:rPr>
          <w:rFonts w:ascii="Georgia" w:hAnsi="Georgia"/>
        </w:rPr>
        <w:t>.</w:t>
      </w:r>
    </w:p>
    <w:p w14:paraId="5EAD4528" w14:textId="77777777" w:rsidR="00E836EB" w:rsidRPr="00E836EB" w:rsidRDefault="00E836EB" w:rsidP="00E836EB">
      <w:pPr>
        <w:rPr>
          <w:rFonts w:ascii="Georgia" w:hAnsi="Georgia"/>
        </w:rPr>
      </w:pPr>
      <w:r w:rsidRPr="00E836EB">
        <w:rPr>
          <w:rFonts w:ascii="Georgia" w:hAnsi="Georgia"/>
        </w:rPr>
        <w:t xml:space="preserve">Fatima (2025). </w:t>
      </w:r>
      <w:proofErr w:type="spellStart"/>
      <w:r w:rsidRPr="00E836EB">
        <w:rPr>
          <w:rFonts w:ascii="Georgia" w:hAnsi="Georgia"/>
          <w:i/>
          <w:iCs/>
        </w:rPr>
        <w:t>Khul</w:t>
      </w:r>
      <w:proofErr w:type="spellEnd"/>
      <w:r w:rsidRPr="00E836EB">
        <w:rPr>
          <w:rFonts w:ascii="Georgia" w:hAnsi="Georgia"/>
          <w:i/>
          <w:iCs/>
        </w:rPr>
        <w:t xml:space="preserve"> Meaning Explained: A Practical Guide to the Woman-Initiated Divorce in Islam - Halal Living - Muslim Lifestyle Guide</w:t>
      </w:r>
      <w:r w:rsidRPr="00E836EB">
        <w:rPr>
          <w:rFonts w:ascii="Georgia" w:hAnsi="Georgia"/>
        </w:rPr>
        <w:t>. [online] Halal Living - Muslim Lifestyle Guide. Available at:</w:t>
      </w:r>
      <w:hyperlink r:id="rId10" w:history="1">
        <w:r w:rsidRPr="00E836EB">
          <w:rPr>
            <w:rStyle w:val="Hyperlink"/>
            <w:rFonts w:ascii="Georgia" w:hAnsi="Georgia"/>
          </w:rPr>
          <w:t xml:space="preserve"> https://blog.alhannah.com/khul-meaning-explained-a-practical-guide-to-the-woman-initiated-divorce-in-islam/</w:t>
        </w:r>
      </w:hyperlink>
      <w:r w:rsidRPr="00E836EB">
        <w:rPr>
          <w:rFonts w:ascii="Georgia" w:hAnsi="Georgia"/>
        </w:rPr>
        <w:t xml:space="preserve"> [Accessed 30 Nov. 2025].</w:t>
      </w:r>
    </w:p>
    <w:p w14:paraId="3842EACB" w14:textId="77777777" w:rsidR="00E836EB" w:rsidRPr="00E836EB" w:rsidRDefault="00E836EB" w:rsidP="00E836EB">
      <w:pPr>
        <w:rPr>
          <w:rFonts w:ascii="Georgia" w:hAnsi="Georgia"/>
        </w:rPr>
      </w:pPr>
      <w:proofErr w:type="spellStart"/>
      <w:r w:rsidRPr="00E836EB">
        <w:rPr>
          <w:rFonts w:ascii="Georgia" w:hAnsi="Georgia"/>
        </w:rPr>
        <w:t>Grami</w:t>
      </w:r>
      <w:proofErr w:type="spellEnd"/>
      <w:r w:rsidRPr="00E836EB">
        <w:rPr>
          <w:rFonts w:ascii="Georgia" w:hAnsi="Georgia"/>
        </w:rPr>
        <w:t xml:space="preserve">, A. (2013). </w:t>
      </w:r>
      <w:r w:rsidRPr="00E836EB">
        <w:rPr>
          <w:rFonts w:ascii="Georgia" w:hAnsi="Georgia"/>
          <w:i/>
          <w:iCs/>
        </w:rPr>
        <w:t>Islamic Feminism: a new feminist movement or a strategy by women for acquiring rights?</w:t>
      </w:r>
      <w:r w:rsidRPr="00E836EB">
        <w:rPr>
          <w:rFonts w:ascii="Georgia" w:hAnsi="Georgia"/>
        </w:rPr>
        <w:t xml:space="preserve"> Contemporary Arab Affairs, [online] 6(1), pp.102–113. Available at:</w:t>
      </w:r>
      <w:hyperlink r:id="rId11" w:history="1">
        <w:r w:rsidRPr="00E836EB">
          <w:rPr>
            <w:rStyle w:val="Hyperlink"/>
            <w:rFonts w:ascii="Georgia" w:hAnsi="Georgia"/>
          </w:rPr>
          <w:t xml:space="preserve"> https://www.jstor.org/stable/48600673</w:t>
        </w:r>
      </w:hyperlink>
      <w:r w:rsidRPr="00E836EB">
        <w:rPr>
          <w:rFonts w:ascii="Georgia" w:hAnsi="Georgia"/>
        </w:rPr>
        <w:t>.</w:t>
      </w:r>
    </w:p>
    <w:p w14:paraId="7A3650B9" w14:textId="77777777" w:rsidR="00E836EB" w:rsidRPr="00E836EB" w:rsidRDefault="00E836EB" w:rsidP="00E836EB">
      <w:pPr>
        <w:rPr>
          <w:rFonts w:ascii="Georgia" w:hAnsi="Georgia"/>
        </w:rPr>
      </w:pPr>
      <w:r w:rsidRPr="00E836EB">
        <w:rPr>
          <w:rFonts w:ascii="Georgia" w:hAnsi="Georgia"/>
        </w:rPr>
        <w:t xml:space="preserve">Haddad, Y.Y. and Esposito, J.L. (1998). </w:t>
      </w:r>
      <w:r w:rsidRPr="00E836EB">
        <w:rPr>
          <w:rFonts w:ascii="Georgia" w:hAnsi="Georgia"/>
          <w:i/>
          <w:iCs/>
        </w:rPr>
        <w:t>Islam, gender, &amp; social change</w:t>
      </w:r>
      <w:r w:rsidRPr="00E836EB">
        <w:rPr>
          <w:rFonts w:ascii="Georgia" w:hAnsi="Georgia"/>
        </w:rPr>
        <w:t>. Oxford: Oxford University Press, p.13.</w:t>
      </w:r>
    </w:p>
    <w:p w14:paraId="10C3C764" w14:textId="77777777" w:rsidR="00E836EB" w:rsidRPr="00E836EB" w:rsidRDefault="00E836EB" w:rsidP="00E836EB">
      <w:pPr>
        <w:rPr>
          <w:rFonts w:ascii="Georgia" w:hAnsi="Georgia"/>
        </w:rPr>
      </w:pPr>
      <w:proofErr w:type="spellStart"/>
      <w:r w:rsidRPr="00E836EB">
        <w:rPr>
          <w:rFonts w:ascii="Georgia" w:hAnsi="Georgia"/>
        </w:rPr>
        <w:t>Islamweb</w:t>
      </w:r>
      <w:proofErr w:type="spellEnd"/>
      <w:r w:rsidRPr="00E836EB">
        <w:rPr>
          <w:rFonts w:ascii="Georgia" w:hAnsi="Georgia"/>
        </w:rPr>
        <w:t xml:space="preserve"> (2025). </w:t>
      </w:r>
      <w:r w:rsidRPr="00E836EB">
        <w:rPr>
          <w:rFonts w:ascii="Georgia" w:hAnsi="Georgia"/>
          <w:i/>
          <w:iCs/>
        </w:rPr>
        <w:t>Islam Web English</w:t>
      </w:r>
      <w:r w:rsidRPr="00E836EB">
        <w:rPr>
          <w:rFonts w:ascii="Georgia" w:hAnsi="Georgia"/>
        </w:rPr>
        <w:t xml:space="preserve">. [online] </w:t>
      </w:r>
      <w:proofErr w:type="spellStart"/>
      <w:r w:rsidRPr="00E836EB">
        <w:rPr>
          <w:rFonts w:ascii="Georgia" w:hAnsi="Georgia"/>
        </w:rPr>
        <w:t>Islamweb</w:t>
      </w:r>
      <w:proofErr w:type="spellEnd"/>
      <w:r w:rsidRPr="00E836EB">
        <w:rPr>
          <w:rFonts w:ascii="Georgia" w:hAnsi="Georgia"/>
        </w:rPr>
        <w:t>. Available at:</w:t>
      </w:r>
      <w:hyperlink r:id="rId12" w:history="1">
        <w:r w:rsidRPr="00E836EB">
          <w:rPr>
            <w:rStyle w:val="Hyperlink"/>
            <w:rFonts w:ascii="Georgia" w:hAnsi="Georgia"/>
          </w:rPr>
          <w:t xml:space="preserve"> https://islamweb.net/en/article/245506/divorce-in-islam</w:t>
        </w:r>
      </w:hyperlink>
      <w:r w:rsidRPr="00E836EB">
        <w:rPr>
          <w:rFonts w:ascii="Georgia" w:hAnsi="Georgia"/>
        </w:rPr>
        <w:t xml:space="preserve"> [Accessed 30 Nov. 2025].</w:t>
      </w:r>
    </w:p>
    <w:p w14:paraId="41C4F64F" w14:textId="77777777" w:rsidR="00E836EB" w:rsidRPr="00E836EB" w:rsidRDefault="00E836EB" w:rsidP="00E836EB">
      <w:pPr>
        <w:rPr>
          <w:rFonts w:ascii="Georgia" w:hAnsi="Georgia"/>
        </w:rPr>
      </w:pPr>
      <w:r w:rsidRPr="00E836EB">
        <w:rPr>
          <w:rFonts w:ascii="Georgia" w:hAnsi="Georgia"/>
        </w:rPr>
        <w:t xml:space="preserve">Jawad, H. (2003). </w:t>
      </w:r>
      <w:r w:rsidRPr="00E836EB">
        <w:rPr>
          <w:rFonts w:ascii="Georgia" w:hAnsi="Georgia"/>
          <w:i/>
          <w:iCs/>
        </w:rPr>
        <w:t>Muslim Feminism: A Case Study of Amina Wadud’s ‘Qur’an and Woman’</w:t>
      </w:r>
      <w:r w:rsidRPr="00E836EB">
        <w:rPr>
          <w:rFonts w:ascii="Georgia" w:hAnsi="Georgia"/>
        </w:rPr>
        <w:t xml:space="preserve">. Islamic Studies, [online] 42(1), pp.107–125. </w:t>
      </w:r>
      <w:proofErr w:type="spellStart"/>
      <w:r w:rsidRPr="00E836EB">
        <w:rPr>
          <w:rFonts w:ascii="Georgia" w:hAnsi="Georgia"/>
        </w:rPr>
        <w:t>doi:https</w:t>
      </w:r>
      <w:proofErr w:type="spellEnd"/>
      <w:r w:rsidRPr="00E836EB">
        <w:rPr>
          <w:rFonts w:ascii="Georgia" w:hAnsi="Georgia"/>
        </w:rPr>
        <w:t>://doi.org/10.2307/20837253.</w:t>
      </w:r>
    </w:p>
    <w:p w14:paraId="3C2A0A45" w14:textId="77777777" w:rsidR="00E836EB" w:rsidRPr="00E836EB" w:rsidRDefault="00E836EB" w:rsidP="00E836EB">
      <w:pPr>
        <w:rPr>
          <w:rFonts w:ascii="Georgia" w:hAnsi="Georgia"/>
        </w:rPr>
      </w:pPr>
      <w:r w:rsidRPr="00E836EB">
        <w:rPr>
          <w:rFonts w:ascii="Georgia" w:hAnsi="Georgia"/>
        </w:rPr>
        <w:t xml:space="preserve">Jawad, H. (2016). </w:t>
      </w:r>
      <w:r w:rsidRPr="00E836EB">
        <w:rPr>
          <w:rFonts w:ascii="Georgia" w:hAnsi="Georgia"/>
          <w:i/>
          <w:iCs/>
        </w:rPr>
        <w:t>The Herstory of Islamic Feminism</w:t>
      </w:r>
      <w:r w:rsidRPr="00E836EB">
        <w:rPr>
          <w:rFonts w:ascii="Georgia" w:hAnsi="Georgia"/>
        </w:rPr>
        <w:t>. [online] Muslim Feminist. Available at:</w:t>
      </w:r>
      <w:hyperlink r:id="rId13" w:history="1">
        <w:r w:rsidRPr="00E836EB">
          <w:rPr>
            <w:rStyle w:val="Hyperlink"/>
            <w:rFonts w:ascii="Georgia" w:hAnsi="Georgia"/>
          </w:rPr>
          <w:t xml:space="preserve"> https://www.muslimfeminist.co.uk/writings/the-herstory-of-islamic-feminism</w:t>
        </w:r>
      </w:hyperlink>
      <w:r w:rsidRPr="00E836EB">
        <w:rPr>
          <w:rFonts w:ascii="Georgia" w:hAnsi="Georgia"/>
        </w:rPr>
        <w:t>.</w:t>
      </w:r>
    </w:p>
    <w:p w14:paraId="33D8BD2D" w14:textId="77777777" w:rsidR="00E836EB" w:rsidRPr="00E836EB" w:rsidRDefault="00E836EB" w:rsidP="00E836EB">
      <w:pPr>
        <w:rPr>
          <w:rFonts w:ascii="Georgia" w:hAnsi="Georgia"/>
        </w:rPr>
      </w:pPr>
      <w:r w:rsidRPr="00E836EB">
        <w:rPr>
          <w:rFonts w:ascii="Georgia" w:hAnsi="Georgia"/>
        </w:rPr>
        <w:t xml:space="preserve">Khan, H. (2024). </w:t>
      </w:r>
      <w:r w:rsidRPr="00E836EB">
        <w:rPr>
          <w:rFonts w:ascii="Georgia" w:hAnsi="Georgia"/>
          <w:i/>
          <w:iCs/>
        </w:rPr>
        <w:t xml:space="preserve">What is </w:t>
      </w:r>
      <w:proofErr w:type="spellStart"/>
      <w:r w:rsidRPr="00E836EB">
        <w:rPr>
          <w:rFonts w:ascii="Georgia" w:hAnsi="Georgia"/>
          <w:i/>
          <w:iCs/>
        </w:rPr>
        <w:t>Mubarat</w:t>
      </w:r>
      <w:proofErr w:type="spellEnd"/>
      <w:r w:rsidRPr="00E836EB">
        <w:rPr>
          <w:rFonts w:ascii="Georgia" w:hAnsi="Georgia"/>
          <w:i/>
          <w:iCs/>
        </w:rPr>
        <w:t xml:space="preserve"> Divorce?</w:t>
      </w:r>
      <w:r w:rsidRPr="00E836EB">
        <w:rPr>
          <w:rFonts w:ascii="Georgia" w:hAnsi="Georgia"/>
        </w:rPr>
        <w:t xml:space="preserve"> [online] Legal Wires - World leaders in legal education and research. Available at:</w:t>
      </w:r>
      <w:hyperlink r:id="rId14" w:history="1">
        <w:r w:rsidRPr="00E836EB">
          <w:rPr>
            <w:rStyle w:val="Hyperlink"/>
            <w:rFonts w:ascii="Georgia" w:hAnsi="Georgia"/>
          </w:rPr>
          <w:t xml:space="preserve"> https://legal-wires.com/lex-o-pedia/mubarat-divorce/</w:t>
        </w:r>
      </w:hyperlink>
      <w:r w:rsidRPr="00E836EB">
        <w:rPr>
          <w:rFonts w:ascii="Georgia" w:hAnsi="Georgia"/>
        </w:rPr>
        <w:t xml:space="preserve"> [Accessed 30 Nov. 2025].</w:t>
      </w:r>
    </w:p>
    <w:p w14:paraId="1CDE4576" w14:textId="77777777" w:rsidR="00E836EB" w:rsidRPr="00E836EB" w:rsidRDefault="00E836EB" w:rsidP="00E836EB">
      <w:pPr>
        <w:rPr>
          <w:rFonts w:ascii="Georgia" w:hAnsi="Georgia"/>
        </w:rPr>
      </w:pPr>
      <w:proofErr w:type="spellStart"/>
      <w:r w:rsidRPr="00E836EB">
        <w:rPr>
          <w:rFonts w:ascii="Georgia" w:hAnsi="Georgia"/>
        </w:rPr>
        <w:t>Mambrol</w:t>
      </w:r>
      <w:proofErr w:type="spellEnd"/>
      <w:r w:rsidRPr="00E836EB">
        <w:rPr>
          <w:rFonts w:ascii="Georgia" w:hAnsi="Georgia"/>
        </w:rPr>
        <w:t xml:space="preserve">, N. (2016). </w:t>
      </w:r>
      <w:r w:rsidRPr="00E836EB">
        <w:rPr>
          <w:rFonts w:ascii="Georgia" w:hAnsi="Georgia"/>
          <w:i/>
          <w:iCs/>
        </w:rPr>
        <w:t>Hermeneutics</w:t>
      </w:r>
      <w:r w:rsidRPr="00E836EB">
        <w:rPr>
          <w:rFonts w:ascii="Georgia" w:hAnsi="Georgia"/>
        </w:rPr>
        <w:t>. [online] Literary Theory and Criticism. Available at:</w:t>
      </w:r>
      <w:hyperlink r:id="rId15" w:history="1">
        <w:r w:rsidRPr="00E836EB">
          <w:rPr>
            <w:rStyle w:val="Hyperlink"/>
            <w:rFonts w:ascii="Georgia" w:hAnsi="Georgia"/>
          </w:rPr>
          <w:t xml:space="preserve"> https://literariness.org/2016/11/23/hermeneutics-a-brief-note/</w:t>
        </w:r>
      </w:hyperlink>
      <w:r w:rsidRPr="00E836EB">
        <w:rPr>
          <w:rFonts w:ascii="Georgia" w:hAnsi="Georgia"/>
        </w:rPr>
        <w:t>.</w:t>
      </w:r>
    </w:p>
    <w:p w14:paraId="161B78BE" w14:textId="77777777" w:rsidR="00E836EB" w:rsidRPr="00E836EB" w:rsidRDefault="00E836EB" w:rsidP="00E836EB">
      <w:pPr>
        <w:rPr>
          <w:rFonts w:ascii="Georgia" w:hAnsi="Georgia"/>
        </w:rPr>
      </w:pPr>
      <w:proofErr w:type="spellStart"/>
      <w:r w:rsidRPr="00E836EB">
        <w:rPr>
          <w:rFonts w:ascii="Georgia" w:hAnsi="Georgia"/>
        </w:rPr>
        <w:lastRenderedPageBreak/>
        <w:t>Mentser</w:t>
      </w:r>
      <w:proofErr w:type="spellEnd"/>
      <w:r w:rsidRPr="00E836EB">
        <w:rPr>
          <w:rFonts w:ascii="Georgia" w:hAnsi="Georgia"/>
        </w:rPr>
        <w:t xml:space="preserve">, S. and Sagiv, L. (2025). </w:t>
      </w:r>
      <w:r w:rsidRPr="00E836EB">
        <w:rPr>
          <w:rFonts w:ascii="Georgia" w:hAnsi="Georgia"/>
          <w:i/>
          <w:iCs/>
        </w:rPr>
        <w:t>Cultural and personal values interact to predict divorce</w:t>
      </w:r>
      <w:r w:rsidRPr="00E836EB">
        <w:rPr>
          <w:rFonts w:ascii="Georgia" w:hAnsi="Georgia"/>
        </w:rPr>
        <w:t xml:space="preserve">. Communications Psychology, [online] 3(1). </w:t>
      </w:r>
      <w:proofErr w:type="spellStart"/>
      <w:r w:rsidRPr="00E836EB">
        <w:rPr>
          <w:rFonts w:ascii="Georgia" w:hAnsi="Georgia"/>
        </w:rPr>
        <w:t>doi:https</w:t>
      </w:r>
      <w:proofErr w:type="spellEnd"/>
      <w:r w:rsidRPr="00E836EB">
        <w:rPr>
          <w:rFonts w:ascii="Georgia" w:hAnsi="Georgia"/>
        </w:rPr>
        <w:t>://doi.org/10.1038/s44271-025-00185-x.</w:t>
      </w:r>
    </w:p>
    <w:p w14:paraId="36F3BF54" w14:textId="77777777" w:rsidR="00E836EB" w:rsidRPr="00E836EB" w:rsidRDefault="00E836EB" w:rsidP="00E836EB">
      <w:pPr>
        <w:rPr>
          <w:rFonts w:ascii="Georgia" w:hAnsi="Georgia"/>
        </w:rPr>
      </w:pPr>
      <w:r w:rsidRPr="00E836EB">
        <w:rPr>
          <w:rFonts w:ascii="Georgia" w:hAnsi="Georgia"/>
        </w:rPr>
        <w:t xml:space="preserve">Milken Institute School of Public Health (2020). </w:t>
      </w:r>
      <w:r w:rsidRPr="00E836EB">
        <w:rPr>
          <w:rFonts w:ascii="Georgia" w:hAnsi="Georgia"/>
          <w:i/>
          <w:iCs/>
        </w:rPr>
        <w:t>What’s the Difference between Equity and Equality?</w:t>
      </w:r>
      <w:r w:rsidRPr="00E836EB">
        <w:rPr>
          <w:rFonts w:ascii="Georgia" w:hAnsi="Georgia"/>
        </w:rPr>
        <w:t xml:space="preserve"> [online] onlinepublichealth.gwu.edu. Available at:</w:t>
      </w:r>
      <w:hyperlink r:id="rId16" w:history="1">
        <w:r w:rsidRPr="00E836EB">
          <w:rPr>
            <w:rStyle w:val="Hyperlink"/>
            <w:rFonts w:ascii="Georgia" w:hAnsi="Georgia"/>
          </w:rPr>
          <w:t xml:space="preserve"> https://onlinepublichealth.gwu.edu/resources/equity-vs-equality/</w:t>
        </w:r>
      </w:hyperlink>
      <w:r w:rsidRPr="00E836EB">
        <w:rPr>
          <w:rFonts w:ascii="Georgia" w:hAnsi="Georgia"/>
        </w:rPr>
        <w:t>.</w:t>
      </w:r>
    </w:p>
    <w:p w14:paraId="3FFFDD18" w14:textId="77777777" w:rsidR="00E836EB" w:rsidRPr="00E836EB" w:rsidRDefault="00E836EB" w:rsidP="00E836EB">
      <w:pPr>
        <w:rPr>
          <w:rFonts w:ascii="Georgia" w:hAnsi="Georgia"/>
        </w:rPr>
      </w:pPr>
      <w:r w:rsidRPr="00E836EB">
        <w:rPr>
          <w:rFonts w:ascii="Georgia" w:hAnsi="Georgia"/>
        </w:rPr>
        <w:t xml:space="preserve">Mooney, B. (2024). </w:t>
      </w:r>
      <w:r w:rsidRPr="00E836EB">
        <w:rPr>
          <w:rFonts w:ascii="Georgia" w:hAnsi="Georgia"/>
          <w:i/>
          <w:iCs/>
        </w:rPr>
        <w:t>The Truth About Divorce According to the Bible</w:t>
      </w:r>
      <w:r w:rsidRPr="00E836EB">
        <w:rPr>
          <w:rFonts w:ascii="Georgia" w:hAnsi="Georgia"/>
        </w:rPr>
        <w:t>. [online] Christianity.com. Available at:</w:t>
      </w:r>
      <w:hyperlink r:id="rId17" w:history="1">
        <w:r w:rsidRPr="00E836EB">
          <w:rPr>
            <w:rStyle w:val="Hyperlink"/>
            <w:rFonts w:ascii="Georgia" w:hAnsi="Georgia"/>
          </w:rPr>
          <w:t xml:space="preserve"> https://www.christianity.com/wiki/marriage/the-truth-about-divorce-according-to-the-bible.html</w:t>
        </w:r>
      </w:hyperlink>
      <w:r w:rsidRPr="00E836EB">
        <w:rPr>
          <w:rFonts w:ascii="Georgia" w:hAnsi="Georgia"/>
        </w:rPr>
        <w:t>.</w:t>
      </w:r>
    </w:p>
    <w:p w14:paraId="55D1CAEB" w14:textId="77777777" w:rsidR="00E836EB" w:rsidRPr="00E836EB" w:rsidRDefault="00E836EB" w:rsidP="00E836EB">
      <w:pPr>
        <w:rPr>
          <w:rFonts w:ascii="Georgia" w:hAnsi="Georgia"/>
        </w:rPr>
      </w:pPr>
      <w:r w:rsidRPr="00E836EB">
        <w:rPr>
          <w:rFonts w:ascii="Georgia" w:hAnsi="Georgia"/>
        </w:rPr>
        <w:t xml:space="preserve">Mushtaq, F. (2025). </w:t>
      </w:r>
      <w:r w:rsidRPr="00E836EB">
        <w:rPr>
          <w:rFonts w:ascii="Georgia" w:hAnsi="Georgia"/>
          <w:i/>
          <w:iCs/>
        </w:rPr>
        <w:t>What Should Be Done If a Husband Refuses to Agree to Khula?</w:t>
      </w:r>
      <w:r w:rsidRPr="00E836EB">
        <w:rPr>
          <w:rFonts w:ascii="Georgia" w:hAnsi="Georgia"/>
        </w:rPr>
        <w:t xml:space="preserve"> [online] </w:t>
      </w:r>
      <w:proofErr w:type="spellStart"/>
      <w:r w:rsidRPr="00E836EB">
        <w:rPr>
          <w:rFonts w:ascii="Georgia" w:hAnsi="Georgia"/>
        </w:rPr>
        <w:t>SeekersGuidance</w:t>
      </w:r>
      <w:proofErr w:type="spellEnd"/>
      <w:r w:rsidRPr="00E836EB">
        <w:rPr>
          <w:rFonts w:ascii="Georgia" w:hAnsi="Georgia"/>
        </w:rPr>
        <w:t>. Available at:</w:t>
      </w:r>
      <w:hyperlink r:id="rId18" w:history="1">
        <w:r w:rsidRPr="00E836EB">
          <w:rPr>
            <w:rStyle w:val="Hyperlink"/>
            <w:rFonts w:ascii="Georgia" w:hAnsi="Georgia"/>
          </w:rPr>
          <w:t xml:space="preserve"> https://seekersguidance.org/answers/guidance-answers/what-should-be-done-if-a-husband-refuses-to-agree-to-khula/</w:t>
        </w:r>
      </w:hyperlink>
      <w:r w:rsidRPr="00E836EB">
        <w:rPr>
          <w:rFonts w:ascii="Georgia" w:hAnsi="Georgia"/>
        </w:rPr>
        <w:t xml:space="preserve"> [Accessed 30 Nov. 2025].</w:t>
      </w:r>
    </w:p>
    <w:p w14:paraId="6C62741B" w14:textId="77777777" w:rsidR="00E836EB" w:rsidRPr="00E836EB" w:rsidRDefault="00E836EB" w:rsidP="00E836EB">
      <w:pPr>
        <w:rPr>
          <w:rFonts w:ascii="Georgia" w:hAnsi="Georgia"/>
        </w:rPr>
      </w:pPr>
      <w:proofErr w:type="spellStart"/>
      <w:r w:rsidRPr="00E836EB">
        <w:rPr>
          <w:rFonts w:ascii="Georgia" w:hAnsi="Georgia"/>
        </w:rPr>
        <w:t>PolSci</w:t>
      </w:r>
      <w:proofErr w:type="spellEnd"/>
      <w:r w:rsidRPr="00E836EB">
        <w:rPr>
          <w:rFonts w:ascii="Georgia" w:hAnsi="Georgia"/>
        </w:rPr>
        <w:t xml:space="preserve"> Institute (2023). </w:t>
      </w:r>
      <w:r w:rsidRPr="00E836EB">
        <w:rPr>
          <w:rFonts w:ascii="Georgia" w:hAnsi="Georgia"/>
          <w:i/>
          <w:iCs/>
        </w:rPr>
        <w:t xml:space="preserve">Exploring the Concept of Justice • </w:t>
      </w:r>
      <w:proofErr w:type="spellStart"/>
      <w:r w:rsidRPr="00E836EB">
        <w:rPr>
          <w:rFonts w:ascii="Georgia" w:hAnsi="Georgia"/>
          <w:i/>
          <w:iCs/>
        </w:rPr>
        <w:t>PolSci</w:t>
      </w:r>
      <w:proofErr w:type="spellEnd"/>
      <w:r w:rsidRPr="00E836EB">
        <w:rPr>
          <w:rFonts w:ascii="Georgia" w:hAnsi="Georgia"/>
          <w:i/>
          <w:iCs/>
        </w:rPr>
        <w:t xml:space="preserve"> Institute</w:t>
      </w:r>
      <w:r w:rsidRPr="00E836EB">
        <w:rPr>
          <w:rFonts w:ascii="Georgia" w:hAnsi="Georgia"/>
        </w:rPr>
        <w:t>. [online] Political Science Institute. Available at:</w:t>
      </w:r>
      <w:hyperlink r:id="rId19" w:anchor="balancing-liberty-and-equality" w:history="1">
        <w:r w:rsidRPr="00E836EB">
          <w:rPr>
            <w:rStyle w:val="Hyperlink"/>
            <w:rFonts w:ascii="Georgia" w:hAnsi="Georgia"/>
          </w:rPr>
          <w:t xml:space="preserve"> https://polsci.institute/political-theory/exploring-concept-of-justice/#balancing-liberty-and-equality</w:t>
        </w:r>
      </w:hyperlink>
      <w:r w:rsidRPr="00E836EB">
        <w:rPr>
          <w:rFonts w:ascii="Georgia" w:hAnsi="Georgia"/>
        </w:rPr>
        <w:t xml:space="preserve"> [Accessed 29 Nov. 2025].</w:t>
      </w:r>
    </w:p>
    <w:p w14:paraId="180D2EBD" w14:textId="77777777" w:rsidR="00E836EB" w:rsidRPr="00E836EB" w:rsidRDefault="00E836EB" w:rsidP="00E836EB">
      <w:pPr>
        <w:rPr>
          <w:rFonts w:ascii="Georgia" w:hAnsi="Georgia"/>
        </w:rPr>
      </w:pPr>
      <w:r w:rsidRPr="00E836EB">
        <w:rPr>
          <w:rFonts w:ascii="Georgia" w:hAnsi="Georgia"/>
        </w:rPr>
        <w:t xml:space="preserve">Sharma, A. (2021). </w:t>
      </w:r>
      <w:r w:rsidRPr="00E836EB">
        <w:rPr>
          <w:rFonts w:ascii="Georgia" w:hAnsi="Georgia"/>
          <w:i/>
          <w:iCs/>
        </w:rPr>
        <w:t>Talaq and its types Law column</w:t>
      </w:r>
      <w:r w:rsidRPr="00E836EB">
        <w:rPr>
          <w:rFonts w:ascii="Georgia" w:hAnsi="Georgia"/>
        </w:rPr>
        <w:t>. [online] Law column. Available at:</w:t>
      </w:r>
      <w:hyperlink r:id="rId20" w:history="1">
        <w:r w:rsidRPr="00E836EB">
          <w:rPr>
            <w:rStyle w:val="Hyperlink"/>
            <w:rFonts w:ascii="Georgia" w:hAnsi="Georgia"/>
          </w:rPr>
          <w:t xml:space="preserve"> https://lawcolumn.in/talaq-and-its-types/</w:t>
        </w:r>
      </w:hyperlink>
      <w:r w:rsidRPr="00E836EB">
        <w:rPr>
          <w:rFonts w:ascii="Georgia" w:hAnsi="Georgia"/>
        </w:rPr>
        <w:t xml:space="preserve"> [Accessed 30 Nov. 2025].</w:t>
      </w:r>
    </w:p>
    <w:p w14:paraId="4CC6D71C" w14:textId="77777777" w:rsidR="00E836EB" w:rsidRPr="00E836EB" w:rsidRDefault="00E836EB" w:rsidP="00E836EB">
      <w:pPr>
        <w:rPr>
          <w:rFonts w:ascii="Georgia" w:hAnsi="Georgia"/>
        </w:rPr>
      </w:pPr>
      <w:r w:rsidRPr="00E836EB">
        <w:rPr>
          <w:rFonts w:ascii="Georgia" w:hAnsi="Georgia"/>
        </w:rPr>
        <w:t xml:space="preserve">The Qur’an. (n.d.). </w:t>
      </w:r>
      <w:r w:rsidRPr="00E836EB">
        <w:rPr>
          <w:rFonts w:ascii="Georgia" w:hAnsi="Georgia"/>
          <w:i/>
          <w:iCs/>
        </w:rPr>
        <w:t>Surah at</w:t>
      </w:r>
      <w:r w:rsidRPr="00E836EB">
        <w:rPr>
          <w:rFonts w:ascii="Georgia" w:hAnsi="Georgia"/>
          <w:i/>
          <w:iCs/>
        </w:rPr>
        <w:noBreakHyphen/>
        <w:t>Talaq [Divorce], verses 1–2</w:t>
      </w:r>
      <w:r w:rsidRPr="00E836EB">
        <w:rPr>
          <w:rFonts w:ascii="Georgia" w:hAnsi="Georgia"/>
        </w:rPr>
        <w:t>. Translated by Abdullah Yusuf Ali. London: Islamic Book Service.</w:t>
      </w:r>
    </w:p>
    <w:p w14:paraId="03372DD5" w14:textId="77777777" w:rsidR="00E836EB" w:rsidRPr="00E836EB" w:rsidRDefault="00E836EB" w:rsidP="00E836EB">
      <w:pPr>
        <w:rPr>
          <w:rFonts w:ascii="Georgia" w:hAnsi="Georgia"/>
        </w:rPr>
      </w:pPr>
      <w:r w:rsidRPr="00E836EB">
        <w:rPr>
          <w:rFonts w:ascii="Georgia" w:hAnsi="Georgia"/>
        </w:rPr>
        <w:t xml:space="preserve">Wadud, A. (1999). </w:t>
      </w:r>
      <w:proofErr w:type="spellStart"/>
      <w:r w:rsidRPr="00E836EB">
        <w:rPr>
          <w:rFonts w:ascii="Georgia" w:hAnsi="Georgia"/>
          <w:i/>
          <w:iCs/>
        </w:rPr>
        <w:t>Qur</w:t>
      </w:r>
      <w:r w:rsidRPr="00E836EB">
        <w:rPr>
          <w:rFonts w:ascii="Times New Roman" w:hAnsi="Times New Roman" w:cs="Times New Roman"/>
          <w:i/>
          <w:iCs/>
        </w:rPr>
        <w:t>ʼ</w:t>
      </w:r>
      <w:r w:rsidRPr="00E836EB">
        <w:rPr>
          <w:rFonts w:ascii="Georgia" w:hAnsi="Georgia"/>
          <w:i/>
          <w:iCs/>
        </w:rPr>
        <w:t>an</w:t>
      </w:r>
      <w:proofErr w:type="spellEnd"/>
      <w:r w:rsidRPr="00E836EB">
        <w:rPr>
          <w:rFonts w:ascii="Georgia" w:hAnsi="Georgia"/>
          <w:i/>
          <w:iCs/>
        </w:rPr>
        <w:t xml:space="preserve"> and Woman: Rereading the Sacred Text from a woman</w:t>
      </w:r>
      <w:r w:rsidRPr="00E836EB">
        <w:rPr>
          <w:rFonts w:ascii="Georgia" w:hAnsi="Georgia" w:cs="Georgia"/>
          <w:i/>
          <w:iCs/>
        </w:rPr>
        <w:t>’</w:t>
      </w:r>
      <w:r w:rsidRPr="00E836EB">
        <w:rPr>
          <w:rFonts w:ascii="Georgia" w:hAnsi="Georgia"/>
          <w:i/>
          <w:iCs/>
        </w:rPr>
        <w:t>s Perspective</w:t>
      </w:r>
      <w:r w:rsidRPr="00E836EB">
        <w:rPr>
          <w:rFonts w:ascii="Georgia" w:hAnsi="Georgia"/>
        </w:rPr>
        <w:t>. 2nd ed. [online] New York: Oxford University Press. Available at:</w:t>
      </w:r>
      <w:hyperlink r:id="rId21" w:history="1">
        <w:r w:rsidRPr="00E836EB">
          <w:rPr>
            <w:rStyle w:val="Hyperlink"/>
            <w:rFonts w:ascii="Georgia" w:hAnsi="Georgia"/>
          </w:rPr>
          <w:t xml:space="preserve"> https://www.ikhtyar.org/wp-content/uploads/2014/06/Wadud-Amina-Quran-and-Women.pdf</w:t>
        </w:r>
      </w:hyperlink>
      <w:r w:rsidRPr="00E836EB">
        <w:rPr>
          <w:rFonts w:ascii="Georgia" w:hAnsi="Georgia"/>
        </w:rPr>
        <w:t>.</w:t>
      </w:r>
    </w:p>
    <w:p w14:paraId="76E603FD" w14:textId="77777777" w:rsidR="00E836EB" w:rsidRPr="00E836EB" w:rsidRDefault="00E836EB" w:rsidP="00E836EB">
      <w:pPr>
        <w:rPr>
          <w:rFonts w:ascii="Georgia" w:hAnsi="Georgia"/>
        </w:rPr>
      </w:pPr>
      <w:r w:rsidRPr="00E836EB">
        <w:rPr>
          <w:rFonts w:ascii="Georgia" w:hAnsi="Georgia"/>
        </w:rPr>
        <w:t xml:space="preserve">Webb, G. and Wadud, A. (2000). </w:t>
      </w:r>
      <w:r w:rsidRPr="00E836EB">
        <w:rPr>
          <w:rFonts w:ascii="Georgia" w:hAnsi="Georgia"/>
          <w:i/>
          <w:iCs/>
        </w:rPr>
        <w:t>Qur’an and Woman: Rereading the Sacred Text from a Woman’s Perspective</w:t>
      </w:r>
      <w:r w:rsidRPr="00E836EB">
        <w:rPr>
          <w:rFonts w:ascii="Georgia" w:hAnsi="Georgia"/>
        </w:rPr>
        <w:t xml:space="preserve">. Journal of Law and Religion, 15(1/2), p.519. </w:t>
      </w:r>
      <w:proofErr w:type="spellStart"/>
      <w:r w:rsidRPr="00E836EB">
        <w:rPr>
          <w:rFonts w:ascii="Georgia" w:hAnsi="Georgia"/>
        </w:rPr>
        <w:t>doi:https</w:t>
      </w:r>
      <w:proofErr w:type="spellEnd"/>
      <w:r w:rsidRPr="00E836EB">
        <w:rPr>
          <w:rFonts w:ascii="Georgia" w:hAnsi="Georgia"/>
        </w:rPr>
        <w:t>://doi.org/10.2307/1051560.</w:t>
      </w:r>
    </w:p>
    <w:p w14:paraId="67E1904D" w14:textId="77777777" w:rsidR="00E836EB" w:rsidRPr="00E836EB" w:rsidRDefault="00E836EB">
      <w:pPr>
        <w:rPr>
          <w:rFonts w:ascii="Georgia" w:hAnsi="Georgia"/>
        </w:rPr>
      </w:pPr>
    </w:p>
    <w:sectPr w:rsidR="00E836EB" w:rsidRPr="00E836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6EB"/>
    <w:rsid w:val="001D1819"/>
    <w:rsid w:val="006E52E6"/>
    <w:rsid w:val="00893028"/>
    <w:rsid w:val="00C25B3E"/>
    <w:rsid w:val="00E836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C2C5A"/>
  <w15:chartTrackingRefBased/>
  <w15:docId w15:val="{6AF441F8-B9D7-4A38-81C7-C57F4BE7C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36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36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36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36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36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36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36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36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36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36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36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36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36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36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36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36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36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36EB"/>
    <w:rPr>
      <w:rFonts w:eastAsiaTheme="majorEastAsia" w:cstheme="majorBidi"/>
      <w:color w:val="272727" w:themeColor="text1" w:themeTint="D8"/>
    </w:rPr>
  </w:style>
  <w:style w:type="paragraph" w:styleId="Title">
    <w:name w:val="Title"/>
    <w:basedOn w:val="Normal"/>
    <w:next w:val="Normal"/>
    <w:link w:val="TitleChar"/>
    <w:uiPriority w:val="10"/>
    <w:qFormat/>
    <w:rsid w:val="00E836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36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36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36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36EB"/>
    <w:pPr>
      <w:spacing w:before="160"/>
      <w:jc w:val="center"/>
    </w:pPr>
    <w:rPr>
      <w:i/>
      <w:iCs/>
      <w:color w:val="404040" w:themeColor="text1" w:themeTint="BF"/>
    </w:rPr>
  </w:style>
  <w:style w:type="character" w:customStyle="1" w:styleId="QuoteChar">
    <w:name w:val="Quote Char"/>
    <w:basedOn w:val="DefaultParagraphFont"/>
    <w:link w:val="Quote"/>
    <w:uiPriority w:val="29"/>
    <w:rsid w:val="00E836EB"/>
    <w:rPr>
      <w:i/>
      <w:iCs/>
      <w:color w:val="404040" w:themeColor="text1" w:themeTint="BF"/>
    </w:rPr>
  </w:style>
  <w:style w:type="paragraph" w:styleId="ListParagraph">
    <w:name w:val="List Paragraph"/>
    <w:basedOn w:val="Normal"/>
    <w:uiPriority w:val="34"/>
    <w:qFormat/>
    <w:rsid w:val="00E836EB"/>
    <w:pPr>
      <w:ind w:left="720"/>
      <w:contextualSpacing/>
    </w:pPr>
  </w:style>
  <w:style w:type="character" w:styleId="IntenseEmphasis">
    <w:name w:val="Intense Emphasis"/>
    <w:basedOn w:val="DefaultParagraphFont"/>
    <w:uiPriority w:val="21"/>
    <w:qFormat/>
    <w:rsid w:val="00E836EB"/>
    <w:rPr>
      <w:i/>
      <w:iCs/>
      <w:color w:val="0F4761" w:themeColor="accent1" w:themeShade="BF"/>
    </w:rPr>
  </w:style>
  <w:style w:type="paragraph" w:styleId="IntenseQuote">
    <w:name w:val="Intense Quote"/>
    <w:basedOn w:val="Normal"/>
    <w:next w:val="Normal"/>
    <w:link w:val="IntenseQuoteChar"/>
    <w:uiPriority w:val="30"/>
    <w:qFormat/>
    <w:rsid w:val="00E836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36EB"/>
    <w:rPr>
      <w:i/>
      <w:iCs/>
      <w:color w:val="0F4761" w:themeColor="accent1" w:themeShade="BF"/>
    </w:rPr>
  </w:style>
  <w:style w:type="character" w:styleId="IntenseReference">
    <w:name w:val="Intense Reference"/>
    <w:basedOn w:val="DefaultParagraphFont"/>
    <w:uiPriority w:val="32"/>
    <w:qFormat/>
    <w:rsid w:val="00E836EB"/>
    <w:rPr>
      <w:b/>
      <w:bCs/>
      <w:smallCaps/>
      <w:color w:val="0F4761" w:themeColor="accent1" w:themeShade="BF"/>
      <w:spacing w:val="5"/>
    </w:rPr>
  </w:style>
  <w:style w:type="character" w:styleId="Hyperlink">
    <w:name w:val="Hyperlink"/>
    <w:basedOn w:val="DefaultParagraphFont"/>
    <w:uiPriority w:val="99"/>
    <w:unhideWhenUsed/>
    <w:rsid w:val="00E836EB"/>
    <w:rPr>
      <w:color w:val="467886" w:themeColor="hyperlink"/>
      <w:u w:val="single"/>
    </w:rPr>
  </w:style>
  <w:style w:type="character" w:styleId="UnresolvedMention">
    <w:name w:val="Unresolved Mention"/>
    <w:basedOn w:val="DefaultParagraphFont"/>
    <w:uiPriority w:val="99"/>
    <w:semiHidden/>
    <w:unhideWhenUsed/>
    <w:rsid w:val="00E836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feminism" TargetMode="External"/><Relationship Id="rId13" Type="http://schemas.openxmlformats.org/officeDocument/2006/relationships/hyperlink" Target="https://www.muslimfeminist.co.uk/writings/the-herstory-of-islamic-feminism" TargetMode="External"/><Relationship Id="rId18" Type="http://schemas.openxmlformats.org/officeDocument/2006/relationships/hyperlink" Target="https://seekersguidance.org/answers/guidance-answers/what-should-be-done-if-a-husband-refuses-to-agree-to-khula/" TargetMode="External"/><Relationship Id="rId3" Type="http://schemas.openxmlformats.org/officeDocument/2006/relationships/webSettings" Target="webSettings.xml"/><Relationship Id="rId21" Type="http://schemas.openxmlformats.org/officeDocument/2006/relationships/hyperlink" Target="https://www.ikhtyar.org/wp-content/uploads/2014/06/Wadud-Amina-Quran-and-Women.pdf" TargetMode="External"/><Relationship Id="rId7" Type="http://schemas.openxmlformats.org/officeDocument/2006/relationships/hyperlink" Target="https://bplegal.co.uk/what-is-a-divorce-in-the-uk/" TargetMode="External"/><Relationship Id="rId12" Type="http://schemas.openxmlformats.org/officeDocument/2006/relationships/hyperlink" Target="https://islamweb.net/en/article/245506/divorce-in-islam" TargetMode="External"/><Relationship Id="rId17" Type="http://schemas.openxmlformats.org/officeDocument/2006/relationships/hyperlink" Target="https://www.christianity.com/wiki/marriage/the-truth-about-divorce-according-to-the-bible.html" TargetMode="External"/><Relationship Id="rId2" Type="http://schemas.openxmlformats.org/officeDocument/2006/relationships/settings" Target="settings.xml"/><Relationship Id="rId16" Type="http://schemas.openxmlformats.org/officeDocument/2006/relationships/hyperlink" Target="https://onlinepublichealth.gwu.edu/resources/equity-vs-equality/" TargetMode="External"/><Relationship Id="rId20" Type="http://schemas.openxmlformats.org/officeDocument/2006/relationships/hyperlink" Target="https://lawcolumn.in/talaq-and-its-types/" TargetMode="External"/><Relationship Id="rId1" Type="http://schemas.openxmlformats.org/officeDocument/2006/relationships/styles" Target="styles.xml"/><Relationship Id="rId6" Type="http://schemas.openxmlformats.org/officeDocument/2006/relationships/hyperlink" Target="https://www.jstor.org/stable/pdf/j.ctt1h4mh5h.8.pdf" TargetMode="External"/><Relationship Id="rId11" Type="http://schemas.openxmlformats.org/officeDocument/2006/relationships/hyperlink" Target="https://www.jstor.org/stable/48600673" TargetMode="External"/><Relationship Id="rId5" Type="http://schemas.openxmlformats.org/officeDocument/2006/relationships/hyperlink" Target="https://archive.org/details/liberationofwome0000qasi_i8y8/page/n5/mode/2up" TargetMode="External"/><Relationship Id="rId15" Type="http://schemas.openxmlformats.org/officeDocument/2006/relationships/hyperlink" Target="https://literariness.org/2016/11/23/hermeneutics-a-brief-note/" TargetMode="External"/><Relationship Id="rId23" Type="http://schemas.openxmlformats.org/officeDocument/2006/relationships/theme" Target="theme/theme1.xml"/><Relationship Id="rId10" Type="http://schemas.openxmlformats.org/officeDocument/2006/relationships/hyperlink" Target="https://blog.alhannah.com/khul-meaning-explained-a-practical-guide-to-the-woman-initiated-divorce-in-islam/" TargetMode="External"/><Relationship Id="rId19" Type="http://schemas.openxmlformats.org/officeDocument/2006/relationships/hyperlink" Target="https://polsci.institute/political-theory/exploring-concept-of-justice/" TargetMode="External"/><Relationship Id="rId4" Type="http://schemas.openxmlformats.org/officeDocument/2006/relationships/hyperlink" Target="https://islamicshariascotland.co.uk/understanding-faskh-e-nikah-judicial-dissolution-in-islamic-law/" TargetMode="External"/><Relationship Id="rId9" Type="http://schemas.openxmlformats.org/officeDocument/2006/relationships/hyperlink" Target="https://buddhism.info/buddhist-views-on-marriage-and-divorce/" TargetMode="External"/><Relationship Id="rId14" Type="http://schemas.openxmlformats.org/officeDocument/2006/relationships/hyperlink" Target="https://legal-wires.com/lex-o-pedia/mubarat-divorc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4191</Words>
  <Characters>23895</Characters>
  <Application>Microsoft Office Word</Application>
  <DocSecurity>0</DocSecurity>
  <Lines>199</Lines>
  <Paragraphs>56</Paragraphs>
  <ScaleCrop>false</ScaleCrop>
  <Company/>
  <LinksUpToDate>false</LinksUpToDate>
  <CharactersWithSpaces>28030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Jasper (2400802)</dc:creator>
  <cp:keywords/>
  <dc:description/>
  <cp:lastModifiedBy>Elizabeth Jasper (2400802)</cp:lastModifiedBy>
  <cp:revision>1</cp:revision>
  <dcterms:created xsi:type="dcterms:W3CDTF">2025-11-30T15:46:00Z</dcterms:created>
  <dcterms:modified xsi:type="dcterms:W3CDTF">2025-11-30T15:56:00Z</dcterms:modified>
</cp:coreProperties>
</file>