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9489CC9">
      <w:pPr>
        <w:pStyle w:val="style0"/>
        <w:spacing w:lineRule="auto" w:line="360"/>
        <w:jc w:val="center"/>
        <w:rPr>
          <w:rFonts w:ascii="Arial" w:cs="Arial" w:hAnsi="Arial"/>
          <w:b/>
          <w:bCs/>
          <w:sz w:val="28"/>
          <w:szCs w:val="24"/>
          <w:lang w:val="en-GB"/>
        </w:rPr>
      </w:pPr>
      <w:r>
        <w:rPr>
          <w:rFonts w:ascii="Arial" w:cs="Arial" w:hAnsi="Arial"/>
          <w:noProof/>
          <w:sz w:val="24"/>
          <w:szCs w:val="24"/>
          <w:lang w:val="en-GB" w:eastAsia="en-GB"/>
        </w:rPr>
        <w:drawing>
          <wp:anchor distT="0" distB="0" distL="0" distR="0" simplePos="false" relativeHeight="2" behindDoc="false" locked="false" layoutInCell="true" allowOverlap="true">
            <wp:simplePos x="0" y="0"/>
            <wp:positionH relativeFrom="margin">
              <wp:align>center</wp:align>
            </wp:positionH>
            <wp:positionV relativeFrom="paragraph">
              <wp:posOffset>0</wp:posOffset>
            </wp:positionV>
            <wp:extent cx="3454400" cy="1145540"/>
            <wp:effectExtent l="0" t="0" r="0" b="0"/>
            <wp:wrapTopAndBottom/>
            <wp:docPr id="1026" name="Picture 196784354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967843545"/>
                    <pic:cNvPicPr/>
                  </pic:nvPicPr>
                  <pic:blipFill>
                    <a:blip r:embed="rId2" cstate="print"/>
                    <a:srcRect l="0" t="0" r="0" b="0"/>
                    <a:stretch/>
                  </pic:blipFill>
                  <pic:spPr>
                    <a:xfrm rot="0">
                      <a:off x="0" y="0"/>
                      <a:ext cx="3454400" cy="1145540"/>
                    </a:xfrm>
                    <a:prstGeom prst="rect"/>
                  </pic:spPr>
                </pic:pic>
              </a:graphicData>
            </a:graphic>
            <wp14:sizeRelH relativeFrom="margin">
              <wp14:pctWidth>0</wp14:pctWidth>
            </wp14:sizeRelH>
            <wp14:sizeRelV relativeFrom="margin">
              <wp14:pctHeight>0</wp14:pctHeight>
            </wp14:sizeRelV>
          </wp:anchor>
        </w:drawing>
      </w:r>
    </w:p>
    <w:p w14:paraId="21B3B798">
      <w:pPr>
        <w:pStyle w:val="style0"/>
        <w:spacing w:lineRule="auto" w:line="360"/>
        <w:jc w:val="center"/>
        <w:rPr>
          <w:rFonts w:ascii="Arial" w:cs="Arial" w:hAnsi="Arial"/>
          <w:b/>
          <w:bCs/>
          <w:sz w:val="28"/>
          <w:szCs w:val="24"/>
          <w:lang w:val="en-GB"/>
        </w:rPr>
      </w:pPr>
      <w:r>
        <w:rPr>
          <w:rFonts w:ascii="Arial" w:cs="Arial" w:hAnsi="Arial"/>
          <w:b/>
          <w:bCs/>
          <w:sz w:val="28"/>
          <w:szCs w:val="24"/>
          <w:lang w:val="en-GB"/>
        </w:rPr>
        <w:t>Master of Business Administration</w:t>
      </w:r>
    </w:p>
    <w:p w14:paraId="0696FD44">
      <w:pPr>
        <w:pStyle w:val="style0"/>
        <w:spacing w:lineRule="auto" w:line="360"/>
        <w:jc w:val="center"/>
        <w:rPr>
          <w:rFonts w:ascii="Arial" w:cs="Arial" w:hAnsi="Arial"/>
          <w:b/>
          <w:bCs/>
          <w:sz w:val="28"/>
          <w:szCs w:val="24"/>
          <w:lang w:val="en-GB"/>
        </w:rPr>
      </w:pPr>
      <w:r>
        <w:rPr>
          <w:rFonts w:ascii="Arial" w:cs="Arial" w:hAnsi="Arial"/>
          <w:b/>
          <w:bCs/>
          <w:sz w:val="28"/>
          <w:szCs w:val="24"/>
          <w:lang w:val="en-GB"/>
        </w:rPr>
        <w:t>Student Name:</w:t>
      </w:r>
      <w:r>
        <w:rPr>
          <w:rFonts w:ascii="Arial" w:cs="Arial" w:hAnsi="Arial"/>
          <w:sz w:val="28"/>
          <w:szCs w:val="24"/>
          <w:lang w:val="en-GB"/>
        </w:rPr>
        <w:t xml:space="preserve"> </w:t>
      </w:r>
      <w:r>
        <w:rPr>
          <w:rFonts w:ascii="Arial" w:cs="Arial" w:hAnsi="Arial"/>
          <w:b/>
          <w:sz w:val="28"/>
          <w:szCs w:val="24"/>
          <w:lang w:val="en-GB"/>
        </w:rPr>
        <w:t>Miraz</w:t>
      </w:r>
      <w:r>
        <w:rPr>
          <w:rFonts w:ascii="Arial" w:cs="Arial" w:hAnsi="Arial"/>
          <w:b/>
          <w:sz w:val="28"/>
          <w:szCs w:val="24"/>
          <w:lang w:val="en-GB"/>
        </w:rPr>
        <w:t xml:space="preserve"> Mohammad </w:t>
      </w:r>
      <w:r>
        <w:rPr>
          <w:rFonts w:ascii="Arial" w:cs="Arial" w:hAnsi="Arial"/>
          <w:b/>
          <w:sz w:val="28"/>
          <w:szCs w:val="24"/>
          <w:lang w:val="en-GB"/>
        </w:rPr>
        <w:t>Emon</w:t>
      </w:r>
    </w:p>
    <w:p w14:paraId="697ED246">
      <w:pPr>
        <w:pStyle w:val="style0"/>
        <w:spacing w:lineRule="auto" w:line="360"/>
        <w:jc w:val="center"/>
        <w:rPr>
          <w:rFonts w:ascii="Arial" w:cs="Arial" w:hAnsi="Arial"/>
          <w:sz w:val="28"/>
          <w:szCs w:val="24"/>
          <w:lang w:val="en-GB"/>
        </w:rPr>
      </w:pPr>
      <w:r>
        <w:rPr>
          <w:rFonts w:ascii="Arial" w:cs="Arial" w:hAnsi="Arial"/>
          <w:b/>
          <w:bCs/>
          <w:sz w:val="28"/>
          <w:szCs w:val="24"/>
          <w:lang w:val="en-GB"/>
        </w:rPr>
        <w:t>Student Number:</w:t>
      </w:r>
      <w:r>
        <w:t xml:space="preserve"> </w:t>
      </w:r>
      <w:r>
        <w:rPr>
          <w:rFonts w:ascii="Arial" w:cs="Arial" w:hAnsi="Arial"/>
          <w:b/>
          <w:bCs/>
          <w:sz w:val="28"/>
          <w:szCs w:val="24"/>
          <w:lang w:val="en-GB"/>
        </w:rPr>
        <w:t>2503793</w:t>
      </w:r>
      <w:r>
        <w:t xml:space="preserve"> </w:t>
      </w:r>
    </w:p>
    <w:p w14:paraId="4155A697">
      <w:pPr>
        <w:pStyle w:val="style0"/>
        <w:spacing w:lineRule="auto" w:line="360"/>
        <w:jc w:val="center"/>
        <w:rPr>
          <w:rFonts w:ascii="Arial" w:cs="Arial" w:hAnsi="Arial"/>
          <w:b/>
          <w:bCs/>
          <w:sz w:val="28"/>
          <w:szCs w:val="24"/>
          <w:lang w:val="en-GB"/>
        </w:rPr>
      </w:pPr>
      <w:r>
        <w:rPr>
          <w:rFonts w:ascii="Arial" w:cs="Arial" w:hAnsi="Arial"/>
          <w:b/>
          <w:bCs/>
          <w:sz w:val="28"/>
          <w:szCs w:val="24"/>
          <w:lang w:val="en-GB"/>
        </w:rPr>
        <w:t>Module code:</w:t>
      </w:r>
      <w:r>
        <w:t xml:space="preserve"> </w:t>
      </w:r>
      <w:r>
        <w:rPr>
          <w:rFonts w:ascii="Arial" w:cs="Arial" w:hAnsi="Arial"/>
          <w:b/>
          <w:bCs/>
          <w:sz w:val="28"/>
          <w:szCs w:val="24"/>
          <w:lang w:val="en-GB"/>
        </w:rPr>
        <w:t>LCMB703</w:t>
      </w:r>
      <w:r>
        <w:rPr>
          <w:rFonts w:ascii="Arial" w:cs="Arial" w:hAnsi="Arial"/>
          <w:b/>
          <w:bCs/>
          <w:sz w:val="28"/>
          <w:szCs w:val="24"/>
          <w:lang w:val="en-GB"/>
        </w:rPr>
        <w:t>5</w:t>
      </w:r>
    </w:p>
    <w:p w14:paraId="0DE4BC8F">
      <w:pPr>
        <w:pStyle w:val="style0"/>
        <w:spacing w:lineRule="auto" w:line="360"/>
        <w:jc w:val="center"/>
        <w:rPr>
          <w:rFonts w:ascii="Arial" w:cs="Arial" w:hAnsi="Arial"/>
          <w:b/>
          <w:bCs/>
          <w:sz w:val="28"/>
          <w:szCs w:val="24"/>
          <w:lang w:val="en-GB"/>
        </w:rPr>
      </w:pPr>
      <w:r>
        <w:rPr>
          <w:rFonts w:ascii="Arial" w:cs="Arial" w:hAnsi="Arial"/>
          <w:b/>
          <w:bCs/>
          <w:sz w:val="28"/>
          <w:szCs w:val="24"/>
          <w:lang w:val="en-GB"/>
        </w:rPr>
        <w:t xml:space="preserve">Module Name: </w:t>
      </w:r>
      <w:r>
        <w:rPr>
          <w:rFonts w:ascii="Arial" w:cs="Arial" w:hAnsi="Arial"/>
          <w:b/>
          <w:bCs/>
          <w:sz w:val="28"/>
          <w:szCs w:val="24"/>
          <w:lang w:val="en-GB"/>
        </w:rPr>
        <w:t>Dissertation</w:t>
      </w:r>
      <w:r>
        <w:rPr>
          <w:rFonts w:ascii="Arial" w:cs="Arial" w:hAnsi="Arial"/>
          <w:b/>
          <w:bCs/>
          <w:sz w:val="28"/>
          <w:szCs w:val="24"/>
          <w:lang w:val="en-GB"/>
        </w:rPr>
        <w:t xml:space="preserve"> </w:t>
      </w:r>
      <w:r>
        <w:rPr>
          <w:rFonts w:ascii="Arial" w:cs="Arial" w:hAnsi="Arial"/>
          <w:b/>
          <w:bCs/>
          <w:sz w:val="28"/>
          <w:szCs w:val="24"/>
          <w:lang w:val="en-GB"/>
        </w:rPr>
        <w:t>P</w:t>
      </w:r>
      <w:r>
        <w:rPr>
          <w:rFonts w:ascii="Arial" w:cs="Arial" w:hAnsi="Arial"/>
          <w:b/>
          <w:bCs/>
          <w:sz w:val="28"/>
          <w:szCs w:val="24"/>
          <w:lang w:val="en-GB"/>
        </w:rPr>
        <w:t>roposal</w:t>
      </w:r>
    </w:p>
    <w:p w14:paraId="1B227B4A">
      <w:pPr>
        <w:pStyle w:val="style0"/>
        <w:spacing w:lineRule="auto" w:line="360"/>
        <w:jc w:val="center"/>
        <w:rPr>
          <w:rFonts w:ascii="Arial" w:cs="Arial" w:hAnsi="Arial"/>
          <w:b/>
          <w:bCs/>
          <w:sz w:val="28"/>
          <w:szCs w:val="24"/>
          <w:lang w:val="en-GB"/>
        </w:rPr>
      </w:pPr>
      <w:r>
        <w:rPr>
          <w:rFonts w:ascii="Arial" w:cs="Arial" w:hAnsi="Arial"/>
          <w:b/>
          <w:bCs/>
          <w:sz w:val="28"/>
          <w:szCs w:val="24"/>
          <w:lang w:val="en-GB"/>
        </w:rPr>
        <w:t xml:space="preserve">Title: </w:t>
      </w:r>
      <w:r>
        <w:rPr>
          <w:rFonts w:ascii="Arial" w:cs="Arial" w:hAnsi="Arial"/>
          <w:b/>
          <w:bCs/>
          <w:sz w:val="28"/>
          <w:szCs w:val="24"/>
          <w:lang w:val="en-GB"/>
        </w:rPr>
        <w:t>"</w:t>
      </w:r>
      <w:r>
        <w:t xml:space="preserve"> </w:t>
      </w:r>
      <w:r>
        <w:rPr>
          <w:rFonts w:ascii="Arial" w:cs="Arial" w:hAnsi="Arial"/>
          <w:b/>
          <w:bCs/>
          <w:sz w:val="28"/>
          <w:szCs w:val="24"/>
          <w:lang w:val="en-GB"/>
        </w:rPr>
        <w:t>The Influence of Human Capital Management Practices on Customer Service Quality: A Case Study of Starbucks UK</w:t>
      </w:r>
      <w:r>
        <w:rPr>
          <w:rFonts w:ascii="Arial" w:cs="Arial" w:hAnsi="Arial"/>
          <w:b/>
          <w:bCs/>
          <w:sz w:val="28"/>
          <w:szCs w:val="24"/>
          <w:lang w:val="en-GB"/>
        </w:rPr>
        <w:t>"</w:t>
      </w:r>
    </w:p>
    <w:p w14:paraId="09021493">
      <w:pPr>
        <w:pStyle w:val="style0"/>
        <w:spacing w:lineRule="auto" w:line="360"/>
        <w:jc w:val="center"/>
        <w:rPr>
          <w:rFonts w:ascii="Arial" w:cs="Arial" w:hAnsi="Arial"/>
          <w:b/>
          <w:bCs/>
          <w:sz w:val="28"/>
          <w:szCs w:val="24"/>
          <w:lang w:val="en-GB"/>
        </w:rPr>
      </w:pPr>
      <w:r>
        <w:rPr>
          <w:rFonts w:ascii="Arial" w:cs="Arial" w:hAnsi="Arial"/>
          <w:b/>
          <w:bCs/>
          <w:sz w:val="28"/>
          <w:szCs w:val="24"/>
          <w:lang w:val="en-GB"/>
        </w:rPr>
        <w:t xml:space="preserve">Supervisor: </w:t>
      </w:r>
      <w:r>
        <w:rPr>
          <w:rFonts w:ascii="Arial" w:cs="Arial" w:hAnsi="Arial"/>
          <w:b/>
          <w:bCs/>
          <w:sz w:val="28"/>
          <w:szCs w:val="24"/>
          <w:lang w:val="en-GB"/>
        </w:rPr>
        <w:t>Faizu</w:t>
      </w:r>
      <w:r>
        <w:rPr>
          <w:rFonts w:ascii="Arial" w:cs="Arial" w:hAnsi="Arial"/>
          <w:b/>
          <w:bCs/>
          <w:sz w:val="28"/>
          <w:szCs w:val="24"/>
          <w:lang w:val="en-GB"/>
        </w:rPr>
        <w:t xml:space="preserve"> Edu</w:t>
      </w:r>
    </w:p>
    <w:p w14:paraId="1D38A85A">
      <w:pPr>
        <w:pStyle w:val="style0"/>
        <w:spacing w:lineRule="auto" w:line="360"/>
        <w:jc w:val="center"/>
        <w:rPr>
          <w:rFonts w:ascii="Arial" w:cs="Arial" w:hAnsi="Arial"/>
          <w:b/>
          <w:bCs/>
          <w:sz w:val="28"/>
          <w:szCs w:val="24"/>
          <w:lang w:val="en-GB"/>
        </w:rPr>
      </w:pPr>
      <w:r>
        <w:rPr>
          <w:rFonts w:ascii="Arial" w:cs="Arial" w:hAnsi="Arial"/>
          <w:b/>
          <w:bCs/>
          <w:sz w:val="28"/>
          <w:szCs w:val="24"/>
          <w:lang w:val="en-GB"/>
        </w:rPr>
        <w:t xml:space="preserve">Words Count: </w:t>
      </w:r>
      <w:r>
        <w:rPr>
          <w:rFonts w:ascii="Arial" w:cs="Arial" w:hAnsi="Arial"/>
          <w:b/>
          <w:bCs/>
          <w:sz w:val="28"/>
          <w:szCs w:val="24"/>
          <w:lang w:val="en-GB"/>
        </w:rPr>
        <w:t>2724</w:t>
      </w:r>
    </w:p>
    <w:p w14:paraId="4F22319B">
      <w:pPr>
        <w:pStyle w:val="style0"/>
        <w:spacing w:lineRule="auto" w:line="278"/>
        <w:rPr>
          <w:rFonts w:ascii="Arial" w:cs="Arial" w:hAnsi="Arial"/>
          <w:b/>
          <w:bCs/>
          <w:sz w:val="28"/>
          <w:szCs w:val="24"/>
          <w:lang w:val="en-GB"/>
        </w:rPr>
      </w:pPr>
      <w:r>
        <w:rPr>
          <w:rFonts w:ascii="Arial" w:cs="Arial" w:hAnsi="Arial"/>
          <w:b/>
          <w:bCs/>
          <w:sz w:val="28"/>
          <w:szCs w:val="24"/>
          <w:lang w:val="en-GB"/>
        </w:rPr>
        <w:br w:type="page"/>
      </w:r>
    </w:p>
    <w:p w14:paraId="044431BD">
      <w:pPr>
        <w:pStyle w:val="style0"/>
        <w:pBdr>
          <w:left w:val="single" w:sz="4" w:space="4" w:color="auto"/>
          <w:right w:val="single" w:sz="4" w:space="4" w:color="auto"/>
          <w:top w:val="single" w:sz="4" w:space="1" w:color="auto"/>
          <w:bottom w:val="single" w:sz="4" w:space="31" w:color="auto"/>
        </w:pBdr>
        <w:spacing w:after="120"/>
        <w:rPr>
          <w:rFonts w:ascii="Arial" w:cs="Arial" w:hAnsi="Arial"/>
          <w:lang w:val="en-GB"/>
        </w:rPr>
        <w:sectPr>
          <w:pgSz w:w="11906" w:h="16838" w:orient="portrait"/>
          <w:pgMar w:top="1440" w:right="1440" w:bottom="1440" w:left="1440" w:header="708" w:footer="708" w:gutter="0"/>
          <w:pgBorders w:zOrder="front"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pPr>
        <w:pStyle w:val="style0"/>
        <w:pBdr>
          <w:left w:val="single" w:sz="4" w:space="4" w:color="auto"/>
          <w:right w:val="single" w:sz="4" w:space="4" w:color="auto"/>
          <w:top w:val="single" w:sz="4" w:space="1" w:color="auto"/>
          <w:bottom w:val="single" w:sz="4" w:space="31" w:color="auto"/>
        </w:pBdr>
        <w:spacing w:after="120"/>
        <w:jc w:val="center"/>
        <w:rPr>
          <w:rFonts w:ascii="Arial" w:cs="Arial" w:hAnsi="Arial"/>
          <w:lang w:val="en-GB"/>
        </w:rPr>
      </w:pPr>
      <w:r>
        <w:rPr>
          <w:rFonts w:ascii="Arial" w:cs="Arial" w:hAnsi="Arial"/>
          <w:noProof/>
          <w:lang w:val="en-GB" w:eastAsia="en-GB"/>
        </w:rPr>
        <w:drawing>
          <wp:inline distL="0" distT="0" distB="0" distR="0">
            <wp:extent cx="2844800" cy="116840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2844800" cy="1168400"/>
                    </a:xfrm>
                    <a:prstGeom prst="rect"/>
                    <a:ln>
                      <a:noFill/>
                    </a:ln>
                  </pic:spPr>
                </pic:pic>
              </a:graphicData>
            </a:graphic>
          </wp:inline>
        </w:drawing>
      </w:r>
    </w:p>
    <w:p w14:paraId="4497F908">
      <w:pPr>
        <w:pStyle w:val="style0"/>
        <w:pBdr>
          <w:left w:val="single" w:sz="4" w:space="4" w:color="auto"/>
          <w:right w:val="single" w:sz="4" w:space="4" w:color="auto"/>
          <w:top w:val="single" w:sz="4" w:space="1" w:color="auto"/>
          <w:bottom w:val="single" w:sz="4" w:space="31" w:color="auto"/>
        </w:pBdr>
        <w:spacing w:after="120"/>
        <w:jc w:val="center"/>
        <w:rPr>
          <w:rFonts w:ascii="Arial" w:cs="Arial" w:hAnsi="Arial"/>
          <w:b/>
          <w:sz w:val="28"/>
          <w:szCs w:val="28"/>
          <w:lang w:val="en-GB"/>
        </w:rPr>
      </w:pPr>
    </w:p>
    <w:p w14:paraId="15398A71">
      <w:pPr>
        <w:pStyle w:val="style0"/>
        <w:pBdr>
          <w:left w:val="single" w:sz="4" w:space="4" w:color="auto"/>
          <w:right w:val="single" w:sz="4" w:space="4" w:color="auto"/>
          <w:top w:val="single" w:sz="4" w:space="1" w:color="auto"/>
          <w:bottom w:val="single" w:sz="4" w:space="31" w:color="auto"/>
        </w:pBdr>
        <w:spacing w:after="120"/>
        <w:jc w:val="center"/>
        <w:rPr>
          <w:rFonts w:ascii="Arial" w:cs="Arial" w:hAnsi="Arial"/>
          <w:sz w:val="28"/>
          <w:szCs w:val="28"/>
          <w:lang w:val="en-GB"/>
        </w:rPr>
      </w:pPr>
      <w:r>
        <w:rPr>
          <w:rFonts w:ascii="Arial" w:cs="Arial" w:hAnsi="Arial"/>
          <w:b/>
          <w:sz w:val="28"/>
          <w:szCs w:val="28"/>
          <w:lang w:val="en-GB"/>
        </w:rPr>
        <w:t>Master’s Degrees by Examination and Dissertation</w:t>
      </w:r>
    </w:p>
    <w:p w14:paraId="5B80BF0E">
      <w:pPr>
        <w:pStyle w:val="style0"/>
        <w:pBdr>
          <w:left w:val="single" w:sz="4" w:space="4" w:color="auto"/>
          <w:right w:val="single" w:sz="4" w:space="4" w:color="auto"/>
          <w:top w:val="single" w:sz="4" w:space="1" w:color="auto"/>
          <w:bottom w:val="single" w:sz="4" w:space="31" w:color="auto"/>
        </w:pBdr>
        <w:spacing w:after="120"/>
        <w:jc w:val="center"/>
        <w:rPr>
          <w:rFonts w:ascii="Arial" w:cs="Arial" w:hAnsi="Arial"/>
          <w:sz w:val="28"/>
          <w:szCs w:val="28"/>
          <w:lang w:val="en-GB"/>
        </w:rPr>
      </w:pPr>
      <w:r>
        <w:rPr>
          <w:rFonts w:ascii="Arial" w:cs="Arial" w:hAnsi="Arial"/>
          <w:b/>
          <w:sz w:val="28"/>
          <w:szCs w:val="28"/>
          <w:lang w:val="en-GB"/>
        </w:rPr>
        <w:t>Declaration Form</w:t>
      </w:r>
    </w:p>
    <w:p w14:paraId="752E6A27">
      <w:pPr>
        <w:pStyle w:val="style0"/>
        <w:pBdr>
          <w:left w:val="single" w:sz="4" w:space="4" w:color="auto"/>
          <w:right w:val="single" w:sz="4" w:space="4" w:color="auto"/>
          <w:top w:val="single" w:sz="4" w:space="1" w:color="auto"/>
          <w:bottom w:val="single" w:sz="4" w:space="31" w:color="auto"/>
        </w:pBdr>
        <w:spacing w:after="120" w:lineRule="auto" w:line="480"/>
        <w:rPr>
          <w:rFonts w:ascii="Arial" w:cs="Arial" w:hAnsi="Arial"/>
          <w:lang w:val="en-GB"/>
        </w:rPr>
      </w:pPr>
    </w:p>
    <w:p w14:paraId="10AB53DB">
      <w:pPr>
        <w:pStyle w:val="style0"/>
        <w:pBdr>
          <w:left w:val="single" w:sz="4" w:space="4" w:color="auto"/>
          <w:right w:val="single" w:sz="4" w:space="4" w:color="auto"/>
          <w:top w:val="single" w:sz="4" w:space="1" w:color="auto"/>
          <w:bottom w:val="single" w:sz="4" w:space="31" w:color="auto"/>
        </w:pBdr>
        <w:spacing w:after="120" w:lineRule="auto" w:line="480"/>
        <w:rPr>
          <w:rFonts w:ascii="Arial" w:cs="Arial" w:hAnsi="Arial"/>
          <w:sz w:val="24"/>
          <w:szCs w:val="24"/>
          <w:lang w:val="en-GB"/>
        </w:rPr>
      </w:pPr>
      <w:r>
        <w:rPr>
          <w:rFonts w:ascii="Arial" w:cs="Arial" w:hAnsi="Arial"/>
          <w:sz w:val="24"/>
          <w:szCs w:val="24"/>
          <w:lang w:val="en-GB"/>
        </w:rPr>
        <w:t xml:space="preserve">I, </w:t>
      </w:r>
      <w:r>
        <w:rPr>
          <w:rFonts w:ascii="Arial" w:cs="Arial" w:hAnsi="Arial"/>
          <w:sz w:val="24"/>
          <w:szCs w:val="24"/>
          <w:lang w:val="en-GB"/>
        </w:rPr>
        <w:t>Miraz</w:t>
      </w:r>
      <w:r>
        <w:rPr>
          <w:rFonts w:ascii="Arial" w:cs="Arial" w:hAnsi="Arial"/>
          <w:sz w:val="24"/>
          <w:szCs w:val="24"/>
          <w:lang w:val="en-GB"/>
        </w:rPr>
        <w:t xml:space="preserve"> Mohammad </w:t>
      </w:r>
      <w:r>
        <w:rPr>
          <w:rFonts w:ascii="Arial" w:cs="Arial" w:hAnsi="Arial"/>
          <w:sz w:val="24"/>
          <w:szCs w:val="24"/>
          <w:lang w:val="en-GB"/>
        </w:rPr>
        <w:t>Emon</w:t>
      </w:r>
      <w:r>
        <w:rPr>
          <w:rFonts w:ascii="Arial" w:cs="Arial" w:hAnsi="Arial"/>
          <w:sz w:val="24"/>
          <w:szCs w:val="24"/>
          <w:lang w:val="en-GB"/>
        </w:rPr>
        <w:t>,</w:t>
      </w:r>
      <w:r>
        <w:rPr>
          <w:rFonts w:ascii="Arial" w:cs="Arial" w:hAnsi="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pPr>
        <w:pStyle w:val="style0"/>
        <w:pBdr>
          <w:left w:val="single" w:sz="4" w:space="4" w:color="auto"/>
          <w:right w:val="single" w:sz="4" w:space="4" w:color="auto"/>
          <w:top w:val="single" w:sz="4" w:space="1" w:color="auto"/>
          <w:bottom w:val="single" w:sz="4" w:space="31" w:color="auto"/>
        </w:pBdr>
        <w:spacing w:after="120" w:lineRule="auto" w:line="480"/>
        <w:rPr>
          <w:rFonts w:ascii="Arial" w:cs="Arial" w:hAnsi="Arial"/>
          <w:sz w:val="24"/>
          <w:szCs w:val="24"/>
          <w:lang w:val="en-GB"/>
        </w:rPr>
      </w:pPr>
      <w:r>
        <w:rPr>
          <w:rFonts w:ascii="Arial" w:cs="Arial" w:hAnsi="Arial"/>
          <w:sz w:val="24"/>
          <w:szCs w:val="24"/>
          <w:lang w:val="en-GB"/>
        </w:rPr>
        <w:t xml:space="preserve"> </w:t>
      </w:r>
    </w:p>
    <w:p w14:paraId="597DF5D0">
      <w:pPr>
        <w:pStyle w:val="style0"/>
        <w:pBdr>
          <w:left w:val="single" w:sz="4" w:space="4" w:color="auto"/>
          <w:right w:val="single" w:sz="4" w:space="4" w:color="auto"/>
          <w:top w:val="single" w:sz="4" w:space="1" w:color="auto"/>
          <w:bottom w:val="single" w:sz="4" w:space="31" w:color="auto"/>
        </w:pBdr>
        <w:spacing w:after="120" w:lineRule="auto" w:line="480"/>
        <w:rPr>
          <w:rFonts w:ascii="Arial" w:cs="Arial" w:hAnsi="Arial"/>
          <w:sz w:val="24"/>
          <w:szCs w:val="24"/>
          <w:lang w:val="en-GB"/>
        </w:rPr>
      </w:pPr>
      <w:r>
        <w:rPr>
          <w:rFonts w:ascii="Arial" w:cs="Arial" w:hAnsi="Arial"/>
          <w:sz w:val="24"/>
          <w:szCs w:val="24"/>
          <w:lang w:val="en-GB"/>
        </w:rPr>
        <w:t xml:space="preserve">Signature: </w:t>
      </w:r>
      <w:r>
        <w:rPr>
          <w:rFonts w:ascii="Arial" w:cs="Arial" w:hAnsi="Arial"/>
          <w:sz w:val="24"/>
          <w:szCs w:val="24"/>
          <w:lang w:val="en-GB"/>
        </w:rPr>
        <w:t>Miraz</w:t>
      </w:r>
      <w:r>
        <w:rPr>
          <w:rFonts w:ascii="Arial" w:cs="Arial" w:hAnsi="Arial"/>
          <w:sz w:val="24"/>
          <w:szCs w:val="24"/>
          <w:lang w:val="en-GB"/>
        </w:rPr>
        <w:t xml:space="preserve"> Mohammad </w:t>
      </w:r>
      <w:r>
        <w:rPr>
          <w:rFonts w:ascii="Arial" w:cs="Arial" w:hAnsi="Arial"/>
          <w:sz w:val="24"/>
          <w:szCs w:val="24"/>
          <w:lang w:val="en-GB"/>
        </w:rPr>
        <w:t>Emon</w:t>
      </w:r>
    </w:p>
    <w:p w14:paraId="504C1E27">
      <w:pPr>
        <w:pStyle w:val="style0"/>
        <w:pBdr>
          <w:left w:val="single" w:sz="4" w:space="4" w:color="auto"/>
          <w:right w:val="single" w:sz="4" w:space="4" w:color="auto"/>
          <w:top w:val="single" w:sz="4" w:space="1" w:color="auto"/>
          <w:bottom w:val="single" w:sz="4" w:space="31" w:color="auto"/>
        </w:pBdr>
        <w:spacing w:after="120" w:lineRule="auto" w:line="480"/>
        <w:rPr>
          <w:rFonts w:ascii="Arial" w:cs="Arial" w:hAnsi="Arial"/>
          <w:sz w:val="24"/>
          <w:szCs w:val="24"/>
          <w:lang w:val="en-GB"/>
        </w:rPr>
      </w:pPr>
      <w:r>
        <w:rPr>
          <w:rFonts w:ascii="Arial" w:cs="Arial" w:hAnsi="Arial"/>
          <w:sz w:val="24"/>
          <w:szCs w:val="24"/>
          <w:lang w:val="en-GB"/>
        </w:rPr>
        <w:t xml:space="preserve">Date: </w:t>
      </w:r>
      <w:r>
        <w:rPr>
          <w:rFonts w:ascii="Arial" w:cs="Arial" w:hAnsi="Arial"/>
          <w:sz w:val="24"/>
          <w:szCs w:val="24"/>
          <w:lang w:val="en-GB"/>
        </w:rPr>
        <w:t>15/07/20</w:t>
      </w:r>
      <w:bookmarkStart w:id="0" w:name="_GoBack"/>
      <w:bookmarkEnd w:id="0"/>
      <w:r>
        <w:rPr>
          <w:rFonts w:ascii="Arial" w:cs="Arial" w:hAnsi="Arial"/>
          <w:sz w:val="24"/>
          <w:szCs w:val="24"/>
          <w:lang w:val="en-GB"/>
        </w:rPr>
        <w:t>26</w:t>
      </w:r>
    </w:p>
    <w:p w14:paraId="132DA619">
      <w:pPr>
        <w:pStyle w:val="style0"/>
        <w:pBdr>
          <w:left w:val="single" w:sz="4" w:space="4" w:color="auto"/>
          <w:right w:val="single" w:sz="4" w:space="4" w:color="auto"/>
          <w:top w:val="single" w:sz="4" w:space="1" w:color="auto"/>
          <w:bottom w:val="single" w:sz="4" w:space="31" w:color="auto"/>
        </w:pBdr>
        <w:spacing w:after="120"/>
        <w:rPr>
          <w:rFonts w:ascii="Arial" w:cs="Arial" w:hAnsi="Arial"/>
          <w:lang w:val="en-GB"/>
        </w:rPr>
      </w:pPr>
    </w:p>
    <w:p w14:paraId="546F70D7">
      <w:pPr>
        <w:pStyle w:val="style0"/>
        <w:spacing w:lineRule="auto" w:line="360"/>
        <w:jc w:val="center"/>
        <w:rPr>
          <w:rFonts w:ascii="Arial" w:cs="Arial" w:hAnsi="Arial"/>
          <w:b/>
          <w:bCs/>
          <w:sz w:val="28"/>
          <w:szCs w:val="24"/>
          <w:lang w:val="en-GB"/>
        </w:rPr>
      </w:pPr>
    </w:p>
    <w:p w14:paraId="72537C3D">
      <w:pPr>
        <w:pStyle w:val="style0"/>
        <w:spacing w:lineRule="auto" w:line="360"/>
        <w:rPr>
          <w:rFonts w:ascii="Arial" w:cs="Arial" w:hAnsi="Arial"/>
          <w:b/>
          <w:lang w:val="en-GB"/>
        </w:rPr>
      </w:pPr>
      <w:r>
        <w:rPr>
          <w:rFonts w:ascii="Arial" w:cs="Arial" w:hAnsi="Arial"/>
          <w:b/>
          <w:lang w:val="en-GB"/>
        </w:rPr>
        <w:br w:type="page"/>
      </w:r>
    </w:p>
    <w:p w14:paraId="285BB61B">
      <w:pPr>
        <w:pStyle w:val="style266"/>
        <w:spacing w:after="240"/>
        <w:jc w:val="both"/>
        <w:rPr>
          <w:rFonts w:cs="Arial"/>
          <w:b/>
          <w:bCs/>
          <w:sz w:val="24"/>
          <w:szCs w:val="24"/>
          <w:u w:val="single"/>
          <w:lang w:val="en-GB"/>
        </w:rPr>
      </w:pPr>
      <w:r>
        <w:rPr>
          <w:rFonts w:cs="Arial"/>
          <w:b/>
          <w:bCs/>
          <w:sz w:val="24"/>
          <w:szCs w:val="24"/>
          <w:u w:val="single"/>
          <w:lang w:val="en-GB"/>
        </w:rPr>
        <w:t>Table of Contents</w:t>
      </w:r>
    </w:p>
    <w:p w14:paraId="6F6288C2">
      <w:pPr>
        <w:pStyle w:val="style19"/>
        <w:tabs>
          <w:tab w:val="right" w:leader="dot" w:pos="9016"/>
        </w:tabs>
        <w:jc w:val="both"/>
        <w:rPr>
          <w:rFonts w:ascii="Arial" w:cs="Arial" w:eastAsia="宋体" w:hAnsi="Arial"/>
          <w:noProof/>
          <w:sz w:val="24"/>
          <w:szCs w:val="24"/>
          <w:lang w:val="en-GB" w:eastAsia="en-GB"/>
        </w:rPr>
      </w:pPr>
      <w:r>
        <w:rPr>
          <w:rFonts w:ascii="Arial" w:cs="Arial" w:hAnsi="Arial"/>
          <w:b/>
          <w:bCs/>
          <w:noProof/>
          <w:sz w:val="24"/>
          <w:szCs w:val="24"/>
          <w:lang w:val="en-GB"/>
        </w:rPr>
        <w:fldChar w:fldCharType="begin"/>
      </w:r>
      <w:r>
        <w:rPr>
          <w:rFonts w:ascii="Arial" w:cs="Arial" w:hAnsi="Arial"/>
          <w:b/>
          <w:bCs/>
          <w:noProof/>
          <w:sz w:val="24"/>
          <w:szCs w:val="24"/>
          <w:lang w:val="en-GB"/>
        </w:rPr>
        <w:instrText xml:space="preserve"> TOC \o "1-3" \h \z \u </w:instrText>
      </w:r>
      <w:r>
        <w:rPr>
          <w:rFonts w:ascii="Arial" w:cs="Arial" w:hAnsi="Arial"/>
          <w:b/>
          <w:bCs/>
          <w:noProof/>
          <w:sz w:val="24"/>
          <w:szCs w:val="24"/>
          <w:lang w:val="en-GB"/>
        </w:rPr>
        <w:fldChar w:fldCharType="separate"/>
      </w:r>
      <w:r>
        <w:rPr/>
        <w:fldChar w:fldCharType="begin"/>
      </w:r>
      <w:r>
        <w:instrText xml:space="preserve"> HYPERLINK \l "_Toc235017010" </w:instrText>
      </w:r>
      <w:r>
        <w:rPr/>
        <w:fldChar w:fldCharType="separate"/>
      </w:r>
      <w:r>
        <w:rPr>
          <w:rStyle w:val="style85"/>
          <w:rFonts w:ascii="Arial" w:cs="Arial" w:hAnsi="Arial"/>
          <w:noProof/>
          <w:sz w:val="24"/>
          <w:szCs w:val="24"/>
          <w:lang w:val="en-GB" w:eastAsia="en-GB"/>
        </w:rPr>
        <w:t>1. Introduction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_Toc235017010 \h </w:instrText>
      </w:r>
      <w:r>
        <w:rPr>
          <w:rFonts w:ascii="Arial" w:cs="Arial" w:hAnsi="Arial"/>
          <w:noProof/>
          <w:webHidden/>
          <w:sz w:val="24"/>
          <w:szCs w:val="24"/>
        </w:rPr>
        <w:fldChar w:fldCharType="separate"/>
      </w:r>
      <w:r>
        <w:rPr>
          <w:rFonts w:ascii="Arial" w:cs="Arial" w:hAnsi="Arial"/>
          <w:noProof/>
          <w:webHidden/>
          <w:sz w:val="24"/>
          <w:szCs w:val="24"/>
        </w:rPr>
        <w:t>1</w:t>
      </w:r>
      <w:r>
        <w:rPr>
          <w:rFonts w:ascii="Arial" w:cs="Arial" w:hAnsi="Arial"/>
          <w:noProof/>
          <w:webHidden/>
          <w:sz w:val="24"/>
          <w:szCs w:val="24"/>
        </w:rPr>
        <w:fldChar w:fldCharType="end"/>
      </w:r>
      <w:r>
        <w:rPr/>
        <w:fldChar w:fldCharType="end"/>
      </w:r>
    </w:p>
    <w:p w14:paraId="32257E0D">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"_Toc235017011" </w:instrText>
      </w:r>
      <w:r>
        <w:rPr/>
        <w:fldChar w:fldCharType="separate"/>
      </w:r>
      <w:r>
        <w:rPr>
          <w:rStyle w:val="style85"/>
          <w:rFonts w:ascii="Arial" w:cs="Arial" w:hAnsi="Arial"/>
          <w:noProof/>
          <w:sz w:val="24"/>
          <w:szCs w:val="24"/>
          <w:lang w:val="en-GB" w:eastAsia="en-GB"/>
        </w:rPr>
        <w:t>1.1 Background of the Study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_Toc235017011 \h </w:instrText>
      </w:r>
      <w:r>
        <w:rPr>
          <w:rFonts w:ascii="Arial" w:cs="Arial" w:hAnsi="Arial"/>
          <w:noProof/>
          <w:webHidden/>
          <w:sz w:val="24"/>
          <w:szCs w:val="24"/>
        </w:rPr>
        <w:fldChar w:fldCharType="separate"/>
      </w:r>
      <w:r>
        <w:rPr>
          <w:rFonts w:ascii="Arial" w:cs="Arial" w:hAnsi="Arial"/>
          <w:noProof/>
          <w:webHidden/>
          <w:sz w:val="24"/>
          <w:szCs w:val="24"/>
        </w:rPr>
        <w:t>1</w:t>
      </w:r>
      <w:r>
        <w:rPr>
          <w:rFonts w:ascii="Arial" w:cs="Arial" w:hAnsi="Arial"/>
          <w:noProof/>
          <w:webHidden/>
          <w:sz w:val="24"/>
          <w:szCs w:val="24"/>
        </w:rPr>
        <w:fldChar w:fldCharType="end"/>
      </w:r>
      <w:r>
        <w:rPr/>
        <w:fldChar w:fldCharType="end"/>
      </w:r>
    </w:p>
    <w:p w14:paraId="63619110">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"_Toc235017012" </w:instrText>
      </w:r>
      <w:r>
        <w:rPr/>
        <w:fldChar w:fldCharType="separate"/>
      </w:r>
      <w:r>
        <w:rPr>
          <w:rStyle w:val="style85"/>
          <w:rFonts w:ascii="Arial" w:cs="Arial" w:hAnsi="Arial"/>
          <w:noProof/>
          <w:sz w:val="24"/>
          <w:szCs w:val="24"/>
          <w:lang w:val="en-GB" w:eastAsia="en-GB"/>
        </w:rPr>
        <w:t>1.2 Research Problem</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_Toc235017012 \h </w:instrText>
      </w:r>
      <w:r>
        <w:rPr>
          <w:rFonts w:ascii="Arial" w:cs="Arial" w:hAnsi="Arial"/>
          <w:noProof/>
          <w:webHidden/>
          <w:sz w:val="24"/>
          <w:szCs w:val="24"/>
        </w:rPr>
        <w:fldChar w:fldCharType="separate"/>
      </w:r>
      <w:r>
        <w:rPr>
          <w:rFonts w:ascii="Arial" w:cs="Arial" w:hAnsi="Arial"/>
          <w:noProof/>
          <w:webHidden/>
          <w:sz w:val="24"/>
          <w:szCs w:val="24"/>
        </w:rPr>
        <w:t>1</w:t>
      </w:r>
      <w:r>
        <w:rPr>
          <w:rFonts w:ascii="Arial" w:cs="Arial" w:hAnsi="Arial"/>
          <w:noProof/>
          <w:webHidden/>
          <w:sz w:val="24"/>
          <w:szCs w:val="24"/>
        </w:rPr>
        <w:fldChar w:fldCharType="end"/>
      </w:r>
      <w:r>
        <w:rPr/>
        <w:fldChar w:fldCharType="end"/>
      </w:r>
    </w:p>
    <w:p w14:paraId="3106F292">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"_Toc235017013" </w:instrText>
      </w:r>
      <w:r>
        <w:rPr/>
        <w:fldChar w:fldCharType="separate"/>
      </w:r>
      <w:r>
        <w:rPr>
          <w:rStyle w:val="style85"/>
          <w:rFonts w:ascii="Arial" w:cs="Arial" w:hAnsi="Arial"/>
          <w:noProof/>
          <w:sz w:val="24"/>
          <w:szCs w:val="24"/>
          <w:lang w:val="en-GB" w:eastAsia="en-GB"/>
        </w:rPr>
        <w:t>1.3 Research Rationale</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_Toc235017013 \h </w:instrText>
      </w:r>
      <w:r>
        <w:rPr>
          <w:rFonts w:ascii="Arial" w:cs="Arial" w:hAnsi="Arial"/>
          <w:noProof/>
          <w:webHidden/>
          <w:sz w:val="24"/>
          <w:szCs w:val="24"/>
        </w:rPr>
        <w:fldChar w:fldCharType="separate"/>
      </w:r>
      <w:r>
        <w:rPr>
          <w:rFonts w:ascii="Arial" w:cs="Arial" w:hAnsi="Arial"/>
          <w:noProof/>
          <w:webHidden/>
          <w:sz w:val="24"/>
          <w:szCs w:val="24"/>
        </w:rPr>
        <w:t>1</w:t>
      </w:r>
      <w:r>
        <w:rPr>
          <w:rFonts w:ascii="Arial" w:cs="Arial" w:hAnsi="Arial"/>
          <w:noProof/>
          <w:webHidden/>
          <w:sz w:val="24"/>
          <w:szCs w:val="24"/>
        </w:rPr>
        <w:fldChar w:fldCharType="end"/>
      </w:r>
      <w:r>
        <w:rPr/>
        <w:fldChar w:fldCharType="end"/>
      </w:r>
    </w:p>
    <w:p w14:paraId="7294AA1F">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"_Toc235017014" </w:instrText>
      </w:r>
      <w:r>
        <w:rPr/>
        <w:fldChar w:fldCharType="separate"/>
      </w:r>
      <w:r>
        <w:rPr>
          <w:rStyle w:val="style85"/>
          <w:rFonts w:ascii="Arial" w:cs="Arial" w:hAnsi="Arial"/>
          <w:noProof/>
          <w:sz w:val="24"/>
          <w:szCs w:val="24"/>
          <w:lang w:val="en-GB" w:eastAsia="en-GB"/>
        </w:rPr>
        <w:t>1.4 Research Aim</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_Toc235017014 \h </w:instrText>
      </w:r>
      <w:r>
        <w:rPr>
          <w:rFonts w:ascii="Arial" w:cs="Arial" w:hAnsi="Arial"/>
          <w:noProof/>
          <w:webHidden/>
          <w:sz w:val="24"/>
          <w:szCs w:val="24"/>
        </w:rPr>
        <w:fldChar w:fldCharType="separate"/>
      </w:r>
      <w:r>
        <w:rPr>
          <w:rFonts w:ascii="Arial" w:cs="Arial" w:hAnsi="Arial"/>
          <w:noProof/>
          <w:webHidden/>
          <w:sz w:val="24"/>
          <w:szCs w:val="24"/>
        </w:rPr>
        <w:t>2</w:t>
      </w:r>
      <w:r>
        <w:rPr>
          <w:rFonts w:ascii="Arial" w:cs="Arial" w:hAnsi="Arial"/>
          <w:noProof/>
          <w:webHidden/>
          <w:sz w:val="24"/>
          <w:szCs w:val="24"/>
        </w:rPr>
        <w:fldChar w:fldCharType="end"/>
      </w:r>
      <w:r>
        <w:rPr/>
        <w:fldChar w:fldCharType="end"/>
      </w:r>
    </w:p>
    <w:p w14:paraId="4C4F545B">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"_Toc235017015" </w:instrText>
      </w:r>
      <w:r>
        <w:rPr/>
        <w:fldChar w:fldCharType="separate"/>
      </w:r>
      <w:r>
        <w:rPr>
          <w:rStyle w:val="style85"/>
          <w:rFonts w:ascii="Arial" w:cs="Arial" w:hAnsi="Arial"/>
          <w:noProof/>
          <w:sz w:val="24"/>
          <w:szCs w:val="24"/>
          <w:lang w:val="en-GB" w:eastAsia="en-GB"/>
        </w:rPr>
        <w:t>1.5 Research Objectives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_Toc235017015 \h </w:instrText>
      </w:r>
      <w:r>
        <w:rPr>
          <w:rFonts w:ascii="Arial" w:cs="Arial" w:hAnsi="Arial"/>
          <w:noProof/>
          <w:webHidden/>
          <w:sz w:val="24"/>
          <w:szCs w:val="24"/>
        </w:rPr>
        <w:fldChar w:fldCharType="separate"/>
      </w:r>
      <w:r>
        <w:rPr>
          <w:rFonts w:ascii="Arial" w:cs="Arial" w:hAnsi="Arial"/>
          <w:noProof/>
          <w:webHidden/>
          <w:sz w:val="24"/>
          <w:szCs w:val="24"/>
        </w:rPr>
        <w:t>2</w:t>
      </w:r>
      <w:r>
        <w:rPr>
          <w:rFonts w:ascii="Arial" w:cs="Arial" w:hAnsi="Arial"/>
          <w:noProof/>
          <w:webHidden/>
          <w:sz w:val="24"/>
          <w:szCs w:val="24"/>
        </w:rPr>
        <w:fldChar w:fldCharType="end"/>
      </w:r>
      <w:r>
        <w:rPr/>
        <w:fldChar w:fldCharType="end"/>
      </w:r>
    </w:p>
    <w:p w14:paraId="1A6412E2">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"_Toc235017016" </w:instrText>
      </w:r>
      <w:r>
        <w:rPr/>
        <w:fldChar w:fldCharType="separate"/>
      </w:r>
      <w:r>
        <w:rPr>
          <w:rStyle w:val="style85"/>
          <w:rFonts w:ascii="Arial" w:cs="Arial" w:hAnsi="Arial"/>
          <w:noProof/>
          <w:sz w:val="24"/>
          <w:szCs w:val="24"/>
          <w:lang w:val="en-GB" w:eastAsia="en-GB"/>
        </w:rPr>
        <w:t>1.6 Research Questions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_Toc235017016 \h </w:instrText>
      </w:r>
      <w:r>
        <w:rPr>
          <w:rFonts w:ascii="Arial" w:cs="Arial" w:hAnsi="Arial"/>
          <w:noProof/>
          <w:webHidden/>
          <w:sz w:val="24"/>
          <w:szCs w:val="24"/>
        </w:rPr>
        <w:fldChar w:fldCharType="separate"/>
      </w:r>
      <w:r>
        <w:rPr>
          <w:rFonts w:ascii="Arial" w:cs="Arial" w:hAnsi="Arial"/>
          <w:noProof/>
          <w:webHidden/>
          <w:sz w:val="24"/>
          <w:szCs w:val="24"/>
        </w:rPr>
        <w:t>2</w:t>
      </w:r>
      <w:r>
        <w:rPr>
          <w:rFonts w:ascii="Arial" w:cs="Arial" w:hAnsi="Arial"/>
          <w:noProof/>
          <w:webHidden/>
          <w:sz w:val="24"/>
          <w:szCs w:val="24"/>
        </w:rPr>
        <w:fldChar w:fldCharType="end"/>
      </w:r>
      <w:r>
        <w:rPr/>
        <w:fldChar w:fldCharType="end"/>
      </w:r>
    </w:p>
    <w:p w14:paraId="0C352A31">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"_Toc235017017" </w:instrText>
      </w:r>
      <w:r>
        <w:rPr/>
        <w:fldChar w:fldCharType="separate"/>
      </w:r>
      <w:r>
        <w:rPr>
          <w:rStyle w:val="style85"/>
          <w:rFonts w:ascii="Arial" w:cs="Arial" w:hAnsi="Arial"/>
          <w:noProof/>
          <w:sz w:val="24"/>
          <w:szCs w:val="24"/>
          <w:lang w:val="en-GB" w:eastAsia="en-GB"/>
        </w:rPr>
        <w:t>1.7 Significance of the Study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_Toc235017017 \h </w:instrText>
      </w:r>
      <w:r>
        <w:rPr>
          <w:rFonts w:ascii="Arial" w:cs="Arial" w:hAnsi="Arial"/>
          <w:noProof/>
          <w:webHidden/>
          <w:sz w:val="24"/>
          <w:szCs w:val="24"/>
        </w:rPr>
        <w:fldChar w:fldCharType="separate"/>
      </w:r>
      <w:r>
        <w:rPr>
          <w:rFonts w:ascii="Arial" w:cs="Arial" w:hAnsi="Arial"/>
          <w:noProof/>
          <w:webHidden/>
          <w:sz w:val="24"/>
          <w:szCs w:val="24"/>
        </w:rPr>
        <w:t>2</w:t>
      </w:r>
      <w:r>
        <w:rPr>
          <w:rFonts w:ascii="Arial" w:cs="Arial" w:hAnsi="Arial"/>
          <w:noProof/>
          <w:webHidden/>
          <w:sz w:val="24"/>
          <w:szCs w:val="24"/>
        </w:rPr>
        <w:fldChar w:fldCharType="end"/>
      </w:r>
      <w:r>
        <w:rPr/>
        <w:fldChar w:fldCharType="end"/>
      </w:r>
    </w:p>
    <w:p w14:paraId="6EA05537">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"_Toc235017018" </w:instrText>
      </w:r>
      <w:r>
        <w:rPr/>
        <w:fldChar w:fldCharType="separate"/>
      </w:r>
      <w:r>
        <w:rPr>
          <w:rStyle w:val="style85"/>
          <w:rFonts w:ascii="Arial" w:cs="Arial" w:hAnsi="Arial"/>
          <w:noProof/>
          <w:sz w:val="24"/>
          <w:szCs w:val="24"/>
          <w:lang w:val="en-GB" w:eastAsia="en-GB"/>
        </w:rPr>
        <w:t>1.8 Structure of the Dissertation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_Toc235017018 \h </w:instrText>
      </w:r>
      <w:r>
        <w:rPr>
          <w:rFonts w:ascii="Arial" w:cs="Arial" w:hAnsi="Arial"/>
          <w:noProof/>
          <w:webHidden/>
          <w:sz w:val="24"/>
          <w:szCs w:val="24"/>
        </w:rPr>
        <w:fldChar w:fldCharType="separate"/>
      </w:r>
      <w:r>
        <w:rPr>
          <w:rFonts w:ascii="Arial" w:cs="Arial" w:hAnsi="Arial"/>
          <w:noProof/>
          <w:webHidden/>
          <w:sz w:val="24"/>
          <w:szCs w:val="24"/>
        </w:rPr>
        <w:t>2</w:t>
      </w:r>
      <w:r>
        <w:rPr>
          <w:rFonts w:ascii="Arial" w:cs="Arial" w:hAnsi="Arial"/>
          <w:noProof/>
          <w:webHidden/>
          <w:sz w:val="24"/>
          <w:szCs w:val="24"/>
        </w:rPr>
        <w:fldChar w:fldCharType="end"/>
      </w:r>
      <w:r>
        <w:rPr/>
        <w:fldChar w:fldCharType="end"/>
      </w:r>
    </w:p>
    <w:p w14:paraId="17F220C2">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"_Toc235017019" </w:instrText>
      </w:r>
      <w:r>
        <w:rPr/>
        <w:fldChar w:fldCharType="separate"/>
      </w:r>
      <w:r>
        <w:rPr>
          <w:rStyle w:val="style85"/>
          <w:rFonts w:ascii="Arial" w:cs="Arial" w:hAnsi="Arial"/>
          <w:noProof/>
          <w:sz w:val="24"/>
          <w:szCs w:val="24"/>
          <w:lang w:val="en-GB" w:eastAsia="en-GB"/>
        </w:rPr>
        <w:t>2. Literature Review</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_Toc235017019 \h </w:instrText>
      </w:r>
      <w:r>
        <w:rPr>
          <w:rFonts w:ascii="Arial" w:cs="Arial" w:hAnsi="Arial"/>
          <w:noProof/>
          <w:webHidden/>
          <w:sz w:val="24"/>
          <w:szCs w:val="24"/>
        </w:rPr>
        <w:fldChar w:fldCharType="separate"/>
      </w:r>
      <w:r>
        <w:rPr>
          <w:rFonts w:ascii="Arial" w:cs="Arial" w:hAnsi="Arial"/>
          <w:noProof/>
          <w:webHidden/>
          <w:sz w:val="24"/>
          <w:szCs w:val="24"/>
        </w:rPr>
        <w:t>3</w:t>
      </w:r>
      <w:r>
        <w:rPr>
          <w:rFonts w:ascii="Arial" w:cs="Arial" w:hAnsi="Arial"/>
          <w:noProof/>
          <w:webHidden/>
          <w:sz w:val="24"/>
          <w:szCs w:val="24"/>
        </w:rPr>
        <w:fldChar w:fldCharType="end"/>
      </w:r>
      <w:r>
        <w:rPr/>
        <w:fldChar w:fldCharType="end"/>
      </w:r>
    </w:p>
    <w:p w14:paraId="3EDF7D08">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"_Toc235017020" </w:instrText>
      </w:r>
      <w:r>
        <w:rPr/>
        <w:fldChar w:fldCharType="separate"/>
      </w:r>
      <w:r>
        <w:rPr>
          <w:rStyle w:val="style85"/>
          <w:rFonts w:ascii="Arial" w:cs="Arial" w:hAnsi="Arial"/>
          <w:noProof/>
          <w:sz w:val="24"/>
          <w:szCs w:val="24"/>
          <w:lang w:val="en-GB" w:eastAsia="en-GB"/>
        </w:rPr>
        <w:t>2.1 Introduction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_Toc235017020 \h </w:instrText>
      </w:r>
      <w:r>
        <w:rPr>
          <w:rFonts w:ascii="Arial" w:cs="Arial" w:hAnsi="Arial"/>
          <w:noProof/>
          <w:webHidden/>
          <w:sz w:val="24"/>
          <w:szCs w:val="24"/>
        </w:rPr>
        <w:fldChar w:fldCharType="separate"/>
      </w:r>
      <w:r>
        <w:rPr>
          <w:rFonts w:ascii="Arial" w:cs="Arial" w:hAnsi="Arial"/>
          <w:noProof/>
          <w:webHidden/>
          <w:sz w:val="24"/>
          <w:szCs w:val="24"/>
        </w:rPr>
        <w:t>3</w:t>
      </w:r>
      <w:r>
        <w:rPr>
          <w:rFonts w:ascii="Arial" w:cs="Arial" w:hAnsi="Arial"/>
          <w:noProof/>
          <w:webHidden/>
          <w:sz w:val="24"/>
          <w:szCs w:val="24"/>
        </w:rPr>
        <w:fldChar w:fldCharType="end"/>
      </w:r>
      <w:r>
        <w:rPr/>
        <w:fldChar w:fldCharType="end"/>
      </w:r>
    </w:p>
    <w:p w14:paraId="1ECC6B7C">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"_Toc235017021" </w:instrText>
      </w:r>
      <w:r>
        <w:rPr/>
        <w:fldChar w:fldCharType="separate"/>
      </w:r>
      <w:r>
        <w:rPr>
          <w:rStyle w:val="style85"/>
          <w:rFonts w:ascii="Arial" w:cs="Arial" w:hAnsi="Arial"/>
          <w:noProof/>
          <w:sz w:val="24"/>
          <w:szCs w:val="24"/>
          <w:lang w:val="en-GB" w:eastAsia="en-GB"/>
        </w:rPr>
        <w:t>2.2 Human Capital Management</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_Toc235017021 \h </w:instrText>
      </w:r>
      <w:r>
        <w:rPr>
          <w:rFonts w:ascii="Arial" w:cs="Arial" w:hAnsi="Arial"/>
          <w:noProof/>
          <w:webHidden/>
          <w:sz w:val="24"/>
          <w:szCs w:val="24"/>
        </w:rPr>
        <w:fldChar w:fldCharType="separate"/>
      </w:r>
      <w:r>
        <w:rPr>
          <w:rFonts w:ascii="Arial" w:cs="Arial" w:hAnsi="Arial"/>
          <w:noProof/>
          <w:webHidden/>
          <w:sz w:val="24"/>
          <w:szCs w:val="24"/>
        </w:rPr>
        <w:t>3</w:t>
      </w:r>
      <w:r>
        <w:rPr>
          <w:rFonts w:ascii="Arial" w:cs="Arial" w:hAnsi="Arial"/>
          <w:noProof/>
          <w:webHidden/>
          <w:sz w:val="24"/>
          <w:szCs w:val="24"/>
        </w:rPr>
        <w:fldChar w:fldCharType="end"/>
      </w:r>
      <w:r>
        <w:rPr/>
        <w:fldChar w:fldCharType="end"/>
      </w:r>
    </w:p>
    <w:p w14:paraId="234423C7">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"_Toc235017022" </w:instrText>
      </w:r>
      <w:r>
        <w:rPr/>
        <w:fldChar w:fldCharType="separate"/>
      </w:r>
      <w:r>
        <w:rPr>
          <w:rStyle w:val="style85"/>
          <w:rFonts w:ascii="Arial" w:cs="Arial" w:hAnsi="Arial"/>
          <w:noProof/>
          <w:sz w:val="24"/>
          <w:szCs w:val="24"/>
          <w:lang w:val="en-GB" w:eastAsia="en-GB"/>
        </w:rPr>
        <w:t>2.3 Customer Service Quality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_Toc235017022 \h </w:instrText>
      </w:r>
      <w:r>
        <w:rPr>
          <w:rFonts w:ascii="Arial" w:cs="Arial" w:hAnsi="Arial"/>
          <w:noProof/>
          <w:webHidden/>
          <w:sz w:val="24"/>
          <w:szCs w:val="24"/>
        </w:rPr>
        <w:fldChar w:fldCharType="separate"/>
      </w:r>
      <w:r>
        <w:rPr>
          <w:rFonts w:ascii="Arial" w:cs="Arial" w:hAnsi="Arial"/>
          <w:noProof/>
          <w:webHidden/>
          <w:sz w:val="24"/>
          <w:szCs w:val="24"/>
        </w:rPr>
        <w:t>3</w:t>
      </w:r>
      <w:r>
        <w:rPr>
          <w:rFonts w:ascii="Arial" w:cs="Arial" w:hAnsi="Arial"/>
          <w:noProof/>
          <w:webHidden/>
          <w:sz w:val="24"/>
          <w:szCs w:val="24"/>
        </w:rPr>
        <w:fldChar w:fldCharType="end"/>
      </w:r>
      <w:r>
        <w:rPr/>
        <w:fldChar w:fldCharType="end"/>
      </w:r>
    </w:p>
    <w:p w14:paraId="081D57D2">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"_Toc235017023" </w:instrText>
      </w:r>
      <w:r>
        <w:rPr/>
        <w:fldChar w:fldCharType="separate"/>
      </w:r>
      <w:r>
        <w:rPr>
          <w:rStyle w:val="style85"/>
          <w:rFonts w:ascii="Arial" w:cs="Arial" w:hAnsi="Arial"/>
          <w:noProof/>
          <w:sz w:val="24"/>
          <w:szCs w:val="24"/>
          <w:lang w:val="en-GB" w:eastAsia="en-GB"/>
        </w:rPr>
        <w:t>2.4 Human Capital Management Practices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_Toc235017023 \h </w:instrText>
      </w:r>
      <w:r>
        <w:rPr>
          <w:rFonts w:ascii="Arial" w:cs="Arial" w:hAnsi="Arial"/>
          <w:noProof/>
          <w:webHidden/>
          <w:sz w:val="24"/>
          <w:szCs w:val="24"/>
        </w:rPr>
        <w:fldChar w:fldCharType="separate"/>
      </w:r>
      <w:r>
        <w:rPr>
          <w:rFonts w:ascii="Arial" w:cs="Arial" w:hAnsi="Arial"/>
          <w:noProof/>
          <w:webHidden/>
          <w:sz w:val="24"/>
          <w:szCs w:val="24"/>
        </w:rPr>
        <w:t>4</w:t>
      </w:r>
      <w:r>
        <w:rPr>
          <w:rFonts w:ascii="Arial" w:cs="Arial" w:hAnsi="Arial"/>
          <w:noProof/>
          <w:webHidden/>
          <w:sz w:val="24"/>
          <w:szCs w:val="24"/>
        </w:rPr>
        <w:fldChar w:fldCharType="end"/>
      </w:r>
      <w:r>
        <w:rPr/>
        <w:fldChar w:fldCharType="end"/>
      </w:r>
    </w:p>
    <w:p w14:paraId="68BED48D">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"_Toc235017024" </w:instrText>
      </w:r>
      <w:r>
        <w:rPr/>
        <w:fldChar w:fldCharType="separate"/>
      </w:r>
      <w:r>
        <w:rPr>
          <w:rStyle w:val="style85"/>
          <w:rFonts w:ascii="Arial" w:cs="Arial" w:hAnsi="Arial"/>
          <w:noProof/>
          <w:sz w:val="24"/>
          <w:szCs w:val="24"/>
          <w:lang w:val="en-GB" w:eastAsia="en-GB"/>
        </w:rPr>
        <w:t>2.5 Relevant Theory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_Toc235017024 \h </w:instrText>
      </w:r>
      <w:r>
        <w:rPr>
          <w:rFonts w:ascii="Arial" w:cs="Arial" w:hAnsi="Arial"/>
          <w:noProof/>
          <w:webHidden/>
          <w:sz w:val="24"/>
          <w:szCs w:val="24"/>
        </w:rPr>
        <w:fldChar w:fldCharType="separate"/>
      </w:r>
      <w:r>
        <w:rPr>
          <w:rFonts w:ascii="Arial" w:cs="Arial" w:hAnsi="Arial"/>
          <w:noProof/>
          <w:webHidden/>
          <w:sz w:val="24"/>
          <w:szCs w:val="24"/>
        </w:rPr>
        <w:t>4</w:t>
      </w:r>
      <w:r>
        <w:rPr>
          <w:rFonts w:ascii="Arial" w:cs="Arial" w:hAnsi="Arial"/>
          <w:noProof/>
          <w:webHidden/>
          <w:sz w:val="24"/>
          <w:szCs w:val="24"/>
        </w:rPr>
        <w:fldChar w:fldCharType="end"/>
      </w:r>
      <w:r>
        <w:rPr/>
        <w:fldChar w:fldCharType="end"/>
      </w:r>
    </w:p>
    <w:p w14:paraId="7BED0713">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"_Toc235017025" </w:instrText>
      </w:r>
      <w:r>
        <w:rPr/>
        <w:fldChar w:fldCharType="separate"/>
      </w:r>
      <w:r>
        <w:rPr>
          <w:rStyle w:val="style85"/>
          <w:rFonts w:ascii="Arial" w:cs="Arial" w:hAnsi="Arial"/>
          <w:noProof/>
          <w:sz w:val="24"/>
          <w:szCs w:val="24"/>
          <w:lang w:val="en-GB" w:eastAsia="en-GB"/>
        </w:rPr>
        <w:t>2.6 Empirical Studied</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_Toc235017025 \h </w:instrText>
      </w:r>
      <w:r>
        <w:rPr>
          <w:rFonts w:ascii="Arial" w:cs="Arial" w:hAnsi="Arial"/>
          <w:noProof/>
          <w:webHidden/>
          <w:sz w:val="24"/>
          <w:szCs w:val="24"/>
        </w:rPr>
        <w:fldChar w:fldCharType="separate"/>
      </w:r>
      <w:r>
        <w:rPr>
          <w:rFonts w:ascii="Arial" w:cs="Arial" w:hAnsi="Arial"/>
          <w:noProof/>
          <w:webHidden/>
          <w:sz w:val="24"/>
          <w:szCs w:val="24"/>
        </w:rPr>
        <w:t>5</w:t>
      </w:r>
      <w:r>
        <w:rPr>
          <w:rFonts w:ascii="Arial" w:cs="Arial" w:hAnsi="Arial"/>
          <w:noProof/>
          <w:webHidden/>
          <w:sz w:val="24"/>
          <w:szCs w:val="24"/>
        </w:rPr>
        <w:fldChar w:fldCharType="end"/>
      </w:r>
      <w:r>
        <w:rPr/>
        <w:fldChar w:fldCharType="end"/>
      </w:r>
    </w:p>
    <w:p w14:paraId="4F356CA5">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"_Toc235017026" </w:instrText>
      </w:r>
      <w:r>
        <w:rPr/>
        <w:fldChar w:fldCharType="separate"/>
      </w:r>
      <w:r>
        <w:rPr>
          <w:rStyle w:val="style85"/>
          <w:rFonts w:ascii="Arial" w:cs="Arial" w:hAnsi="Arial"/>
          <w:noProof/>
          <w:sz w:val="24"/>
          <w:szCs w:val="24"/>
          <w:lang w:val="en-GB" w:eastAsia="en-GB"/>
        </w:rPr>
        <w:t>2.7 Research Gap</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_Toc235017026 \h </w:instrText>
      </w:r>
      <w:r>
        <w:rPr>
          <w:rFonts w:ascii="Arial" w:cs="Arial" w:hAnsi="Arial"/>
          <w:noProof/>
          <w:webHidden/>
          <w:sz w:val="24"/>
          <w:szCs w:val="24"/>
        </w:rPr>
        <w:fldChar w:fldCharType="separate"/>
      </w:r>
      <w:r>
        <w:rPr>
          <w:rFonts w:ascii="Arial" w:cs="Arial" w:hAnsi="Arial"/>
          <w:noProof/>
          <w:webHidden/>
          <w:sz w:val="24"/>
          <w:szCs w:val="24"/>
        </w:rPr>
        <w:t>5</w:t>
      </w:r>
      <w:r>
        <w:rPr>
          <w:rFonts w:ascii="Arial" w:cs="Arial" w:hAnsi="Arial"/>
          <w:noProof/>
          <w:webHidden/>
          <w:sz w:val="24"/>
          <w:szCs w:val="24"/>
        </w:rPr>
        <w:fldChar w:fldCharType="end"/>
      </w:r>
      <w:r>
        <w:rPr/>
        <w:fldChar w:fldCharType="end"/>
      </w:r>
    </w:p>
    <w:p w14:paraId="4F95E2D0">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"_Toc235017027" </w:instrText>
      </w:r>
      <w:r>
        <w:rPr/>
        <w:fldChar w:fldCharType="separate"/>
      </w:r>
      <w:r>
        <w:rPr>
          <w:rStyle w:val="style85"/>
          <w:rFonts w:ascii="Arial" w:cs="Arial" w:hAnsi="Arial"/>
          <w:noProof/>
          <w:sz w:val="24"/>
          <w:szCs w:val="24"/>
          <w:lang w:val="en-GB" w:eastAsia="en-GB"/>
        </w:rPr>
        <w:t>2.8 Conceptual Framework</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_Toc235017027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442B1C7B">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"_Toc235017028" </w:instrText>
      </w:r>
      <w:r>
        <w:rPr/>
        <w:fldChar w:fldCharType="separate"/>
      </w:r>
      <w:r>
        <w:rPr>
          <w:rStyle w:val="style85"/>
          <w:rFonts w:ascii="Arial" w:cs="Arial" w:hAnsi="Arial"/>
          <w:noProof/>
          <w:sz w:val="24"/>
          <w:szCs w:val="24"/>
          <w:lang w:val="en-GB" w:eastAsia="en-GB"/>
        </w:rPr>
        <w:t>3. Methodology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_Toc235017028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44F06922">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"_Toc235017029" </w:instrText>
      </w:r>
      <w:r>
        <w:rPr/>
        <w:fldChar w:fldCharType="separate"/>
      </w:r>
      <w:r>
        <w:rPr>
          <w:rStyle w:val="style85"/>
          <w:rFonts w:ascii="Arial" w:cs="Arial" w:hAnsi="Arial"/>
          <w:noProof/>
          <w:sz w:val="24"/>
          <w:szCs w:val="24"/>
          <w:lang w:val="en-GB" w:eastAsia="en-GB"/>
        </w:rPr>
        <w:t>3.1 Research Philosophy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_Toc235017029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55FE1E02">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"_Toc235017030" </w:instrText>
      </w:r>
      <w:r>
        <w:rPr/>
        <w:fldChar w:fldCharType="separate"/>
      </w:r>
      <w:r>
        <w:rPr>
          <w:rStyle w:val="style85"/>
          <w:rFonts w:ascii="Arial" w:cs="Arial" w:hAnsi="Arial"/>
          <w:noProof/>
          <w:sz w:val="24"/>
          <w:szCs w:val="24"/>
          <w:lang w:val="en-GB" w:eastAsia="en-GB"/>
        </w:rPr>
        <w:t>3.2 Research Approach</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_Toc235017030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10D218B5">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"_Toc235017031" </w:instrText>
      </w:r>
      <w:r>
        <w:rPr/>
        <w:fldChar w:fldCharType="separate"/>
      </w:r>
      <w:r>
        <w:rPr>
          <w:rStyle w:val="style85"/>
          <w:rFonts w:ascii="Arial" w:cs="Arial" w:hAnsi="Arial"/>
          <w:noProof/>
          <w:sz w:val="24"/>
          <w:szCs w:val="24"/>
          <w:lang w:val="en-GB" w:eastAsia="en-GB"/>
        </w:rPr>
        <w:t>3.3 Research Strategy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_Toc235017031 \h </w:instrText>
      </w:r>
      <w:r>
        <w:rPr>
          <w:rFonts w:ascii="Arial" w:cs="Arial" w:hAnsi="Arial"/>
          <w:noProof/>
          <w:webHidden/>
          <w:sz w:val="24"/>
          <w:szCs w:val="24"/>
        </w:rPr>
        <w:fldChar w:fldCharType="separate"/>
      </w:r>
      <w:r>
        <w:rPr>
          <w:rFonts w:ascii="Arial" w:cs="Arial" w:hAnsi="Arial"/>
          <w:noProof/>
          <w:webHidden/>
          <w:sz w:val="24"/>
          <w:szCs w:val="24"/>
        </w:rPr>
        <w:t>6</w:t>
      </w:r>
      <w:r>
        <w:rPr>
          <w:rFonts w:ascii="Arial" w:cs="Arial" w:hAnsi="Arial"/>
          <w:noProof/>
          <w:webHidden/>
          <w:sz w:val="24"/>
          <w:szCs w:val="24"/>
        </w:rPr>
        <w:fldChar w:fldCharType="end"/>
      </w:r>
      <w:r>
        <w:rPr/>
        <w:fldChar w:fldCharType="end"/>
      </w:r>
    </w:p>
    <w:p w14:paraId="670A9365">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"_Toc235017032" </w:instrText>
      </w:r>
      <w:r>
        <w:rPr/>
        <w:fldChar w:fldCharType="separate"/>
      </w:r>
      <w:r>
        <w:rPr>
          <w:rStyle w:val="style85"/>
          <w:rFonts w:ascii="Arial" w:cs="Arial" w:hAnsi="Arial"/>
          <w:noProof/>
          <w:sz w:val="24"/>
          <w:szCs w:val="24"/>
          <w:lang w:val="en-GB" w:eastAsia="en-GB"/>
        </w:rPr>
        <w:t>3.4 Research Design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_Toc235017032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1BC57A03">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"_Toc235017033" </w:instrText>
      </w:r>
      <w:r>
        <w:rPr/>
        <w:fldChar w:fldCharType="separate"/>
      </w:r>
      <w:r>
        <w:rPr>
          <w:rStyle w:val="style85"/>
          <w:rFonts w:ascii="Arial" w:cs="Arial" w:hAnsi="Arial"/>
          <w:noProof/>
          <w:sz w:val="24"/>
          <w:szCs w:val="24"/>
          <w:lang w:val="en-GB" w:eastAsia="en-GB"/>
        </w:rPr>
        <w:t>3.5 Secondary Research Method</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_Toc235017033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01E68349">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"_Toc235017034" </w:instrText>
      </w:r>
      <w:r>
        <w:rPr/>
        <w:fldChar w:fldCharType="separate"/>
      </w:r>
      <w:r>
        <w:rPr>
          <w:rStyle w:val="style85"/>
          <w:rFonts w:ascii="Arial" w:cs="Arial" w:hAnsi="Arial"/>
          <w:noProof/>
          <w:sz w:val="24"/>
          <w:szCs w:val="24"/>
          <w:lang w:val="en-GB" w:eastAsia="en-GB"/>
        </w:rPr>
        <w:t>3.6 Data Sources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_Toc235017034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034731DC">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"_Toc235017035" </w:instrText>
      </w:r>
      <w:r>
        <w:rPr/>
        <w:fldChar w:fldCharType="separate"/>
      </w:r>
      <w:r>
        <w:rPr>
          <w:rStyle w:val="style85"/>
          <w:rFonts w:ascii="Arial" w:cs="Arial" w:hAnsi="Arial"/>
          <w:noProof/>
          <w:sz w:val="24"/>
          <w:szCs w:val="24"/>
          <w:lang w:val="en-GB" w:eastAsia="en-GB"/>
        </w:rPr>
        <w:t>3.7 Data Collection Procedure</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_Toc235017035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5D506A16">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"_Toc235017036" </w:instrText>
      </w:r>
      <w:r>
        <w:rPr/>
        <w:fldChar w:fldCharType="separate"/>
      </w:r>
      <w:r>
        <w:rPr>
          <w:rStyle w:val="style85"/>
          <w:rFonts w:ascii="Arial" w:cs="Arial" w:hAnsi="Arial"/>
          <w:noProof/>
          <w:sz w:val="24"/>
          <w:szCs w:val="24"/>
          <w:lang w:val="en-GB" w:eastAsia="en-GB"/>
        </w:rPr>
        <w:t>3.8 Data Analysis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_Toc235017036 \h </w:instrText>
      </w:r>
      <w:r>
        <w:rPr>
          <w:rFonts w:ascii="Arial" w:cs="Arial" w:hAnsi="Arial"/>
          <w:noProof/>
          <w:webHidden/>
          <w:sz w:val="24"/>
          <w:szCs w:val="24"/>
        </w:rPr>
        <w:fldChar w:fldCharType="separate"/>
      </w:r>
      <w:r>
        <w:rPr>
          <w:rFonts w:ascii="Arial" w:cs="Arial" w:hAnsi="Arial"/>
          <w:noProof/>
          <w:webHidden/>
          <w:sz w:val="24"/>
          <w:szCs w:val="24"/>
        </w:rPr>
        <w:t>7</w:t>
      </w:r>
      <w:r>
        <w:rPr>
          <w:rFonts w:ascii="Arial" w:cs="Arial" w:hAnsi="Arial"/>
          <w:noProof/>
          <w:webHidden/>
          <w:sz w:val="24"/>
          <w:szCs w:val="24"/>
        </w:rPr>
        <w:fldChar w:fldCharType="end"/>
      </w:r>
      <w:r>
        <w:rPr/>
        <w:fldChar w:fldCharType="end"/>
      </w:r>
    </w:p>
    <w:p w14:paraId="7102C26C">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"_Toc235017037" </w:instrText>
      </w:r>
      <w:r>
        <w:rPr/>
        <w:fldChar w:fldCharType="separate"/>
      </w:r>
      <w:r>
        <w:rPr>
          <w:rStyle w:val="style85"/>
          <w:rFonts w:ascii="Arial" w:cs="Arial" w:hAnsi="Arial"/>
          <w:noProof/>
          <w:sz w:val="24"/>
          <w:szCs w:val="24"/>
          <w:lang w:val="en-GB" w:eastAsia="en-GB"/>
        </w:rPr>
        <w:t>3.9 Ethical Considerations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_Toc235017037 \h </w:instrText>
      </w:r>
      <w:r>
        <w:rPr>
          <w:rFonts w:ascii="Arial" w:cs="Arial" w:hAnsi="Arial"/>
          <w:noProof/>
          <w:webHidden/>
          <w:sz w:val="24"/>
          <w:szCs w:val="24"/>
        </w:rPr>
        <w:fldChar w:fldCharType="separate"/>
      </w:r>
      <w:r>
        <w:rPr>
          <w:rFonts w:ascii="Arial" w:cs="Arial" w:hAnsi="Arial"/>
          <w:noProof/>
          <w:webHidden/>
          <w:sz w:val="24"/>
          <w:szCs w:val="24"/>
        </w:rPr>
        <w:t>8</w:t>
      </w:r>
      <w:r>
        <w:rPr>
          <w:rFonts w:ascii="Arial" w:cs="Arial" w:hAnsi="Arial"/>
          <w:noProof/>
          <w:webHidden/>
          <w:sz w:val="24"/>
          <w:szCs w:val="24"/>
        </w:rPr>
        <w:fldChar w:fldCharType="end"/>
      </w:r>
      <w:r>
        <w:rPr/>
        <w:fldChar w:fldCharType="end"/>
      </w:r>
    </w:p>
    <w:p w14:paraId="11E9AC23">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"_Toc235017038" </w:instrText>
      </w:r>
      <w:r>
        <w:rPr/>
        <w:fldChar w:fldCharType="separate"/>
      </w:r>
      <w:r>
        <w:rPr>
          <w:rStyle w:val="style85"/>
          <w:rFonts w:ascii="Arial" w:cs="Arial" w:hAnsi="Arial"/>
          <w:noProof/>
          <w:sz w:val="24"/>
          <w:szCs w:val="24"/>
          <w:lang w:val="en-GB" w:eastAsia="en-GB"/>
        </w:rPr>
        <w:t>3.10 Reliability and Validity</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_Toc235017038 \h </w:instrText>
      </w:r>
      <w:r>
        <w:rPr>
          <w:rFonts w:ascii="Arial" w:cs="Arial" w:hAnsi="Arial"/>
          <w:noProof/>
          <w:webHidden/>
          <w:sz w:val="24"/>
          <w:szCs w:val="24"/>
        </w:rPr>
        <w:fldChar w:fldCharType="separate"/>
      </w:r>
      <w:r>
        <w:rPr>
          <w:rFonts w:ascii="Arial" w:cs="Arial" w:hAnsi="Arial"/>
          <w:noProof/>
          <w:webHidden/>
          <w:sz w:val="24"/>
          <w:szCs w:val="24"/>
        </w:rPr>
        <w:t>8</w:t>
      </w:r>
      <w:r>
        <w:rPr>
          <w:rFonts w:ascii="Arial" w:cs="Arial" w:hAnsi="Arial"/>
          <w:noProof/>
          <w:webHidden/>
          <w:sz w:val="24"/>
          <w:szCs w:val="24"/>
        </w:rPr>
        <w:fldChar w:fldCharType="end"/>
      </w:r>
      <w:r>
        <w:rPr/>
        <w:fldChar w:fldCharType="end"/>
      </w:r>
    </w:p>
    <w:p w14:paraId="4C7D7AC7">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"_Toc235017039" </w:instrText>
      </w:r>
      <w:r>
        <w:rPr/>
        <w:fldChar w:fldCharType="separate"/>
      </w:r>
      <w:r>
        <w:rPr>
          <w:rStyle w:val="style85"/>
          <w:rFonts w:ascii="Arial" w:cs="Arial" w:hAnsi="Arial"/>
          <w:noProof/>
          <w:sz w:val="24"/>
          <w:szCs w:val="24"/>
          <w:lang w:val="en-GB" w:eastAsia="en-GB"/>
        </w:rPr>
        <w:t>4. Expected Findings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_Toc235017039 \h </w:instrText>
      </w:r>
      <w:r>
        <w:rPr>
          <w:rFonts w:ascii="Arial" w:cs="Arial" w:hAnsi="Arial"/>
          <w:noProof/>
          <w:webHidden/>
          <w:sz w:val="24"/>
          <w:szCs w:val="24"/>
        </w:rPr>
        <w:fldChar w:fldCharType="separate"/>
      </w:r>
      <w:r>
        <w:rPr>
          <w:rFonts w:ascii="Arial" w:cs="Arial" w:hAnsi="Arial"/>
          <w:noProof/>
          <w:webHidden/>
          <w:sz w:val="24"/>
          <w:szCs w:val="24"/>
        </w:rPr>
        <w:t>8</w:t>
      </w:r>
      <w:r>
        <w:rPr>
          <w:rFonts w:ascii="Arial" w:cs="Arial" w:hAnsi="Arial"/>
          <w:noProof/>
          <w:webHidden/>
          <w:sz w:val="24"/>
          <w:szCs w:val="24"/>
        </w:rPr>
        <w:fldChar w:fldCharType="end"/>
      </w:r>
      <w:r>
        <w:rPr/>
        <w:fldChar w:fldCharType="end"/>
      </w:r>
    </w:p>
    <w:p w14:paraId="04DC09C0">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"_Toc235017040" </w:instrText>
      </w:r>
      <w:r>
        <w:rPr/>
        <w:fldChar w:fldCharType="separate"/>
      </w:r>
      <w:r>
        <w:rPr>
          <w:rStyle w:val="style85"/>
          <w:rFonts w:ascii="Arial" w:cs="Arial" w:hAnsi="Arial"/>
          <w:noProof/>
          <w:sz w:val="24"/>
          <w:szCs w:val="24"/>
          <w:lang w:val="en-GB" w:eastAsia="en-GB"/>
        </w:rPr>
        <w:t>5. Limitations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_Toc235017040 \h </w:instrText>
      </w:r>
      <w:r>
        <w:rPr>
          <w:rFonts w:ascii="Arial" w:cs="Arial" w:hAnsi="Arial"/>
          <w:noProof/>
          <w:webHidden/>
          <w:sz w:val="24"/>
          <w:szCs w:val="24"/>
        </w:rPr>
        <w:fldChar w:fldCharType="separate"/>
      </w:r>
      <w:r>
        <w:rPr>
          <w:rFonts w:ascii="Arial" w:cs="Arial" w:hAnsi="Arial"/>
          <w:noProof/>
          <w:webHidden/>
          <w:sz w:val="24"/>
          <w:szCs w:val="24"/>
        </w:rPr>
        <w:t>9</w:t>
      </w:r>
      <w:r>
        <w:rPr>
          <w:rFonts w:ascii="Arial" w:cs="Arial" w:hAnsi="Arial"/>
          <w:noProof/>
          <w:webHidden/>
          <w:sz w:val="24"/>
          <w:szCs w:val="24"/>
        </w:rPr>
        <w:fldChar w:fldCharType="end"/>
      </w:r>
      <w:r>
        <w:rPr/>
        <w:fldChar w:fldCharType="end"/>
      </w:r>
    </w:p>
    <w:p w14:paraId="086EBBFB">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"_Toc235017041" </w:instrText>
      </w:r>
      <w:r>
        <w:rPr/>
        <w:fldChar w:fldCharType="separate"/>
      </w:r>
      <w:r>
        <w:rPr>
          <w:rStyle w:val="style85"/>
          <w:rFonts w:ascii="Arial" w:cs="Arial" w:hAnsi="Arial"/>
          <w:noProof/>
          <w:sz w:val="24"/>
          <w:szCs w:val="24"/>
          <w:lang w:val="en-GB" w:eastAsia="en-GB"/>
        </w:rPr>
        <w:t>6. Timeframe</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_Toc235017041 \h </w:instrText>
      </w:r>
      <w:r>
        <w:rPr>
          <w:rFonts w:ascii="Arial" w:cs="Arial" w:hAnsi="Arial"/>
          <w:noProof/>
          <w:webHidden/>
          <w:sz w:val="24"/>
          <w:szCs w:val="24"/>
        </w:rPr>
        <w:fldChar w:fldCharType="separate"/>
      </w:r>
      <w:r>
        <w:rPr>
          <w:rFonts w:ascii="Arial" w:cs="Arial" w:hAnsi="Arial"/>
          <w:noProof/>
          <w:webHidden/>
          <w:sz w:val="24"/>
          <w:szCs w:val="24"/>
        </w:rPr>
        <w:t>9</w:t>
      </w:r>
      <w:r>
        <w:rPr>
          <w:rFonts w:ascii="Arial" w:cs="Arial" w:hAnsi="Arial"/>
          <w:noProof/>
          <w:webHidden/>
          <w:sz w:val="24"/>
          <w:szCs w:val="24"/>
        </w:rPr>
        <w:fldChar w:fldCharType="end"/>
      </w:r>
      <w:r>
        <w:rPr/>
        <w:fldChar w:fldCharType="end"/>
      </w:r>
    </w:p>
    <w:p w14:paraId="1B2E4CA0">
      <w:pPr>
        <w:pStyle w:val="style19"/>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"_Toc235017042" </w:instrText>
      </w:r>
      <w:r>
        <w:rPr/>
        <w:fldChar w:fldCharType="separate"/>
      </w:r>
      <w:r>
        <w:rPr>
          <w:rStyle w:val="style85"/>
          <w:rFonts w:ascii="Arial" w:cs="Arial" w:hAnsi="Arial"/>
          <w:noProof/>
          <w:sz w:val="24"/>
          <w:szCs w:val="24"/>
          <w:lang w:val="en-GB" w:eastAsia="en-GB"/>
        </w:rPr>
        <w:t>7. Conclusion</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_Toc235017042 \h </w:instrText>
      </w:r>
      <w:r>
        <w:rPr>
          <w:rFonts w:ascii="Arial" w:cs="Arial" w:hAnsi="Arial"/>
          <w:noProof/>
          <w:webHidden/>
          <w:sz w:val="24"/>
          <w:szCs w:val="24"/>
        </w:rPr>
        <w:fldChar w:fldCharType="separate"/>
      </w:r>
      <w:r>
        <w:rPr>
          <w:rFonts w:ascii="Arial" w:cs="Arial" w:hAnsi="Arial"/>
          <w:noProof/>
          <w:webHidden/>
          <w:sz w:val="24"/>
          <w:szCs w:val="24"/>
        </w:rPr>
        <w:t>10</w:t>
      </w:r>
      <w:r>
        <w:rPr>
          <w:rFonts w:ascii="Arial" w:cs="Arial" w:hAnsi="Arial"/>
          <w:noProof/>
          <w:webHidden/>
          <w:sz w:val="24"/>
          <w:szCs w:val="24"/>
        </w:rPr>
        <w:fldChar w:fldCharType="end"/>
      </w:r>
      <w:r>
        <w:rPr/>
        <w:fldChar w:fldCharType="end"/>
      </w:r>
    </w:p>
    <w:p w14:paraId="5A3E51B1">
      <w:pPr>
        <w:pStyle w:val="style20"/>
        <w:tabs>
          <w:tab w:val="right" w:leader="dot" w:pos="9016"/>
        </w:tabs>
        <w:jc w:val="both"/>
        <w:rPr>
          <w:rFonts w:ascii="Arial" w:cs="Arial" w:eastAsia="宋体" w:hAnsi="Arial"/>
          <w:noProof/>
          <w:sz w:val="24"/>
          <w:szCs w:val="24"/>
          <w:lang w:val="en-GB" w:eastAsia="en-GB"/>
        </w:rPr>
      </w:pPr>
      <w:r>
        <w:rPr/>
        <w:fldChar w:fldCharType="begin"/>
      </w:r>
      <w:r>
        <w:instrText xml:space="preserve"> HYPERLINK \l "_Toc235017043" </w:instrText>
      </w:r>
      <w:r>
        <w:rPr/>
        <w:fldChar w:fldCharType="separate"/>
      </w:r>
      <w:r>
        <w:rPr>
          <w:rStyle w:val="style85"/>
          <w:rFonts w:ascii="Arial" w:cs="Arial" w:eastAsia="Times New Roman" w:hAnsi="Arial"/>
          <w:b/>
          <w:bCs/>
          <w:noProof/>
          <w:sz w:val="24"/>
          <w:szCs w:val="24"/>
          <w:lang w:val="en-GB" w:eastAsia="en-GB"/>
        </w:rPr>
        <w:t>References</w:t>
      </w:r>
      <w:r>
        <w:rPr>
          <w:rFonts w:ascii="Arial" w:cs="Arial" w:hAnsi="Arial"/>
          <w:noProof/>
          <w:webHidden/>
          <w:sz w:val="24"/>
          <w:szCs w:val="24"/>
        </w:rPr>
        <w:tab/>
      </w:r>
      <w:r>
        <w:rPr>
          <w:rFonts w:ascii="Arial" w:cs="Arial" w:hAnsi="Arial"/>
          <w:noProof/>
          <w:webHidden/>
          <w:sz w:val="24"/>
          <w:szCs w:val="24"/>
        </w:rPr>
        <w:fldChar w:fldCharType="begin"/>
      </w:r>
      <w:r>
        <w:rPr>
          <w:rFonts w:ascii="Arial" w:cs="Arial" w:hAnsi="Arial"/>
          <w:noProof/>
          <w:webHidden/>
          <w:sz w:val="24"/>
          <w:szCs w:val="24"/>
        </w:rPr>
        <w:instrText xml:space="preserve"> PAGEREF _Toc235017043 \h </w:instrText>
      </w:r>
      <w:r>
        <w:rPr>
          <w:rFonts w:ascii="Arial" w:cs="Arial" w:hAnsi="Arial"/>
          <w:noProof/>
          <w:webHidden/>
          <w:sz w:val="24"/>
          <w:szCs w:val="24"/>
        </w:rPr>
        <w:fldChar w:fldCharType="separate"/>
      </w:r>
      <w:r>
        <w:rPr>
          <w:rFonts w:ascii="Arial" w:cs="Arial" w:hAnsi="Arial"/>
          <w:noProof/>
          <w:webHidden/>
          <w:sz w:val="24"/>
          <w:szCs w:val="24"/>
        </w:rPr>
        <w:t>11</w:t>
      </w:r>
      <w:r>
        <w:rPr>
          <w:rFonts w:ascii="Arial" w:cs="Arial" w:hAnsi="Arial"/>
          <w:noProof/>
          <w:webHidden/>
          <w:sz w:val="24"/>
          <w:szCs w:val="24"/>
        </w:rPr>
        <w:fldChar w:fldCharType="end"/>
      </w:r>
      <w:r>
        <w:rPr/>
        <w:fldChar w:fldCharType="end"/>
      </w:r>
    </w:p>
    <w:p w14:paraId="68F9D89B">
      <w:pPr>
        <w:pStyle w:val="style0"/>
        <w:spacing w:lineRule="auto" w:line="360"/>
        <w:jc w:val="both"/>
        <w:rPr>
          <w:rFonts w:ascii="Arial" w:cs="Arial" w:hAnsi="Arial"/>
          <w:sz w:val="24"/>
          <w:szCs w:val="24"/>
          <w:lang w:val="en-GB"/>
        </w:rPr>
        <w:sectPr>
          <w:footerReference w:type="default" r:id="rId4"/>
          <w:pgSz w:w="11906" w:h="16838" w:orient="portrait"/>
          <w:pgMar w:top="1440" w:right="1440" w:bottom="1440" w:left="1440" w:header="708" w:footer="708" w:gutter="0"/>
          <w:pgNumType w:fmt="lowerRoman" w:start="1"/>
          <w:cols w:space="708"/>
          <w:docGrid w:linePitch="360"/>
        </w:sectPr>
      </w:pPr>
      <w:r>
        <w:rPr>
          <w:rFonts w:ascii="Arial" w:cs="Arial" w:hAnsi="Arial"/>
          <w:b/>
          <w:bCs/>
          <w:noProof/>
          <w:sz w:val="24"/>
          <w:szCs w:val="24"/>
          <w:lang w:val="en-GB"/>
        </w:rPr>
        <w:fldChar w:fldCharType="end"/>
      </w:r>
    </w:p>
    <w:bookmarkStart w:id="1" w:name="_Toc235017010"/>
    <w:p w14:paraId="58EBD72C">
      <w:pPr>
        <w:pStyle w:val="style1"/>
        <w:rPr>
          <w:lang w:val="en-GB" w:eastAsia="en-GB"/>
        </w:rPr>
      </w:pPr>
      <w:r>
        <w:rPr>
          <w:lang w:val="en-GB" w:eastAsia="en-GB"/>
        </w:rPr>
        <w:t>1. Introduction</w:t>
      </w:r>
      <w:bookmarkEnd w:id="1"/>
    </w:p>
    <w:bookmarkStart w:id="2" w:name="_Toc235017011"/>
    <w:p w14:paraId="6AAA9630">
      <w:pPr>
        <w:pStyle w:val="style2"/>
        <w:rPr>
          <w:lang w:val="en-GB" w:eastAsia="en-GB"/>
        </w:rPr>
      </w:pPr>
      <w:r>
        <w:rPr>
          <w:lang w:val="en-GB" w:eastAsia="en-GB"/>
        </w:rPr>
        <w:t>1.1 Background of the Study</w:t>
      </w:r>
      <w:bookmarkEnd w:id="2"/>
    </w:p>
    <w:p w14:paraId="088399E1">
      <w:pPr>
        <w:pStyle w:val="style0"/>
        <w:spacing w:lineRule="auto" w:line="360"/>
        <w:jc w:val="both"/>
        <w:rPr>
          <w:rFonts w:ascii="Arial" w:cs="Arial" w:hAnsi="Arial"/>
          <w:sz w:val="24"/>
          <w:lang w:val="en-GB" w:eastAsia="en-GB"/>
        </w:rPr>
      </w:pPr>
      <w:r>
        <w:rPr>
          <w:rFonts w:ascii="Arial" w:cs="Arial" w:hAnsi="Arial"/>
          <w:sz w:val="24"/>
          <w:lang w:val="en-GB" w:eastAsia="en-GB"/>
        </w:rPr>
        <w:t xml:space="preserve">In industries such as the service sector, where staff performance can directly impact on customer experiences and organisational objectives, Human Capital Management (HCM) has emerged as a strategic priority for organisations. Recruitment, training and development, performance management, employee engagement and reward systems are examples of practices in HCM that improve the capability of the workforce and the performance of the organisation (CIPD, 2024). In the coffee retail industry, the quality of the customer experience is a crucial competitive advantage, and human capital management plays a pivotal role in ensuring that it is managed effectively. Starbucks UK is known for providing a high-quality customer service experience, with highly trained staff, known as 'partners' and a culture that encourages ongoing learning and </w:t>
      </w:r>
      <w:r>
        <w:rPr>
          <w:rFonts w:ascii="Arial" w:cs="Arial" w:hAnsi="Arial"/>
          <w:sz w:val="24"/>
          <w:lang w:val="en-GB" w:eastAsia="en-GB"/>
        </w:rPr>
        <w:t xml:space="preserve">engagement. </w:t>
      </w:r>
    </w:p>
    <w:bookmarkStart w:id="3" w:name="_Toc235017012"/>
    <w:p w14:paraId="5CA35515">
      <w:pPr>
        <w:pStyle w:val="style2"/>
        <w:rPr>
          <w:lang w:val="en-GB" w:eastAsia="en-GB"/>
        </w:rPr>
      </w:pPr>
      <w:r>
        <w:rPr>
          <w:lang w:val="en-GB" w:eastAsia="en-GB"/>
        </w:rPr>
        <w:t>1.2 Research Problem</w:t>
      </w:r>
      <w:bookmarkEnd w:id="3"/>
    </w:p>
    <w:p w14:paraId="0FA70C29">
      <w:pPr>
        <w:pStyle w:val="style0"/>
        <w:spacing w:lineRule="auto" w:line="360"/>
        <w:jc w:val="both"/>
        <w:rPr>
          <w:rFonts w:ascii="Arial" w:cs="Arial" w:hAnsi="Arial"/>
          <w:sz w:val="24"/>
          <w:lang w:val="en-GB" w:eastAsia="en-GB"/>
        </w:rPr>
      </w:pPr>
      <w:r>
        <w:rPr>
          <w:rFonts w:ascii="Arial" w:cs="Arial" w:hAnsi="Arial"/>
          <w:sz w:val="24"/>
          <w:lang w:val="en-GB" w:eastAsia="en-GB"/>
        </w:rPr>
        <w:t>While the company has invested a lot of money in giving employees training and building their culture, it is difficult for Starbucks UK to keep the quality of its customer service at a high level. The effectiveness of Human Capital Management practices could be limited by employee attrition, changing expectations of the workforce, and pressures to operate. While some work has investigated the relationship between employee engagement and service quality, and others have investigated the relationship between integrated HCM practices and service quality, there are few secondary studies that examine the relationship between integrated HCM practices and service quality using secondary sources in the context of Starbucks UK (Almohtaseb et al.</w:t>
      </w:r>
      <w:r>
        <w:rPr>
          <w:rFonts w:ascii="Arial" w:cs="Arial" w:hAnsi="Arial"/>
          <w:sz w:val="24"/>
          <w:lang w:val="en-GB" w:eastAsia="en-GB"/>
        </w:rPr>
        <w:t xml:space="preserve">, 2022; </w:t>
      </w:r>
      <w:r>
        <w:rPr>
          <w:rFonts w:ascii="Arial" w:cs="Arial" w:hAnsi="Arial"/>
          <w:sz w:val="24"/>
          <w:lang w:val="en-GB" w:eastAsia="en-GB"/>
        </w:rPr>
        <w:t>Karatepe</w:t>
      </w:r>
      <w:r>
        <w:rPr>
          <w:rFonts w:ascii="Arial" w:cs="Arial" w:hAnsi="Arial"/>
          <w:sz w:val="24"/>
          <w:lang w:val="en-GB" w:eastAsia="en-GB"/>
        </w:rPr>
        <w:t xml:space="preserve"> et al., 2020)</w:t>
      </w:r>
    </w:p>
    <w:bookmarkStart w:id="4" w:name="_Toc235017013"/>
    <w:p w14:paraId="51D69D5A">
      <w:pPr>
        <w:pStyle w:val="style2"/>
        <w:rPr>
          <w:lang w:val="en-GB" w:eastAsia="en-GB"/>
        </w:rPr>
      </w:pPr>
      <w:r>
        <w:rPr>
          <w:lang w:val="en-GB" w:eastAsia="en-GB"/>
        </w:rPr>
        <w:t>1.3 Research Rationale</w:t>
      </w:r>
      <w:bookmarkEnd w:id="4"/>
    </w:p>
    <w:p w14:paraId="3A58E89D">
      <w:pPr>
        <w:pStyle w:val="style0"/>
        <w:spacing w:lineRule="auto" w:line="360"/>
        <w:jc w:val="both"/>
        <w:rPr>
          <w:rFonts w:ascii="Arial" w:cs="Arial" w:hAnsi="Arial"/>
          <w:sz w:val="24"/>
          <w:lang w:val="en-GB" w:eastAsia="en-GB"/>
        </w:rPr>
      </w:pPr>
      <w:r>
        <w:rPr>
          <w:rFonts w:ascii="Arial" w:cs="Arial" w:hAnsi="Arial"/>
          <w:sz w:val="24"/>
          <w:lang w:val="en-GB" w:eastAsia="en-GB"/>
        </w:rPr>
        <w:t xml:space="preserve">For organisations in competitive service environments understanding the relationship between HCM practices and customer service quality is important. The focus on customers' service expectations has grown in importance and has become an added value for the organisation, in addition to the product quality: the companies must invest in a good workforce management to stay competitive. </w:t>
      </w:r>
    </w:p>
    <w:p w14:paraId="7FE0941E">
      <w:pPr>
        <w:pStyle w:val="style0"/>
        <w:spacing w:lineRule="auto" w:line="360"/>
        <w:jc w:val="both"/>
        <w:rPr>
          <w:rFonts w:ascii="Arial" w:cs="Arial" w:hAnsi="Arial"/>
          <w:sz w:val="24"/>
          <w:lang w:val="en-GB" w:eastAsia="en-GB"/>
        </w:rPr>
      </w:pPr>
    </w:p>
    <w:bookmarkStart w:id="5" w:name="_Toc235017014"/>
    <w:p w14:paraId="26D5F11D">
      <w:pPr>
        <w:pStyle w:val="style2"/>
        <w:rPr>
          <w:lang w:val="en-GB" w:eastAsia="en-GB"/>
        </w:rPr>
      </w:pPr>
      <w:r>
        <w:rPr>
          <w:lang w:val="en-GB" w:eastAsia="en-GB"/>
        </w:rPr>
        <w:t>1.4 Research Aim</w:t>
      </w:r>
      <w:bookmarkEnd w:id="5"/>
    </w:p>
    <w:p w14:paraId="38EDAE41">
      <w:pPr>
        <w:pStyle w:val="style0"/>
        <w:spacing w:lineRule="auto" w:line="360"/>
        <w:jc w:val="both"/>
        <w:rPr>
          <w:rFonts w:ascii="Arial" w:cs="Arial" w:hAnsi="Arial"/>
          <w:sz w:val="24"/>
          <w:lang w:val="en-GB" w:eastAsia="en-GB"/>
        </w:rPr>
      </w:pPr>
      <w:r>
        <w:rPr>
          <w:rFonts w:ascii="Arial" w:cs="Arial" w:hAnsi="Arial"/>
          <w:sz w:val="24"/>
          <w:lang w:val="en-GB" w:eastAsia="en-GB"/>
        </w:rPr>
        <w:t>To evaluate the influence of Human Capital Management practices on customer service quality: a c</w:t>
      </w:r>
      <w:r>
        <w:rPr>
          <w:rFonts w:ascii="Arial" w:cs="Arial" w:hAnsi="Arial"/>
          <w:sz w:val="24"/>
          <w:lang w:val="en-GB" w:eastAsia="en-GB"/>
        </w:rPr>
        <w:t>ase study of Starbucks UK.</w:t>
      </w:r>
    </w:p>
    <w:bookmarkStart w:id="6" w:name="_Toc235017015"/>
    <w:p w14:paraId="1142B794">
      <w:pPr>
        <w:pStyle w:val="style2"/>
        <w:rPr>
          <w:lang w:val="en-GB" w:eastAsia="en-GB"/>
        </w:rPr>
      </w:pPr>
      <w:r>
        <w:rPr>
          <w:lang w:val="en-GB" w:eastAsia="en-GB"/>
        </w:rPr>
        <w:t>1.5 Research Objectives</w:t>
      </w:r>
      <w:bookmarkEnd w:id="6"/>
    </w:p>
    <w:p w14:paraId="47895293">
      <w:pPr>
        <w:pStyle w:val="style179"/>
        <w:numPr>
          <w:ilvl w:val="0"/>
          <w:numId w:val="1"/>
        </w:numPr>
        <w:spacing w:lineRule="auto" w:line="360"/>
        <w:jc w:val="both"/>
        <w:rPr>
          <w:rFonts w:ascii="Arial" w:cs="Arial" w:hAnsi="Arial"/>
          <w:sz w:val="24"/>
          <w:lang w:val="en-GB" w:eastAsia="en-GB"/>
        </w:rPr>
      </w:pPr>
      <w:r>
        <w:rPr>
          <w:rFonts w:ascii="Arial" w:cs="Arial" w:hAnsi="Arial"/>
          <w:sz w:val="24"/>
          <w:lang w:val="en-GB" w:eastAsia="en-GB"/>
        </w:rPr>
        <w:t>To examine the Human Capital Management practices adopted by Starbucks UK.</w:t>
      </w:r>
    </w:p>
    <w:p w14:paraId="7A31B8E0">
      <w:pPr>
        <w:pStyle w:val="style179"/>
        <w:numPr>
          <w:ilvl w:val="0"/>
          <w:numId w:val="1"/>
        </w:numPr>
        <w:spacing w:lineRule="auto" w:line="360"/>
        <w:jc w:val="both"/>
        <w:rPr>
          <w:rFonts w:ascii="Arial" w:cs="Arial" w:hAnsi="Arial"/>
          <w:sz w:val="24"/>
          <w:lang w:val="en-GB" w:eastAsia="en-GB"/>
        </w:rPr>
      </w:pPr>
      <w:r>
        <w:rPr>
          <w:rFonts w:ascii="Arial" w:cs="Arial" w:hAnsi="Arial"/>
          <w:sz w:val="24"/>
          <w:lang w:val="en-GB" w:eastAsia="en-GB"/>
        </w:rPr>
        <w:t>To evaluate how Human Capital Management practices influence customer service quality.</w:t>
      </w:r>
    </w:p>
    <w:p w14:paraId="608E63A8">
      <w:pPr>
        <w:pStyle w:val="style179"/>
        <w:numPr>
          <w:ilvl w:val="0"/>
          <w:numId w:val="1"/>
        </w:numPr>
        <w:spacing w:lineRule="auto" w:line="360"/>
        <w:jc w:val="both"/>
        <w:rPr>
          <w:rFonts w:ascii="Arial" w:cs="Arial" w:hAnsi="Arial"/>
          <w:sz w:val="24"/>
          <w:lang w:val="en-GB" w:eastAsia="en-GB"/>
        </w:rPr>
      </w:pPr>
      <w:r>
        <w:rPr>
          <w:rFonts w:ascii="Arial" w:cs="Arial" w:hAnsi="Arial"/>
          <w:sz w:val="24"/>
          <w:lang w:val="en-GB" w:eastAsia="en-GB"/>
        </w:rPr>
        <w:t>To identify the challenges affecting effective Human Capital Management at Starbucks UK.</w:t>
      </w:r>
    </w:p>
    <w:p w14:paraId="51920EA7">
      <w:pPr>
        <w:pStyle w:val="style179"/>
        <w:numPr>
          <w:ilvl w:val="0"/>
          <w:numId w:val="1"/>
        </w:numPr>
        <w:spacing w:lineRule="auto" w:line="360"/>
        <w:jc w:val="both"/>
        <w:rPr>
          <w:rFonts w:ascii="Arial" w:cs="Arial" w:hAnsi="Arial"/>
          <w:sz w:val="24"/>
          <w:lang w:val="en-GB" w:eastAsia="en-GB"/>
        </w:rPr>
      </w:pPr>
      <w:r>
        <w:rPr>
          <w:rFonts w:ascii="Arial" w:cs="Arial" w:hAnsi="Arial"/>
          <w:sz w:val="24"/>
          <w:lang w:val="en-GB" w:eastAsia="en-GB"/>
        </w:rPr>
        <w:t>To recommend strategies for improving customer service quality through effective Human Capital Management practices.</w:t>
      </w:r>
    </w:p>
    <w:bookmarkStart w:id="7" w:name="_Toc235017016"/>
    <w:p w14:paraId="55C89D5B">
      <w:pPr>
        <w:pStyle w:val="style2"/>
        <w:rPr>
          <w:lang w:val="en-GB" w:eastAsia="en-GB"/>
        </w:rPr>
      </w:pPr>
      <w:r>
        <w:rPr>
          <w:lang w:val="en-GB" w:eastAsia="en-GB"/>
        </w:rPr>
        <w:t>1.6 Research Questions</w:t>
      </w:r>
      <w:bookmarkEnd w:id="7"/>
    </w:p>
    <w:p w14:paraId="4CE6C2CF">
      <w:pPr>
        <w:pStyle w:val="style179"/>
        <w:numPr>
          <w:ilvl w:val="0"/>
          <w:numId w:val="14"/>
        </w:numPr>
        <w:spacing w:lineRule="auto" w:line="360"/>
        <w:jc w:val="both"/>
        <w:rPr>
          <w:rFonts w:ascii="Arial" w:cs="Arial" w:hAnsi="Arial"/>
          <w:sz w:val="24"/>
          <w:lang w:val="en-GB" w:eastAsia="en-GB"/>
        </w:rPr>
      </w:pPr>
      <w:r>
        <w:rPr>
          <w:rFonts w:ascii="Arial" w:cs="Arial" w:hAnsi="Arial"/>
          <w:sz w:val="24"/>
          <w:lang w:val="en-GB" w:eastAsia="en-GB"/>
        </w:rPr>
        <w:t>How do Human Capital Management practices influence customer s</w:t>
      </w:r>
      <w:r>
        <w:rPr>
          <w:rFonts w:ascii="Arial" w:cs="Arial" w:hAnsi="Arial"/>
          <w:sz w:val="24"/>
          <w:lang w:val="en-GB" w:eastAsia="en-GB"/>
        </w:rPr>
        <w:t>ervice quality at Starbucks UK?</w:t>
      </w:r>
    </w:p>
    <w:p w14:paraId="4BCC5FEE">
      <w:pPr>
        <w:pStyle w:val="style179"/>
        <w:numPr>
          <w:ilvl w:val="0"/>
          <w:numId w:val="14"/>
        </w:numPr>
        <w:spacing w:lineRule="auto" w:line="360"/>
        <w:jc w:val="both"/>
        <w:rPr>
          <w:rFonts w:ascii="Arial" w:cs="Arial" w:hAnsi="Arial"/>
          <w:sz w:val="24"/>
          <w:lang w:val="en-GB" w:eastAsia="en-GB"/>
        </w:rPr>
      </w:pPr>
      <w:r>
        <w:rPr>
          <w:rFonts w:ascii="Arial" w:cs="Arial" w:hAnsi="Arial"/>
          <w:sz w:val="24"/>
          <w:lang w:val="en-GB" w:eastAsia="en-GB"/>
        </w:rPr>
        <w:t>What Human Capital Management practices are implemented by Starbucks UK?</w:t>
      </w:r>
    </w:p>
    <w:p w14:paraId="7A891A67">
      <w:pPr>
        <w:pStyle w:val="style179"/>
        <w:numPr>
          <w:ilvl w:val="0"/>
          <w:numId w:val="14"/>
        </w:numPr>
        <w:spacing w:lineRule="auto" w:line="360"/>
        <w:jc w:val="both"/>
        <w:rPr>
          <w:rFonts w:ascii="Arial" w:cs="Arial" w:hAnsi="Arial"/>
          <w:sz w:val="24"/>
          <w:lang w:val="en-GB" w:eastAsia="en-GB"/>
        </w:rPr>
      </w:pPr>
      <w:r>
        <w:rPr>
          <w:rFonts w:ascii="Arial" w:cs="Arial" w:hAnsi="Arial"/>
          <w:sz w:val="24"/>
          <w:lang w:val="en-GB" w:eastAsia="en-GB"/>
        </w:rPr>
        <w:t>How do these practices affect customer service quality?</w:t>
      </w:r>
    </w:p>
    <w:p w14:paraId="78C6E5AA">
      <w:pPr>
        <w:pStyle w:val="style179"/>
        <w:numPr>
          <w:ilvl w:val="0"/>
          <w:numId w:val="14"/>
        </w:numPr>
        <w:spacing w:lineRule="auto" w:line="360"/>
        <w:jc w:val="both"/>
        <w:rPr>
          <w:rFonts w:ascii="Arial" w:cs="Arial" w:hAnsi="Arial"/>
          <w:sz w:val="24"/>
          <w:lang w:val="en-GB" w:eastAsia="en-GB"/>
        </w:rPr>
      </w:pPr>
      <w:r>
        <w:rPr>
          <w:rFonts w:ascii="Arial" w:cs="Arial" w:hAnsi="Arial"/>
          <w:sz w:val="24"/>
          <w:lang w:val="en-GB" w:eastAsia="en-GB"/>
        </w:rPr>
        <w:t>What challenges influence the effectiveness of Human Capital Management within Starbucks UK?</w:t>
      </w:r>
    </w:p>
    <w:bookmarkStart w:id="8" w:name="_Toc235017017"/>
    <w:p w14:paraId="1CC3106C">
      <w:pPr>
        <w:pStyle w:val="style2"/>
        <w:rPr>
          <w:lang w:val="en-GB" w:eastAsia="en-GB"/>
        </w:rPr>
      </w:pPr>
      <w:r>
        <w:rPr>
          <w:lang w:val="en-GB" w:eastAsia="en-GB"/>
        </w:rPr>
        <w:t>1.7 Significance of the Study</w:t>
      </w:r>
      <w:bookmarkEnd w:id="8"/>
    </w:p>
    <w:p w14:paraId="3926ACB8">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This research will provide academic knowledge and managerial practice as it will look at the impact of Human Capital Management practises on the quality of customer service provided by Starbucks UK. The results could help managers to enhance employee development, employee engagement and employee performance management as well as offer evidence for further research on Human Capital Management in the coffee retail and </w:t>
      </w:r>
      <w:r>
        <w:rPr>
          <w:rFonts w:ascii="Arial" w:cs="Arial" w:hAnsi="Arial"/>
          <w:sz w:val="24"/>
          <w:lang w:val="en-GB" w:eastAsia="en-GB"/>
        </w:rPr>
        <w:t>hospitality industry in the UK.</w:t>
      </w:r>
    </w:p>
    <w:bookmarkStart w:id="9" w:name="_Toc235017018"/>
    <w:p w14:paraId="354F0041">
      <w:pPr>
        <w:pStyle w:val="style2"/>
        <w:rPr>
          <w:lang w:val="en-GB" w:eastAsia="en-GB"/>
        </w:rPr>
      </w:pPr>
      <w:r>
        <w:rPr>
          <w:lang w:val="en-GB" w:eastAsia="en-GB"/>
        </w:rPr>
        <w:t>1.8 Structure of the Dissertation</w:t>
      </w:r>
      <w:bookmarkEnd w:id="9"/>
    </w:p>
    <w:p w14:paraId="69473CE1">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dissertation is organised into seven chapters. Chapter One presents the research topic, objectives and research questions. Chapter Two critically examines literature, theory and theory-building. The research methodology is described in Chapter Three, which is based on secondary data analysis. Results are presented in Chapter Four, </w:t>
      </w:r>
      <w:r>
        <w:rPr>
          <w:rFonts w:ascii="Arial" w:cs="Arial" w:hAnsi="Arial"/>
          <w:sz w:val="24"/>
          <w:lang w:val="en-GB" w:eastAsia="en-GB"/>
        </w:rPr>
        <w:t>and discussed in Chapter Five in the context of the existing literature. Conclusions and recommendations are presented in Chapter Six, which is followed by the refere</w:t>
      </w:r>
      <w:r>
        <w:rPr>
          <w:rFonts w:ascii="Arial" w:cs="Arial" w:hAnsi="Arial"/>
          <w:sz w:val="24"/>
          <w:lang w:val="en-GB" w:eastAsia="en-GB"/>
        </w:rPr>
        <w:t>nce list and appendices</w:t>
      </w:r>
      <w:r>
        <w:rPr>
          <w:rFonts w:ascii="Arial" w:cs="Arial" w:hAnsi="Arial"/>
          <w:sz w:val="24"/>
          <w:lang w:val="en-GB" w:eastAsia="en-GB"/>
        </w:rPr>
        <w:t>.</w:t>
      </w:r>
    </w:p>
    <w:bookmarkStart w:id="10" w:name="_Toc235017019"/>
    <w:p w14:paraId="13192BFA">
      <w:pPr>
        <w:pStyle w:val="style1"/>
        <w:spacing w:lineRule="auto" w:line="360"/>
        <w:jc w:val="both"/>
        <w:rPr>
          <w:lang w:val="en-GB" w:eastAsia="en-GB"/>
        </w:rPr>
      </w:pPr>
      <w:r>
        <w:rPr>
          <w:lang w:val="en-GB" w:eastAsia="en-GB"/>
        </w:rPr>
        <w:t>2. Literature Review</w:t>
      </w:r>
      <w:bookmarkEnd w:id="10"/>
    </w:p>
    <w:bookmarkStart w:id="11" w:name="_Toc235017020"/>
    <w:p w14:paraId="47B8CE04">
      <w:pPr>
        <w:pStyle w:val="style2"/>
        <w:spacing w:lineRule="auto" w:line="360"/>
        <w:jc w:val="both"/>
        <w:rPr>
          <w:lang w:val="en-GB" w:eastAsia="en-GB"/>
        </w:rPr>
      </w:pPr>
      <w:r>
        <w:rPr>
          <w:lang w:val="en-GB" w:eastAsia="en-GB"/>
        </w:rPr>
        <w:t>2.1 Introduction</w:t>
      </w:r>
      <w:bookmarkEnd w:id="11"/>
    </w:p>
    <w:p w14:paraId="618FC4A8">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literature review in this chapter critically examines the literature covering the topic of Human Capital Management (HCM) and customer service quality to provide the theoretical and empirical context for this study. It covers the essential concepts, pertinent Human Capital Management practices and theories of why investing in employees leads to better organizational performance and customer satisfaction. </w:t>
      </w:r>
    </w:p>
    <w:bookmarkStart w:id="12" w:name="_Toc235017021"/>
    <w:p w14:paraId="184339FF">
      <w:pPr>
        <w:pStyle w:val="style2"/>
        <w:rPr>
          <w:lang w:val="en-GB" w:eastAsia="en-GB"/>
        </w:rPr>
      </w:pPr>
      <w:r>
        <w:rPr>
          <w:lang w:val="en-GB" w:eastAsia="en-GB"/>
        </w:rPr>
        <w:t>2.2 Human Capital Management</w:t>
      </w:r>
      <w:bookmarkEnd w:id="12"/>
    </w:p>
    <w:p w14:paraId="3F03BA66">
      <w:pPr>
        <w:pStyle w:val="style0"/>
        <w:spacing w:lineRule="auto" w:line="360"/>
        <w:jc w:val="both"/>
        <w:rPr>
          <w:rFonts w:ascii="Arial" w:cs="Arial" w:hAnsi="Arial"/>
          <w:sz w:val="24"/>
          <w:lang w:val="en-GB" w:eastAsia="en-GB"/>
        </w:rPr>
      </w:pPr>
      <w:r>
        <w:rPr>
          <w:rFonts w:ascii="Arial" w:cs="Arial" w:hAnsi="Arial"/>
          <w:sz w:val="24"/>
          <w:lang w:val="en-GB" w:eastAsia="en-GB"/>
        </w:rPr>
        <w:t>Human capital management is the strategic way organisations plan to recruit, develop, manage and retain people to meet the organisation's goals (CIPD, 2024). In contrast to HRM, HCM sees employees as assets that can generate sustainable competitive advantage due to their knowledge, skills, experience, and commitment (Armstrong &amp; Taylor, 2023). In today's business world, organisations are more and more aware of the benefits of effective HCM on employee productivity, innovation, organisational performance and customer satisfaction. HCM is a pivotal strategic role in the service industry like coffee sales because their interactions with customers have a considerable impact on the perception of the customers and the reputation of the coffee b</w:t>
      </w:r>
      <w:r>
        <w:rPr>
          <w:rFonts w:ascii="Arial" w:cs="Arial" w:hAnsi="Arial"/>
          <w:sz w:val="24"/>
          <w:lang w:val="en-GB" w:eastAsia="en-GB"/>
        </w:rPr>
        <w:t>rand (Almohtaseb et al., 2022).</w:t>
      </w:r>
    </w:p>
    <w:bookmarkStart w:id="13" w:name="_Toc235017022"/>
    <w:p w14:paraId="21620A7D">
      <w:pPr>
        <w:pStyle w:val="style2"/>
        <w:rPr>
          <w:lang w:val="en-GB" w:eastAsia="en-GB"/>
        </w:rPr>
      </w:pPr>
      <w:r>
        <w:rPr>
          <w:lang w:val="en-GB" w:eastAsia="en-GB"/>
        </w:rPr>
        <w:t>2.3 Customer Service Quality</w:t>
      </w:r>
      <w:bookmarkEnd w:id="13"/>
    </w:p>
    <w:p w14:paraId="2D43E666">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quality of the services provided to the customer is what is known as customer service quality, which is the customers' perception of the extent to which a service </w:t>
      </w:r>
      <w:r>
        <w:rPr>
          <w:rFonts w:ascii="Arial" w:cs="Arial" w:hAnsi="Arial"/>
          <w:sz w:val="24"/>
          <w:lang w:val="en-GB" w:eastAsia="en-GB"/>
        </w:rPr>
        <w:t>fulfils</w:t>
      </w:r>
      <w:r>
        <w:rPr>
          <w:rFonts w:ascii="Arial" w:cs="Arial" w:hAnsi="Arial"/>
          <w:sz w:val="24"/>
          <w:lang w:val="en-GB" w:eastAsia="en-GB"/>
        </w:rPr>
        <w:t xml:space="preserve"> or surpasses his or her expectations (</w:t>
      </w:r>
      <w:r>
        <w:rPr>
          <w:rFonts w:ascii="Arial" w:cs="Arial" w:hAnsi="Arial"/>
          <w:sz w:val="24"/>
          <w:lang w:val="en-GB" w:eastAsia="en-GB"/>
        </w:rPr>
        <w:t>Parasuraman</w:t>
      </w:r>
      <w:r>
        <w:rPr>
          <w:rFonts w:ascii="Arial" w:cs="Arial" w:hAnsi="Arial"/>
          <w:sz w:val="24"/>
          <w:lang w:val="en-GB" w:eastAsia="en-GB"/>
        </w:rPr>
        <w:t xml:space="preserve">, </w:t>
      </w:r>
      <w:r>
        <w:rPr>
          <w:rFonts w:ascii="Arial" w:cs="Arial" w:hAnsi="Arial"/>
          <w:sz w:val="24"/>
          <w:lang w:val="en-GB" w:eastAsia="en-GB"/>
        </w:rPr>
        <w:t>Zeithaml</w:t>
      </w:r>
      <w:r>
        <w:rPr>
          <w:rFonts w:ascii="Arial" w:cs="Arial" w:hAnsi="Arial"/>
          <w:sz w:val="24"/>
          <w:lang w:val="en-GB" w:eastAsia="en-GB"/>
        </w:rPr>
        <w:t xml:space="preserve"> and Berry, 1988). While the SERVQUAL model is widely used, in recent studies it is found that the competency of the employee, responsiveness, empathy, reliability, and service consistency are still the factors that affect customer satisfaction in the hospitality and retail sectors (Rather, 2021). Starbucks UK values its customised customer experience with its well-trained staff. </w:t>
      </w:r>
    </w:p>
    <w:bookmarkStart w:id="14" w:name="_Toc235017023"/>
    <w:p w14:paraId="20EA9253">
      <w:pPr>
        <w:pStyle w:val="style2"/>
        <w:rPr>
          <w:lang w:val="en-GB" w:eastAsia="en-GB"/>
        </w:rPr>
      </w:pPr>
      <w:r>
        <w:rPr>
          <w:lang w:val="en-GB" w:eastAsia="en-GB"/>
        </w:rPr>
        <w:t xml:space="preserve">2.4 </w:t>
      </w:r>
      <w:r>
        <w:rPr>
          <w:lang w:val="en-GB" w:eastAsia="en-GB"/>
        </w:rPr>
        <w:t>Human Capital Management Practices</w:t>
      </w:r>
      <w:bookmarkEnd w:id="14"/>
      <w:r>
        <w:rPr>
          <w:lang w:val="en-GB" w:eastAsia="en-GB"/>
        </w:rPr>
        <w:t xml:space="preserve"> </w:t>
      </w:r>
    </w:p>
    <w:p w14:paraId="2654BE49">
      <w:pPr>
        <w:pStyle w:val="style0"/>
        <w:spacing w:lineRule="auto" w:line="360"/>
        <w:jc w:val="both"/>
        <w:rPr>
          <w:rFonts w:ascii="Arial" w:cs="Arial" w:hAnsi="Arial"/>
          <w:b/>
          <w:sz w:val="24"/>
          <w:lang w:val="en-GB" w:eastAsia="en-GB"/>
        </w:rPr>
      </w:pPr>
      <w:r>
        <w:rPr>
          <w:rFonts w:ascii="Arial" w:cs="Arial" w:hAnsi="Arial"/>
          <w:b/>
          <w:sz w:val="24"/>
          <w:lang w:val="en-GB" w:eastAsia="en-GB"/>
        </w:rPr>
        <w:t>Recruitment and Selection</w:t>
      </w:r>
    </w:p>
    <w:p w14:paraId="63E39E1A">
      <w:pPr>
        <w:pStyle w:val="style0"/>
        <w:spacing w:lineRule="auto" w:line="360"/>
        <w:jc w:val="both"/>
        <w:rPr>
          <w:rFonts w:ascii="Arial" w:cs="Arial" w:hAnsi="Arial"/>
          <w:sz w:val="24"/>
          <w:lang w:val="en-GB" w:eastAsia="en-GB"/>
        </w:rPr>
      </w:pPr>
      <w:r>
        <w:rPr>
          <w:rFonts w:ascii="Arial" w:cs="Arial" w:hAnsi="Arial"/>
          <w:sz w:val="24"/>
          <w:lang w:val="en-GB" w:eastAsia="en-GB"/>
        </w:rPr>
        <w:t>By recruiting and selecting staff, organisations can attract those with knowledge, attitudes and behaviours that match their values. Recruitment can decrease employee turnover and enhance service quality by fostering a better person–organisation fit (Armstrong and Taylor, 2023). Starbucks places high importance on hiring people who are service oriented and have a team building approach,</w:t>
      </w:r>
      <w:r>
        <w:rPr>
          <w:rFonts w:ascii="Arial" w:cs="Arial" w:hAnsi="Arial"/>
          <w:sz w:val="24"/>
          <w:lang w:val="en-GB" w:eastAsia="en-GB"/>
        </w:rPr>
        <w:t xml:space="preserve"> consistent with their culture.</w:t>
      </w:r>
    </w:p>
    <w:p w14:paraId="4C5F1F97">
      <w:pPr>
        <w:pStyle w:val="style0"/>
        <w:spacing w:lineRule="auto" w:line="360"/>
        <w:jc w:val="both"/>
        <w:rPr>
          <w:rFonts w:ascii="Arial" w:cs="Arial" w:hAnsi="Arial"/>
          <w:b/>
          <w:sz w:val="24"/>
          <w:lang w:val="en-GB" w:eastAsia="en-GB"/>
        </w:rPr>
      </w:pPr>
      <w:r>
        <w:rPr>
          <w:rFonts w:ascii="Arial" w:cs="Arial" w:hAnsi="Arial"/>
          <w:b/>
          <w:sz w:val="24"/>
          <w:lang w:val="en-GB" w:eastAsia="en-GB"/>
        </w:rPr>
        <w:t>Training and Development</w:t>
      </w:r>
    </w:p>
    <w:p w14:paraId="0D73FEEF">
      <w:pPr>
        <w:pStyle w:val="style0"/>
        <w:spacing w:lineRule="auto" w:line="360"/>
        <w:jc w:val="both"/>
        <w:rPr>
          <w:rFonts w:ascii="Arial" w:cs="Arial" w:hAnsi="Arial"/>
          <w:sz w:val="24"/>
          <w:lang w:val="en-GB" w:eastAsia="en-GB"/>
        </w:rPr>
      </w:pPr>
      <w:r>
        <w:rPr>
          <w:rFonts w:ascii="Arial" w:cs="Arial" w:hAnsi="Arial"/>
          <w:sz w:val="24"/>
          <w:lang w:val="en-GB" w:eastAsia="en-GB"/>
        </w:rPr>
        <w:t>Training improves employees' technical and interpersonal skills needed to provide outstanding customer service. On-going training boosts employee self-assurance, adaptability, and service uniformity, especially in the customer service sector. Studies have shown that investing in employees' development has a positive impact on customer satisfaction and organisational performanc</w:t>
      </w:r>
      <w:r>
        <w:rPr>
          <w:rFonts w:ascii="Arial" w:cs="Arial" w:hAnsi="Arial"/>
          <w:sz w:val="24"/>
          <w:lang w:val="en-GB" w:eastAsia="en-GB"/>
        </w:rPr>
        <w:t>e (</w:t>
      </w:r>
      <w:r>
        <w:rPr>
          <w:rFonts w:ascii="Arial" w:cs="Arial" w:hAnsi="Arial"/>
          <w:sz w:val="24"/>
          <w:lang w:val="en-GB" w:eastAsia="en-GB"/>
        </w:rPr>
        <w:t>Jehanzeb</w:t>
      </w:r>
      <w:r>
        <w:rPr>
          <w:rFonts w:ascii="Arial" w:cs="Arial" w:hAnsi="Arial"/>
          <w:sz w:val="24"/>
          <w:lang w:val="en-GB" w:eastAsia="en-GB"/>
        </w:rPr>
        <w:t xml:space="preserve"> and </w:t>
      </w:r>
      <w:r>
        <w:rPr>
          <w:rFonts w:ascii="Arial" w:cs="Arial" w:hAnsi="Arial"/>
          <w:sz w:val="24"/>
          <w:lang w:val="en-GB" w:eastAsia="en-GB"/>
        </w:rPr>
        <w:t>Mohanty</w:t>
      </w:r>
      <w:r>
        <w:rPr>
          <w:rFonts w:ascii="Arial" w:cs="Arial" w:hAnsi="Arial"/>
          <w:sz w:val="24"/>
          <w:lang w:val="en-GB" w:eastAsia="en-GB"/>
        </w:rPr>
        <w:t>, 2018).</w:t>
      </w:r>
    </w:p>
    <w:p w14:paraId="63F43D20">
      <w:pPr>
        <w:pStyle w:val="style0"/>
        <w:spacing w:lineRule="auto" w:line="360"/>
        <w:jc w:val="both"/>
        <w:rPr>
          <w:rFonts w:ascii="Arial" w:cs="Arial" w:hAnsi="Arial"/>
          <w:b/>
          <w:sz w:val="24"/>
          <w:lang w:val="en-GB" w:eastAsia="en-GB"/>
        </w:rPr>
      </w:pPr>
      <w:r>
        <w:rPr>
          <w:rFonts w:ascii="Arial" w:cs="Arial" w:hAnsi="Arial"/>
          <w:b/>
          <w:sz w:val="24"/>
          <w:lang w:val="en-GB" w:eastAsia="en-GB"/>
        </w:rPr>
        <w:t>Performance Management</w:t>
      </w:r>
    </w:p>
    <w:p w14:paraId="610897EA">
      <w:pPr>
        <w:pStyle w:val="style0"/>
        <w:spacing w:lineRule="auto" w:line="360"/>
        <w:jc w:val="both"/>
        <w:rPr>
          <w:rFonts w:ascii="Arial" w:cs="Arial" w:hAnsi="Arial"/>
          <w:sz w:val="24"/>
          <w:lang w:val="en-GB" w:eastAsia="en-GB"/>
        </w:rPr>
      </w:pPr>
      <w:r>
        <w:rPr>
          <w:rFonts w:ascii="Arial" w:cs="Arial" w:hAnsi="Arial"/>
          <w:sz w:val="24"/>
          <w:lang w:val="en-GB" w:eastAsia="en-GB"/>
        </w:rPr>
        <w:t>Performance Management is set up, and monitoring, giving feedback, ensuring continual improvement. A competent performance management system ensures that employees' behaviours are in line with the organisation's goals and objectives and promote service excellence. Research shows that having frequent coaching and positive feedback is linked to increased employee effectiveness and customer satisfaction (</w:t>
      </w:r>
      <w:r>
        <w:rPr>
          <w:rFonts w:ascii="Arial" w:cs="Arial" w:hAnsi="Arial"/>
          <w:sz w:val="24"/>
          <w:lang w:val="en-GB" w:eastAsia="en-GB"/>
        </w:rPr>
        <w:t>Aguinis</w:t>
      </w:r>
      <w:r>
        <w:rPr>
          <w:rFonts w:ascii="Arial" w:cs="Arial" w:hAnsi="Arial"/>
          <w:sz w:val="24"/>
          <w:lang w:val="en-GB" w:eastAsia="en-GB"/>
        </w:rPr>
        <w:t>, 2019</w:t>
      </w:r>
      <w:r>
        <w:rPr>
          <w:rFonts w:ascii="Arial" w:cs="Arial" w:hAnsi="Arial"/>
          <w:sz w:val="24"/>
          <w:lang w:val="en-GB" w:eastAsia="en-GB"/>
        </w:rPr>
        <w:t>)</w:t>
      </w:r>
    </w:p>
    <w:p w14:paraId="4A11D5EA">
      <w:pPr>
        <w:pStyle w:val="style0"/>
        <w:spacing w:lineRule="auto" w:line="360"/>
        <w:jc w:val="both"/>
        <w:rPr>
          <w:rFonts w:ascii="Arial" w:cs="Arial" w:hAnsi="Arial"/>
          <w:b/>
          <w:sz w:val="24"/>
          <w:lang w:val="en-GB" w:eastAsia="en-GB"/>
        </w:rPr>
      </w:pPr>
      <w:r>
        <w:rPr>
          <w:rFonts w:ascii="Arial" w:cs="Arial" w:hAnsi="Arial"/>
          <w:b/>
          <w:sz w:val="24"/>
          <w:lang w:val="en-GB" w:eastAsia="en-GB"/>
        </w:rPr>
        <w:t>Employee Engagement</w:t>
      </w:r>
    </w:p>
    <w:p w14:paraId="30FA3CC0">
      <w:pPr>
        <w:pStyle w:val="style0"/>
        <w:spacing w:lineRule="auto" w:line="360"/>
        <w:jc w:val="both"/>
        <w:rPr>
          <w:rFonts w:ascii="Arial" w:cs="Arial" w:hAnsi="Arial"/>
          <w:sz w:val="24"/>
          <w:lang w:val="en-GB" w:eastAsia="en-GB"/>
        </w:rPr>
      </w:pPr>
      <w:r>
        <w:rPr>
          <w:rFonts w:ascii="Arial" w:cs="Arial" w:hAnsi="Arial"/>
          <w:sz w:val="24"/>
          <w:lang w:val="en-GB" w:eastAsia="en-GB"/>
        </w:rPr>
        <w:t>Employee engagement is a level of emotional engagement and desire to contribute to the success of an organisation. A happy employee is a productive employee, a motivated employee, and a customer-oriented employee (CIPD, 2024). Research indicates that highly engaged employees would lead to better service quality, customer satisfaction and organisational performance (</w:t>
      </w:r>
      <w:r>
        <w:rPr>
          <w:rFonts w:ascii="Arial" w:cs="Arial" w:hAnsi="Arial"/>
          <w:sz w:val="24"/>
          <w:lang w:val="en-GB" w:eastAsia="en-GB"/>
        </w:rPr>
        <w:t>Karatepe</w:t>
      </w:r>
      <w:r>
        <w:rPr>
          <w:rFonts w:ascii="Arial" w:cs="Arial" w:hAnsi="Arial"/>
          <w:sz w:val="24"/>
          <w:lang w:val="en-GB" w:eastAsia="en-GB"/>
        </w:rPr>
        <w:t xml:space="preserve"> et al., 2020). </w:t>
      </w:r>
    </w:p>
    <w:bookmarkStart w:id="15" w:name="_Toc235017024"/>
    <w:p w14:paraId="1BA7684B">
      <w:pPr>
        <w:pStyle w:val="style2"/>
        <w:rPr>
          <w:lang w:val="en-GB" w:eastAsia="en-GB"/>
        </w:rPr>
      </w:pPr>
      <w:r>
        <w:rPr>
          <w:lang w:val="en-GB" w:eastAsia="en-GB"/>
        </w:rPr>
        <w:t>2.5 Relevant Theory</w:t>
      </w:r>
      <w:bookmarkEnd w:id="15"/>
    </w:p>
    <w:p w14:paraId="661829DC">
      <w:pPr>
        <w:pStyle w:val="style0"/>
        <w:spacing w:lineRule="auto" w:line="360"/>
        <w:jc w:val="both"/>
        <w:rPr>
          <w:rFonts w:ascii="Arial" w:cs="Arial" w:hAnsi="Arial"/>
          <w:sz w:val="24"/>
          <w:lang w:val="en-GB" w:eastAsia="en-GB"/>
        </w:rPr>
      </w:pPr>
      <w:r>
        <w:rPr>
          <w:rFonts w:ascii="Arial" w:cs="Arial" w:hAnsi="Arial"/>
          <w:sz w:val="24"/>
          <w:lang w:val="en-GB" w:eastAsia="en-GB"/>
        </w:rPr>
        <w:t>Based on the Human Capital Theory (Becker, 1964), investment in employee education, skills, and training boosts productivity and organisational performance by improv</w:t>
      </w:r>
      <w:r>
        <w:rPr>
          <w:rFonts w:ascii="Arial" w:cs="Arial" w:hAnsi="Arial"/>
          <w:sz w:val="24"/>
          <w:lang w:val="en-GB" w:eastAsia="en-GB"/>
        </w:rPr>
        <w:t>ing the abilities of employees.</w:t>
      </w:r>
    </w:p>
    <w:p w14:paraId="629B82A6">
      <w:pPr>
        <w:pStyle w:val="style179"/>
        <w:numPr>
          <w:ilvl w:val="0"/>
          <w:numId w:val="15"/>
        </w:numPr>
        <w:spacing w:lineRule="auto" w:line="360"/>
        <w:jc w:val="both"/>
        <w:rPr>
          <w:rFonts w:ascii="Arial" w:cs="Arial" w:hAnsi="Arial"/>
          <w:sz w:val="24"/>
          <w:lang w:val="en-GB" w:eastAsia="en-GB"/>
        </w:rPr>
      </w:pPr>
      <w:r>
        <w:rPr>
          <w:rFonts w:ascii="Arial" w:cs="Arial" w:hAnsi="Arial"/>
          <w:b/>
          <w:sz w:val="24"/>
          <w:lang w:val="en-GB" w:eastAsia="en-GB"/>
        </w:rPr>
        <w:t>The Resource-Based View (RBV)</w:t>
      </w:r>
      <w:r>
        <w:rPr>
          <w:rFonts w:ascii="Arial" w:cs="Arial" w:hAnsi="Arial"/>
          <w:sz w:val="24"/>
          <w:lang w:val="en-GB" w:eastAsia="en-GB"/>
        </w:rPr>
        <w:t xml:space="preserve"> posits that organisations attain sustainable competitive advantage by resources of value, rarity, inimitable and well-organised such as human capital (Barney, 1991). Starbucks' employee capability and organisational culture are strategic resources which are difficul</w:t>
      </w:r>
      <w:r>
        <w:rPr>
          <w:rFonts w:ascii="Arial" w:cs="Arial" w:hAnsi="Arial"/>
          <w:sz w:val="24"/>
          <w:lang w:val="en-GB" w:eastAsia="en-GB"/>
        </w:rPr>
        <w:t>t for other parties to imitate.</w:t>
      </w:r>
    </w:p>
    <w:p w14:paraId="4D222255">
      <w:pPr>
        <w:pStyle w:val="style179"/>
        <w:numPr>
          <w:ilvl w:val="0"/>
          <w:numId w:val="15"/>
        </w:numPr>
        <w:spacing w:lineRule="auto" w:line="360"/>
        <w:jc w:val="both"/>
        <w:rPr>
          <w:rFonts w:ascii="Arial" w:cs="Arial" w:hAnsi="Arial"/>
          <w:sz w:val="24"/>
          <w:lang w:val="en-GB" w:eastAsia="en-GB"/>
        </w:rPr>
      </w:pPr>
      <w:r>
        <w:rPr>
          <w:rFonts w:ascii="Arial" w:cs="Arial" w:hAnsi="Arial"/>
          <w:b/>
          <w:sz w:val="24"/>
          <w:lang w:val="en-GB" w:eastAsia="en-GB"/>
        </w:rPr>
        <w:t>The Ability – Motivation –</w:t>
      </w:r>
      <w:r>
        <w:rPr>
          <w:rFonts w:ascii="Arial" w:cs="Arial" w:hAnsi="Arial"/>
          <w:sz w:val="24"/>
          <w:lang w:val="en-GB" w:eastAsia="en-GB"/>
        </w:rPr>
        <w:t xml:space="preserve"> Opportunity (AMO) Framework proposes that employees perform better when they have the right abilities, appropriate motivation and opportunities to perform effectively (</w:t>
      </w:r>
      <w:r>
        <w:rPr>
          <w:rFonts w:ascii="Arial" w:cs="Arial" w:hAnsi="Arial"/>
          <w:sz w:val="24"/>
          <w:lang w:val="en-GB" w:eastAsia="en-GB"/>
        </w:rPr>
        <w:t>Appelbaum</w:t>
      </w:r>
      <w:r>
        <w:rPr>
          <w:rFonts w:ascii="Arial" w:cs="Arial" w:hAnsi="Arial"/>
          <w:sz w:val="24"/>
          <w:lang w:val="en-GB" w:eastAsia="en-GB"/>
        </w:rPr>
        <w:t xml:space="preserve"> et al., 2000). This framework offers a unified understanding of the relationship between recruitment, training, engagement and rewards, and t</w:t>
      </w:r>
      <w:r>
        <w:rPr>
          <w:rFonts w:ascii="Arial" w:cs="Arial" w:hAnsi="Arial"/>
          <w:sz w:val="24"/>
          <w:lang w:val="en-GB" w:eastAsia="en-GB"/>
        </w:rPr>
        <w:t>heir impact on service quality.</w:t>
      </w:r>
    </w:p>
    <w:p w14:paraId="630B8F95">
      <w:pPr>
        <w:pStyle w:val="style0"/>
        <w:spacing w:lineRule="auto" w:line="360"/>
        <w:jc w:val="both"/>
        <w:rPr>
          <w:rFonts w:ascii="Arial" w:cs="Arial" w:hAnsi="Arial"/>
          <w:sz w:val="24"/>
          <w:lang w:val="en-GB" w:eastAsia="en-GB"/>
        </w:rPr>
      </w:pPr>
      <w:r>
        <w:rPr>
          <w:rFonts w:ascii="Arial" w:cs="Arial" w:hAnsi="Arial"/>
          <w:sz w:val="24"/>
          <w:lang w:val="en-GB" w:eastAsia="en-GB"/>
        </w:rPr>
        <w:t>This Service-Profit Chain highlights that employee satisfaction leads to service quality, which in turn leads to customer satisfaction, customer loyalty and organisational profit</w:t>
      </w:r>
      <w:r>
        <w:rPr>
          <w:rFonts w:ascii="Arial" w:cs="Arial" w:hAnsi="Arial"/>
          <w:sz w:val="24"/>
          <w:lang w:val="en-GB" w:eastAsia="en-GB"/>
        </w:rPr>
        <w:t>ability (</w:t>
      </w:r>
      <w:r>
        <w:rPr>
          <w:rFonts w:ascii="Arial" w:cs="Arial" w:hAnsi="Arial"/>
          <w:sz w:val="24"/>
          <w:lang w:val="en-GB" w:eastAsia="en-GB"/>
        </w:rPr>
        <w:t>Heskett</w:t>
      </w:r>
      <w:r>
        <w:rPr>
          <w:rFonts w:ascii="Arial" w:cs="Arial" w:hAnsi="Arial"/>
          <w:sz w:val="24"/>
          <w:lang w:val="en-GB" w:eastAsia="en-GB"/>
        </w:rPr>
        <w:t xml:space="preserve"> et al., 1994).</w:t>
      </w:r>
    </w:p>
    <w:bookmarkStart w:id="16" w:name="_Toc235017025"/>
    <w:p w14:paraId="3075576D">
      <w:pPr>
        <w:pStyle w:val="style2"/>
        <w:rPr>
          <w:lang w:val="en-GB" w:eastAsia="en-GB"/>
        </w:rPr>
      </w:pPr>
      <w:r>
        <w:rPr>
          <w:lang w:val="en-GB" w:eastAsia="en-GB"/>
        </w:rPr>
        <w:t xml:space="preserve">2.6 Empirical </w:t>
      </w:r>
      <w:r>
        <w:rPr>
          <w:lang w:val="en-GB" w:eastAsia="en-GB"/>
        </w:rPr>
        <w:t>Studied</w:t>
      </w:r>
      <w:bookmarkEnd w:id="16"/>
    </w:p>
    <w:p w14:paraId="5EEBA96B">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Human Capital Management practices that have been studied over the past few years have always shown positive correlations with customer service outcomes. </w:t>
      </w:r>
      <w:r>
        <w:rPr>
          <w:rFonts w:ascii="Arial" w:cs="Arial" w:hAnsi="Arial"/>
          <w:sz w:val="24"/>
          <w:lang w:val="en-GB" w:eastAsia="en-GB"/>
        </w:rPr>
        <w:t>Karatepe</w:t>
      </w:r>
      <w:r>
        <w:rPr>
          <w:rFonts w:ascii="Arial" w:cs="Arial" w:hAnsi="Arial"/>
          <w:sz w:val="24"/>
          <w:lang w:val="en-GB" w:eastAsia="en-GB"/>
        </w:rPr>
        <w:t xml:space="preserve"> et al. (2020) concluded that the employee engagement level significantly affects the level of service in a hospitality organisation. According to Almohtaseb et al. (2022), employee training and supportive organizational culture positively affects customer satisfaction and service quality. </w:t>
      </w:r>
    </w:p>
    <w:bookmarkStart w:id="17" w:name="_Toc235017026"/>
    <w:p w14:paraId="5CD00B4F">
      <w:pPr>
        <w:pStyle w:val="style2"/>
        <w:rPr>
          <w:lang w:val="en-GB" w:eastAsia="en-GB"/>
        </w:rPr>
      </w:pPr>
      <w:r>
        <w:rPr>
          <w:lang w:val="en-GB" w:eastAsia="en-GB"/>
        </w:rPr>
        <w:t>2.7 Research Gap</w:t>
      </w:r>
      <w:bookmarkEnd w:id="17"/>
    </w:p>
    <w:p w14:paraId="49243924">
      <w:pPr>
        <w:pStyle w:val="style0"/>
        <w:spacing w:lineRule="auto" w:line="360"/>
        <w:jc w:val="both"/>
        <w:rPr>
          <w:rFonts w:ascii="Arial" w:cs="Arial" w:hAnsi="Arial"/>
          <w:sz w:val="24"/>
          <w:lang w:val="en-GB" w:eastAsia="en-GB"/>
        </w:rPr>
      </w:pPr>
      <w:r>
        <w:rPr>
          <w:rFonts w:ascii="Arial" w:cs="Arial" w:hAnsi="Arial"/>
          <w:sz w:val="24"/>
          <w:lang w:val="en-GB" w:eastAsia="en-GB"/>
        </w:rPr>
        <w:t>While some earlier research has studied the effect of employee engagement, training or the effect of Human Capital Management practices on service quality separately, there is limited research that looks at the joint effect of HCM practices on Starbucks UK's service quality. Moreover, there are few available secondary studies that have attempted to summarise UK coffee retail industry practices of HCM, while there is more primary survey data in the hotel and restaurant industry. The aim of this study is to close this contextual and methodological gap by conducting a thorough secondary analysis of the academic literature, company publ</w:t>
      </w:r>
      <w:r>
        <w:rPr>
          <w:rFonts w:ascii="Arial" w:cs="Arial" w:hAnsi="Arial"/>
          <w:sz w:val="24"/>
          <w:lang w:val="en-GB" w:eastAsia="en-GB"/>
        </w:rPr>
        <w:t>ications, and industry reports.</w:t>
      </w:r>
    </w:p>
    <w:bookmarkStart w:id="18" w:name="_Toc235017027"/>
    <w:p w14:paraId="59FD1F5C">
      <w:pPr>
        <w:pStyle w:val="style2"/>
        <w:rPr>
          <w:lang w:val="en-GB" w:eastAsia="en-GB"/>
        </w:rPr>
      </w:pPr>
      <w:r>
        <w:rPr>
          <w:lang w:val="en-GB" w:eastAsia="en-GB"/>
        </w:rPr>
        <w:t>2.8 Conceptual Framework</w:t>
      </w:r>
      <w:bookmarkEnd w:id="18"/>
    </w:p>
    <w:p w14:paraId="26FC8463">
      <w:pPr>
        <w:pStyle w:val="style0"/>
        <w:spacing w:lineRule="auto" w:line="360"/>
        <w:jc w:val="both"/>
        <w:rPr>
          <w:rFonts w:ascii="Arial" w:cs="Arial" w:hAnsi="Arial"/>
          <w:sz w:val="24"/>
          <w:lang w:val="en-GB" w:eastAsia="en-GB"/>
        </w:rPr>
      </w:pPr>
      <w:r>
        <w:rPr>
          <w:rFonts w:ascii="Arial" w:cs="Arial" w:hAnsi="Arial"/>
          <w:sz w:val="24"/>
          <w:lang w:val="en-GB" w:eastAsia="en-GB"/>
        </w:rPr>
        <w:t>The conceptual framework suggests that the practices of Human Capital Management (HCM) such as recruitment and selection, training and development, performance management, employee engagement and reward and recognition practices are independent variables that affect customer service (dependent variable). Human Capital Theory, Resource-Based View, AMO Framework and the Service-Profit Chain explain the relationship. Together, these theories indicate that having strategic investment in employees boosts organisational strength, provides better service delivery, and boosts customer satisfaction, which is a theoreti</w:t>
      </w:r>
      <w:r>
        <w:rPr>
          <w:rFonts w:ascii="Arial" w:cs="Arial" w:hAnsi="Arial"/>
          <w:sz w:val="24"/>
          <w:lang w:val="en-GB" w:eastAsia="en-GB"/>
        </w:rPr>
        <w:t>cal basis for this dissertation</w:t>
      </w:r>
      <w:r>
        <w:rPr>
          <w:rFonts w:ascii="Arial" w:cs="Arial" w:hAnsi="Arial"/>
          <w:sz w:val="24"/>
          <w:lang w:val="en-GB" w:eastAsia="en-GB"/>
        </w:rPr>
        <w:t>.</w:t>
      </w:r>
    </w:p>
    <w:bookmarkStart w:id="19" w:name="_Toc235017028"/>
    <w:p w14:paraId="2963A117">
      <w:pPr>
        <w:pStyle w:val="style1"/>
        <w:rPr>
          <w:lang w:val="en-GB" w:eastAsia="en-GB"/>
        </w:rPr>
      </w:pPr>
      <w:r>
        <w:rPr>
          <w:lang w:val="en-GB" w:eastAsia="en-GB"/>
        </w:rPr>
        <w:t>3. Methodology</w:t>
      </w:r>
      <w:bookmarkEnd w:id="19"/>
    </w:p>
    <w:bookmarkStart w:id="20" w:name="_Toc235017029"/>
    <w:p w14:paraId="030E8680">
      <w:pPr>
        <w:pStyle w:val="style2"/>
        <w:rPr>
          <w:lang w:val="en-GB" w:eastAsia="en-GB"/>
        </w:rPr>
      </w:pPr>
      <w:r>
        <w:rPr>
          <w:lang w:val="en-GB" w:eastAsia="en-GB"/>
        </w:rPr>
        <w:t>3.1 Research Philosophy</w:t>
      </w:r>
      <w:bookmarkEnd w:id="20"/>
    </w:p>
    <w:p w14:paraId="4BE6AB75">
      <w:pPr>
        <w:pStyle w:val="style0"/>
        <w:spacing w:lineRule="auto" w:line="360"/>
        <w:jc w:val="both"/>
        <w:rPr>
          <w:rFonts w:ascii="Arial" w:cs="Arial" w:hAnsi="Arial"/>
          <w:sz w:val="24"/>
          <w:lang w:val="en-GB" w:eastAsia="en-GB"/>
        </w:rPr>
      </w:pPr>
      <w:r>
        <w:rPr>
          <w:rFonts w:ascii="Arial" w:cs="Arial" w:hAnsi="Arial"/>
          <w:sz w:val="24"/>
          <w:lang w:val="en-GB" w:eastAsia="en-GB"/>
        </w:rPr>
        <w:t>The research philosophy of this study is interpretivist that is suitable for understanding the practice of the organisations from the interpretation of the literature and documentary evidence. Interpretivism allows researchers to examine the relationship between Human Capital Management (HCM) practices and Customer Service (CS) quality by examining multiple perspectives from academic and industry literature, instead of using primary data-collection. (Saunder</w:t>
      </w:r>
      <w:r>
        <w:rPr>
          <w:rFonts w:ascii="Arial" w:cs="Arial" w:hAnsi="Arial"/>
          <w:sz w:val="24"/>
          <w:lang w:val="en-GB" w:eastAsia="en-GB"/>
        </w:rPr>
        <w:t xml:space="preserve">s, Lewis and Thornhill, 2023). </w:t>
      </w:r>
    </w:p>
    <w:bookmarkStart w:id="21" w:name="_Toc235017030"/>
    <w:p w14:paraId="7294ACEC">
      <w:pPr>
        <w:pStyle w:val="style2"/>
        <w:rPr>
          <w:lang w:val="en-GB" w:eastAsia="en-GB"/>
        </w:rPr>
      </w:pPr>
      <w:r>
        <w:rPr>
          <w:lang w:val="en-GB" w:eastAsia="en-GB"/>
        </w:rPr>
        <w:t>3.2 Research Approach</w:t>
      </w:r>
      <w:bookmarkEnd w:id="21"/>
    </w:p>
    <w:p w14:paraId="331A4E0B">
      <w:pPr>
        <w:pStyle w:val="style0"/>
        <w:spacing w:lineRule="auto" w:line="360"/>
        <w:jc w:val="both"/>
        <w:rPr>
          <w:rFonts w:ascii="Arial" w:cs="Arial" w:hAnsi="Arial"/>
          <w:sz w:val="24"/>
          <w:lang w:val="en-GB" w:eastAsia="en-GB"/>
        </w:rPr>
      </w:pPr>
      <w:r>
        <w:rPr>
          <w:rFonts w:ascii="Arial" w:cs="Arial" w:hAnsi="Arial"/>
          <w:sz w:val="24"/>
          <w:lang w:val="en-GB" w:eastAsia="en-GB"/>
        </w:rPr>
        <w:t>An inductive research will be used. The study will not test any hypotheses, but rather, existing evidence will be analyzed to uncover patterns, themes and relationships between Human Capital Management practices and customer service quality. The inductive approach is appropriate as it is possible to draw conclusions from analysed published literature and organisational d</w:t>
      </w:r>
      <w:r>
        <w:rPr>
          <w:rFonts w:ascii="Arial" w:cs="Arial" w:hAnsi="Arial"/>
          <w:sz w:val="24"/>
          <w:lang w:val="en-GB" w:eastAsia="en-GB"/>
        </w:rPr>
        <w:t>ocuments (</w:t>
      </w:r>
      <w:r>
        <w:rPr>
          <w:rFonts w:ascii="Arial" w:cs="Arial" w:hAnsi="Arial"/>
          <w:sz w:val="24"/>
          <w:lang w:val="en-GB" w:eastAsia="en-GB"/>
        </w:rPr>
        <w:t>Bryman</w:t>
      </w:r>
      <w:r>
        <w:rPr>
          <w:rFonts w:ascii="Arial" w:cs="Arial" w:hAnsi="Arial"/>
          <w:sz w:val="24"/>
          <w:lang w:val="en-GB" w:eastAsia="en-GB"/>
        </w:rPr>
        <w:t>, 2021).</w:t>
      </w:r>
    </w:p>
    <w:bookmarkStart w:id="22" w:name="_Toc235017031"/>
    <w:p w14:paraId="5448DBC0">
      <w:pPr>
        <w:pStyle w:val="style2"/>
        <w:rPr>
          <w:lang w:val="en-GB" w:eastAsia="en-GB"/>
        </w:rPr>
      </w:pPr>
      <w:r>
        <w:rPr>
          <w:lang w:val="en-GB" w:eastAsia="en-GB"/>
        </w:rPr>
        <w:t>3.3 Research Strategy</w:t>
      </w:r>
      <w:bookmarkEnd w:id="22"/>
    </w:p>
    <w:p w14:paraId="018B965F">
      <w:pPr>
        <w:pStyle w:val="style0"/>
        <w:spacing w:lineRule="auto" w:line="360"/>
        <w:jc w:val="both"/>
        <w:rPr>
          <w:rFonts w:ascii="Arial" w:cs="Arial" w:hAnsi="Arial"/>
          <w:sz w:val="24"/>
          <w:lang w:val="en-GB" w:eastAsia="en-GB"/>
        </w:rPr>
      </w:pPr>
      <w:r>
        <w:rPr>
          <w:rFonts w:ascii="Arial" w:cs="Arial" w:hAnsi="Arial"/>
          <w:sz w:val="24"/>
          <w:lang w:val="en-GB" w:eastAsia="en-GB"/>
        </w:rPr>
        <w:t>The research will be based on a case study that will take the Starbucks UK as a focus. By using the case study approach, a deep analysis of the Human Capital Management practices in a real organisation setting can be performed. It also enables the incorporation of evidence from various documentary sources for a more comprehensive understanding of how HCM will affect custom</w:t>
      </w:r>
      <w:r>
        <w:rPr>
          <w:rFonts w:ascii="Arial" w:cs="Arial" w:hAnsi="Arial"/>
          <w:sz w:val="24"/>
          <w:lang w:val="en-GB" w:eastAsia="en-GB"/>
        </w:rPr>
        <w:t>er service quality (Yin, 2018)</w:t>
      </w:r>
    </w:p>
    <w:bookmarkStart w:id="23" w:name="_Toc235017032"/>
    <w:p w14:paraId="1ED296DB">
      <w:pPr>
        <w:pStyle w:val="style2"/>
        <w:rPr>
          <w:lang w:val="en-GB" w:eastAsia="en-GB"/>
        </w:rPr>
      </w:pPr>
      <w:r>
        <w:rPr>
          <w:lang w:val="en-GB" w:eastAsia="en-GB"/>
        </w:rPr>
        <w:t>3.4 Research Design</w:t>
      </w:r>
      <w:bookmarkEnd w:id="23"/>
    </w:p>
    <w:p w14:paraId="56C0D005">
      <w:pPr>
        <w:pStyle w:val="style0"/>
        <w:spacing w:lineRule="auto" w:line="360"/>
        <w:jc w:val="both"/>
        <w:rPr>
          <w:rFonts w:ascii="Arial" w:cs="Arial" w:hAnsi="Arial"/>
          <w:sz w:val="24"/>
          <w:lang w:val="en-GB" w:eastAsia="en-GB"/>
        </w:rPr>
      </w:pPr>
      <w:r>
        <w:rPr>
          <w:rFonts w:ascii="Arial" w:cs="Arial" w:hAnsi="Arial"/>
          <w:sz w:val="24"/>
          <w:lang w:val="en-GB" w:eastAsia="en-GB"/>
        </w:rPr>
        <w:t>Secondary data (qualitative research design) will be used. Qualitative secondary research is suitable as it helps to interpret existing academic literature, company publications and industry reports so as to get a clear and full picture of the research problem without collecting primary da</w:t>
      </w:r>
      <w:r>
        <w:rPr>
          <w:rFonts w:ascii="Arial" w:cs="Arial" w:hAnsi="Arial"/>
          <w:sz w:val="24"/>
          <w:lang w:val="en-GB" w:eastAsia="en-GB"/>
        </w:rPr>
        <w:t>ta from participants</w:t>
      </w:r>
    </w:p>
    <w:bookmarkStart w:id="24" w:name="_Toc235017033"/>
    <w:p w14:paraId="1DC2410C">
      <w:pPr>
        <w:pStyle w:val="style2"/>
        <w:rPr>
          <w:lang w:val="en-GB" w:eastAsia="en-GB"/>
        </w:rPr>
      </w:pPr>
      <w:r>
        <w:rPr>
          <w:lang w:val="en-GB" w:eastAsia="en-GB"/>
        </w:rPr>
        <w:t>3.5 Secondary Research Method</w:t>
      </w:r>
      <w:bookmarkEnd w:id="24"/>
    </w:p>
    <w:p w14:paraId="5DF24239">
      <w:pPr>
        <w:pStyle w:val="style0"/>
        <w:spacing w:lineRule="auto" w:line="360"/>
        <w:jc w:val="both"/>
        <w:rPr>
          <w:rFonts w:ascii="Arial" w:cs="Arial" w:hAnsi="Arial"/>
          <w:sz w:val="24"/>
          <w:lang w:val="en-GB" w:eastAsia="en-GB"/>
        </w:rPr>
      </w:pPr>
      <w:r>
        <w:rPr>
          <w:rFonts w:ascii="Arial" w:cs="Arial" w:hAnsi="Arial"/>
          <w:sz w:val="24"/>
          <w:lang w:val="en-GB" w:eastAsia="en-GB"/>
        </w:rPr>
        <w:t>This Dissertation will be based exclusively on secondary research. The study will combine the existing evidence available on Human Capital Management and the quality of the customer service in the Starbucks UK and hospitality industry in general. Secondary data allows for access to a wide array of credible information and save time and money that might be sp</w:t>
      </w:r>
      <w:r>
        <w:rPr>
          <w:rFonts w:ascii="Arial" w:cs="Arial" w:hAnsi="Arial"/>
          <w:sz w:val="24"/>
          <w:lang w:val="en-GB" w:eastAsia="en-GB"/>
        </w:rPr>
        <w:t>ent on primary data collection.</w:t>
      </w:r>
    </w:p>
    <w:bookmarkStart w:id="25" w:name="_Toc235017034"/>
    <w:p w14:paraId="7ADCF075">
      <w:pPr>
        <w:pStyle w:val="style2"/>
        <w:rPr>
          <w:lang w:val="en-GB" w:eastAsia="en-GB"/>
        </w:rPr>
      </w:pPr>
      <w:r>
        <w:rPr>
          <w:lang w:val="en-GB" w:eastAsia="en-GB"/>
        </w:rPr>
        <w:t>3.6 Data Sources</w:t>
      </w:r>
      <w:bookmarkEnd w:id="25"/>
    </w:p>
    <w:p w14:paraId="23A477A8">
      <w:pPr>
        <w:pStyle w:val="style0"/>
        <w:spacing w:lineRule="auto" w:line="360"/>
        <w:jc w:val="both"/>
        <w:rPr>
          <w:rFonts w:ascii="Arial" w:cs="Arial" w:hAnsi="Arial"/>
          <w:sz w:val="24"/>
          <w:lang w:val="en-GB" w:eastAsia="en-GB"/>
        </w:rPr>
      </w:pPr>
      <w:r>
        <w:rPr>
          <w:rFonts w:ascii="Arial" w:cs="Arial" w:hAnsi="Arial"/>
          <w:sz w:val="24"/>
          <w:lang w:val="en-GB" w:eastAsia="en-GB"/>
        </w:rPr>
        <w:t xml:space="preserve">Wherever possible use of credible secondary sources (peer-reviewed journal articles, academic books, Starbucks Annual Reports, Starbucks Global Environmental and Social Impact Reports, official company publications, Chartered Institute of Personnel and Development (CIPD) reports, Office for National Statistics (ONS) publications, </w:t>
      </w:r>
      <w:r>
        <w:rPr>
          <w:rFonts w:ascii="Arial" w:cs="Arial" w:hAnsi="Arial"/>
          <w:sz w:val="24"/>
          <w:lang w:val="en-GB" w:eastAsia="en-GB"/>
        </w:rPr>
        <w:t>UKHospitality</w:t>
      </w:r>
      <w:r>
        <w:rPr>
          <w:rFonts w:ascii="Arial" w:cs="Arial" w:hAnsi="Arial"/>
          <w:sz w:val="24"/>
          <w:lang w:val="en-GB" w:eastAsia="en-GB"/>
        </w:rPr>
        <w:t xml:space="preserve"> reports and other relevant government and industry publi</w:t>
      </w:r>
      <w:r>
        <w:rPr>
          <w:rFonts w:ascii="Arial" w:cs="Arial" w:hAnsi="Arial"/>
          <w:sz w:val="24"/>
          <w:lang w:val="en-GB" w:eastAsia="en-GB"/>
        </w:rPr>
        <w:t>cations between 2015 and 2025).</w:t>
      </w:r>
    </w:p>
    <w:bookmarkStart w:id="26" w:name="_Toc235017035"/>
    <w:p w14:paraId="4A1BE502">
      <w:pPr>
        <w:pStyle w:val="style2"/>
        <w:rPr>
          <w:lang w:val="en-GB" w:eastAsia="en-GB"/>
        </w:rPr>
      </w:pPr>
      <w:r>
        <w:rPr>
          <w:lang w:val="en-GB" w:eastAsia="en-GB"/>
        </w:rPr>
        <w:t>3.7 Data Collection Procedure</w:t>
      </w:r>
      <w:bookmarkEnd w:id="26"/>
    </w:p>
    <w:p w14:paraId="0562A8E7">
      <w:pPr>
        <w:pStyle w:val="style0"/>
        <w:spacing w:lineRule="auto" w:line="360"/>
        <w:jc w:val="both"/>
        <w:rPr>
          <w:rFonts w:ascii="Arial" w:cs="Arial" w:hAnsi="Arial"/>
          <w:sz w:val="24"/>
          <w:lang w:val="en-GB" w:eastAsia="en-GB"/>
        </w:rPr>
      </w:pPr>
      <w:r>
        <w:rPr>
          <w:rFonts w:ascii="Arial" w:cs="Arial" w:hAnsi="Arial"/>
          <w:sz w:val="24"/>
          <w:lang w:val="en-GB" w:eastAsia="en-GB"/>
        </w:rPr>
        <w:t>The systematic literature search will be carried out through academic databases like Google Scholar, Scopus, Science Direct, Emerald Insight, Springer Link and Business Source Premier. The keywords used will be Human Capital Management, Employee Engagement, Training and Development, Customer Service quality, Starbucks UK, and Hospitality. Only publications relevant to the topic, credible and recent will be included so as to ensu</w:t>
      </w:r>
      <w:r>
        <w:rPr>
          <w:rFonts w:ascii="Arial" w:cs="Arial" w:hAnsi="Arial"/>
          <w:sz w:val="24"/>
          <w:lang w:val="en-GB" w:eastAsia="en-GB"/>
        </w:rPr>
        <w:t>re the quality of the evidence.</w:t>
      </w:r>
    </w:p>
    <w:bookmarkStart w:id="27" w:name="_Toc235017036"/>
    <w:p w14:paraId="6B6876FF">
      <w:pPr>
        <w:pStyle w:val="style2"/>
        <w:rPr>
          <w:lang w:val="en-GB" w:eastAsia="en-GB"/>
        </w:rPr>
      </w:pPr>
      <w:r>
        <w:rPr>
          <w:lang w:val="en-GB" w:eastAsia="en-GB"/>
        </w:rPr>
        <w:t>3.8 Data Analysis</w:t>
      </w:r>
      <w:bookmarkEnd w:id="27"/>
      <w:r>
        <w:rPr>
          <w:lang w:val="en-GB" w:eastAsia="en-GB"/>
        </w:rPr>
        <w:t xml:space="preserve"> </w:t>
      </w:r>
    </w:p>
    <w:p w14:paraId="13675F72">
      <w:pPr>
        <w:pStyle w:val="style0"/>
        <w:spacing w:lineRule="auto" w:line="360"/>
        <w:jc w:val="both"/>
        <w:rPr>
          <w:rFonts w:ascii="Arial" w:cs="Arial" w:hAnsi="Arial"/>
          <w:sz w:val="24"/>
          <w:lang w:val="en-GB" w:eastAsia="en-GB"/>
        </w:rPr>
      </w:pPr>
      <w:r>
        <w:rPr>
          <w:rFonts w:ascii="Arial" w:cs="Arial" w:hAnsi="Arial"/>
          <w:sz w:val="24"/>
          <w:lang w:val="en-GB" w:eastAsia="en-GB"/>
        </w:rPr>
        <w:t>Thematic analysis will be used for analysing the collected literature. The information will be analysed, coded, categorised and put into groups like recruitment and selection, training and development, performance management, employee engagement, reward and recognition, and customer service quality. The results will be contrasted from various sources to determine similarities, connections, and discrepancies that include addressing the research objec</w:t>
      </w:r>
      <w:r>
        <w:rPr>
          <w:rFonts w:ascii="Arial" w:cs="Arial" w:hAnsi="Arial"/>
          <w:sz w:val="24"/>
          <w:lang w:val="en-GB" w:eastAsia="en-GB"/>
        </w:rPr>
        <w:t>tives (Braun and Clarke, 2022).</w:t>
      </w:r>
    </w:p>
    <w:bookmarkStart w:id="28" w:name="_Toc235017037"/>
    <w:p w14:paraId="4DB86A1D">
      <w:pPr>
        <w:pStyle w:val="style2"/>
        <w:rPr>
          <w:lang w:val="en-GB" w:eastAsia="en-GB"/>
        </w:rPr>
      </w:pPr>
      <w:r>
        <w:rPr>
          <w:lang w:val="en-GB" w:eastAsia="en-GB"/>
        </w:rPr>
        <w:t>3.9 Ethical Considerations</w:t>
      </w:r>
      <w:bookmarkEnd w:id="28"/>
    </w:p>
    <w:p w14:paraId="40915003">
      <w:pPr>
        <w:pStyle w:val="style0"/>
        <w:spacing w:lineRule="auto" w:line="360"/>
        <w:jc w:val="both"/>
        <w:rPr>
          <w:rFonts w:ascii="Arial" w:cs="Arial" w:hAnsi="Arial"/>
          <w:sz w:val="24"/>
          <w:lang w:val="en-GB" w:eastAsia="en-GB"/>
        </w:rPr>
      </w:pPr>
      <w:r>
        <w:rPr>
          <w:rFonts w:ascii="Arial" w:cs="Arial" w:hAnsi="Arial"/>
          <w:sz w:val="24"/>
          <w:lang w:val="en-GB" w:eastAsia="en-GB"/>
        </w:rPr>
        <w:t>This study does not involve human subjects as it is based on secondary data that is made public. However, ethical research practices will be observed by ensuring that all sources are accurately acknowledged in referencing (UWTSD Harvard style ‘Cite Them Right’) and by ensuring that sources are not plagiarized, accurate representation of published results and adherence to copyright requirements. The research will also adhere to academ</w:t>
      </w:r>
      <w:r>
        <w:rPr>
          <w:rFonts w:ascii="Arial" w:cs="Arial" w:hAnsi="Arial"/>
          <w:sz w:val="24"/>
          <w:lang w:val="en-GB" w:eastAsia="en-GB"/>
        </w:rPr>
        <w:t>ic honesty during the research.</w:t>
      </w:r>
    </w:p>
    <w:bookmarkStart w:id="29" w:name="_Toc235017038"/>
    <w:p w14:paraId="11DF6EDC">
      <w:pPr>
        <w:pStyle w:val="style2"/>
        <w:rPr>
          <w:lang w:val="en-GB" w:eastAsia="en-GB"/>
        </w:rPr>
      </w:pPr>
      <w:r>
        <w:rPr>
          <w:lang w:val="en-GB" w:eastAsia="en-GB"/>
        </w:rPr>
        <w:t>3.10 Reliability and Validity</w:t>
      </w:r>
      <w:bookmarkEnd w:id="29"/>
    </w:p>
    <w:p w14:paraId="4BF1331D">
      <w:pPr>
        <w:pStyle w:val="style0"/>
        <w:spacing w:lineRule="auto" w:line="360"/>
        <w:jc w:val="both"/>
        <w:rPr>
          <w:rFonts w:ascii="Arial" w:cs="Arial" w:hAnsi="Arial"/>
          <w:sz w:val="24"/>
          <w:lang w:val="en-GB" w:eastAsia="en-GB"/>
        </w:rPr>
      </w:pPr>
      <w:r>
        <w:rPr>
          <w:rFonts w:ascii="Arial" w:cs="Arial" w:hAnsi="Arial"/>
          <w:sz w:val="24"/>
          <w:lang w:val="en-GB" w:eastAsia="en-GB"/>
        </w:rPr>
        <w:t>The study will employ high quality and peer-reviewed academic papers and official organisational publications to improve the reliability and validity of the work. The triangulation of information from several sources will be used to ensure the credibility of the findings. Additionally, the search strategy will be clearly explained and there will be clearly defined criteria for inclusion to reduce bias and ensure the consistency and reliability of the research (Saund</w:t>
      </w:r>
      <w:r>
        <w:rPr>
          <w:rFonts w:ascii="Arial" w:cs="Arial" w:hAnsi="Arial"/>
          <w:sz w:val="24"/>
          <w:lang w:val="en-GB" w:eastAsia="en-GB"/>
        </w:rPr>
        <w:t>ers, Lewis and Thornhill, 2023)</w:t>
      </w:r>
      <w:r>
        <w:rPr>
          <w:rFonts w:ascii="Arial" w:cs="Arial" w:hAnsi="Arial"/>
          <w:sz w:val="24"/>
          <w:lang w:val="en-GB" w:eastAsia="en-GB"/>
        </w:rPr>
        <w:t>.</w:t>
      </w:r>
    </w:p>
    <w:bookmarkStart w:id="30" w:name="_Toc235017039"/>
    <w:p w14:paraId="549BDB6D">
      <w:pPr>
        <w:pStyle w:val="style1"/>
        <w:rPr>
          <w:lang w:val="en-GB" w:eastAsia="en-GB"/>
        </w:rPr>
      </w:pPr>
      <w:r>
        <w:rPr>
          <w:lang w:val="en-GB" w:eastAsia="en-GB"/>
        </w:rPr>
        <w:t>4. Expected Findings</w:t>
      </w:r>
      <w:bookmarkEnd w:id="30"/>
    </w:p>
    <w:p w14:paraId="2DF07E2A">
      <w:pPr>
        <w:pStyle w:val="style0"/>
        <w:spacing w:lineRule="auto" w:line="360"/>
        <w:jc w:val="both"/>
        <w:rPr>
          <w:rFonts w:ascii="Arial" w:cs="Arial" w:hAnsi="Arial"/>
          <w:sz w:val="24"/>
          <w:lang w:val="en-GB" w:eastAsia="en-GB"/>
        </w:rPr>
      </w:pPr>
      <w:r>
        <w:rPr>
          <w:rFonts w:ascii="Arial" w:cs="Arial" w:hAnsi="Arial"/>
          <w:sz w:val="24"/>
          <w:lang w:val="en-GB" w:eastAsia="en-GB"/>
        </w:rPr>
        <w:t>This study is anticipated to prove positive connection between Human Capital Management (HCM) practices and customer service quality at Starbucks UK. From the literature, it is expected that effective recruitment and selection, continuous training and development, performance management, employee engagement and reward and recognition are expected to positively affect employees' knowledge, motivation and service performance (CIPD, 2024; Armstrong and Taylor, 2023). The practices, therefore, are expected to result in better customer satisfaction, more consistent servi</w:t>
      </w:r>
      <w:r>
        <w:rPr>
          <w:rFonts w:ascii="Arial" w:cs="Arial" w:hAnsi="Arial"/>
          <w:sz w:val="24"/>
          <w:lang w:val="en-GB" w:eastAsia="en-GB"/>
        </w:rPr>
        <w:t>ce and better customer loyalty</w:t>
      </w:r>
    </w:p>
    <w:p w14:paraId="29508F73">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results should give Starbucks UK useful information on the link between strategic investment in human capital and the achievement of service excellence and competitive advantage in the organisation. The study may detect opportunities for current HCM practices to be improved to help employees perform better and increase the overall customer experience. On an academic level, the research is hoped to add to the existing knowledge base by bringing together the latest research on the link between Human Capital Management and customer service quality in the context of Starbucks UK. </w:t>
      </w:r>
    </w:p>
    <w:bookmarkStart w:id="31" w:name="_Toc235017040"/>
    <w:p w14:paraId="06540EF7">
      <w:pPr>
        <w:pStyle w:val="style1"/>
        <w:rPr>
          <w:lang w:val="en-GB" w:eastAsia="en-GB"/>
        </w:rPr>
      </w:pPr>
      <w:r>
        <w:rPr>
          <w:lang w:val="en-GB" w:eastAsia="en-GB"/>
        </w:rPr>
        <w:t>5. Limitations</w:t>
      </w:r>
      <w:bookmarkEnd w:id="31"/>
    </w:p>
    <w:p w14:paraId="70604837">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There are a number of limitations to this study which need to be noted. Firstly, the research is based on secondary data, which means that the results are based on published academic literature, company reports and industry publications, rather than primary or first-hand evidence. Secondly, having limited access to Starbucks UK's internal Human Capital Management policies, employee performance data and operational confidential information may limit the depth of the organisational analysis. Third, the dissertation will be written within a certain time frame, so that the time spent on reviewing all the sources in-depth can be limited. Lastly, the potential for publication bias exists, with positive results being more likely to be published and negative or conflicting results being less likely to be published (Saunders, Lewis and Thornhill, 2023). </w:t>
      </w:r>
    </w:p>
    <w:bookmarkStart w:id="32" w:name="_Toc235017041"/>
    <w:p w14:paraId="28912E10">
      <w:pPr>
        <w:pStyle w:val="style1"/>
        <w:rPr>
          <w:lang w:val="en-GB" w:eastAsia="en-GB"/>
        </w:rPr>
      </w:pPr>
      <w:r>
        <w:rPr>
          <w:lang w:val="en-GB" w:eastAsia="en-GB"/>
        </w:rPr>
        <w:t xml:space="preserve">6. </w:t>
      </w:r>
      <w:r>
        <w:rPr>
          <w:lang w:val="en-GB" w:eastAsia="en-GB"/>
        </w:rPr>
        <w:t>Timeframe</w:t>
      </w:r>
      <w:bookmarkEnd w:id="32"/>
    </w:p>
    <w:p w14:paraId="09766D76">
      <w:pPr>
        <w:pStyle w:val="style0"/>
        <w:spacing w:lineRule="auto" w:line="360"/>
        <w:jc w:val="both"/>
        <w:rPr>
          <w:rFonts w:ascii="Arial" w:cs="Arial" w:hAnsi="Arial"/>
          <w:sz w:val="24"/>
          <w:lang w:val="en-GB" w:eastAsia="en-GB"/>
        </w:rPr>
      </w:pPr>
      <w:r>
        <w:rPr>
          <w:rFonts w:ascii="Arial" w:cs="Arial" w:hAnsi="Arial"/>
          <w:sz w:val="24"/>
          <w:lang w:val="en-GB" w:eastAsia="en-GB"/>
        </w:rPr>
        <w:t xml:space="preserve">The proposed dissertation is expected to be completed over a six-month period. The project will begin with topic approval, followed by a comprehensive literature search and literature review to establish the theoretical foundation of the study. </w:t>
      </w:r>
    </w:p>
    <w:p w14:paraId="28BF3E26">
      <w:pPr>
        <w:pStyle w:val="style0"/>
        <w:spacing w:lineRule="auto" w:line="360"/>
        <w:jc w:val="both"/>
        <w:rPr>
          <w:rFonts w:ascii="Arial" w:cs="Arial" w:hAnsi="Arial"/>
          <w:sz w:val="24"/>
          <w:lang w:val="en-GB" w:eastAsia="en-GB"/>
        </w:rPr>
      </w:pPr>
      <w:r>
        <w:rPr>
          <w:rFonts w:ascii="Arial" w:cs="Arial" w:hAnsi="Arial"/>
          <w:sz w:val="24"/>
          <w:lang w:val="en-GB" w:eastAsia="en-GB"/>
        </w:rPr>
        <w:t>Table 6.1: Six</w:t>
      </w:r>
      <w:r>
        <w:rPr>
          <w:rFonts w:ascii="Arial" w:cs="Arial" w:hAnsi="Arial"/>
          <w:sz w:val="24"/>
          <w:lang w:val="en-GB" w:eastAsia="en-GB"/>
        </w:rPr>
        <w:t>-Month Dissertation Gantt Chart</w:t>
      </w:r>
    </w:p>
    <w:tbl>
      <w:tblPr>
        <w:tblStyle w:val="style154"/>
        <w:tblW w:w="0" w:type="auto"/>
        <w:tblLook w:val="04A0" w:firstRow="1" w:lastRow="0" w:firstColumn="1" w:lastColumn="0" w:noHBand="0" w:noVBand="1"/>
      </w:tblPr>
      <w:tblGrid>
        <w:gridCol w:w="1649"/>
        <w:gridCol w:w="1230"/>
        <w:gridCol w:w="1230"/>
        <w:gridCol w:w="1230"/>
        <w:gridCol w:w="1230"/>
        <w:gridCol w:w="1230"/>
        <w:gridCol w:w="1230"/>
      </w:tblGrid>
      <w:tr w14:paraId="5A81642C">
        <w:trPr/>
        <w:tc>
          <w:tcPr>
            <w:tcW w:w="1288" w:type="dxa"/>
            <w:tcBorders/>
          </w:tcPr>
          <w:p w14:paraId="0C7D8C41">
            <w:pPr>
              <w:pStyle w:val="style0"/>
              <w:spacing w:lineRule="auto" w:line="360"/>
              <w:jc w:val="both"/>
              <w:rPr>
                <w:rFonts w:ascii="Arial" w:cs="Arial" w:hAnsi="Arial"/>
                <w:b/>
                <w:sz w:val="24"/>
                <w:lang w:val="en-GB" w:eastAsia="en-GB"/>
              </w:rPr>
            </w:pPr>
            <w:r>
              <w:rPr>
                <w:rFonts w:ascii="Arial" w:cs="Arial" w:hAnsi="Arial"/>
                <w:b/>
                <w:sz w:val="24"/>
                <w:lang w:val="en-GB" w:eastAsia="en-GB"/>
              </w:rPr>
              <w:t>Activities</w:t>
            </w:r>
          </w:p>
        </w:tc>
        <w:tc>
          <w:tcPr>
            <w:tcW w:w="1288" w:type="dxa"/>
            <w:tcBorders/>
          </w:tcPr>
          <w:p w14:paraId="477A4393">
            <w:pPr>
              <w:pStyle w:val="style0"/>
              <w:spacing w:lineRule="auto" w:line="360"/>
              <w:jc w:val="both"/>
              <w:rPr>
                <w:rFonts w:ascii="Arial" w:cs="Arial" w:hAnsi="Arial"/>
                <w:b/>
                <w:sz w:val="24"/>
                <w:lang w:val="en-GB" w:eastAsia="en-GB"/>
              </w:rPr>
            </w:pPr>
            <w:r>
              <w:rPr>
                <w:rFonts w:ascii="Arial" w:cs="Arial" w:hAnsi="Arial"/>
                <w:b/>
                <w:sz w:val="24"/>
                <w:lang w:val="en-GB" w:eastAsia="en-GB"/>
              </w:rPr>
              <w:t>Month 1</w:t>
            </w:r>
          </w:p>
        </w:tc>
        <w:tc>
          <w:tcPr>
            <w:tcW w:w="1288" w:type="dxa"/>
            <w:tcBorders/>
          </w:tcPr>
          <w:p w14:paraId="387F2D74">
            <w:pPr>
              <w:pStyle w:val="style0"/>
              <w:spacing w:lineRule="auto" w:line="360"/>
              <w:jc w:val="both"/>
              <w:rPr>
                <w:rFonts w:ascii="Arial" w:cs="Arial" w:hAnsi="Arial"/>
                <w:b/>
                <w:sz w:val="24"/>
                <w:lang w:val="en-GB" w:eastAsia="en-GB"/>
              </w:rPr>
            </w:pPr>
            <w:r>
              <w:rPr>
                <w:rFonts w:ascii="Arial" w:cs="Arial" w:hAnsi="Arial"/>
                <w:b/>
                <w:sz w:val="24"/>
                <w:lang w:val="en-GB" w:eastAsia="en-GB"/>
              </w:rPr>
              <w:t>Month 2</w:t>
            </w:r>
          </w:p>
        </w:tc>
        <w:tc>
          <w:tcPr>
            <w:tcW w:w="1288" w:type="dxa"/>
            <w:tcBorders/>
          </w:tcPr>
          <w:p w14:paraId="01FF86D3">
            <w:pPr>
              <w:pStyle w:val="style0"/>
              <w:spacing w:lineRule="auto" w:line="360"/>
              <w:jc w:val="both"/>
              <w:rPr>
                <w:rFonts w:ascii="Arial" w:cs="Arial" w:hAnsi="Arial"/>
                <w:b/>
                <w:sz w:val="24"/>
                <w:lang w:val="en-GB" w:eastAsia="en-GB"/>
              </w:rPr>
            </w:pPr>
            <w:r>
              <w:rPr>
                <w:rFonts w:ascii="Arial" w:cs="Arial" w:hAnsi="Arial"/>
                <w:b/>
                <w:sz w:val="24"/>
                <w:lang w:val="en-GB" w:eastAsia="en-GB"/>
              </w:rPr>
              <w:t>Month 3</w:t>
            </w:r>
          </w:p>
        </w:tc>
        <w:tc>
          <w:tcPr>
            <w:tcW w:w="1288" w:type="dxa"/>
            <w:tcBorders/>
          </w:tcPr>
          <w:p w14:paraId="42E3EB4C">
            <w:pPr>
              <w:pStyle w:val="style0"/>
              <w:spacing w:lineRule="auto" w:line="360"/>
              <w:jc w:val="both"/>
              <w:rPr>
                <w:rFonts w:ascii="Arial" w:cs="Arial" w:hAnsi="Arial"/>
                <w:b/>
                <w:sz w:val="24"/>
                <w:lang w:val="en-GB" w:eastAsia="en-GB"/>
              </w:rPr>
            </w:pPr>
            <w:r>
              <w:rPr>
                <w:rFonts w:ascii="Arial" w:cs="Arial" w:hAnsi="Arial"/>
                <w:b/>
                <w:sz w:val="24"/>
                <w:lang w:val="en-GB" w:eastAsia="en-GB"/>
              </w:rPr>
              <w:t>Month 4</w:t>
            </w:r>
          </w:p>
        </w:tc>
        <w:tc>
          <w:tcPr>
            <w:tcW w:w="1288" w:type="dxa"/>
            <w:tcBorders/>
          </w:tcPr>
          <w:p w14:paraId="3CC6A79E">
            <w:pPr>
              <w:pStyle w:val="style0"/>
              <w:spacing w:lineRule="auto" w:line="360"/>
              <w:jc w:val="both"/>
              <w:rPr>
                <w:rFonts w:ascii="Arial" w:cs="Arial" w:hAnsi="Arial"/>
                <w:b/>
                <w:sz w:val="24"/>
                <w:lang w:val="en-GB" w:eastAsia="en-GB"/>
              </w:rPr>
            </w:pPr>
            <w:r>
              <w:rPr>
                <w:rFonts w:ascii="Arial" w:cs="Arial" w:hAnsi="Arial"/>
                <w:b/>
                <w:sz w:val="24"/>
                <w:lang w:val="en-GB" w:eastAsia="en-GB"/>
              </w:rPr>
              <w:t>Month 5</w:t>
            </w:r>
          </w:p>
        </w:tc>
        <w:tc>
          <w:tcPr>
            <w:tcW w:w="1288" w:type="dxa"/>
            <w:tcBorders/>
          </w:tcPr>
          <w:p w14:paraId="2C191D2F">
            <w:pPr>
              <w:pStyle w:val="style0"/>
              <w:spacing w:lineRule="auto" w:line="360"/>
              <w:jc w:val="both"/>
              <w:rPr>
                <w:rFonts w:ascii="Arial" w:cs="Arial" w:hAnsi="Arial"/>
                <w:b/>
                <w:sz w:val="24"/>
                <w:lang w:val="en-GB" w:eastAsia="en-GB"/>
              </w:rPr>
            </w:pPr>
            <w:r>
              <w:rPr>
                <w:rFonts w:ascii="Arial" w:cs="Arial" w:hAnsi="Arial"/>
                <w:b/>
                <w:sz w:val="24"/>
                <w:lang w:val="en-GB" w:eastAsia="en-GB"/>
              </w:rPr>
              <w:t>Month 6</w:t>
            </w:r>
          </w:p>
        </w:tc>
      </w:tr>
      <w:tr w14:paraId="3B5BA2DF">
        <w:tblPrEx/>
        <w:trPr/>
        <w:tc>
          <w:tcPr>
            <w:tcW w:w="1288" w:type="dxa"/>
            <w:tcBorders/>
          </w:tcPr>
          <w:p w14:paraId="30ECCC7E">
            <w:pPr>
              <w:pStyle w:val="style0"/>
              <w:spacing w:lineRule="auto" w:line="360"/>
              <w:jc w:val="both"/>
              <w:rPr>
                <w:rFonts w:ascii="Arial" w:cs="Arial" w:hAnsi="Arial"/>
                <w:b/>
                <w:sz w:val="24"/>
                <w:lang w:val="en-GB" w:eastAsia="en-GB"/>
              </w:rPr>
            </w:pPr>
            <w:r>
              <w:rPr>
                <w:rFonts w:ascii="Arial" w:cs="Arial" w:hAnsi="Arial"/>
                <w:b/>
                <w:sz w:val="24"/>
                <w:lang w:val="en-GB" w:eastAsia="en-GB"/>
              </w:rPr>
              <w:t>Topic Approval</w:t>
            </w:r>
          </w:p>
        </w:tc>
        <w:tc>
          <w:tcPr>
            <w:tcW w:w="1288" w:type="dxa"/>
            <w:tcBorders/>
          </w:tcPr>
          <w:p w14:paraId="076DD5D1">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1BB076D0">
            <w:pPr>
              <w:pStyle w:val="style0"/>
              <w:spacing w:lineRule="auto" w:line="360"/>
              <w:jc w:val="both"/>
              <w:rPr>
                <w:rFonts w:ascii="Arial" w:cs="Arial" w:hAnsi="Arial"/>
                <w:sz w:val="24"/>
                <w:lang w:val="en-GB" w:eastAsia="en-GB"/>
              </w:rPr>
            </w:pPr>
          </w:p>
        </w:tc>
        <w:tc>
          <w:tcPr>
            <w:tcW w:w="1288" w:type="dxa"/>
            <w:tcBorders/>
          </w:tcPr>
          <w:p w14:paraId="5BCAD2C4">
            <w:pPr>
              <w:pStyle w:val="style0"/>
              <w:spacing w:lineRule="auto" w:line="360"/>
              <w:jc w:val="both"/>
              <w:rPr>
                <w:rFonts w:ascii="Arial" w:cs="Arial" w:hAnsi="Arial"/>
                <w:sz w:val="24"/>
                <w:lang w:val="en-GB" w:eastAsia="en-GB"/>
              </w:rPr>
            </w:pPr>
          </w:p>
        </w:tc>
        <w:tc>
          <w:tcPr>
            <w:tcW w:w="1288" w:type="dxa"/>
            <w:tcBorders/>
          </w:tcPr>
          <w:p w14:paraId="0F0494CE">
            <w:pPr>
              <w:pStyle w:val="style0"/>
              <w:spacing w:lineRule="auto" w:line="360"/>
              <w:jc w:val="both"/>
              <w:rPr>
                <w:rFonts w:ascii="Arial" w:cs="Arial" w:hAnsi="Arial"/>
                <w:sz w:val="24"/>
                <w:lang w:val="en-GB" w:eastAsia="en-GB"/>
              </w:rPr>
            </w:pPr>
          </w:p>
        </w:tc>
        <w:tc>
          <w:tcPr>
            <w:tcW w:w="1288" w:type="dxa"/>
            <w:tcBorders/>
          </w:tcPr>
          <w:p w14:paraId="3DCD5005">
            <w:pPr>
              <w:pStyle w:val="style0"/>
              <w:spacing w:lineRule="auto" w:line="360"/>
              <w:jc w:val="both"/>
              <w:rPr>
                <w:rFonts w:ascii="Arial" w:cs="Arial" w:hAnsi="Arial"/>
                <w:sz w:val="24"/>
                <w:lang w:val="en-GB" w:eastAsia="en-GB"/>
              </w:rPr>
            </w:pPr>
          </w:p>
        </w:tc>
        <w:tc>
          <w:tcPr>
            <w:tcW w:w="1288" w:type="dxa"/>
            <w:tcBorders/>
          </w:tcPr>
          <w:p w14:paraId="0883979A">
            <w:pPr>
              <w:pStyle w:val="style0"/>
              <w:spacing w:lineRule="auto" w:line="360"/>
              <w:jc w:val="both"/>
              <w:rPr>
                <w:rFonts w:ascii="Arial" w:cs="Arial" w:hAnsi="Arial"/>
                <w:sz w:val="24"/>
                <w:lang w:val="en-GB" w:eastAsia="en-GB"/>
              </w:rPr>
            </w:pPr>
          </w:p>
        </w:tc>
      </w:tr>
      <w:tr w14:paraId="3EB21BDF">
        <w:tblPrEx/>
        <w:trPr/>
        <w:tc>
          <w:tcPr>
            <w:tcW w:w="1288" w:type="dxa"/>
            <w:tcBorders/>
          </w:tcPr>
          <w:p w14:paraId="45841A21">
            <w:pPr>
              <w:pStyle w:val="style0"/>
              <w:spacing w:lineRule="auto" w:line="360"/>
              <w:jc w:val="both"/>
              <w:rPr>
                <w:rFonts w:ascii="Arial" w:cs="Arial" w:hAnsi="Arial"/>
                <w:b/>
                <w:sz w:val="24"/>
                <w:lang w:val="en-GB" w:eastAsia="en-GB"/>
              </w:rPr>
            </w:pPr>
            <w:r>
              <w:rPr>
                <w:rFonts w:ascii="Arial" w:cs="Arial" w:hAnsi="Arial"/>
                <w:b/>
                <w:sz w:val="24"/>
                <w:lang w:val="en-GB" w:eastAsia="en-GB"/>
              </w:rPr>
              <w:t>Literature Search</w:t>
            </w:r>
          </w:p>
        </w:tc>
        <w:tc>
          <w:tcPr>
            <w:tcW w:w="1288" w:type="dxa"/>
            <w:tcBorders/>
          </w:tcPr>
          <w:p w14:paraId="77EB4B03">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18A9A8EE">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3FC2693C">
            <w:pPr>
              <w:pStyle w:val="style0"/>
              <w:spacing w:lineRule="auto" w:line="360"/>
              <w:jc w:val="both"/>
              <w:rPr>
                <w:rFonts w:ascii="Arial" w:cs="Arial" w:hAnsi="Arial"/>
                <w:sz w:val="24"/>
                <w:lang w:val="en-GB" w:eastAsia="en-GB"/>
              </w:rPr>
            </w:pPr>
          </w:p>
        </w:tc>
        <w:tc>
          <w:tcPr>
            <w:tcW w:w="1288" w:type="dxa"/>
            <w:tcBorders/>
          </w:tcPr>
          <w:p w14:paraId="204BF42C">
            <w:pPr>
              <w:pStyle w:val="style0"/>
              <w:spacing w:lineRule="auto" w:line="360"/>
              <w:jc w:val="both"/>
              <w:rPr>
                <w:rFonts w:ascii="Arial" w:cs="Arial" w:hAnsi="Arial"/>
                <w:sz w:val="24"/>
                <w:lang w:val="en-GB" w:eastAsia="en-GB"/>
              </w:rPr>
            </w:pPr>
          </w:p>
        </w:tc>
        <w:tc>
          <w:tcPr>
            <w:tcW w:w="1288" w:type="dxa"/>
            <w:tcBorders/>
          </w:tcPr>
          <w:p w14:paraId="1CE2F981">
            <w:pPr>
              <w:pStyle w:val="style0"/>
              <w:spacing w:lineRule="auto" w:line="360"/>
              <w:jc w:val="both"/>
              <w:rPr>
                <w:rFonts w:ascii="Arial" w:cs="Arial" w:hAnsi="Arial"/>
                <w:sz w:val="24"/>
                <w:lang w:val="en-GB" w:eastAsia="en-GB"/>
              </w:rPr>
            </w:pPr>
          </w:p>
        </w:tc>
        <w:tc>
          <w:tcPr>
            <w:tcW w:w="1288" w:type="dxa"/>
            <w:tcBorders/>
          </w:tcPr>
          <w:p w14:paraId="4A8A8236">
            <w:pPr>
              <w:pStyle w:val="style0"/>
              <w:spacing w:lineRule="auto" w:line="360"/>
              <w:jc w:val="both"/>
              <w:rPr>
                <w:rFonts w:ascii="Arial" w:cs="Arial" w:hAnsi="Arial"/>
                <w:sz w:val="24"/>
                <w:lang w:val="en-GB" w:eastAsia="en-GB"/>
              </w:rPr>
            </w:pPr>
          </w:p>
        </w:tc>
      </w:tr>
      <w:tr w14:paraId="2BF51B0F">
        <w:tblPrEx/>
        <w:trPr/>
        <w:tc>
          <w:tcPr>
            <w:tcW w:w="1288" w:type="dxa"/>
            <w:tcBorders/>
          </w:tcPr>
          <w:p w14:paraId="51E41413">
            <w:pPr>
              <w:pStyle w:val="style0"/>
              <w:spacing w:lineRule="auto" w:line="360"/>
              <w:jc w:val="both"/>
              <w:rPr>
                <w:rFonts w:ascii="Arial" w:cs="Arial" w:hAnsi="Arial"/>
                <w:b/>
                <w:sz w:val="24"/>
                <w:lang w:val="en-GB" w:eastAsia="en-GB"/>
              </w:rPr>
            </w:pPr>
            <w:r>
              <w:rPr>
                <w:rFonts w:ascii="Arial" w:cs="Arial" w:hAnsi="Arial"/>
                <w:b/>
                <w:sz w:val="24"/>
                <w:lang w:val="en-GB" w:eastAsia="en-GB"/>
              </w:rPr>
              <w:t>Literature Review</w:t>
            </w:r>
          </w:p>
        </w:tc>
        <w:tc>
          <w:tcPr>
            <w:tcW w:w="1288" w:type="dxa"/>
            <w:tcBorders/>
          </w:tcPr>
          <w:p w14:paraId="35E3037B">
            <w:pPr>
              <w:pStyle w:val="style0"/>
              <w:spacing w:lineRule="auto" w:line="360"/>
              <w:jc w:val="both"/>
              <w:rPr>
                <w:rFonts w:ascii="Arial" w:cs="Arial" w:hAnsi="Arial"/>
                <w:sz w:val="24"/>
                <w:lang w:val="en-GB" w:eastAsia="en-GB"/>
              </w:rPr>
            </w:pPr>
          </w:p>
        </w:tc>
        <w:tc>
          <w:tcPr>
            <w:tcW w:w="1288" w:type="dxa"/>
            <w:tcBorders/>
          </w:tcPr>
          <w:p w14:paraId="610952B5">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3DB6DF77">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2BA7BFC8">
            <w:pPr>
              <w:pStyle w:val="style0"/>
              <w:spacing w:lineRule="auto" w:line="360"/>
              <w:jc w:val="both"/>
              <w:rPr>
                <w:rFonts w:ascii="Arial" w:cs="Arial" w:hAnsi="Arial"/>
                <w:sz w:val="24"/>
                <w:lang w:val="en-GB" w:eastAsia="en-GB"/>
              </w:rPr>
            </w:pPr>
          </w:p>
        </w:tc>
        <w:tc>
          <w:tcPr>
            <w:tcW w:w="1288" w:type="dxa"/>
            <w:tcBorders/>
          </w:tcPr>
          <w:p w14:paraId="5D75368B">
            <w:pPr>
              <w:pStyle w:val="style0"/>
              <w:spacing w:lineRule="auto" w:line="360"/>
              <w:jc w:val="both"/>
              <w:rPr>
                <w:rFonts w:ascii="Arial" w:cs="Arial" w:hAnsi="Arial"/>
                <w:sz w:val="24"/>
                <w:lang w:val="en-GB" w:eastAsia="en-GB"/>
              </w:rPr>
            </w:pPr>
          </w:p>
        </w:tc>
        <w:tc>
          <w:tcPr>
            <w:tcW w:w="1288" w:type="dxa"/>
            <w:tcBorders/>
          </w:tcPr>
          <w:p w14:paraId="74BA58FF">
            <w:pPr>
              <w:pStyle w:val="style0"/>
              <w:spacing w:lineRule="auto" w:line="360"/>
              <w:jc w:val="both"/>
              <w:rPr>
                <w:rFonts w:ascii="Arial" w:cs="Arial" w:hAnsi="Arial"/>
                <w:sz w:val="24"/>
                <w:lang w:val="en-GB" w:eastAsia="en-GB"/>
              </w:rPr>
            </w:pPr>
          </w:p>
        </w:tc>
      </w:tr>
      <w:tr w14:paraId="07297A28">
        <w:tblPrEx/>
        <w:trPr/>
        <w:tc>
          <w:tcPr>
            <w:tcW w:w="1288" w:type="dxa"/>
            <w:tcBorders/>
          </w:tcPr>
          <w:p w14:paraId="751BE1FE">
            <w:pPr>
              <w:pStyle w:val="style0"/>
              <w:spacing w:lineRule="auto" w:line="360"/>
              <w:jc w:val="both"/>
              <w:rPr>
                <w:rFonts w:ascii="Arial" w:cs="Arial" w:hAnsi="Arial"/>
                <w:b/>
                <w:sz w:val="24"/>
                <w:lang w:val="en-GB" w:eastAsia="en-GB"/>
              </w:rPr>
            </w:pPr>
            <w:r>
              <w:rPr>
                <w:rFonts w:ascii="Arial" w:cs="Arial" w:hAnsi="Arial"/>
                <w:b/>
                <w:sz w:val="24"/>
                <w:lang w:val="en-GB" w:eastAsia="en-GB"/>
              </w:rPr>
              <w:t>Methodology Development</w:t>
            </w:r>
          </w:p>
        </w:tc>
        <w:tc>
          <w:tcPr>
            <w:tcW w:w="1288" w:type="dxa"/>
            <w:tcBorders/>
          </w:tcPr>
          <w:p w14:paraId="49B9BB6B">
            <w:pPr>
              <w:pStyle w:val="style0"/>
              <w:spacing w:lineRule="auto" w:line="360"/>
              <w:jc w:val="both"/>
              <w:rPr>
                <w:rFonts w:ascii="Arial" w:cs="Arial" w:hAnsi="Arial"/>
                <w:sz w:val="24"/>
                <w:lang w:val="en-GB" w:eastAsia="en-GB"/>
              </w:rPr>
            </w:pPr>
          </w:p>
        </w:tc>
        <w:tc>
          <w:tcPr>
            <w:tcW w:w="1288" w:type="dxa"/>
            <w:tcBorders/>
          </w:tcPr>
          <w:p w14:paraId="7557D24E">
            <w:pPr>
              <w:pStyle w:val="style0"/>
              <w:spacing w:lineRule="auto" w:line="360"/>
              <w:jc w:val="both"/>
              <w:rPr>
                <w:rFonts w:ascii="Arial" w:cs="Arial" w:hAnsi="Arial"/>
                <w:sz w:val="24"/>
                <w:lang w:val="en-GB" w:eastAsia="en-GB"/>
              </w:rPr>
            </w:pPr>
          </w:p>
        </w:tc>
        <w:tc>
          <w:tcPr>
            <w:tcW w:w="1288" w:type="dxa"/>
            <w:tcBorders/>
          </w:tcPr>
          <w:p w14:paraId="452C03C1">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4498E20C">
            <w:pPr>
              <w:pStyle w:val="style0"/>
              <w:spacing w:lineRule="auto" w:line="360"/>
              <w:jc w:val="both"/>
              <w:rPr>
                <w:rFonts w:ascii="Arial" w:cs="Arial" w:hAnsi="Arial"/>
                <w:sz w:val="24"/>
                <w:lang w:val="en-GB" w:eastAsia="en-GB"/>
              </w:rPr>
            </w:pPr>
          </w:p>
        </w:tc>
        <w:tc>
          <w:tcPr>
            <w:tcW w:w="1288" w:type="dxa"/>
            <w:tcBorders/>
          </w:tcPr>
          <w:p w14:paraId="3824C585">
            <w:pPr>
              <w:pStyle w:val="style0"/>
              <w:spacing w:lineRule="auto" w:line="360"/>
              <w:jc w:val="both"/>
              <w:rPr>
                <w:rFonts w:ascii="Arial" w:cs="Arial" w:hAnsi="Arial"/>
                <w:sz w:val="24"/>
                <w:lang w:val="en-GB" w:eastAsia="en-GB"/>
              </w:rPr>
            </w:pPr>
          </w:p>
        </w:tc>
        <w:tc>
          <w:tcPr>
            <w:tcW w:w="1288" w:type="dxa"/>
            <w:tcBorders/>
          </w:tcPr>
          <w:p w14:paraId="75BA4D04">
            <w:pPr>
              <w:pStyle w:val="style0"/>
              <w:spacing w:lineRule="auto" w:line="360"/>
              <w:jc w:val="both"/>
              <w:rPr>
                <w:rFonts w:ascii="Arial" w:cs="Arial" w:hAnsi="Arial"/>
                <w:sz w:val="24"/>
                <w:lang w:val="en-GB" w:eastAsia="en-GB"/>
              </w:rPr>
            </w:pPr>
          </w:p>
        </w:tc>
      </w:tr>
      <w:tr w14:paraId="42995FD6">
        <w:tblPrEx/>
        <w:trPr/>
        <w:tc>
          <w:tcPr>
            <w:tcW w:w="1288" w:type="dxa"/>
            <w:tcBorders/>
          </w:tcPr>
          <w:p w14:paraId="5D4012FE">
            <w:pPr>
              <w:pStyle w:val="style0"/>
              <w:spacing w:lineRule="auto" w:line="360"/>
              <w:jc w:val="both"/>
              <w:rPr>
                <w:rFonts w:ascii="Arial" w:cs="Arial" w:hAnsi="Arial"/>
                <w:b/>
                <w:sz w:val="24"/>
                <w:lang w:val="en-GB" w:eastAsia="en-GB"/>
              </w:rPr>
            </w:pPr>
            <w:r>
              <w:rPr>
                <w:rFonts w:ascii="Arial" w:cs="Arial" w:hAnsi="Arial"/>
                <w:b/>
                <w:sz w:val="24"/>
                <w:lang w:val="en-GB" w:eastAsia="en-GB"/>
              </w:rPr>
              <w:t>Secondary Data Collection</w:t>
            </w:r>
          </w:p>
        </w:tc>
        <w:tc>
          <w:tcPr>
            <w:tcW w:w="1288" w:type="dxa"/>
            <w:tcBorders/>
          </w:tcPr>
          <w:p w14:paraId="7E257888">
            <w:pPr>
              <w:pStyle w:val="style0"/>
              <w:spacing w:lineRule="auto" w:line="360"/>
              <w:jc w:val="both"/>
              <w:rPr>
                <w:rFonts w:ascii="Arial" w:cs="Arial" w:hAnsi="Arial"/>
                <w:sz w:val="24"/>
                <w:lang w:val="en-GB" w:eastAsia="en-GB"/>
              </w:rPr>
            </w:pPr>
          </w:p>
        </w:tc>
        <w:tc>
          <w:tcPr>
            <w:tcW w:w="1288" w:type="dxa"/>
            <w:tcBorders/>
          </w:tcPr>
          <w:p w14:paraId="7E8DE693">
            <w:pPr>
              <w:pStyle w:val="style0"/>
              <w:spacing w:lineRule="auto" w:line="360"/>
              <w:jc w:val="both"/>
              <w:rPr>
                <w:rFonts w:ascii="Arial" w:cs="Arial" w:hAnsi="Arial"/>
                <w:sz w:val="24"/>
                <w:lang w:val="en-GB" w:eastAsia="en-GB"/>
              </w:rPr>
            </w:pPr>
          </w:p>
        </w:tc>
        <w:tc>
          <w:tcPr>
            <w:tcW w:w="1288" w:type="dxa"/>
            <w:tcBorders/>
          </w:tcPr>
          <w:p w14:paraId="24D38845">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621F8413">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6E1AB1E7">
            <w:pPr>
              <w:pStyle w:val="style0"/>
              <w:spacing w:lineRule="auto" w:line="360"/>
              <w:jc w:val="both"/>
              <w:rPr>
                <w:rFonts w:ascii="Arial" w:cs="Arial" w:hAnsi="Arial"/>
                <w:sz w:val="24"/>
                <w:lang w:val="en-GB" w:eastAsia="en-GB"/>
              </w:rPr>
            </w:pPr>
          </w:p>
        </w:tc>
        <w:tc>
          <w:tcPr>
            <w:tcW w:w="1288" w:type="dxa"/>
            <w:tcBorders/>
          </w:tcPr>
          <w:p w14:paraId="1127E56E">
            <w:pPr>
              <w:pStyle w:val="style0"/>
              <w:spacing w:lineRule="auto" w:line="360"/>
              <w:jc w:val="both"/>
              <w:rPr>
                <w:rFonts w:ascii="Arial" w:cs="Arial" w:hAnsi="Arial"/>
                <w:sz w:val="24"/>
                <w:lang w:val="en-GB" w:eastAsia="en-GB"/>
              </w:rPr>
            </w:pPr>
          </w:p>
        </w:tc>
      </w:tr>
      <w:tr w14:paraId="0DE7BC7C">
        <w:tblPrEx/>
        <w:trPr/>
        <w:tc>
          <w:tcPr>
            <w:tcW w:w="1288" w:type="dxa"/>
            <w:tcBorders/>
          </w:tcPr>
          <w:p w14:paraId="10FE7B66">
            <w:pPr>
              <w:pStyle w:val="style0"/>
              <w:spacing w:lineRule="auto" w:line="360"/>
              <w:jc w:val="both"/>
              <w:rPr>
                <w:rFonts w:ascii="Arial" w:cs="Arial" w:hAnsi="Arial"/>
                <w:b/>
                <w:sz w:val="24"/>
                <w:lang w:val="en-GB" w:eastAsia="en-GB"/>
              </w:rPr>
            </w:pPr>
            <w:r>
              <w:rPr>
                <w:rFonts w:ascii="Arial" w:cs="Arial" w:hAnsi="Arial"/>
                <w:b/>
                <w:sz w:val="24"/>
                <w:lang w:val="en-GB" w:eastAsia="en-GB"/>
              </w:rPr>
              <w:t xml:space="preserve">Data Analysis </w:t>
            </w:r>
            <w:r>
              <w:rPr>
                <w:rFonts w:ascii="Arial" w:cs="Arial" w:hAnsi="Arial"/>
                <w:b/>
                <w:sz w:val="24"/>
                <w:lang w:val="en-GB" w:eastAsia="en-GB"/>
              </w:rPr>
              <w:t>(Thematic Analysis)</w:t>
            </w:r>
          </w:p>
        </w:tc>
        <w:tc>
          <w:tcPr>
            <w:tcW w:w="1288" w:type="dxa"/>
            <w:tcBorders/>
          </w:tcPr>
          <w:p w14:paraId="0DD0A5B0">
            <w:pPr>
              <w:pStyle w:val="style0"/>
              <w:spacing w:lineRule="auto" w:line="360"/>
              <w:jc w:val="both"/>
              <w:rPr>
                <w:rFonts w:ascii="Arial" w:cs="Arial" w:hAnsi="Arial"/>
                <w:sz w:val="24"/>
                <w:lang w:val="en-GB" w:eastAsia="en-GB"/>
              </w:rPr>
            </w:pPr>
          </w:p>
        </w:tc>
        <w:tc>
          <w:tcPr>
            <w:tcW w:w="1288" w:type="dxa"/>
            <w:tcBorders/>
          </w:tcPr>
          <w:p w14:paraId="18711C2B">
            <w:pPr>
              <w:pStyle w:val="style0"/>
              <w:spacing w:lineRule="auto" w:line="360"/>
              <w:jc w:val="both"/>
              <w:rPr>
                <w:rFonts w:ascii="Arial" w:cs="Arial" w:hAnsi="Arial"/>
                <w:sz w:val="24"/>
                <w:lang w:val="en-GB" w:eastAsia="en-GB"/>
              </w:rPr>
            </w:pPr>
          </w:p>
        </w:tc>
        <w:tc>
          <w:tcPr>
            <w:tcW w:w="1288" w:type="dxa"/>
            <w:tcBorders/>
          </w:tcPr>
          <w:p w14:paraId="46525F2F">
            <w:pPr>
              <w:pStyle w:val="style0"/>
              <w:spacing w:lineRule="auto" w:line="360"/>
              <w:jc w:val="both"/>
              <w:rPr>
                <w:rFonts w:ascii="Arial" w:cs="Arial" w:hAnsi="Arial"/>
                <w:sz w:val="24"/>
                <w:lang w:val="en-GB" w:eastAsia="en-GB"/>
              </w:rPr>
            </w:pPr>
          </w:p>
        </w:tc>
        <w:tc>
          <w:tcPr>
            <w:tcW w:w="1288" w:type="dxa"/>
            <w:tcBorders/>
          </w:tcPr>
          <w:p w14:paraId="611A6570">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4CB271F2">
            <w:pPr>
              <w:pStyle w:val="style0"/>
              <w:spacing w:lineRule="auto" w:line="360"/>
              <w:jc w:val="both"/>
              <w:rPr>
                <w:rFonts w:ascii="Arial" w:cs="Arial" w:hAnsi="Arial"/>
                <w:sz w:val="24"/>
                <w:lang w:val="en-GB" w:eastAsia="en-GB"/>
              </w:rPr>
            </w:pPr>
          </w:p>
        </w:tc>
        <w:tc>
          <w:tcPr>
            <w:tcW w:w="1288" w:type="dxa"/>
            <w:tcBorders/>
          </w:tcPr>
          <w:p w14:paraId="74CA3F35">
            <w:pPr>
              <w:pStyle w:val="style0"/>
              <w:spacing w:lineRule="auto" w:line="360"/>
              <w:jc w:val="both"/>
              <w:rPr>
                <w:rFonts w:ascii="Arial" w:cs="Arial" w:hAnsi="Arial"/>
                <w:sz w:val="24"/>
                <w:lang w:val="en-GB" w:eastAsia="en-GB"/>
              </w:rPr>
            </w:pPr>
          </w:p>
        </w:tc>
      </w:tr>
      <w:tr w14:paraId="26B787B3">
        <w:tblPrEx/>
        <w:trPr/>
        <w:tc>
          <w:tcPr>
            <w:tcW w:w="1288" w:type="dxa"/>
            <w:tcBorders/>
          </w:tcPr>
          <w:p w14:paraId="0E3687A3">
            <w:pPr>
              <w:pStyle w:val="style0"/>
              <w:spacing w:lineRule="auto" w:line="360"/>
              <w:jc w:val="both"/>
              <w:rPr>
                <w:rFonts w:ascii="Arial" w:cs="Arial" w:hAnsi="Arial"/>
                <w:b/>
                <w:sz w:val="24"/>
                <w:lang w:val="en-GB" w:eastAsia="en-GB"/>
              </w:rPr>
            </w:pPr>
            <w:r>
              <w:rPr>
                <w:rFonts w:ascii="Arial" w:cs="Arial" w:hAnsi="Arial"/>
                <w:b/>
                <w:sz w:val="24"/>
                <w:lang w:val="en-GB" w:eastAsia="en-GB"/>
              </w:rPr>
              <w:t>Writing Dissertation</w:t>
            </w:r>
          </w:p>
        </w:tc>
        <w:tc>
          <w:tcPr>
            <w:tcW w:w="1288" w:type="dxa"/>
            <w:tcBorders/>
          </w:tcPr>
          <w:p w14:paraId="5CFE4098">
            <w:pPr>
              <w:pStyle w:val="style0"/>
              <w:spacing w:lineRule="auto" w:line="360"/>
              <w:jc w:val="both"/>
              <w:rPr>
                <w:rFonts w:ascii="Arial" w:cs="Arial" w:hAnsi="Arial"/>
                <w:sz w:val="24"/>
                <w:lang w:val="en-GB" w:eastAsia="en-GB"/>
              </w:rPr>
            </w:pPr>
          </w:p>
        </w:tc>
        <w:tc>
          <w:tcPr>
            <w:tcW w:w="1288" w:type="dxa"/>
            <w:tcBorders/>
          </w:tcPr>
          <w:p w14:paraId="2100F2E5">
            <w:pPr>
              <w:pStyle w:val="style0"/>
              <w:spacing w:lineRule="auto" w:line="360"/>
              <w:jc w:val="both"/>
              <w:rPr>
                <w:rFonts w:ascii="Arial" w:cs="Arial" w:hAnsi="Arial"/>
                <w:sz w:val="24"/>
                <w:lang w:val="en-GB" w:eastAsia="en-GB"/>
              </w:rPr>
            </w:pPr>
          </w:p>
        </w:tc>
        <w:tc>
          <w:tcPr>
            <w:tcW w:w="1288" w:type="dxa"/>
            <w:tcBorders/>
          </w:tcPr>
          <w:p w14:paraId="3C72EF58">
            <w:pPr>
              <w:pStyle w:val="style0"/>
              <w:spacing w:lineRule="auto" w:line="360"/>
              <w:jc w:val="both"/>
              <w:rPr>
                <w:rFonts w:ascii="Arial" w:cs="Arial" w:hAnsi="Arial"/>
                <w:sz w:val="24"/>
                <w:lang w:val="en-GB" w:eastAsia="en-GB"/>
              </w:rPr>
            </w:pPr>
          </w:p>
        </w:tc>
        <w:tc>
          <w:tcPr>
            <w:tcW w:w="1288" w:type="dxa"/>
            <w:tcBorders/>
          </w:tcPr>
          <w:p w14:paraId="2054C6A2">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6F54E926">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27814EC4">
            <w:pPr>
              <w:pStyle w:val="style0"/>
              <w:spacing w:lineRule="auto" w:line="360"/>
              <w:jc w:val="both"/>
              <w:rPr>
                <w:rFonts w:ascii="Arial" w:cs="Arial" w:hAnsi="Arial"/>
                <w:sz w:val="24"/>
                <w:lang w:val="en-GB" w:eastAsia="en-GB"/>
              </w:rPr>
            </w:pPr>
          </w:p>
        </w:tc>
      </w:tr>
      <w:tr w14:paraId="4E3E8CD3">
        <w:tblPrEx/>
        <w:trPr/>
        <w:tc>
          <w:tcPr>
            <w:tcW w:w="1288" w:type="dxa"/>
            <w:tcBorders/>
          </w:tcPr>
          <w:p w14:paraId="69DDB757">
            <w:pPr>
              <w:pStyle w:val="style0"/>
              <w:spacing w:lineRule="auto" w:line="360"/>
              <w:jc w:val="both"/>
              <w:rPr>
                <w:rFonts w:ascii="Arial" w:cs="Arial" w:hAnsi="Arial"/>
                <w:b/>
                <w:sz w:val="24"/>
                <w:lang w:val="en-GB" w:eastAsia="en-GB"/>
              </w:rPr>
            </w:pPr>
            <w:r>
              <w:rPr>
                <w:rFonts w:ascii="Arial" w:cs="Arial" w:hAnsi="Arial"/>
                <w:b/>
                <w:sz w:val="24"/>
                <w:lang w:val="en-GB" w:eastAsia="en-GB"/>
              </w:rPr>
              <w:t>Editing and Proofreading</w:t>
            </w:r>
          </w:p>
        </w:tc>
        <w:tc>
          <w:tcPr>
            <w:tcW w:w="1288" w:type="dxa"/>
            <w:tcBorders/>
          </w:tcPr>
          <w:p w14:paraId="79CF7239">
            <w:pPr>
              <w:pStyle w:val="style0"/>
              <w:spacing w:lineRule="auto" w:line="360"/>
              <w:jc w:val="both"/>
              <w:rPr>
                <w:rFonts w:ascii="Arial" w:cs="Arial" w:hAnsi="Arial"/>
                <w:sz w:val="24"/>
                <w:lang w:val="en-GB" w:eastAsia="en-GB"/>
              </w:rPr>
            </w:pPr>
          </w:p>
        </w:tc>
        <w:tc>
          <w:tcPr>
            <w:tcW w:w="1288" w:type="dxa"/>
            <w:tcBorders/>
          </w:tcPr>
          <w:p w14:paraId="265DEAF2">
            <w:pPr>
              <w:pStyle w:val="style0"/>
              <w:spacing w:lineRule="auto" w:line="360"/>
              <w:jc w:val="both"/>
              <w:rPr>
                <w:rFonts w:ascii="Arial" w:cs="Arial" w:hAnsi="Arial"/>
                <w:sz w:val="24"/>
                <w:lang w:val="en-GB" w:eastAsia="en-GB"/>
              </w:rPr>
            </w:pPr>
          </w:p>
        </w:tc>
        <w:tc>
          <w:tcPr>
            <w:tcW w:w="1288" w:type="dxa"/>
            <w:tcBorders/>
          </w:tcPr>
          <w:p w14:paraId="7C0B11AA">
            <w:pPr>
              <w:pStyle w:val="style0"/>
              <w:spacing w:lineRule="auto" w:line="360"/>
              <w:jc w:val="both"/>
              <w:rPr>
                <w:rFonts w:ascii="Arial" w:cs="Arial" w:hAnsi="Arial"/>
                <w:sz w:val="24"/>
                <w:lang w:val="en-GB" w:eastAsia="en-GB"/>
              </w:rPr>
            </w:pPr>
          </w:p>
        </w:tc>
        <w:tc>
          <w:tcPr>
            <w:tcW w:w="1288" w:type="dxa"/>
            <w:tcBorders/>
          </w:tcPr>
          <w:p w14:paraId="4FB19919">
            <w:pPr>
              <w:pStyle w:val="style0"/>
              <w:spacing w:lineRule="auto" w:line="360"/>
              <w:jc w:val="both"/>
              <w:rPr>
                <w:rFonts w:ascii="Arial" w:cs="Arial" w:hAnsi="Arial"/>
                <w:sz w:val="24"/>
                <w:lang w:val="en-GB" w:eastAsia="en-GB"/>
              </w:rPr>
            </w:pPr>
          </w:p>
        </w:tc>
        <w:tc>
          <w:tcPr>
            <w:tcW w:w="1288" w:type="dxa"/>
            <w:tcBorders/>
          </w:tcPr>
          <w:p w14:paraId="6B4B351D">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3F417BFE">
            <w:pPr>
              <w:pStyle w:val="style0"/>
              <w:spacing w:lineRule="auto" w:line="360"/>
              <w:jc w:val="both"/>
              <w:rPr>
                <w:rFonts w:ascii="Arial" w:cs="Arial" w:hAnsi="Arial"/>
                <w:sz w:val="24"/>
                <w:lang w:val="en-GB" w:eastAsia="en-GB"/>
              </w:rPr>
            </w:pPr>
          </w:p>
        </w:tc>
      </w:tr>
      <w:tr w14:paraId="172B50D2">
        <w:tblPrEx/>
        <w:trPr/>
        <w:tc>
          <w:tcPr>
            <w:tcW w:w="1288" w:type="dxa"/>
            <w:tcBorders/>
          </w:tcPr>
          <w:p w14:paraId="50AD546A">
            <w:pPr>
              <w:pStyle w:val="style0"/>
              <w:spacing w:lineRule="auto" w:line="360"/>
              <w:jc w:val="both"/>
              <w:rPr>
                <w:rFonts w:ascii="Arial" w:cs="Arial" w:hAnsi="Arial"/>
                <w:b/>
                <w:sz w:val="24"/>
                <w:lang w:val="en-GB" w:eastAsia="en-GB"/>
              </w:rPr>
            </w:pPr>
            <w:r>
              <w:rPr>
                <w:rFonts w:ascii="Arial" w:cs="Arial" w:hAnsi="Arial"/>
                <w:b/>
                <w:sz w:val="24"/>
                <w:lang w:val="en-GB" w:eastAsia="en-GB"/>
              </w:rPr>
              <w:t>Supervisor Review and Revisions</w:t>
            </w:r>
          </w:p>
        </w:tc>
        <w:tc>
          <w:tcPr>
            <w:tcW w:w="1288" w:type="dxa"/>
            <w:tcBorders/>
          </w:tcPr>
          <w:p w14:paraId="248C5794">
            <w:pPr>
              <w:pStyle w:val="style0"/>
              <w:spacing w:lineRule="auto" w:line="360"/>
              <w:jc w:val="both"/>
              <w:rPr>
                <w:rFonts w:ascii="Arial" w:cs="Arial" w:hAnsi="Arial"/>
                <w:sz w:val="24"/>
                <w:lang w:val="en-GB" w:eastAsia="en-GB"/>
              </w:rPr>
            </w:pPr>
          </w:p>
        </w:tc>
        <w:tc>
          <w:tcPr>
            <w:tcW w:w="1288" w:type="dxa"/>
            <w:tcBorders/>
          </w:tcPr>
          <w:p w14:paraId="37087FEA">
            <w:pPr>
              <w:pStyle w:val="style0"/>
              <w:spacing w:lineRule="auto" w:line="360"/>
              <w:jc w:val="both"/>
              <w:rPr>
                <w:rFonts w:ascii="Arial" w:cs="Arial" w:hAnsi="Arial"/>
                <w:sz w:val="24"/>
                <w:lang w:val="en-GB" w:eastAsia="en-GB"/>
              </w:rPr>
            </w:pPr>
          </w:p>
        </w:tc>
        <w:tc>
          <w:tcPr>
            <w:tcW w:w="1288" w:type="dxa"/>
            <w:tcBorders/>
          </w:tcPr>
          <w:p w14:paraId="5C2001DB">
            <w:pPr>
              <w:pStyle w:val="style0"/>
              <w:spacing w:lineRule="auto" w:line="360"/>
              <w:jc w:val="both"/>
              <w:rPr>
                <w:rFonts w:ascii="Arial" w:cs="Arial" w:hAnsi="Arial"/>
                <w:sz w:val="24"/>
                <w:lang w:val="en-GB" w:eastAsia="en-GB"/>
              </w:rPr>
            </w:pPr>
          </w:p>
        </w:tc>
        <w:tc>
          <w:tcPr>
            <w:tcW w:w="1288" w:type="dxa"/>
            <w:tcBorders/>
          </w:tcPr>
          <w:p w14:paraId="52F42432">
            <w:pPr>
              <w:pStyle w:val="style0"/>
              <w:spacing w:lineRule="auto" w:line="360"/>
              <w:jc w:val="both"/>
              <w:rPr>
                <w:rFonts w:ascii="Arial" w:cs="Arial" w:hAnsi="Arial"/>
                <w:sz w:val="24"/>
                <w:lang w:val="en-GB" w:eastAsia="en-GB"/>
              </w:rPr>
            </w:pPr>
          </w:p>
        </w:tc>
        <w:tc>
          <w:tcPr>
            <w:tcW w:w="1288" w:type="dxa"/>
            <w:tcBorders/>
          </w:tcPr>
          <w:p w14:paraId="7B1D72BE">
            <w:pPr>
              <w:pStyle w:val="style0"/>
              <w:spacing w:lineRule="auto" w:line="360"/>
              <w:jc w:val="both"/>
              <w:rPr>
                <w:rFonts w:ascii="Arial" w:cs="Arial" w:hAnsi="Arial"/>
                <w:sz w:val="24"/>
                <w:lang w:val="en-GB" w:eastAsia="en-GB"/>
              </w:rPr>
            </w:pPr>
            <w:r>
              <w:rPr>
                <w:rFonts w:ascii="Arial" w:cs="Arial" w:hAnsi="Arial"/>
                <w:sz w:val="24"/>
                <w:lang w:val="en-GB" w:eastAsia="en-GB"/>
              </w:rPr>
              <w:t>●</w:t>
            </w:r>
          </w:p>
        </w:tc>
        <w:tc>
          <w:tcPr>
            <w:tcW w:w="1288" w:type="dxa"/>
            <w:tcBorders/>
          </w:tcPr>
          <w:p w14:paraId="33C7E866">
            <w:pPr>
              <w:pStyle w:val="style0"/>
              <w:spacing w:lineRule="auto" w:line="360"/>
              <w:jc w:val="both"/>
              <w:rPr>
                <w:rFonts w:ascii="Arial" w:cs="Arial" w:hAnsi="Arial"/>
                <w:sz w:val="24"/>
                <w:lang w:val="en-GB" w:eastAsia="en-GB"/>
              </w:rPr>
            </w:pPr>
            <w:r>
              <w:rPr>
                <w:rFonts w:ascii="Arial" w:cs="Arial" w:hAnsi="Arial"/>
                <w:sz w:val="24"/>
                <w:lang w:val="en-GB" w:eastAsia="en-GB"/>
              </w:rPr>
              <w:t>●</w:t>
            </w:r>
          </w:p>
        </w:tc>
      </w:tr>
      <w:tr w14:paraId="31452EB6">
        <w:tblPrEx/>
        <w:trPr/>
        <w:tc>
          <w:tcPr>
            <w:tcW w:w="1288" w:type="dxa"/>
            <w:tcBorders/>
          </w:tcPr>
          <w:p w14:paraId="73C851DE">
            <w:pPr>
              <w:pStyle w:val="style0"/>
              <w:spacing w:lineRule="auto" w:line="360"/>
              <w:jc w:val="both"/>
              <w:rPr>
                <w:rFonts w:ascii="Arial" w:cs="Arial" w:hAnsi="Arial"/>
                <w:b/>
                <w:sz w:val="24"/>
                <w:lang w:val="en-GB" w:eastAsia="en-GB"/>
              </w:rPr>
            </w:pPr>
            <w:r>
              <w:rPr>
                <w:rFonts w:ascii="Arial" w:cs="Arial" w:hAnsi="Arial"/>
                <w:b/>
                <w:sz w:val="24"/>
                <w:lang w:val="en-GB" w:eastAsia="en-GB"/>
              </w:rPr>
              <w:t>Final Submission</w:t>
            </w:r>
          </w:p>
        </w:tc>
        <w:tc>
          <w:tcPr>
            <w:tcW w:w="1288" w:type="dxa"/>
            <w:tcBorders/>
          </w:tcPr>
          <w:p w14:paraId="66F999B9">
            <w:pPr>
              <w:pStyle w:val="style0"/>
              <w:spacing w:lineRule="auto" w:line="360"/>
              <w:jc w:val="both"/>
              <w:rPr>
                <w:rFonts w:ascii="Arial" w:cs="Arial" w:hAnsi="Arial"/>
                <w:sz w:val="24"/>
                <w:lang w:val="en-GB" w:eastAsia="en-GB"/>
              </w:rPr>
            </w:pPr>
          </w:p>
        </w:tc>
        <w:tc>
          <w:tcPr>
            <w:tcW w:w="1288" w:type="dxa"/>
            <w:tcBorders/>
          </w:tcPr>
          <w:p w14:paraId="108B3397">
            <w:pPr>
              <w:pStyle w:val="style0"/>
              <w:spacing w:lineRule="auto" w:line="360"/>
              <w:jc w:val="both"/>
              <w:rPr>
                <w:rFonts w:ascii="Arial" w:cs="Arial" w:hAnsi="Arial"/>
                <w:sz w:val="24"/>
                <w:lang w:val="en-GB" w:eastAsia="en-GB"/>
              </w:rPr>
            </w:pPr>
          </w:p>
        </w:tc>
        <w:tc>
          <w:tcPr>
            <w:tcW w:w="1288" w:type="dxa"/>
            <w:tcBorders/>
          </w:tcPr>
          <w:p w14:paraId="4746D21D">
            <w:pPr>
              <w:pStyle w:val="style0"/>
              <w:spacing w:lineRule="auto" w:line="360"/>
              <w:jc w:val="both"/>
              <w:rPr>
                <w:rFonts w:ascii="Arial" w:cs="Arial" w:hAnsi="Arial"/>
                <w:sz w:val="24"/>
                <w:lang w:val="en-GB" w:eastAsia="en-GB"/>
              </w:rPr>
            </w:pPr>
          </w:p>
        </w:tc>
        <w:tc>
          <w:tcPr>
            <w:tcW w:w="1288" w:type="dxa"/>
            <w:tcBorders/>
          </w:tcPr>
          <w:p w14:paraId="02F78D76">
            <w:pPr>
              <w:pStyle w:val="style0"/>
              <w:spacing w:lineRule="auto" w:line="360"/>
              <w:jc w:val="both"/>
              <w:rPr>
                <w:rFonts w:ascii="Arial" w:cs="Arial" w:hAnsi="Arial"/>
                <w:sz w:val="24"/>
                <w:lang w:val="en-GB" w:eastAsia="en-GB"/>
              </w:rPr>
            </w:pPr>
          </w:p>
        </w:tc>
        <w:tc>
          <w:tcPr>
            <w:tcW w:w="1288" w:type="dxa"/>
            <w:tcBorders/>
          </w:tcPr>
          <w:p w14:paraId="6DFAA30F">
            <w:pPr>
              <w:pStyle w:val="style0"/>
              <w:spacing w:lineRule="auto" w:line="360"/>
              <w:jc w:val="both"/>
              <w:rPr>
                <w:rFonts w:ascii="Arial" w:cs="Arial" w:hAnsi="Arial"/>
                <w:sz w:val="24"/>
                <w:lang w:val="en-GB" w:eastAsia="en-GB"/>
              </w:rPr>
            </w:pPr>
          </w:p>
        </w:tc>
        <w:tc>
          <w:tcPr>
            <w:tcW w:w="1288" w:type="dxa"/>
            <w:tcBorders/>
          </w:tcPr>
          <w:p w14:paraId="434E6353">
            <w:pPr>
              <w:pStyle w:val="style0"/>
              <w:spacing w:lineRule="auto" w:line="360"/>
              <w:jc w:val="both"/>
              <w:rPr>
                <w:rFonts w:ascii="Arial" w:cs="Arial" w:hAnsi="Arial"/>
                <w:sz w:val="24"/>
                <w:lang w:val="en-GB" w:eastAsia="en-GB"/>
              </w:rPr>
            </w:pPr>
            <w:r>
              <w:rPr>
                <w:rFonts w:ascii="Arial" w:cs="Arial" w:hAnsi="Arial"/>
                <w:sz w:val="24"/>
                <w:lang w:val="en-GB" w:eastAsia="en-GB"/>
              </w:rPr>
              <w:t>●</w:t>
            </w:r>
          </w:p>
        </w:tc>
      </w:tr>
    </w:tbl>
    <w:p w14:paraId="25604AA3">
      <w:pPr>
        <w:pStyle w:val="style0"/>
        <w:spacing w:after="0" w:lineRule="auto" w:line="240"/>
        <w:rPr>
          <w:rFonts w:ascii="Times New Roman" w:cs="Times New Roman" w:eastAsia="Times New Roman" w:hAnsi="Times New Roman"/>
          <w:sz w:val="24"/>
          <w:szCs w:val="24"/>
          <w:lang w:val="en-GB" w:eastAsia="en-GB"/>
        </w:rPr>
      </w:pPr>
    </w:p>
    <w:p w14:paraId="0AF1A67E">
      <w:pPr>
        <w:pStyle w:val="style0"/>
        <w:spacing w:after="0" w:lineRule="auto" w:line="240"/>
        <w:rPr>
          <w:rFonts w:ascii="Times New Roman" w:cs="Times New Roman" w:eastAsia="Times New Roman" w:hAnsi="Times New Roman"/>
          <w:sz w:val="24"/>
          <w:szCs w:val="24"/>
          <w:lang w:val="en-GB" w:eastAsia="en-GB"/>
        </w:rPr>
      </w:pPr>
    </w:p>
    <w:bookmarkStart w:id="33" w:name="_Toc235017042"/>
    <w:p w14:paraId="30D4CE0C">
      <w:pPr>
        <w:pStyle w:val="style1"/>
        <w:rPr>
          <w:lang w:val="en-GB" w:eastAsia="en-GB"/>
        </w:rPr>
      </w:pPr>
      <w:r>
        <w:rPr>
          <w:lang w:val="en-GB" w:eastAsia="en-GB"/>
        </w:rPr>
        <w:t>7. Conclusion</w:t>
      </w:r>
      <w:bookmarkEnd w:id="33"/>
    </w:p>
    <w:p w14:paraId="6C6ABE56">
      <w:pPr>
        <w:pStyle w:val="style0"/>
        <w:spacing w:before="240" w:lineRule="auto" w:line="360"/>
        <w:jc w:val="both"/>
        <w:rPr>
          <w:rFonts w:ascii="Arial" w:cs="Arial" w:hAnsi="Arial"/>
          <w:sz w:val="24"/>
          <w:lang w:val="en-GB" w:eastAsia="en-GB"/>
        </w:rPr>
      </w:pPr>
      <w:r>
        <w:rPr>
          <w:rFonts w:ascii="Arial" w:cs="Arial" w:hAnsi="Arial"/>
          <w:sz w:val="24"/>
          <w:lang w:val="en-GB" w:eastAsia="en-GB"/>
        </w:rPr>
        <w:t xml:space="preserve">The significance of analysing the impact Human Capital Management (HCM) practices have on customer service quality of Starbucks UK has been identified in this dissertation proposal. The research attempts to fill this gap by examining the link between HCM strategies, such as recruitment and selection, training and development, performance management, employee engagement, and reward and recognition, to customer service quality. For these purposes, the study will use a qualitative case study approach which will be secondary data only. Peer-reviewed journal articles, official Starbucks documents and industry reports will be used to gather data, which will be analysed using thematic analysis. The results will not only be of academic value, but also of managerial value as they will provide evidence-based knowledge about the strategic value of HCM in enhancing customer service quality. In the light of the relevant secondary data available, the clearly defined scope and the realistic </w:t>
      </w:r>
      <w:r>
        <w:rPr>
          <w:rFonts w:ascii="Arial" w:cs="Arial" w:hAnsi="Arial"/>
          <w:sz w:val="24"/>
          <w:lang w:val="en-GB" w:eastAsia="en-GB"/>
        </w:rPr>
        <w:t>six-month</w:t>
      </w:r>
      <w:r>
        <w:rPr>
          <w:rFonts w:ascii="Arial" w:cs="Arial" w:hAnsi="Arial"/>
          <w:sz w:val="24"/>
          <w:lang w:val="en-GB" w:eastAsia="en-GB"/>
        </w:rPr>
        <w:t xml:space="preserve"> timeframe of the study, the study is considered feasible and will yield meaningful recommendations for Starbucks UK and t</w:t>
      </w:r>
      <w:r>
        <w:rPr>
          <w:rFonts w:ascii="Arial" w:cs="Arial" w:hAnsi="Arial"/>
          <w:sz w:val="24"/>
          <w:lang w:val="en-GB" w:eastAsia="en-GB"/>
        </w:rPr>
        <w:t>he broader hospitality industry</w:t>
      </w:r>
      <w:r>
        <w:rPr>
          <w:rFonts w:ascii="Arial" w:cs="Arial" w:hAnsi="Arial"/>
          <w:sz w:val="24"/>
          <w:lang w:val="en-GB" w:eastAsia="en-GB"/>
        </w:rPr>
        <w:t>.</w:t>
      </w:r>
    </w:p>
    <w:p w14:paraId="612D77A0">
      <w:pPr>
        <w:pStyle w:val="style0"/>
        <w:spacing w:after="0" w:lineRule="auto" w:line="240"/>
        <w:rPr>
          <w:rFonts w:ascii="Times New Roman" w:cs="Times New Roman" w:eastAsia="Times New Roman" w:hAnsi="Times New Roman"/>
          <w:sz w:val="24"/>
          <w:szCs w:val="24"/>
          <w:lang w:val="en-GB" w:eastAsia="en-GB"/>
        </w:rPr>
      </w:pPr>
    </w:p>
    <w:p w14:paraId="20556C30">
      <w:pPr>
        <w:pStyle w:val="style0"/>
        <w:spacing w:after="0" w:lineRule="auto" w:line="240"/>
        <w:rPr>
          <w:rFonts w:ascii="Times New Roman" w:cs="Times New Roman" w:eastAsia="Times New Roman" w:hAnsi="Times New Roman"/>
          <w:sz w:val="24"/>
          <w:szCs w:val="24"/>
          <w:lang w:val="en-GB" w:eastAsia="en-GB"/>
        </w:rPr>
      </w:pPr>
    </w:p>
    <w:p w14:paraId="0544BEF0">
      <w:pPr>
        <w:pStyle w:val="style0"/>
        <w:spacing w:after="0" w:lineRule="auto" w:line="240"/>
        <w:rPr>
          <w:rFonts w:ascii="Times New Roman" w:cs="Times New Roman" w:eastAsia="Times New Roman" w:hAnsi="Times New Roman"/>
          <w:sz w:val="24"/>
          <w:szCs w:val="24"/>
          <w:lang w:val="en-GB" w:eastAsia="en-GB"/>
        </w:rPr>
      </w:pPr>
    </w:p>
    <w:bookmarkStart w:id="34" w:name="_Toc235017043"/>
    <w:p w14:paraId="1023BF87">
      <w:pPr>
        <w:pStyle w:val="style0"/>
        <w:spacing w:before="100" w:beforeAutospacing="true" w:after="100" w:afterAutospacing="true" w:lineRule="auto" w:line="360"/>
        <w:jc w:val="both"/>
        <w:outlineLvl w:val="1"/>
        <w:rPr>
          <w:rFonts w:ascii="Arial" w:cs="Arial" w:eastAsia="Times New Roman" w:hAnsi="Arial"/>
          <w:b/>
          <w:bCs/>
          <w:sz w:val="36"/>
          <w:szCs w:val="36"/>
          <w:lang w:val="en-GB" w:eastAsia="en-GB"/>
        </w:rPr>
      </w:pPr>
      <w:r>
        <w:rPr>
          <w:rFonts w:ascii="Arial" w:cs="Arial" w:eastAsia="Times New Roman" w:hAnsi="Arial"/>
          <w:b/>
          <w:bCs/>
          <w:sz w:val="36"/>
          <w:szCs w:val="36"/>
          <w:lang w:val="en-GB" w:eastAsia="en-GB"/>
        </w:rPr>
        <w:t>References</w:t>
      </w:r>
      <w:bookmarkEnd w:id="34"/>
    </w:p>
    <w:p w14:paraId="4677599C">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Aguinis</w:t>
      </w:r>
      <w:r>
        <w:rPr>
          <w:rFonts w:ascii="Arial" w:cs="Arial" w:eastAsia="Times New Roman" w:hAnsi="Arial"/>
          <w:sz w:val="24"/>
          <w:szCs w:val="24"/>
          <w:lang w:val="en-GB" w:eastAsia="en-GB"/>
        </w:rPr>
        <w:t xml:space="preserve">, H. (2019) </w:t>
      </w:r>
      <w:r>
        <w:rPr>
          <w:rFonts w:ascii="Arial" w:cs="Arial" w:eastAsia="Times New Roman" w:hAnsi="Arial"/>
          <w:i/>
          <w:iCs/>
          <w:sz w:val="24"/>
          <w:szCs w:val="24"/>
          <w:lang w:val="en-GB" w:eastAsia="en-GB"/>
        </w:rPr>
        <w:t>Performance Management</w:t>
      </w:r>
      <w:r>
        <w:rPr>
          <w:rFonts w:ascii="Arial" w:cs="Arial" w:eastAsia="Times New Roman" w:hAnsi="Arial"/>
          <w:sz w:val="24"/>
          <w:szCs w:val="24"/>
          <w:lang w:val="en-GB" w:eastAsia="en-GB"/>
        </w:rPr>
        <w:t xml:space="preserve">. 4th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Chicago: Chicago Business Press. Available at: https://performance-management.org/</w:t>
      </w:r>
    </w:p>
    <w:p w14:paraId="6BB59F05">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Almohtaseb, A., </w:t>
      </w:r>
      <w:r>
        <w:rPr>
          <w:rFonts w:ascii="Arial" w:cs="Arial" w:eastAsia="Times New Roman" w:hAnsi="Arial"/>
          <w:sz w:val="24"/>
          <w:szCs w:val="24"/>
          <w:lang w:val="en-GB" w:eastAsia="en-GB"/>
        </w:rPr>
        <w:t>Almahameed</w:t>
      </w:r>
      <w:r>
        <w:rPr>
          <w:rFonts w:ascii="Arial" w:cs="Arial" w:eastAsia="Times New Roman" w:hAnsi="Arial"/>
          <w:sz w:val="24"/>
          <w:szCs w:val="24"/>
          <w:lang w:val="en-GB" w:eastAsia="en-GB"/>
        </w:rPr>
        <w:t xml:space="preserve">, M.A. and </w:t>
      </w:r>
      <w:r>
        <w:rPr>
          <w:rFonts w:ascii="Arial" w:cs="Arial" w:eastAsia="Times New Roman" w:hAnsi="Arial"/>
          <w:sz w:val="24"/>
          <w:szCs w:val="24"/>
          <w:lang w:val="en-GB" w:eastAsia="en-GB"/>
        </w:rPr>
        <w:t>Sharari</w:t>
      </w:r>
      <w:r>
        <w:rPr>
          <w:rFonts w:ascii="Arial" w:cs="Arial" w:eastAsia="Times New Roman" w:hAnsi="Arial"/>
          <w:sz w:val="24"/>
          <w:szCs w:val="24"/>
          <w:lang w:val="en-GB" w:eastAsia="en-GB"/>
        </w:rPr>
        <w:t xml:space="preserve">, S. (2022) ‘The impact of employee engagement on service quality in the hospitality industry’, </w:t>
      </w:r>
      <w:r>
        <w:rPr>
          <w:rFonts w:ascii="Arial" w:cs="Arial" w:eastAsia="Times New Roman" w:hAnsi="Arial"/>
          <w:i/>
          <w:iCs/>
          <w:sz w:val="24"/>
          <w:szCs w:val="24"/>
          <w:lang w:val="en-GB" w:eastAsia="en-GB"/>
        </w:rPr>
        <w:t>Sustainability</w:t>
      </w:r>
      <w:r>
        <w:rPr>
          <w:rFonts w:ascii="Arial" w:cs="Arial" w:eastAsia="Times New Roman" w:hAnsi="Arial"/>
          <w:sz w:val="24"/>
          <w:szCs w:val="24"/>
          <w:lang w:val="en-GB" w:eastAsia="en-GB"/>
        </w:rPr>
        <w:t xml:space="preserve">, 14(18), 11420. Available at: </w:t>
      </w:r>
      <w:r>
        <w:rPr/>
        <w:fldChar w:fldCharType="begin"/>
      </w:r>
      <w:r>
        <w:instrText xml:space="preserve"> HYPERLINK "https://www.mdpi.com/2071-1050/14/18/11420" \t "_new" </w:instrText>
      </w:r>
      <w:r>
        <w:rPr/>
        <w:fldChar w:fldCharType="separate"/>
      </w:r>
      <w:r>
        <w:rPr>
          <w:rFonts w:ascii="Arial" w:cs="Arial" w:eastAsia="Times New Roman" w:hAnsi="Arial"/>
          <w:color w:val="0000ff"/>
          <w:sz w:val="24"/>
          <w:szCs w:val="24"/>
          <w:u w:val="single"/>
          <w:lang w:val="en-GB" w:eastAsia="en-GB"/>
        </w:rPr>
        <w:t>https://www.mdpi.com/2071-1050/14/18/11420</w:t>
      </w:r>
      <w:r>
        <w:rPr/>
        <w:fldChar w:fldCharType="end"/>
      </w:r>
    </w:p>
    <w:p w14:paraId="31A26B7E">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Appelbaum</w:t>
      </w:r>
      <w:r>
        <w:rPr>
          <w:rFonts w:ascii="Arial" w:cs="Arial" w:eastAsia="Times New Roman" w:hAnsi="Arial"/>
          <w:sz w:val="24"/>
          <w:szCs w:val="24"/>
          <w:lang w:val="en-GB" w:eastAsia="en-GB"/>
        </w:rPr>
        <w:t xml:space="preserve">, E., Bailey, T., Berg, P. and </w:t>
      </w:r>
      <w:r>
        <w:rPr>
          <w:rFonts w:ascii="Arial" w:cs="Arial" w:eastAsia="Times New Roman" w:hAnsi="Arial"/>
          <w:sz w:val="24"/>
          <w:szCs w:val="24"/>
          <w:lang w:val="en-GB" w:eastAsia="en-GB"/>
        </w:rPr>
        <w:t>Kalleberg</w:t>
      </w:r>
      <w:r>
        <w:rPr>
          <w:rFonts w:ascii="Arial" w:cs="Arial" w:eastAsia="Times New Roman" w:hAnsi="Arial"/>
          <w:sz w:val="24"/>
          <w:szCs w:val="24"/>
          <w:lang w:val="en-GB" w:eastAsia="en-GB"/>
        </w:rPr>
        <w:t xml:space="preserve">, A.L. (2000) </w:t>
      </w:r>
      <w:r>
        <w:rPr>
          <w:rFonts w:ascii="Arial" w:cs="Arial" w:eastAsia="Times New Roman" w:hAnsi="Arial"/>
          <w:i/>
          <w:iCs/>
          <w:sz w:val="24"/>
          <w:szCs w:val="24"/>
          <w:lang w:val="en-GB" w:eastAsia="en-GB"/>
        </w:rPr>
        <w:t>Manufacturing Advantage: Why High-Performance Work Systems Pay Off</w:t>
      </w:r>
      <w:r>
        <w:rPr>
          <w:rFonts w:ascii="Arial" w:cs="Arial" w:eastAsia="Times New Roman" w:hAnsi="Arial"/>
          <w:sz w:val="24"/>
          <w:szCs w:val="24"/>
          <w:lang w:val="en-GB" w:eastAsia="en-GB"/>
        </w:rPr>
        <w:t xml:space="preserve">. Ithaca, NY: Cornell University Press. Available at: </w:t>
      </w:r>
      <w:r>
        <w:rPr/>
        <w:fldChar w:fldCharType="begin"/>
      </w:r>
      <w:r>
        <w:instrText xml:space="preserve"> HYPERLINK "https://www.cornellpress.cornell.edu/" \t "_new" </w:instrText>
      </w:r>
      <w:r>
        <w:rPr/>
        <w:fldChar w:fldCharType="separate"/>
      </w:r>
      <w:r>
        <w:rPr>
          <w:rFonts w:ascii="Arial" w:cs="Arial" w:eastAsia="Times New Roman" w:hAnsi="Arial"/>
          <w:color w:val="0000ff"/>
          <w:sz w:val="24"/>
          <w:szCs w:val="24"/>
          <w:u w:val="single"/>
          <w:lang w:val="en-GB" w:eastAsia="en-GB"/>
        </w:rPr>
        <w:t>https://www.cornellpress.cornell.edu/</w:t>
      </w:r>
      <w:r>
        <w:rPr/>
        <w:fldChar w:fldCharType="end"/>
      </w:r>
    </w:p>
    <w:p w14:paraId="3F02912C">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Armstrong, M. and Taylor, S. (2023) </w:t>
      </w:r>
      <w:r>
        <w:rPr>
          <w:rFonts w:ascii="Arial" w:cs="Arial" w:eastAsia="Times New Roman" w:hAnsi="Arial"/>
          <w:i/>
          <w:iCs/>
          <w:sz w:val="24"/>
          <w:szCs w:val="24"/>
          <w:lang w:val="en-GB" w:eastAsia="en-GB"/>
        </w:rPr>
        <w:t>Armstrong's Handbook of Human Resource Management Practice</w:t>
      </w:r>
      <w:r>
        <w:rPr>
          <w:rFonts w:ascii="Arial" w:cs="Arial" w:eastAsia="Times New Roman" w:hAnsi="Arial"/>
          <w:sz w:val="24"/>
          <w:szCs w:val="24"/>
          <w:lang w:val="en-GB" w:eastAsia="en-GB"/>
        </w:rPr>
        <w:t xml:space="preserve">. 16th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London: </w:t>
      </w:r>
      <w:r>
        <w:rPr>
          <w:rFonts w:ascii="Arial" w:cs="Arial" w:eastAsia="Times New Roman" w:hAnsi="Arial"/>
          <w:sz w:val="24"/>
          <w:szCs w:val="24"/>
          <w:lang w:val="en-GB" w:eastAsia="en-GB"/>
        </w:rPr>
        <w:t>Kogan</w:t>
      </w:r>
      <w:r>
        <w:rPr>
          <w:rFonts w:ascii="Arial" w:cs="Arial" w:eastAsia="Times New Roman" w:hAnsi="Arial"/>
          <w:sz w:val="24"/>
          <w:szCs w:val="24"/>
          <w:lang w:val="en-GB" w:eastAsia="en-GB"/>
        </w:rPr>
        <w:t xml:space="preserve"> Page. Available at: </w:t>
      </w:r>
      <w:r>
        <w:rPr/>
        <w:fldChar w:fldCharType="begin"/>
      </w:r>
      <w:r>
        <w:instrText xml:space="preserve"> HYPERLINK "https://www.koganpage.com/" \t "_new" </w:instrText>
      </w:r>
      <w:r>
        <w:rPr/>
        <w:fldChar w:fldCharType="separate"/>
      </w:r>
      <w:r>
        <w:rPr>
          <w:rFonts w:ascii="Arial" w:cs="Arial" w:eastAsia="Times New Roman" w:hAnsi="Arial"/>
          <w:color w:val="0000ff"/>
          <w:sz w:val="24"/>
          <w:szCs w:val="24"/>
          <w:u w:val="single"/>
          <w:lang w:val="en-GB" w:eastAsia="en-GB"/>
        </w:rPr>
        <w:t>https://www.koganpage.com/</w:t>
      </w:r>
      <w:r>
        <w:rPr/>
        <w:fldChar w:fldCharType="end"/>
      </w:r>
    </w:p>
    <w:p w14:paraId="60881B00">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Barney, J. (1991) ‘Firm resources and sustained competitive advantage’, </w:t>
      </w:r>
      <w:r>
        <w:rPr>
          <w:rFonts w:ascii="Arial" w:cs="Arial" w:eastAsia="Times New Roman" w:hAnsi="Arial"/>
          <w:i/>
          <w:iCs/>
          <w:sz w:val="24"/>
          <w:szCs w:val="24"/>
          <w:lang w:val="en-GB" w:eastAsia="en-GB"/>
        </w:rPr>
        <w:t>Journal of Management</w:t>
      </w:r>
      <w:r>
        <w:rPr>
          <w:rFonts w:ascii="Arial" w:cs="Arial" w:eastAsia="Times New Roman" w:hAnsi="Arial"/>
          <w:sz w:val="24"/>
          <w:szCs w:val="24"/>
          <w:lang w:val="en-GB" w:eastAsia="en-GB"/>
        </w:rPr>
        <w:t xml:space="preserve">, 17(1), pp. 99–120. Available at: </w:t>
      </w:r>
      <w:r>
        <w:rPr/>
        <w:fldChar w:fldCharType="begin"/>
      </w:r>
      <w:r>
        <w:instrText xml:space="preserve"> HYPERLINK "https://journals.sagepub.com/doi/10.1177/014920639101700108" \t "_new" </w:instrText>
      </w:r>
      <w:r>
        <w:rPr/>
        <w:fldChar w:fldCharType="separate"/>
      </w:r>
      <w:r>
        <w:rPr>
          <w:rFonts w:ascii="Arial" w:cs="Arial" w:eastAsia="Times New Roman" w:hAnsi="Arial"/>
          <w:color w:val="0000ff"/>
          <w:sz w:val="24"/>
          <w:szCs w:val="24"/>
          <w:u w:val="single"/>
          <w:lang w:val="en-GB" w:eastAsia="en-GB"/>
        </w:rPr>
        <w:t>https://journals.sagepub.com/doi/10.1177/014920639101700108</w:t>
      </w:r>
      <w:r>
        <w:rPr/>
        <w:fldChar w:fldCharType="end"/>
      </w:r>
    </w:p>
    <w:p w14:paraId="6080BCEB">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Becker, G.S. (1964) </w:t>
      </w:r>
      <w:r>
        <w:rPr>
          <w:rFonts w:ascii="Arial" w:cs="Arial" w:eastAsia="Times New Roman" w:hAnsi="Arial"/>
          <w:i/>
          <w:iCs/>
          <w:sz w:val="24"/>
          <w:szCs w:val="24"/>
          <w:lang w:val="en-GB" w:eastAsia="en-GB"/>
        </w:rPr>
        <w:t>Human Capital: A Theoretical and Empirical Analysis, with Special Reference to Education</w:t>
      </w:r>
      <w:r>
        <w:rPr>
          <w:rFonts w:ascii="Arial" w:cs="Arial" w:eastAsia="Times New Roman" w:hAnsi="Arial"/>
          <w:sz w:val="24"/>
          <w:szCs w:val="24"/>
          <w:lang w:val="en-GB" w:eastAsia="en-GB"/>
        </w:rPr>
        <w:t xml:space="preserve">. New York: Columbia University Press. Available at: </w:t>
      </w:r>
      <w:r>
        <w:rPr/>
        <w:fldChar w:fldCharType="begin"/>
      </w:r>
      <w:r>
        <w:instrText xml:space="preserve"> HYPERLINK "https://press.uchicago.edu/" \t "_new" </w:instrText>
      </w:r>
      <w:r>
        <w:rPr/>
        <w:fldChar w:fldCharType="separate"/>
      </w:r>
      <w:r>
        <w:rPr>
          <w:rFonts w:ascii="Arial" w:cs="Arial" w:eastAsia="Times New Roman" w:hAnsi="Arial"/>
          <w:color w:val="0000ff"/>
          <w:sz w:val="24"/>
          <w:szCs w:val="24"/>
          <w:u w:val="single"/>
          <w:lang w:val="en-GB" w:eastAsia="en-GB"/>
        </w:rPr>
        <w:t>https://press.uchicago.edu/</w:t>
      </w:r>
      <w:r>
        <w:rPr/>
        <w:fldChar w:fldCharType="end"/>
      </w:r>
    </w:p>
    <w:p w14:paraId="45DC6F1E">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Blau</w:t>
      </w:r>
      <w:r>
        <w:rPr>
          <w:rFonts w:ascii="Arial" w:cs="Arial" w:eastAsia="Times New Roman" w:hAnsi="Arial"/>
          <w:sz w:val="24"/>
          <w:szCs w:val="24"/>
          <w:lang w:val="en-GB" w:eastAsia="en-GB"/>
        </w:rPr>
        <w:t xml:space="preserve">, P.M. (1964) </w:t>
      </w:r>
      <w:r>
        <w:rPr>
          <w:rFonts w:ascii="Arial" w:cs="Arial" w:eastAsia="Times New Roman" w:hAnsi="Arial"/>
          <w:i/>
          <w:iCs/>
          <w:sz w:val="24"/>
          <w:szCs w:val="24"/>
          <w:lang w:val="en-GB" w:eastAsia="en-GB"/>
        </w:rPr>
        <w:t>Exchange and Power in Social Life</w:t>
      </w:r>
      <w:r>
        <w:rPr>
          <w:rFonts w:ascii="Arial" w:cs="Arial" w:eastAsia="Times New Roman" w:hAnsi="Arial"/>
          <w:sz w:val="24"/>
          <w:szCs w:val="24"/>
          <w:lang w:val="en-GB" w:eastAsia="en-GB"/>
        </w:rPr>
        <w:t xml:space="preserve">. New York: Wiley. Available at: </w:t>
      </w:r>
      <w:r>
        <w:rPr/>
        <w:fldChar w:fldCharType="begin"/>
      </w:r>
      <w:r>
        <w:instrText xml:space="preserve"> HYPERLINK "https://archive.org/" \t "_new" </w:instrText>
      </w:r>
      <w:r>
        <w:rPr/>
        <w:fldChar w:fldCharType="separate"/>
      </w:r>
      <w:r>
        <w:rPr>
          <w:rFonts w:ascii="Arial" w:cs="Arial" w:eastAsia="Times New Roman" w:hAnsi="Arial"/>
          <w:color w:val="0000ff"/>
          <w:sz w:val="24"/>
          <w:szCs w:val="24"/>
          <w:u w:val="single"/>
          <w:lang w:val="en-GB" w:eastAsia="en-GB"/>
        </w:rPr>
        <w:t>https://archive.org/</w:t>
      </w:r>
      <w:r>
        <w:rPr/>
        <w:fldChar w:fldCharType="end"/>
      </w:r>
    </w:p>
    <w:p w14:paraId="349FB362">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Braun, V. and Clarke, V. (2022) </w:t>
      </w:r>
      <w:r>
        <w:rPr>
          <w:rFonts w:ascii="Arial" w:cs="Arial" w:eastAsia="Times New Roman" w:hAnsi="Arial"/>
          <w:i/>
          <w:iCs/>
          <w:sz w:val="24"/>
          <w:szCs w:val="24"/>
          <w:lang w:val="en-GB" w:eastAsia="en-GB"/>
        </w:rPr>
        <w:t>Thematic Analysis: A Practical Guide</w:t>
      </w:r>
      <w:r>
        <w:rPr>
          <w:rFonts w:ascii="Arial" w:cs="Arial" w:eastAsia="Times New Roman" w:hAnsi="Arial"/>
          <w:sz w:val="24"/>
          <w:szCs w:val="24"/>
          <w:lang w:val="en-GB" w:eastAsia="en-GB"/>
        </w:rPr>
        <w:t xml:space="preserve">. London: Sage. Available at: </w:t>
      </w:r>
      <w:r>
        <w:rPr/>
        <w:fldChar w:fldCharType="begin"/>
      </w:r>
      <w:r>
        <w:instrText xml:space="preserve"> HYPERLINK "https://uk.sagepub.com/" \t "_new" </w:instrText>
      </w:r>
      <w:r>
        <w:rPr/>
        <w:fldChar w:fldCharType="separate"/>
      </w:r>
      <w:r>
        <w:rPr>
          <w:rFonts w:ascii="Arial" w:cs="Arial" w:eastAsia="Times New Roman" w:hAnsi="Arial"/>
          <w:color w:val="0000ff"/>
          <w:sz w:val="24"/>
          <w:szCs w:val="24"/>
          <w:u w:val="single"/>
          <w:lang w:val="en-GB" w:eastAsia="en-GB"/>
        </w:rPr>
        <w:t>https://uk.sagepub.com/</w:t>
      </w:r>
      <w:r>
        <w:rPr/>
        <w:fldChar w:fldCharType="end"/>
      </w:r>
    </w:p>
    <w:p w14:paraId="6DB17623">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Bryman</w:t>
      </w:r>
      <w:r>
        <w:rPr>
          <w:rFonts w:ascii="Arial" w:cs="Arial" w:eastAsia="Times New Roman" w:hAnsi="Arial"/>
          <w:sz w:val="24"/>
          <w:szCs w:val="24"/>
          <w:lang w:val="en-GB" w:eastAsia="en-GB"/>
        </w:rPr>
        <w:t xml:space="preserve">, A. (2021) </w:t>
      </w:r>
      <w:r>
        <w:rPr>
          <w:rFonts w:ascii="Arial" w:cs="Arial" w:eastAsia="Times New Roman" w:hAnsi="Arial"/>
          <w:i/>
          <w:iCs/>
          <w:sz w:val="24"/>
          <w:szCs w:val="24"/>
          <w:lang w:val="en-GB" w:eastAsia="en-GB"/>
        </w:rPr>
        <w:t>Social Research Methods</w:t>
      </w:r>
      <w:r>
        <w:rPr>
          <w:rFonts w:ascii="Arial" w:cs="Arial" w:eastAsia="Times New Roman" w:hAnsi="Arial"/>
          <w:sz w:val="24"/>
          <w:szCs w:val="24"/>
          <w:lang w:val="en-GB" w:eastAsia="en-GB"/>
        </w:rPr>
        <w:t xml:space="preserve">. 6th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Oxford: Oxford University Press. Available at: </w:t>
      </w:r>
      <w:r>
        <w:rPr/>
        <w:fldChar w:fldCharType="begin"/>
      </w:r>
      <w:r>
        <w:instrText xml:space="preserve"> HYPERLINK "https://global.oup.com/" \t "_new" </w:instrText>
      </w:r>
      <w:r>
        <w:rPr/>
        <w:fldChar w:fldCharType="separate"/>
      </w:r>
      <w:r>
        <w:rPr>
          <w:rFonts w:ascii="Arial" w:cs="Arial" w:eastAsia="Times New Roman" w:hAnsi="Arial"/>
          <w:color w:val="0000ff"/>
          <w:sz w:val="24"/>
          <w:szCs w:val="24"/>
          <w:u w:val="single"/>
          <w:lang w:val="en-GB" w:eastAsia="en-GB"/>
        </w:rPr>
        <w:t>https://global.oup.com/</w:t>
      </w:r>
      <w:r>
        <w:rPr/>
        <w:fldChar w:fldCharType="end"/>
      </w:r>
    </w:p>
    <w:p w14:paraId="4C0E1E1E">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Chartered Institute of Personnel and Development (CIPD) (2023) </w:t>
      </w:r>
      <w:r>
        <w:rPr>
          <w:rFonts w:ascii="Arial" w:cs="Arial" w:eastAsia="Times New Roman" w:hAnsi="Arial"/>
          <w:i/>
          <w:iCs/>
          <w:sz w:val="24"/>
          <w:szCs w:val="24"/>
          <w:lang w:val="en-GB" w:eastAsia="en-GB"/>
        </w:rPr>
        <w:t>Good Work Index 2023</w:t>
      </w:r>
      <w:r>
        <w:rPr>
          <w:rFonts w:ascii="Arial" w:cs="Arial" w:eastAsia="Times New Roman" w:hAnsi="Arial"/>
          <w:sz w:val="24"/>
          <w:szCs w:val="24"/>
          <w:lang w:val="en-GB" w:eastAsia="en-GB"/>
        </w:rPr>
        <w:t xml:space="preserve">. Available at: </w:t>
      </w:r>
      <w:r>
        <w:rPr/>
        <w:fldChar w:fldCharType="begin"/>
      </w:r>
      <w:r>
        <w:instrText xml:space="preserve"> HYPERLINK "https://www.cipd.org/" \t "_new" </w:instrText>
      </w:r>
      <w:r>
        <w:rPr/>
        <w:fldChar w:fldCharType="separate"/>
      </w:r>
      <w:r>
        <w:rPr>
          <w:rFonts w:ascii="Arial" w:cs="Arial" w:eastAsia="Times New Roman" w:hAnsi="Arial"/>
          <w:color w:val="0000ff"/>
          <w:sz w:val="24"/>
          <w:szCs w:val="24"/>
          <w:u w:val="single"/>
          <w:lang w:val="en-GB" w:eastAsia="en-GB"/>
        </w:rPr>
        <w:t>https://www.cipd.org/</w:t>
      </w:r>
      <w:r>
        <w:rPr/>
        <w:fldChar w:fldCharType="end"/>
      </w:r>
    </w:p>
    <w:p w14:paraId="54A6330C">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Chartered Institute of Personnel and Development (CIPD) (2024) </w:t>
      </w:r>
      <w:r>
        <w:rPr>
          <w:rFonts w:ascii="Arial" w:cs="Arial" w:eastAsia="Times New Roman" w:hAnsi="Arial"/>
          <w:i/>
          <w:iCs/>
          <w:sz w:val="24"/>
          <w:szCs w:val="24"/>
          <w:lang w:val="en-GB" w:eastAsia="en-GB"/>
        </w:rPr>
        <w:t>People Profession Survey 2024</w:t>
      </w:r>
      <w:r>
        <w:rPr>
          <w:rFonts w:ascii="Arial" w:cs="Arial" w:eastAsia="Times New Roman" w:hAnsi="Arial"/>
          <w:sz w:val="24"/>
          <w:szCs w:val="24"/>
          <w:lang w:val="en-GB" w:eastAsia="en-GB"/>
        </w:rPr>
        <w:t xml:space="preserve">. Available at: </w:t>
      </w:r>
      <w:r>
        <w:rPr/>
        <w:fldChar w:fldCharType="begin"/>
      </w:r>
      <w:r>
        <w:instrText xml:space="preserve"> HYPERLINK "https://www.cipd.org/" \t "_new" </w:instrText>
      </w:r>
      <w:r>
        <w:rPr/>
        <w:fldChar w:fldCharType="separate"/>
      </w:r>
      <w:r>
        <w:rPr>
          <w:rFonts w:ascii="Arial" w:cs="Arial" w:eastAsia="Times New Roman" w:hAnsi="Arial"/>
          <w:color w:val="0000ff"/>
          <w:sz w:val="24"/>
          <w:szCs w:val="24"/>
          <w:u w:val="single"/>
          <w:lang w:val="en-GB" w:eastAsia="en-GB"/>
        </w:rPr>
        <w:t>https://www.cipd.org/</w:t>
      </w:r>
      <w:r>
        <w:rPr/>
        <w:fldChar w:fldCharType="end"/>
      </w:r>
    </w:p>
    <w:p w14:paraId="07013E83">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Chartered Institute of Personnel and Development (CIPD) (2024) </w:t>
      </w:r>
      <w:r>
        <w:rPr>
          <w:rFonts w:ascii="Arial" w:cs="Arial" w:eastAsia="Times New Roman" w:hAnsi="Arial"/>
          <w:i/>
          <w:iCs/>
          <w:sz w:val="24"/>
          <w:szCs w:val="24"/>
          <w:lang w:val="en-GB" w:eastAsia="en-GB"/>
        </w:rPr>
        <w:t>Factsheets: Employee Engagement</w:t>
      </w:r>
      <w:r>
        <w:rPr>
          <w:rFonts w:ascii="Arial" w:cs="Arial" w:eastAsia="Times New Roman" w:hAnsi="Arial"/>
          <w:sz w:val="24"/>
          <w:szCs w:val="24"/>
          <w:lang w:val="en-GB" w:eastAsia="en-GB"/>
        </w:rPr>
        <w:t xml:space="preserve">. Available at: </w:t>
      </w:r>
      <w:r>
        <w:rPr/>
        <w:fldChar w:fldCharType="begin"/>
      </w:r>
      <w:r>
        <w:instrText xml:space="preserve"> HYPERLINK "https://www.cipd.org/uk/knowledge/factsheets/" \t "_new" </w:instrText>
      </w:r>
      <w:r>
        <w:rPr/>
        <w:fldChar w:fldCharType="separate"/>
      </w:r>
      <w:r>
        <w:rPr>
          <w:rFonts w:ascii="Arial" w:cs="Arial" w:eastAsia="Times New Roman" w:hAnsi="Arial"/>
          <w:color w:val="0000ff"/>
          <w:sz w:val="24"/>
          <w:szCs w:val="24"/>
          <w:u w:val="single"/>
          <w:lang w:val="en-GB" w:eastAsia="en-GB"/>
        </w:rPr>
        <w:t>https://www.cipd.org/uk/knowledge/factsheets/</w:t>
      </w:r>
      <w:r>
        <w:rPr/>
        <w:fldChar w:fldCharType="end"/>
      </w:r>
    </w:p>
    <w:p w14:paraId="55C7D153">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Gerhart, B. and Fang, M. (2015) ‘Pay for (individual) performance: Issues, claims, evidence and the role of sorting effects’, </w:t>
      </w:r>
      <w:r>
        <w:rPr>
          <w:rFonts w:ascii="Arial" w:cs="Arial" w:eastAsia="Times New Roman" w:hAnsi="Arial"/>
          <w:i/>
          <w:iCs/>
          <w:sz w:val="24"/>
          <w:szCs w:val="24"/>
          <w:lang w:val="en-GB" w:eastAsia="en-GB"/>
        </w:rPr>
        <w:t>Human Resource Management Review</w:t>
      </w:r>
      <w:r>
        <w:rPr>
          <w:rFonts w:ascii="Arial" w:cs="Arial" w:eastAsia="Times New Roman" w:hAnsi="Arial"/>
          <w:sz w:val="24"/>
          <w:szCs w:val="24"/>
          <w:lang w:val="en-GB" w:eastAsia="en-GB"/>
        </w:rPr>
        <w:t xml:space="preserve">, 25(1), pp. 41–52. Available at: </w:t>
      </w:r>
      <w:r>
        <w:rPr/>
        <w:fldChar w:fldCharType="begin"/>
      </w:r>
      <w:r>
        <w:instrText xml:space="preserve"> HYPERLINK "https://www.sciencedirect.com/journal/human-resource-management-review" \t "_new" </w:instrText>
      </w:r>
      <w:r>
        <w:rPr/>
        <w:fldChar w:fldCharType="separate"/>
      </w:r>
      <w:r>
        <w:rPr>
          <w:rFonts w:ascii="Arial" w:cs="Arial" w:eastAsia="Times New Roman" w:hAnsi="Arial"/>
          <w:color w:val="0000ff"/>
          <w:sz w:val="24"/>
          <w:szCs w:val="24"/>
          <w:u w:val="single"/>
          <w:lang w:val="en-GB" w:eastAsia="en-GB"/>
        </w:rPr>
        <w:t>https://www.sciencedirect.com/journal/human-resource-management-review</w:t>
      </w:r>
      <w:r>
        <w:rPr/>
        <w:fldChar w:fldCharType="end"/>
      </w:r>
    </w:p>
    <w:p w14:paraId="6DB63DA8">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Heskett</w:t>
      </w:r>
      <w:r>
        <w:rPr>
          <w:rFonts w:ascii="Arial" w:cs="Arial" w:eastAsia="Times New Roman" w:hAnsi="Arial"/>
          <w:sz w:val="24"/>
          <w:szCs w:val="24"/>
          <w:lang w:val="en-GB" w:eastAsia="en-GB"/>
        </w:rPr>
        <w:t xml:space="preserve">, J.L., Jones, T.O., </w:t>
      </w:r>
      <w:r>
        <w:rPr>
          <w:rFonts w:ascii="Arial" w:cs="Arial" w:eastAsia="Times New Roman" w:hAnsi="Arial"/>
          <w:sz w:val="24"/>
          <w:szCs w:val="24"/>
          <w:lang w:val="en-GB" w:eastAsia="en-GB"/>
        </w:rPr>
        <w:t>Loveman</w:t>
      </w:r>
      <w:r>
        <w:rPr>
          <w:rFonts w:ascii="Arial" w:cs="Arial" w:eastAsia="Times New Roman" w:hAnsi="Arial"/>
          <w:sz w:val="24"/>
          <w:szCs w:val="24"/>
          <w:lang w:val="en-GB" w:eastAsia="en-GB"/>
        </w:rPr>
        <w:t xml:space="preserve">, G.W., Sasser, W.E. and Schlesinger, L.A. (1994) ‘Putting the service-profit chain to work’, </w:t>
      </w:r>
      <w:r>
        <w:rPr>
          <w:rFonts w:ascii="Arial" w:cs="Arial" w:eastAsia="Times New Roman" w:hAnsi="Arial"/>
          <w:i/>
          <w:iCs/>
          <w:sz w:val="24"/>
          <w:szCs w:val="24"/>
          <w:lang w:val="en-GB" w:eastAsia="en-GB"/>
        </w:rPr>
        <w:t>Harvard Business Review</w:t>
      </w:r>
      <w:r>
        <w:rPr>
          <w:rFonts w:ascii="Arial" w:cs="Arial" w:eastAsia="Times New Roman" w:hAnsi="Arial"/>
          <w:sz w:val="24"/>
          <w:szCs w:val="24"/>
          <w:lang w:val="en-GB" w:eastAsia="en-GB"/>
        </w:rPr>
        <w:t xml:space="preserve">, 72(2), pp. 164–174. Available at: </w:t>
      </w:r>
      <w:r>
        <w:rPr/>
        <w:fldChar w:fldCharType="begin"/>
      </w:r>
      <w:r>
        <w:instrText xml:space="preserve"> HYPERLINK "https://hbr.org/" \t "_new" </w:instrText>
      </w:r>
      <w:r>
        <w:rPr/>
        <w:fldChar w:fldCharType="separate"/>
      </w:r>
      <w:r>
        <w:rPr>
          <w:rFonts w:ascii="Arial" w:cs="Arial" w:eastAsia="Times New Roman" w:hAnsi="Arial"/>
          <w:color w:val="0000ff"/>
          <w:sz w:val="24"/>
          <w:szCs w:val="24"/>
          <w:u w:val="single"/>
          <w:lang w:val="en-GB" w:eastAsia="en-GB"/>
        </w:rPr>
        <w:t>https://hbr.org/</w:t>
      </w:r>
      <w:r>
        <w:rPr/>
        <w:fldChar w:fldCharType="end"/>
      </w:r>
    </w:p>
    <w:p w14:paraId="03685470">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International Labour Organization (ILO) (2023) </w:t>
      </w:r>
      <w:r>
        <w:rPr>
          <w:rFonts w:ascii="Arial" w:cs="Arial" w:eastAsia="Times New Roman" w:hAnsi="Arial"/>
          <w:i/>
          <w:iCs/>
          <w:sz w:val="24"/>
          <w:szCs w:val="24"/>
          <w:lang w:val="en-GB" w:eastAsia="en-GB"/>
        </w:rPr>
        <w:t>World Employment and Social Outlook 2023</w:t>
      </w:r>
      <w:r>
        <w:rPr>
          <w:rFonts w:ascii="Arial" w:cs="Arial" w:eastAsia="Times New Roman" w:hAnsi="Arial"/>
          <w:sz w:val="24"/>
          <w:szCs w:val="24"/>
          <w:lang w:val="en-GB" w:eastAsia="en-GB"/>
        </w:rPr>
        <w:t xml:space="preserve">. Available at: </w:t>
      </w:r>
      <w:r>
        <w:rPr/>
        <w:fldChar w:fldCharType="begin"/>
      </w:r>
      <w:r>
        <w:instrText xml:space="preserve"> HYPERLINK "https://www.ilo.org/" \t "_new" </w:instrText>
      </w:r>
      <w:r>
        <w:rPr/>
        <w:fldChar w:fldCharType="separate"/>
      </w:r>
      <w:r>
        <w:rPr>
          <w:rFonts w:ascii="Arial" w:cs="Arial" w:eastAsia="Times New Roman" w:hAnsi="Arial"/>
          <w:color w:val="0000ff"/>
          <w:sz w:val="24"/>
          <w:szCs w:val="24"/>
          <w:u w:val="single"/>
          <w:lang w:val="en-GB" w:eastAsia="en-GB"/>
        </w:rPr>
        <w:t>https://www.ilo.org/</w:t>
      </w:r>
      <w:r>
        <w:rPr/>
        <w:fldChar w:fldCharType="end"/>
      </w:r>
    </w:p>
    <w:p w14:paraId="547C10A6">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Jehanzeb</w:t>
      </w:r>
      <w:r>
        <w:rPr>
          <w:rFonts w:ascii="Arial" w:cs="Arial" w:eastAsia="Times New Roman" w:hAnsi="Arial"/>
          <w:sz w:val="24"/>
          <w:szCs w:val="24"/>
          <w:lang w:val="en-GB" w:eastAsia="en-GB"/>
        </w:rPr>
        <w:t xml:space="preserve">, K. and </w:t>
      </w:r>
      <w:r>
        <w:rPr>
          <w:rFonts w:ascii="Arial" w:cs="Arial" w:eastAsia="Times New Roman" w:hAnsi="Arial"/>
          <w:sz w:val="24"/>
          <w:szCs w:val="24"/>
          <w:lang w:val="en-GB" w:eastAsia="en-GB"/>
        </w:rPr>
        <w:t>Mohanty</w:t>
      </w:r>
      <w:r>
        <w:rPr>
          <w:rFonts w:ascii="Arial" w:cs="Arial" w:eastAsia="Times New Roman" w:hAnsi="Arial"/>
          <w:sz w:val="24"/>
          <w:szCs w:val="24"/>
          <w:lang w:val="en-GB" w:eastAsia="en-GB"/>
        </w:rPr>
        <w:t xml:space="preserve">, J. (2018) ‘Impact of employee development on job satisfaction and organisational commitment’, </w:t>
      </w:r>
      <w:r>
        <w:rPr>
          <w:rFonts w:ascii="Arial" w:cs="Arial" w:eastAsia="Times New Roman" w:hAnsi="Arial"/>
          <w:i/>
          <w:iCs/>
          <w:sz w:val="24"/>
          <w:szCs w:val="24"/>
          <w:lang w:val="en-GB" w:eastAsia="en-GB"/>
        </w:rPr>
        <w:t>International Journal of Training and Development</w:t>
      </w:r>
      <w:r>
        <w:rPr>
          <w:rFonts w:ascii="Arial" w:cs="Arial" w:eastAsia="Times New Roman" w:hAnsi="Arial"/>
          <w:sz w:val="24"/>
          <w:szCs w:val="24"/>
          <w:lang w:val="en-GB" w:eastAsia="en-GB"/>
        </w:rPr>
        <w:t xml:space="preserve">, 22(3), pp. 171–191. Available at: </w:t>
      </w:r>
      <w:r>
        <w:rPr/>
        <w:fldChar w:fldCharType="begin"/>
      </w:r>
      <w:r>
        <w:instrText xml:space="preserve"> HYPERLINK "https://onlinelibrary.wiley.com/" \t "_new" </w:instrText>
      </w:r>
      <w:r>
        <w:rPr/>
        <w:fldChar w:fldCharType="separate"/>
      </w:r>
      <w:r>
        <w:rPr>
          <w:rFonts w:ascii="Arial" w:cs="Arial" w:eastAsia="Times New Roman" w:hAnsi="Arial"/>
          <w:color w:val="0000ff"/>
          <w:sz w:val="24"/>
          <w:szCs w:val="24"/>
          <w:u w:val="single"/>
          <w:lang w:val="en-GB" w:eastAsia="en-GB"/>
        </w:rPr>
        <w:t>https://onlinelibrary.wiley.com/</w:t>
      </w:r>
      <w:r>
        <w:rPr/>
        <w:fldChar w:fldCharType="end"/>
      </w:r>
    </w:p>
    <w:p w14:paraId="3697807B">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Karatepe</w:t>
      </w:r>
      <w:r>
        <w:rPr>
          <w:rFonts w:ascii="Arial" w:cs="Arial" w:eastAsia="Times New Roman" w:hAnsi="Arial"/>
          <w:sz w:val="24"/>
          <w:szCs w:val="24"/>
          <w:lang w:val="en-GB" w:eastAsia="en-GB"/>
        </w:rPr>
        <w:t xml:space="preserve">, O.M., </w:t>
      </w:r>
      <w:r>
        <w:rPr>
          <w:rFonts w:ascii="Arial" w:cs="Arial" w:eastAsia="Times New Roman" w:hAnsi="Arial"/>
          <w:sz w:val="24"/>
          <w:szCs w:val="24"/>
          <w:lang w:val="en-GB" w:eastAsia="en-GB"/>
        </w:rPr>
        <w:t>Rezapouraghdam</w:t>
      </w:r>
      <w:r>
        <w:rPr>
          <w:rFonts w:ascii="Arial" w:cs="Arial" w:eastAsia="Times New Roman" w:hAnsi="Arial"/>
          <w:sz w:val="24"/>
          <w:szCs w:val="24"/>
          <w:lang w:val="en-GB" w:eastAsia="en-GB"/>
        </w:rPr>
        <w:t xml:space="preserve">, H. and </w:t>
      </w:r>
      <w:r>
        <w:rPr>
          <w:rFonts w:ascii="Arial" w:cs="Arial" w:eastAsia="Times New Roman" w:hAnsi="Arial"/>
          <w:sz w:val="24"/>
          <w:szCs w:val="24"/>
          <w:lang w:val="en-GB" w:eastAsia="en-GB"/>
        </w:rPr>
        <w:t>Hassannia</w:t>
      </w:r>
      <w:r>
        <w:rPr>
          <w:rFonts w:ascii="Arial" w:cs="Arial" w:eastAsia="Times New Roman" w:hAnsi="Arial"/>
          <w:sz w:val="24"/>
          <w:szCs w:val="24"/>
          <w:lang w:val="en-GB" w:eastAsia="en-GB"/>
        </w:rPr>
        <w:t xml:space="preserve">, R. (2020) ‘Job insecurity, work engagement and customer-oriented behaviour in hospitality’, </w:t>
      </w:r>
      <w:r>
        <w:rPr>
          <w:rFonts w:ascii="Arial" w:cs="Arial" w:eastAsia="Times New Roman" w:hAnsi="Arial"/>
          <w:i/>
          <w:iCs/>
          <w:sz w:val="24"/>
          <w:szCs w:val="24"/>
          <w:lang w:val="en-GB" w:eastAsia="en-GB"/>
        </w:rPr>
        <w:t>International Journal of Contemporary Hospitality Management</w:t>
      </w:r>
      <w:r>
        <w:rPr>
          <w:rFonts w:ascii="Arial" w:cs="Arial" w:eastAsia="Times New Roman" w:hAnsi="Arial"/>
          <w:sz w:val="24"/>
          <w:szCs w:val="24"/>
          <w:lang w:val="en-GB" w:eastAsia="en-GB"/>
        </w:rPr>
        <w:t xml:space="preserve">, 32(11), pp. 3469–3487. Available at: </w:t>
      </w:r>
      <w:r>
        <w:rPr/>
        <w:fldChar w:fldCharType="begin"/>
      </w:r>
      <w:r>
        <w:instrText xml:space="preserve"> HYPERLINK "https://www.emerald.com/" \t "_new" </w:instrText>
      </w:r>
      <w:r>
        <w:rPr/>
        <w:fldChar w:fldCharType="separate"/>
      </w:r>
      <w:r>
        <w:rPr>
          <w:rFonts w:ascii="Arial" w:cs="Arial" w:eastAsia="Times New Roman" w:hAnsi="Arial"/>
          <w:color w:val="0000ff"/>
          <w:sz w:val="24"/>
          <w:szCs w:val="24"/>
          <w:u w:val="single"/>
          <w:lang w:val="en-GB" w:eastAsia="en-GB"/>
        </w:rPr>
        <w:t>https://www.emerald.com/</w:t>
      </w:r>
      <w:r>
        <w:rPr/>
        <w:fldChar w:fldCharType="end"/>
      </w:r>
    </w:p>
    <w:p w14:paraId="6D28AFCB">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Office for National Statistics (ONS) (2024) </w:t>
      </w:r>
      <w:r>
        <w:rPr>
          <w:rFonts w:ascii="Arial" w:cs="Arial" w:eastAsia="Times New Roman" w:hAnsi="Arial"/>
          <w:i/>
          <w:iCs/>
          <w:sz w:val="24"/>
          <w:szCs w:val="24"/>
          <w:lang w:val="en-GB" w:eastAsia="en-GB"/>
        </w:rPr>
        <w:t>Labour Market Overview, UK</w:t>
      </w:r>
      <w:r>
        <w:rPr>
          <w:rFonts w:ascii="Arial" w:cs="Arial" w:eastAsia="Times New Roman" w:hAnsi="Arial"/>
          <w:sz w:val="24"/>
          <w:szCs w:val="24"/>
          <w:lang w:val="en-GB" w:eastAsia="en-GB"/>
        </w:rPr>
        <w:t xml:space="preserve">. Available at: </w:t>
      </w:r>
      <w:r>
        <w:rPr/>
        <w:fldChar w:fldCharType="begin"/>
      </w:r>
      <w:r>
        <w:instrText xml:space="preserve"> HYPERLINK "https://www.ons.gov.uk/" \t "_new" </w:instrText>
      </w:r>
      <w:r>
        <w:rPr/>
        <w:fldChar w:fldCharType="separate"/>
      </w:r>
      <w:r>
        <w:rPr>
          <w:rFonts w:ascii="Arial" w:cs="Arial" w:eastAsia="Times New Roman" w:hAnsi="Arial"/>
          <w:color w:val="0000ff"/>
          <w:sz w:val="24"/>
          <w:szCs w:val="24"/>
          <w:u w:val="single"/>
          <w:lang w:val="en-GB" w:eastAsia="en-GB"/>
        </w:rPr>
        <w:t>https://www.ons.gov.uk/</w:t>
      </w:r>
      <w:r>
        <w:rPr/>
        <w:fldChar w:fldCharType="end"/>
      </w:r>
    </w:p>
    <w:p w14:paraId="4CECF907">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Parasuraman</w:t>
      </w:r>
      <w:r>
        <w:rPr>
          <w:rFonts w:ascii="Arial" w:cs="Arial" w:eastAsia="Times New Roman" w:hAnsi="Arial"/>
          <w:sz w:val="24"/>
          <w:szCs w:val="24"/>
          <w:lang w:val="en-GB" w:eastAsia="en-GB"/>
        </w:rPr>
        <w:t xml:space="preserve">, A., </w:t>
      </w:r>
      <w:r>
        <w:rPr>
          <w:rFonts w:ascii="Arial" w:cs="Arial" w:eastAsia="Times New Roman" w:hAnsi="Arial"/>
          <w:sz w:val="24"/>
          <w:szCs w:val="24"/>
          <w:lang w:val="en-GB" w:eastAsia="en-GB"/>
        </w:rPr>
        <w:t>Zeithaml</w:t>
      </w:r>
      <w:r>
        <w:rPr>
          <w:rFonts w:ascii="Arial" w:cs="Arial" w:eastAsia="Times New Roman" w:hAnsi="Arial"/>
          <w:sz w:val="24"/>
          <w:szCs w:val="24"/>
          <w:lang w:val="en-GB" w:eastAsia="en-GB"/>
        </w:rPr>
        <w:t xml:space="preserve">, V.A. and Berry, L.L. (1988) ‘SERVQUAL: A multiple-item scale for measuring consumer perceptions of service quality’, </w:t>
      </w:r>
      <w:r>
        <w:rPr>
          <w:rFonts w:ascii="Arial" w:cs="Arial" w:eastAsia="Times New Roman" w:hAnsi="Arial"/>
          <w:i/>
          <w:iCs/>
          <w:sz w:val="24"/>
          <w:szCs w:val="24"/>
          <w:lang w:val="en-GB" w:eastAsia="en-GB"/>
        </w:rPr>
        <w:t>Journal of Retailing</w:t>
      </w:r>
      <w:r>
        <w:rPr>
          <w:rFonts w:ascii="Arial" w:cs="Arial" w:eastAsia="Times New Roman" w:hAnsi="Arial"/>
          <w:sz w:val="24"/>
          <w:szCs w:val="24"/>
          <w:lang w:val="en-GB" w:eastAsia="en-GB"/>
        </w:rPr>
        <w:t xml:space="preserve">, 64(1), pp. 12–40. Available at: </w:t>
      </w:r>
      <w:r>
        <w:rPr/>
        <w:fldChar w:fldCharType="begin"/>
      </w:r>
      <w:r>
        <w:instrText xml:space="preserve"> HYPERLINK "https://www.sciencedirect.com/" \t "_new" </w:instrText>
      </w:r>
      <w:r>
        <w:rPr/>
        <w:fldChar w:fldCharType="separate"/>
      </w:r>
      <w:r>
        <w:rPr>
          <w:rFonts w:ascii="Arial" w:cs="Arial" w:eastAsia="Times New Roman" w:hAnsi="Arial"/>
          <w:color w:val="0000ff"/>
          <w:sz w:val="24"/>
          <w:szCs w:val="24"/>
          <w:u w:val="single"/>
          <w:lang w:val="en-GB" w:eastAsia="en-GB"/>
        </w:rPr>
        <w:t>https://www.sciencedirect.com/</w:t>
      </w:r>
      <w:r>
        <w:rPr/>
        <w:fldChar w:fldCharType="end"/>
      </w:r>
    </w:p>
    <w:p w14:paraId="3A1A6C2B">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Porter, M.E. (1985) </w:t>
      </w:r>
      <w:r>
        <w:rPr>
          <w:rFonts w:ascii="Arial" w:cs="Arial" w:eastAsia="Times New Roman" w:hAnsi="Arial"/>
          <w:i/>
          <w:iCs/>
          <w:sz w:val="24"/>
          <w:szCs w:val="24"/>
          <w:lang w:val="en-GB" w:eastAsia="en-GB"/>
        </w:rPr>
        <w:t>Competitive Advantage</w:t>
      </w:r>
      <w:r>
        <w:rPr>
          <w:rFonts w:ascii="Arial" w:cs="Arial" w:eastAsia="Times New Roman" w:hAnsi="Arial"/>
          <w:sz w:val="24"/>
          <w:szCs w:val="24"/>
          <w:lang w:val="en-GB" w:eastAsia="en-GB"/>
        </w:rPr>
        <w:t xml:space="preserve">. New York: Free Press. Available at: </w:t>
      </w:r>
      <w:r>
        <w:rPr/>
        <w:fldChar w:fldCharType="begin"/>
      </w:r>
      <w:r>
        <w:instrText xml:space="preserve"> HYPERLINK "https://books.google.com/" \t "_new" </w:instrText>
      </w:r>
      <w:r>
        <w:rPr/>
        <w:fldChar w:fldCharType="separate"/>
      </w:r>
      <w:r>
        <w:rPr>
          <w:rFonts w:ascii="Arial" w:cs="Arial" w:eastAsia="Times New Roman" w:hAnsi="Arial"/>
          <w:color w:val="0000ff"/>
          <w:sz w:val="24"/>
          <w:szCs w:val="24"/>
          <w:u w:val="single"/>
          <w:lang w:val="en-GB" w:eastAsia="en-GB"/>
        </w:rPr>
        <w:t>https://books.google.com/</w:t>
      </w:r>
      <w:r>
        <w:rPr/>
        <w:fldChar w:fldCharType="end"/>
      </w:r>
    </w:p>
    <w:p w14:paraId="22B4734E">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Rather, R.A. (2021) ‘Customer experience and engagement in hospitality’, </w:t>
      </w:r>
      <w:r>
        <w:rPr>
          <w:rFonts w:ascii="Arial" w:cs="Arial" w:eastAsia="Times New Roman" w:hAnsi="Arial"/>
          <w:i/>
          <w:iCs/>
          <w:sz w:val="24"/>
          <w:szCs w:val="24"/>
          <w:lang w:val="en-GB" w:eastAsia="en-GB"/>
        </w:rPr>
        <w:t>Journal of Retailing and Consumer Services</w:t>
      </w:r>
      <w:r>
        <w:rPr>
          <w:rFonts w:ascii="Arial" w:cs="Arial" w:eastAsia="Times New Roman" w:hAnsi="Arial"/>
          <w:sz w:val="24"/>
          <w:szCs w:val="24"/>
          <w:lang w:val="en-GB" w:eastAsia="en-GB"/>
        </w:rPr>
        <w:t xml:space="preserve">, 58, 102172. Available at: </w:t>
      </w:r>
      <w:r>
        <w:rPr/>
        <w:fldChar w:fldCharType="begin"/>
      </w:r>
      <w:r>
        <w:instrText xml:space="preserve"> HYPERLINK "https://www.sciencedirect.com/journal/journal-of-retailing-and-consumer-services" \t "_new" </w:instrText>
      </w:r>
      <w:r>
        <w:rPr/>
        <w:fldChar w:fldCharType="separate"/>
      </w:r>
      <w:r>
        <w:rPr>
          <w:rFonts w:ascii="Arial" w:cs="Arial" w:eastAsia="Times New Roman" w:hAnsi="Arial"/>
          <w:color w:val="0000ff"/>
          <w:sz w:val="24"/>
          <w:szCs w:val="24"/>
          <w:u w:val="single"/>
          <w:lang w:val="en-GB" w:eastAsia="en-GB"/>
        </w:rPr>
        <w:t>https://www.sciencedirect.com/journal/journal-of-retailing-and-consumer-services</w:t>
      </w:r>
      <w:r>
        <w:rPr/>
        <w:fldChar w:fldCharType="end"/>
      </w:r>
    </w:p>
    <w:p w14:paraId="7FB84E53">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Saunders, M., Lewis, P. and Thornhill, A. (2023) </w:t>
      </w:r>
      <w:r>
        <w:rPr>
          <w:rFonts w:ascii="Arial" w:cs="Arial" w:eastAsia="Times New Roman" w:hAnsi="Arial"/>
          <w:i/>
          <w:iCs/>
          <w:sz w:val="24"/>
          <w:szCs w:val="24"/>
          <w:lang w:val="en-GB" w:eastAsia="en-GB"/>
        </w:rPr>
        <w:t>Research Methods for Business Students</w:t>
      </w:r>
      <w:r>
        <w:rPr>
          <w:rFonts w:ascii="Arial" w:cs="Arial" w:eastAsia="Times New Roman" w:hAnsi="Arial"/>
          <w:sz w:val="24"/>
          <w:szCs w:val="24"/>
          <w:lang w:val="en-GB" w:eastAsia="en-GB"/>
        </w:rPr>
        <w:t xml:space="preserve">. 9th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Harlow: Pearson. Available at: </w:t>
      </w:r>
      <w:r>
        <w:rPr/>
        <w:fldChar w:fldCharType="begin"/>
      </w:r>
      <w:r>
        <w:instrText xml:space="preserve"> HYPERLINK "https://www.pearson.com/" \t "_new" </w:instrText>
      </w:r>
      <w:r>
        <w:rPr/>
        <w:fldChar w:fldCharType="separate"/>
      </w:r>
      <w:r>
        <w:rPr>
          <w:rFonts w:ascii="Arial" w:cs="Arial" w:eastAsia="Times New Roman" w:hAnsi="Arial"/>
          <w:color w:val="0000ff"/>
          <w:sz w:val="24"/>
          <w:szCs w:val="24"/>
          <w:u w:val="single"/>
          <w:lang w:val="en-GB" w:eastAsia="en-GB"/>
        </w:rPr>
        <w:t>https://www.pearson.com/</w:t>
      </w:r>
      <w:r>
        <w:rPr/>
        <w:fldChar w:fldCharType="end"/>
      </w:r>
    </w:p>
    <w:p w14:paraId="5CA1C1EF">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Slack, N., Singh, G. and Sharma, S. (2021) ‘The effect of service quality on customer satisfaction and loyalty’, </w:t>
      </w:r>
      <w:r>
        <w:rPr>
          <w:rFonts w:ascii="Arial" w:cs="Arial" w:eastAsia="Times New Roman" w:hAnsi="Arial"/>
          <w:i/>
          <w:iCs/>
          <w:sz w:val="24"/>
          <w:szCs w:val="24"/>
          <w:lang w:val="en-GB" w:eastAsia="en-GB"/>
        </w:rPr>
        <w:t>The TQM Journal</w:t>
      </w:r>
      <w:r>
        <w:rPr>
          <w:rFonts w:ascii="Arial" w:cs="Arial" w:eastAsia="Times New Roman" w:hAnsi="Arial"/>
          <w:sz w:val="24"/>
          <w:szCs w:val="24"/>
          <w:lang w:val="en-GB" w:eastAsia="en-GB"/>
        </w:rPr>
        <w:t xml:space="preserve">, 33(3), pp. 543–558. Available at: </w:t>
      </w:r>
      <w:r>
        <w:rPr/>
        <w:fldChar w:fldCharType="begin"/>
      </w:r>
      <w:r>
        <w:instrText xml:space="preserve"> HYPERLINK "https://www.emerald.com/" \t "_new" </w:instrText>
      </w:r>
      <w:r>
        <w:rPr/>
        <w:fldChar w:fldCharType="separate"/>
      </w:r>
      <w:r>
        <w:rPr>
          <w:rFonts w:ascii="Arial" w:cs="Arial" w:eastAsia="Times New Roman" w:hAnsi="Arial"/>
          <w:color w:val="0000ff"/>
          <w:sz w:val="24"/>
          <w:szCs w:val="24"/>
          <w:u w:val="single"/>
          <w:lang w:val="en-GB" w:eastAsia="en-GB"/>
        </w:rPr>
        <w:t>https://www.emerald.com/</w:t>
      </w:r>
      <w:r>
        <w:rPr/>
        <w:fldChar w:fldCharType="end"/>
      </w:r>
    </w:p>
    <w:p w14:paraId="4499CA5C">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Starbucks Corporation (2023) </w:t>
      </w:r>
      <w:r>
        <w:rPr>
          <w:rFonts w:ascii="Arial" w:cs="Arial" w:eastAsia="Times New Roman" w:hAnsi="Arial"/>
          <w:i/>
          <w:iCs/>
          <w:sz w:val="24"/>
          <w:szCs w:val="24"/>
          <w:lang w:val="en-GB" w:eastAsia="en-GB"/>
        </w:rPr>
        <w:t>Global Environmental and Social Impact Report</w:t>
      </w:r>
      <w:r>
        <w:rPr>
          <w:rFonts w:ascii="Arial" w:cs="Arial" w:eastAsia="Times New Roman" w:hAnsi="Arial"/>
          <w:sz w:val="24"/>
          <w:szCs w:val="24"/>
          <w:lang w:val="en-GB" w:eastAsia="en-GB"/>
        </w:rPr>
        <w:t xml:space="preserve">. Available at: </w:t>
      </w:r>
      <w:r>
        <w:rPr/>
        <w:fldChar w:fldCharType="begin"/>
      </w:r>
      <w:r>
        <w:instrText xml:space="preserve"> HYPERLINK "https://stories.starbucks.com/" \t "_new" </w:instrText>
      </w:r>
      <w:r>
        <w:rPr/>
        <w:fldChar w:fldCharType="separate"/>
      </w:r>
      <w:r>
        <w:rPr>
          <w:rFonts w:ascii="Arial" w:cs="Arial" w:eastAsia="Times New Roman" w:hAnsi="Arial"/>
          <w:color w:val="0000ff"/>
          <w:sz w:val="24"/>
          <w:szCs w:val="24"/>
          <w:u w:val="single"/>
          <w:lang w:val="en-GB" w:eastAsia="en-GB"/>
        </w:rPr>
        <w:t>https://stories.starbucks.com/</w:t>
      </w:r>
      <w:r>
        <w:rPr/>
        <w:fldChar w:fldCharType="end"/>
      </w:r>
    </w:p>
    <w:p w14:paraId="5AF511C6">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Starbucks Corporation (2024) </w:t>
      </w:r>
      <w:r>
        <w:rPr>
          <w:rFonts w:ascii="Arial" w:cs="Arial" w:eastAsia="Times New Roman" w:hAnsi="Arial"/>
          <w:i/>
          <w:iCs/>
          <w:sz w:val="24"/>
          <w:szCs w:val="24"/>
          <w:lang w:val="en-GB" w:eastAsia="en-GB"/>
        </w:rPr>
        <w:t>Annual Report 2024</w:t>
      </w:r>
      <w:r>
        <w:rPr>
          <w:rFonts w:ascii="Arial" w:cs="Arial" w:eastAsia="Times New Roman" w:hAnsi="Arial"/>
          <w:sz w:val="24"/>
          <w:szCs w:val="24"/>
          <w:lang w:val="en-GB" w:eastAsia="en-GB"/>
        </w:rPr>
        <w:t xml:space="preserve">. Available at: </w:t>
      </w:r>
      <w:r>
        <w:rPr/>
        <w:fldChar w:fldCharType="begin"/>
      </w:r>
      <w:r>
        <w:instrText xml:space="preserve"> HYPERLINK "https://investor.starbucks.com/" \t "_new" </w:instrText>
      </w:r>
      <w:r>
        <w:rPr/>
        <w:fldChar w:fldCharType="separate"/>
      </w:r>
      <w:r>
        <w:rPr>
          <w:rFonts w:ascii="Arial" w:cs="Arial" w:eastAsia="Times New Roman" w:hAnsi="Arial"/>
          <w:color w:val="0000ff"/>
          <w:sz w:val="24"/>
          <w:szCs w:val="24"/>
          <w:u w:val="single"/>
          <w:lang w:val="en-GB" w:eastAsia="en-GB"/>
        </w:rPr>
        <w:t>https://investor.starbucks.com/</w:t>
      </w:r>
      <w:r>
        <w:rPr/>
        <w:fldChar w:fldCharType="end"/>
      </w:r>
    </w:p>
    <w:p w14:paraId="06B7B76B">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Starbucks UK (2024) </w:t>
      </w:r>
      <w:r>
        <w:rPr>
          <w:rFonts w:ascii="Arial" w:cs="Arial" w:eastAsia="Times New Roman" w:hAnsi="Arial"/>
          <w:i/>
          <w:iCs/>
          <w:sz w:val="24"/>
          <w:szCs w:val="24"/>
          <w:lang w:val="en-GB" w:eastAsia="en-GB"/>
        </w:rPr>
        <w:t>Starbucks UK</w:t>
      </w:r>
      <w:r>
        <w:rPr>
          <w:rFonts w:ascii="Arial" w:cs="Arial" w:eastAsia="Times New Roman" w:hAnsi="Arial"/>
          <w:sz w:val="24"/>
          <w:szCs w:val="24"/>
          <w:lang w:val="en-GB" w:eastAsia="en-GB"/>
        </w:rPr>
        <w:t xml:space="preserve">. Available at: </w:t>
      </w:r>
      <w:r>
        <w:rPr/>
        <w:fldChar w:fldCharType="begin"/>
      </w:r>
      <w:r>
        <w:instrText xml:space="preserve"> HYPERLINK "https://www.starbucks.co.uk/" \t "_new" </w:instrText>
      </w:r>
      <w:r>
        <w:rPr/>
        <w:fldChar w:fldCharType="separate"/>
      </w:r>
      <w:r>
        <w:rPr>
          <w:rFonts w:ascii="Arial" w:cs="Arial" w:eastAsia="Times New Roman" w:hAnsi="Arial"/>
          <w:color w:val="0000ff"/>
          <w:sz w:val="24"/>
          <w:szCs w:val="24"/>
          <w:u w:val="single"/>
          <w:lang w:val="en-GB" w:eastAsia="en-GB"/>
        </w:rPr>
        <w:t>https://www.starbucks.co.uk/</w:t>
      </w:r>
      <w:r>
        <w:rPr/>
        <w:fldChar w:fldCharType="end"/>
      </w:r>
    </w:p>
    <w:p w14:paraId="51043938">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UK Government (2023) </w:t>
      </w:r>
      <w:r>
        <w:rPr>
          <w:rFonts w:ascii="Arial" w:cs="Arial" w:eastAsia="Times New Roman" w:hAnsi="Arial"/>
          <w:i/>
          <w:iCs/>
          <w:sz w:val="24"/>
          <w:szCs w:val="24"/>
          <w:lang w:val="en-GB" w:eastAsia="en-GB"/>
        </w:rPr>
        <w:t>Employment Rights</w:t>
      </w:r>
      <w:r>
        <w:rPr>
          <w:rFonts w:ascii="Arial" w:cs="Arial" w:eastAsia="Times New Roman" w:hAnsi="Arial"/>
          <w:sz w:val="24"/>
          <w:szCs w:val="24"/>
          <w:lang w:val="en-GB" w:eastAsia="en-GB"/>
        </w:rPr>
        <w:t xml:space="preserve">. Available at: </w:t>
      </w:r>
      <w:r>
        <w:rPr/>
        <w:fldChar w:fldCharType="begin"/>
      </w:r>
      <w:r>
        <w:instrText xml:space="preserve"> HYPERLINK "https://www.gov.uk/browse/employing-people" \t "_new" </w:instrText>
      </w:r>
      <w:r>
        <w:rPr/>
        <w:fldChar w:fldCharType="separate"/>
      </w:r>
      <w:r>
        <w:rPr>
          <w:rFonts w:ascii="Arial" w:cs="Arial" w:eastAsia="Times New Roman" w:hAnsi="Arial"/>
          <w:color w:val="0000ff"/>
          <w:sz w:val="24"/>
          <w:szCs w:val="24"/>
          <w:u w:val="single"/>
          <w:lang w:val="en-GB" w:eastAsia="en-GB"/>
        </w:rPr>
        <w:t>https://www.gov.uk/browse/employing-people</w:t>
      </w:r>
      <w:r>
        <w:rPr/>
        <w:fldChar w:fldCharType="end"/>
      </w:r>
    </w:p>
    <w:p w14:paraId="2A13FFC6">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UK Government (2024) </w:t>
      </w:r>
      <w:r>
        <w:rPr>
          <w:rFonts w:ascii="Arial" w:cs="Arial" w:eastAsia="Times New Roman" w:hAnsi="Arial"/>
          <w:i/>
          <w:iCs/>
          <w:sz w:val="24"/>
          <w:szCs w:val="24"/>
          <w:lang w:val="en-GB" w:eastAsia="en-GB"/>
        </w:rPr>
        <w:t>Department for Business and Trade</w:t>
      </w:r>
      <w:r>
        <w:rPr>
          <w:rFonts w:ascii="Arial" w:cs="Arial" w:eastAsia="Times New Roman" w:hAnsi="Arial"/>
          <w:sz w:val="24"/>
          <w:szCs w:val="24"/>
          <w:lang w:val="en-GB" w:eastAsia="en-GB"/>
        </w:rPr>
        <w:t xml:space="preserve">. Available at: </w:t>
      </w:r>
      <w:r>
        <w:rPr/>
        <w:fldChar w:fldCharType="begin"/>
      </w:r>
      <w:r>
        <w:instrText xml:space="preserve"> HYPERLINK "https://www.gov.uk/government/organisations/department-for-business-and-trade" \t "_new" </w:instrText>
      </w:r>
      <w:r>
        <w:rPr/>
        <w:fldChar w:fldCharType="separate"/>
      </w:r>
      <w:r>
        <w:rPr>
          <w:rFonts w:ascii="Arial" w:cs="Arial" w:eastAsia="Times New Roman" w:hAnsi="Arial"/>
          <w:color w:val="0000ff"/>
          <w:sz w:val="24"/>
          <w:szCs w:val="24"/>
          <w:u w:val="single"/>
          <w:lang w:val="en-GB" w:eastAsia="en-GB"/>
        </w:rPr>
        <w:t>https://www.gov.uk/government/organisations/department-for-business-and-trade</w:t>
      </w:r>
      <w:r>
        <w:rPr/>
        <w:fldChar w:fldCharType="end"/>
      </w:r>
    </w:p>
    <w:p w14:paraId="5C480E05">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UKHospitality</w:t>
      </w:r>
      <w:r>
        <w:rPr>
          <w:rFonts w:ascii="Arial" w:cs="Arial" w:eastAsia="Times New Roman" w:hAnsi="Arial"/>
          <w:sz w:val="24"/>
          <w:szCs w:val="24"/>
          <w:lang w:val="en-GB" w:eastAsia="en-GB"/>
        </w:rPr>
        <w:t xml:space="preserve"> (2024) </w:t>
      </w:r>
      <w:r>
        <w:rPr>
          <w:rFonts w:ascii="Arial" w:cs="Arial" w:eastAsia="Times New Roman" w:hAnsi="Arial"/>
          <w:i/>
          <w:iCs/>
          <w:sz w:val="24"/>
          <w:szCs w:val="24"/>
          <w:lang w:val="en-GB" w:eastAsia="en-GB"/>
        </w:rPr>
        <w:t>Hospitality Workforce Strategy</w:t>
      </w:r>
      <w:r>
        <w:rPr>
          <w:rFonts w:ascii="Arial" w:cs="Arial" w:eastAsia="Times New Roman" w:hAnsi="Arial"/>
          <w:sz w:val="24"/>
          <w:szCs w:val="24"/>
          <w:lang w:val="en-GB" w:eastAsia="en-GB"/>
        </w:rPr>
        <w:t xml:space="preserve">. Available at: </w:t>
      </w:r>
      <w:r>
        <w:rPr/>
        <w:fldChar w:fldCharType="begin"/>
      </w:r>
      <w:r>
        <w:instrText xml:space="preserve"> HYPERLINK "https://www.ukhospitality.org.uk/" \t "_new" </w:instrText>
      </w:r>
      <w:r>
        <w:rPr/>
        <w:fldChar w:fldCharType="separate"/>
      </w:r>
      <w:r>
        <w:rPr>
          <w:rFonts w:ascii="Arial" w:cs="Arial" w:eastAsia="Times New Roman" w:hAnsi="Arial"/>
          <w:color w:val="0000ff"/>
          <w:sz w:val="24"/>
          <w:szCs w:val="24"/>
          <w:u w:val="single"/>
          <w:lang w:val="en-GB" w:eastAsia="en-GB"/>
        </w:rPr>
        <w:t>https://www.ukhospitality.org.uk/</w:t>
      </w:r>
      <w:r>
        <w:rPr/>
        <w:fldChar w:fldCharType="end"/>
      </w:r>
    </w:p>
    <w:p w14:paraId="534EAD68">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Wirtz</w:t>
      </w:r>
      <w:r>
        <w:rPr>
          <w:rFonts w:ascii="Arial" w:cs="Arial" w:eastAsia="Times New Roman" w:hAnsi="Arial"/>
          <w:sz w:val="24"/>
          <w:szCs w:val="24"/>
          <w:lang w:val="en-GB" w:eastAsia="en-GB"/>
        </w:rPr>
        <w:t xml:space="preserve">, J. and Lovelock, C. (2022) </w:t>
      </w:r>
      <w:r>
        <w:rPr>
          <w:rFonts w:ascii="Arial" w:cs="Arial" w:eastAsia="Times New Roman" w:hAnsi="Arial"/>
          <w:i/>
          <w:iCs/>
          <w:sz w:val="24"/>
          <w:szCs w:val="24"/>
          <w:lang w:val="en-GB" w:eastAsia="en-GB"/>
        </w:rPr>
        <w:t>Services Marketing: People, Technology, Strategy</w:t>
      </w:r>
      <w:r>
        <w:rPr>
          <w:rFonts w:ascii="Arial" w:cs="Arial" w:eastAsia="Times New Roman" w:hAnsi="Arial"/>
          <w:sz w:val="24"/>
          <w:szCs w:val="24"/>
          <w:lang w:val="en-GB" w:eastAsia="en-GB"/>
        </w:rPr>
        <w:t xml:space="preserve">. 9th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Singapore: World Scientific. Available at: </w:t>
      </w:r>
      <w:r>
        <w:rPr/>
        <w:fldChar w:fldCharType="begin"/>
      </w:r>
      <w:r>
        <w:instrText xml:space="preserve"> HYPERLINK "https://www.worldscientific.com/" \t "_new" </w:instrText>
      </w:r>
      <w:r>
        <w:rPr/>
        <w:fldChar w:fldCharType="separate"/>
      </w:r>
      <w:r>
        <w:rPr>
          <w:rFonts w:ascii="Arial" w:cs="Arial" w:eastAsia="Times New Roman" w:hAnsi="Arial"/>
          <w:color w:val="0000ff"/>
          <w:sz w:val="24"/>
          <w:szCs w:val="24"/>
          <w:u w:val="single"/>
          <w:lang w:val="en-GB" w:eastAsia="en-GB"/>
        </w:rPr>
        <w:t>https://www.worldscientific.com/</w:t>
      </w:r>
      <w:r>
        <w:rPr/>
        <w:fldChar w:fldCharType="end"/>
      </w:r>
    </w:p>
    <w:p w14:paraId="0C5F5596">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Yin, R.K. (2018) </w:t>
      </w:r>
      <w:r>
        <w:rPr>
          <w:rFonts w:ascii="Arial" w:cs="Arial" w:eastAsia="Times New Roman" w:hAnsi="Arial"/>
          <w:i/>
          <w:iCs/>
          <w:sz w:val="24"/>
          <w:szCs w:val="24"/>
          <w:lang w:val="en-GB" w:eastAsia="en-GB"/>
        </w:rPr>
        <w:t>Case Study Research and Applications</w:t>
      </w:r>
      <w:r>
        <w:rPr>
          <w:rFonts w:ascii="Arial" w:cs="Arial" w:eastAsia="Times New Roman" w:hAnsi="Arial"/>
          <w:sz w:val="24"/>
          <w:szCs w:val="24"/>
          <w:lang w:val="en-GB" w:eastAsia="en-GB"/>
        </w:rPr>
        <w:t xml:space="preserve">. 6th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Thousand Oaks, CA: Sage. Available at: https://us.sagepub.com/</w:t>
      </w:r>
    </w:p>
    <w:p w14:paraId="4063170F">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Zeithaml</w:t>
      </w:r>
      <w:r>
        <w:rPr>
          <w:rFonts w:ascii="Arial" w:cs="Arial" w:eastAsia="Times New Roman" w:hAnsi="Arial"/>
          <w:sz w:val="24"/>
          <w:szCs w:val="24"/>
          <w:lang w:val="en-GB" w:eastAsia="en-GB"/>
        </w:rPr>
        <w:t xml:space="preserve">, V.A., </w:t>
      </w:r>
      <w:r>
        <w:rPr>
          <w:rFonts w:ascii="Arial" w:cs="Arial" w:eastAsia="Times New Roman" w:hAnsi="Arial"/>
          <w:sz w:val="24"/>
          <w:szCs w:val="24"/>
          <w:lang w:val="en-GB" w:eastAsia="en-GB"/>
        </w:rPr>
        <w:t>Bitner</w:t>
      </w:r>
      <w:r>
        <w:rPr>
          <w:rFonts w:ascii="Arial" w:cs="Arial" w:eastAsia="Times New Roman" w:hAnsi="Arial"/>
          <w:sz w:val="24"/>
          <w:szCs w:val="24"/>
          <w:lang w:val="en-GB" w:eastAsia="en-GB"/>
        </w:rPr>
        <w:t xml:space="preserve">, M.J. and </w:t>
      </w:r>
      <w:r>
        <w:rPr>
          <w:rFonts w:ascii="Arial" w:cs="Arial" w:eastAsia="Times New Roman" w:hAnsi="Arial"/>
          <w:sz w:val="24"/>
          <w:szCs w:val="24"/>
          <w:lang w:val="en-GB" w:eastAsia="en-GB"/>
        </w:rPr>
        <w:t>Gremler</w:t>
      </w:r>
      <w:r>
        <w:rPr>
          <w:rFonts w:ascii="Arial" w:cs="Arial" w:eastAsia="Times New Roman" w:hAnsi="Arial"/>
          <w:sz w:val="24"/>
          <w:szCs w:val="24"/>
          <w:lang w:val="en-GB" w:eastAsia="en-GB"/>
        </w:rPr>
        <w:t xml:space="preserve">, D.D. (2021) </w:t>
      </w:r>
      <w:r>
        <w:rPr>
          <w:rFonts w:ascii="Arial" w:cs="Arial" w:eastAsia="Times New Roman" w:hAnsi="Arial"/>
          <w:i/>
          <w:iCs/>
          <w:sz w:val="24"/>
          <w:szCs w:val="24"/>
          <w:lang w:val="en-GB" w:eastAsia="en-GB"/>
        </w:rPr>
        <w:t>Services Marketing: Integrating Customer Focus Across the Firm</w:t>
      </w:r>
      <w:r>
        <w:rPr>
          <w:rFonts w:ascii="Arial" w:cs="Arial" w:eastAsia="Times New Roman" w:hAnsi="Arial"/>
          <w:sz w:val="24"/>
          <w:szCs w:val="24"/>
          <w:lang w:val="en-GB" w:eastAsia="en-GB"/>
        </w:rPr>
        <w:t xml:space="preserve">. 8th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New York: McGraw-Hill. Available at: </w:t>
      </w:r>
      <w:r>
        <w:rPr/>
        <w:fldChar w:fldCharType="begin"/>
      </w:r>
      <w:r>
        <w:instrText xml:space="preserve"> HYPERLINK "https://www.mheducation.com/" \t "_new" </w:instrText>
      </w:r>
      <w:r>
        <w:rPr/>
        <w:fldChar w:fldCharType="separate"/>
      </w:r>
      <w:r>
        <w:rPr>
          <w:rFonts w:ascii="Arial" w:cs="Arial" w:eastAsia="Times New Roman" w:hAnsi="Arial"/>
          <w:color w:val="0000ff"/>
          <w:sz w:val="24"/>
          <w:szCs w:val="24"/>
          <w:u w:val="single"/>
          <w:lang w:val="en-GB" w:eastAsia="en-GB"/>
        </w:rPr>
        <w:t>https://www.mheducation.com/</w:t>
      </w:r>
      <w:r>
        <w:rPr/>
        <w:fldChar w:fldCharType="end"/>
      </w:r>
    </w:p>
    <w:p w14:paraId="347883CD">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Brewster, C., Chung, C. and Sparrow, P. (2016) </w:t>
      </w:r>
      <w:r>
        <w:rPr>
          <w:rFonts w:ascii="Arial" w:cs="Arial" w:eastAsia="Times New Roman" w:hAnsi="Arial"/>
          <w:i/>
          <w:iCs/>
          <w:sz w:val="24"/>
          <w:szCs w:val="24"/>
          <w:lang w:val="en-GB" w:eastAsia="en-GB"/>
        </w:rPr>
        <w:t>Globalizing Human Resource Management</w:t>
      </w:r>
      <w:r>
        <w:rPr>
          <w:rFonts w:ascii="Arial" w:cs="Arial" w:eastAsia="Times New Roman" w:hAnsi="Arial"/>
          <w:sz w:val="24"/>
          <w:szCs w:val="24"/>
          <w:lang w:val="en-GB" w:eastAsia="en-GB"/>
        </w:rPr>
        <w:t xml:space="preserve">. 2nd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London: Routledge. Available at: </w:t>
      </w:r>
      <w:r>
        <w:rPr/>
        <w:fldChar w:fldCharType="begin"/>
      </w:r>
      <w:r>
        <w:instrText xml:space="preserve"> HYPERLINK "https://www.routledge.com/" \t "_new" </w:instrText>
      </w:r>
      <w:r>
        <w:rPr/>
        <w:fldChar w:fldCharType="separate"/>
      </w:r>
      <w:r>
        <w:rPr>
          <w:rFonts w:ascii="Arial" w:cs="Arial" w:eastAsia="Times New Roman" w:hAnsi="Arial"/>
          <w:color w:val="0000ff"/>
          <w:sz w:val="24"/>
          <w:szCs w:val="24"/>
          <w:u w:val="single"/>
          <w:lang w:val="en-GB" w:eastAsia="en-GB"/>
        </w:rPr>
        <w:t>https://www.routledge.com/</w:t>
      </w:r>
      <w:r>
        <w:rPr/>
        <w:fldChar w:fldCharType="end"/>
      </w:r>
    </w:p>
    <w:p w14:paraId="0E6511CA">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Boxall, P. and Purcell, J. (2016) </w:t>
      </w:r>
      <w:r>
        <w:rPr>
          <w:rFonts w:ascii="Arial" w:cs="Arial" w:eastAsia="Times New Roman" w:hAnsi="Arial"/>
          <w:i/>
          <w:iCs/>
          <w:sz w:val="24"/>
          <w:szCs w:val="24"/>
          <w:lang w:val="en-GB" w:eastAsia="en-GB"/>
        </w:rPr>
        <w:t>Strategy and Human Resource Management</w:t>
      </w:r>
      <w:r>
        <w:rPr>
          <w:rFonts w:ascii="Arial" w:cs="Arial" w:eastAsia="Times New Roman" w:hAnsi="Arial"/>
          <w:sz w:val="24"/>
          <w:szCs w:val="24"/>
          <w:lang w:val="en-GB" w:eastAsia="en-GB"/>
        </w:rPr>
        <w:t xml:space="preserve">. 4th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London: Red Globe Press. Available at: </w:t>
      </w:r>
      <w:r>
        <w:rPr/>
        <w:fldChar w:fldCharType="begin"/>
      </w:r>
      <w:r>
        <w:instrText xml:space="preserve"> HYPERLINK "https://link.springer.com/" \t "_new" </w:instrText>
      </w:r>
      <w:r>
        <w:rPr/>
        <w:fldChar w:fldCharType="separate"/>
      </w:r>
      <w:r>
        <w:rPr>
          <w:rFonts w:ascii="Arial" w:cs="Arial" w:eastAsia="Times New Roman" w:hAnsi="Arial"/>
          <w:color w:val="0000ff"/>
          <w:sz w:val="24"/>
          <w:szCs w:val="24"/>
          <w:u w:val="single"/>
          <w:lang w:val="en-GB" w:eastAsia="en-GB"/>
        </w:rPr>
        <w:t>https://link.springer.com/</w:t>
      </w:r>
      <w:r>
        <w:rPr/>
        <w:fldChar w:fldCharType="end"/>
      </w:r>
    </w:p>
    <w:p w14:paraId="56681C57">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Collings, D.G., Wood, G. and </w:t>
      </w:r>
      <w:r>
        <w:rPr>
          <w:rFonts w:ascii="Arial" w:cs="Arial" w:eastAsia="Times New Roman" w:hAnsi="Arial"/>
          <w:sz w:val="24"/>
          <w:szCs w:val="24"/>
          <w:lang w:val="en-GB" w:eastAsia="en-GB"/>
        </w:rPr>
        <w:t>Szamosi</w:t>
      </w:r>
      <w:r>
        <w:rPr>
          <w:rFonts w:ascii="Arial" w:cs="Arial" w:eastAsia="Times New Roman" w:hAnsi="Arial"/>
          <w:sz w:val="24"/>
          <w:szCs w:val="24"/>
          <w:lang w:val="en-GB" w:eastAsia="en-GB"/>
        </w:rPr>
        <w:t xml:space="preserve">, L.T. (2019) </w:t>
      </w:r>
      <w:r>
        <w:rPr>
          <w:rFonts w:ascii="Arial" w:cs="Arial" w:eastAsia="Times New Roman" w:hAnsi="Arial"/>
          <w:i/>
          <w:iCs/>
          <w:sz w:val="24"/>
          <w:szCs w:val="24"/>
          <w:lang w:val="en-GB" w:eastAsia="en-GB"/>
        </w:rPr>
        <w:t>Human Resource Management: A Critical Approach</w:t>
      </w:r>
      <w:r>
        <w:rPr>
          <w:rFonts w:ascii="Arial" w:cs="Arial" w:eastAsia="Times New Roman" w:hAnsi="Arial"/>
          <w:sz w:val="24"/>
          <w:szCs w:val="24"/>
          <w:lang w:val="en-GB" w:eastAsia="en-GB"/>
        </w:rPr>
        <w:t xml:space="preserve">. 3rd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London: Routledge. Available at: </w:t>
      </w:r>
      <w:r>
        <w:rPr/>
        <w:fldChar w:fldCharType="begin"/>
      </w:r>
      <w:r>
        <w:instrText xml:space="preserve"> HYPERLINK "https://www.routledge.com/" \t "_new" </w:instrText>
      </w:r>
      <w:r>
        <w:rPr/>
        <w:fldChar w:fldCharType="separate"/>
      </w:r>
      <w:r>
        <w:rPr>
          <w:rFonts w:ascii="Arial" w:cs="Arial" w:eastAsia="Times New Roman" w:hAnsi="Arial"/>
          <w:color w:val="0000ff"/>
          <w:sz w:val="24"/>
          <w:szCs w:val="24"/>
          <w:u w:val="single"/>
          <w:lang w:val="en-GB" w:eastAsia="en-GB"/>
        </w:rPr>
        <w:t>https://www.routledge.com/</w:t>
      </w:r>
      <w:r>
        <w:rPr/>
        <w:fldChar w:fldCharType="end"/>
      </w:r>
    </w:p>
    <w:p w14:paraId="73142B04">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Grönroos</w:t>
      </w:r>
      <w:r>
        <w:rPr>
          <w:rFonts w:ascii="Arial" w:cs="Arial" w:eastAsia="Times New Roman" w:hAnsi="Arial"/>
          <w:sz w:val="24"/>
          <w:szCs w:val="24"/>
          <w:lang w:val="en-GB" w:eastAsia="en-GB"/>
        </w:rPr>
        <w:t xml:space="preserve">, C. (2015) </w:t>
      </w:r>
      <w:r>
        <w:rPr>
          <w:rFonts w:ascii="Arial" w:cs="Arial" w:eastAsia="Times New Roman" w:hAnsi="Arial"/>
          <w:i/>
          <w:iCs/>
          <w:sz w:val="24"/>
          <w:szCs w:val="24"/>
          <w:lang w:val="en-GB" w:eastAsia="en-GB"/>
        </w:rPr>
        <w:t>Service Management and Marketing</w:t>
      </w:r>
      <w:r>
        <w:rPr>
          <w:rFonts w:ascii="Arial" w:cs="Arial" w:eastAsia="Times New Roman" w:hAnsi="Arial"/>
          <w:sz w:val="24"/>
          <w:szCs w:val="24"/>
          <w:lang w:val="en-GB" w:eastAsia="en-GB"/>
        </w:rPr>
        <w:t xml:space="preserve">. 4th </w:t>
      </w:r>
      <w:r>
        <w:rPr>
          <w:rFonts w:ascii="Arial" w:cs="Arial" w:eastAsia="Times New Roman" w:hAnsi="Arial"/>
          <w:sz w:val="24"/>
          <w:szCs w:val="24"/>
          <w:lang w:val="en-GB" w:eastAsia="en-GB"/>
        </w:rPr>
        <w:t>edn</w:t>
      </w:r>
      <w:r>
        <w:rPr>
          <w:rFonts w:ascii="Arial" w:cs="Arial" w:eastAsia="Times New Roman" w:hAnsi="Arial"/>
          <w:sz w:val="24"/>
          <w:szCs w:val="24"/>
          <w:lang w:val="en-GB" w:eastAsia="en-GB"/>
        </w:rPr>
        <w:t xml:space="preserve">. Chichester: Wiley. Available at: </w:t>
      </w:r>
      <w:r>
        <w:rPr/>
        <w:fldChar w:fldCharType="begin"/>
      </w:r>
      <w:r>
        <w:instrText xml:space="preserve"> HYPERLINK "https://www.wiley.com/" \t "_new" </w:instrText>
      </w:r>
      <w:r>
        <w:rPr/>
        <w:fldChar w:fldCharType="separate"/>
      </w:r>
      <w:r>
        <w:rPr>
          <w:rFonts w:ascii="Arial" w:cs="Arial" w:eastAsia="Times New Roman" w:hAnsi="Arial"/>
          <w:color w:val="0000ff"/>
          <w:sz w:val="24"/>
          <w:szCs w:val="24"/>
          <w:u w:val="single"/>
          <w:lang w:val="en-GB" w:eastAsia="en-GB"/>
        </w:rPr>
        <w:t>https://www.wiley.com/</w:t>
      </w:r>
      <w:r>
        <w:rPr/>
        <w:fldChar w:fldCharType="end"/>
      </w:r>
    </w:p>
    <w:p w14:paraId="67C32A7E">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Mintel (2024) </w:t>
      </w:r>
      <w:r>
        <w:rPr>
          <w:rFonts w:ascii="Arial" w:cs="Arial" w:eastAsia="Times New Roman" w:hAnsi="Arial"/>
          <w:i/>
          <w:iCs/>
          <w:sz w:val="24"/>
          <w:szCs w:val="24"/>
          <w:lang w:val="en-GB" w:eastAsia="en-GB"/>
        </w:rPr>
        <w:t>UK Coffee Shops Market Report</w:t>
      </w:r>
      <w:r>
        <w:rPr>
          <w:rFonts w:ascii="Arial" w:cs="Arial" w:eastAsia="Times New Roman" w:hAnsi="Arial"/>
          <w:sz w:val="24"/>
          <w:szCs w:val="24"/>
          <w:lang w:val="en-GB" w:eastAsia="en-GB"/>
        </w:rPr>
        <w:t xml:space="preserve">. Available at: </w:t>
      </w:r>
      <w:r>
        <w:rPr/>
        <w:fldChar w:fldCharType="begin"/>
      </w:r>
      <w:r>
        <w:instrText xml:space="preserve"> HYPERLINK "https://www.mintel.com/" \t "_new" </w:instrText>
      </w:r>
      <w:r>
        <w:rPr/>
        <w:fldChar w:fldCharType="separate"/>
      </w:r>
      <w:r>
        <w:rPr>
          <w:rFonts w:ascii="Arial" w:cs="Arial" w:eastAsia="Times New Roman" w:hAnsi="Arial"/>
          <w:color w:val="0000ff"/>
          <w:sz w:val="24"/>
          <w:szCs w:val="24"/>
          <w:u w:val="single"/>
          <w:lang w:val="en-GB" w:eastAsia="en-GB"/>
        </w:rPr>
        <w:t>https://www.mintel.com/</w:t>
      </w:r>
      <w:r>
        <w:rPr/>
        <w:fldChar w:fldCharType="end"/>
      </w:r>
    </w:p>
    <w:p w14:paraId="45420F4C">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Statista (2024) </w:t>
      </w:r>
      <w:r>
        <w:rPr>
          <w:rFonts w:ascii="Arial" w:cs="Arial" w:eastAsia="Times New Roman" w:hAnsi="Arial"/>
          <w:i/>
          <w:iCs/>
          <w:sz w:val="24"/>
          <w:szCs w:val="24"/>
          <w:lang w:val="en-GB" w:eastAsia="en-GB"/>
        </w:rPr>
        <w:t>Coffee Shop Industry in the United Kingdom</w:t>
      </w:r>
      <w:r>
        <w:rPr>
          <w:rFonts w:ascii="Arial" w:cs="Arial" w:eastAsia="Times New Roman" w:hAnsi="Arial"/>
          <w:sz w:val="24"/>
          <w:szCs w:val="24"/>
          <w:lang w:val="en-GB" w:eastAsia="en-GB"/>
        </w:rPr>
        <w:t xml:space="preserve">. Available at: </w:t>
      </w:r>
      <w:r>
        <w:rPr/>
        <w:fldChar w:fldCharType="begin"/>
      </w:r>
      <w:r>
        <w:instrText xml:space="preserve"> HYPERLINK "https://www.statista.com/" \t "_new" </w:instrText>
      </w:r>
      <w:r>
        <w:rPr/>
        <w:fldChar w:fldCharType="separate"/>
      </w:r>
      <w:r>
        <w:rPr>
          <w:rFonts w:ascii="Arial" w:cs="Arial" w:eastAsia="Times New Roman" w:hAnsi="Arial"/>
          <w:color w:val="0000ff"/>
          <w:sz w:val="24"/>
          <w:szCs w:val="24"/>
          <w:u w:val="single"/>
          <w:lang w:val="en-GB" w:eastAsia="en-GB"/>
        </w:rPr>
        <w:t>https://www.statista.com/</w:t>
      </w:r>
      <w:r>
        <w:rPr/>
        <w:fldChar w:fldCharType="end"/>
      </w:r>
    </w:p>
    <w:p w14:paraId="42A76B08">
      <w:pPr>
        <w:pStyle w:val="style0"/>
        <w:spacing w:before="100" w:beforeAutospacing="true" w:after="100" w:afterAutospacing="true" w:lineRule="auto" w:line="360"/>
        <w:jc w:val="both"/>
        <w:rPr>
          <w:rFonts w:ascii="Arial" w:cs="Arial" w:eastAsia="Times New Roman" w:hAnsi="Arial"/>
          <w:sz w:val="24"/>
          <w:szCs w:val="24"/>
          <w:lang w:val="en-GB" w:eastAsia="en-GB"/>
        </w:rPr>
      </w:pPr>
      <w:r>
        <w:rPr>
          <w:rFonts w:ascii="Arial" w:cs="Arial" w:eastAsia="Times New Roman" w:hAnsi="Arial"/>
          <w:sz w:val="24"/>
          <w:szCs w:val="24"/>
          <w:lang w:val="en-GB" w:eastAsia="en-GB"/>
        </w:rPr>
        <w:t xml:space="preserve">World Economic Forum (2025) </w:t>
      </w:r>
      <w:r>
        <w:rPr>
          <w:rFonts w:ascii="Arial" w:cs="Arial" w:eastAsia="Times New Roman" w:hAnsi="Arial"/>
          <w:i/>
          <w:iCs/>
          <w:sz w:val="24"/>
          <w:szCs w:val="24"/>
          <w:lang w:val="en-GB" w:eastAsia="en-GB"/>
        </w:rPr>
        <w:t>The Future of Jobs Report 2025</w:t>
      </w:r>
      <w:r>
        <w:rPr>
          <w:rFonts w:ascii="Arial" w:cs="Arial" w:eastAsia="Times New Roman" w:hAnsi="Arial"/>
          <w:sz w:val="24"/>
          <w:szCs w:val="24"/>
          <w:lang w:val="en-GB" w:eastAsia="en-GB"/>
        </w:rPr>
        <w:t xml:space="preserve">. Available at: </w:t>
      </w:r>
      <w:r>
        <w:rPr/>
        <w:fldChar w:fldCharType="begin"/>
      </w:r>
      <w:r>
        <w:instrText xml:space="preserve"> HYPERLINK "https://www.weforum.org/reports/the-future-of-jobs-report-2025/" \t "_new" </w:instrText>
      </w:r>
      <w:r>
        <w:rPr/>
        <w:fldChar w:fldCharType="separate"/>
      </w:r>
      <w:r>
        <w:rPr>
          <w:rFonts w:ascii="Arial" w:cs="Arial" w:eastAsia="Times New Roman" w:hAnsi="Arial"/>
          <w:color w:val="0000ff"/>
          <w:sz w:val="24"/>
          <w:szCs w:val="24"/>
          <w:u w:val="single"/>
          <w:lang w:val="en-GB" w:eastAsia="en-GB"/>
        </w:rPr>
        <w:t>https://www.weforum.org/reports/the-future-of-jobs-report-2025/</w:t>
      </w:r>
      <w:r>
        <w:rPr/>
        <w:fldChar w:fldCharType="end"/>
      </w:r>
    </w:p>
    <w:sectPr>
      <w:headerReference w:type="default" r:id="rId5"/>
      <w:footerReference w:type="default" r:id="rId6"/>
      <w:pgSz w:w="11906" w:h="16838" w:orient="portrait"/>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1FBF282">
    <w:pPr>
      <w:pStyle w:val="style32"/>
      <w:jc w:val="center"/>
      <w:rPr/>
    </w:pPr>
    <w:r>
      <w:rPr/>
      <w:fldChar w:fldCharType="begin"/>
    </w:r>
    <w:r>
      <w:instrText xml:space="preserve"> PAGE   \* MERGEFORMAT </w:instrText>
    </w:r>
    <w:r>
      <w:rPr/>
      <w:fldChar w:fldCharType="separate"/>
    </w:r>
    <w:r>
      <w:rPr>
        <w:noProof/>
      </w:rPr>
      <w:t>ii</w:t>
    </w:r>
    <w:r>
      <w:rPr>
        <w:noProof/>
      </w:rPr>
      <w:fldChar w:fldCharType="end"/>
    </w:r>
  </w:p>
  <w:p w14:paraId="09932598">
    <w:pPr>
      <w:pStyle w:val="style32"/>
      <w:rPr/>
    </w:pPr>
  </w:p>
</w:ftr>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3135B97B">
    <w:pPr>
      <w:pStyle w:val="style32"/>
      <w:jc w:val="center"/>
      <w:rPr/>
    </w:pPr>
    <w:r>
      <w:rPr/>
      <w:fldChar w:fldCharType="begin"/>
    </w:r>
    <w:r>
      <w:instrText xml:space="preserve"> PAGE   \* MERGEFORMAT </w:instrText>
    </w:r>
    <w:r>
      <w:rPr/>
      <w:fldChar w:fldCharType="separate"/>
    </w:r>
    <w:r>
      <w:rPr>
        <w:noProof/>
      </w:rPr>
      <w:t>14</w:t>
    </w:r>
    <w:r>
      <w:rPr>
        <w:noProof/>
      </w:rPr>
      <w:fldChar w:fldCharType="end"/>
    </w:r>
  </w:p>
  <w:p w14:paraId="751981B7">
    <w:pPr>
      <w:pStyle w:val="style32"/>
      <w:rPr>
        <w:lang w:val="en-GB"/>
      </w:rPr>
    </w:pPr>
  </w:p>
</w:ft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3EE804CB">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9765B0E"/>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hybridMultilevel"/>
    <w:tmpl w:val="65BC4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2"/>
    <w:multiLevelType w:val="multilevel"/>
    <w:tmpl w:val="8A124F6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257EA66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hybridMultilevel"/>
    <w:tmpl w:val="698820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9C62D0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multilevel"/>
    <w:tmpl w:val="9BC09B5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hybridMultilevel"/>
    <w:tmpl w:val="7B3408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multilevel"/>
    <w:tmpl w:val="2402D62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F2462C7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AE7C405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151C1BD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hybridMultilevel"/>
    <w:tmpl w:val="CB4CBBEA"/>
    <w:lvl w:ilvl="0" w:tplc="0809000B">
      <w:start w:val="1"/>
      <w:numFmt w:val="bullet"/>
      <w:lvlText w:val=""/>
      <w:lvlJc w:val="left"/>
      <w:pPr>
        <w:ind w:left="840" w:hanging="48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FB42D7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E3F81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2"/>
  </w:num>
  <w:num w:numId="4">
    <w:abstractNumId w:val="7"/>
  </w:num>
  <w:num w:numId="5">
    <w:abstractNumId w:val="14"/>
  </w:num>
  <w:num w:numId="6">
    <w:abstractNumId w:val="6"/>
  </w:num>
  <w:num w:numId="7">
    <w:abstractNumId w:val="0"/>
  </w:num>
  <w:num w:numId="8">
    <w:abstractNumId w:val="11"/>
  </w:num>
  <w:num w:numId="9">
    <w:abstractNumId w:val="3"/>
  </w:num>
  <w:num w:numId="10">
    <w:abstractNumId w:val="2"/>
  </w:num>
  <w:num w:numId="11">
    <w:abstractNumId w:val="9"/>
  </w:num>
  <w:num w:numId="12">
    <w:abstractNumId w:val="10"/>
  </w:num>
  <w:num w:numId="13">
    <w:abstractNumId w:val="8"/>
  </w:num>
  <w:num w:numId="14">
    <w:abstractNumId w:val="13"/>
  </w:num>
  <w:num w:numId="15">
    <w:abstractNumId w:val="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259"/>
    </w:pPr>
    <w:rPr>
      <w:kern w:val="0"/>
      <w:sz w:val="22"/>
      <w:szCs w:val="22"/>
      <w14:ligatures xmlns:w14="http://schemas.microsoft.com/office/word/2010/wordml" w14:val="none"/>
    </w:rPr>
  </w:style>
  <w:style w:type="paragraph" w:styleId="style1">
    <w:name w:val="heading 1"/>
    <w:basedOn w:val="style0"/>
    <w:next w:val="style0"/>
    <w:link w:val="style4097"/>
    <w:qFormat/>
    <w:uiPriority w:val="9"/>
    <w:pPr>
      <w:keepNext/>
      <w:keepLines/>
      <w:spacing w:before="360" w:after="80"/>
      <w:outlineLvl w:val="0"/>
    </w:pPr>
    <w:rPr>
      <w:rFonts w:ascii="Arial" w:cs="宋体" w:eastAsia="宋体" w:hAnsi="Arial"/>
      <w:b/>
      <w:color w:val="000000"/>
      <w:sz w:val="32"/>
      <w:szCs w:val="40"/>
    </w:rPr>
  </w:style>
  <w:style w:type="paragraph" w:styleId="style2">
    <w:name w:val="heading 2"/>
    <w:basedOn w:val="style0"/>
    <w:next w:val="style0"/>
    <w:link w:val="style4098"/>
    <w:qFormat/>
    <w:uiPriority w:val="9"/>
    <w:pPr>
      <w:keepNext/>
      <w:keepLines/>
      <w:spacing w:before="160" w:after="80"/>
      <w:outlineLvl w:val="1"/>
    </w:pPr>
    <w:rPr>
      <w:rFonts w:ascii="Arial" w:cs="宋体" w:eastAsia="宋体" w:hAnsi="Arial"/>
      <w:b/>
      <w:color w:val="000000"/>
      <w:sz w:val="28"/>
      <w:szCs w:val="32"/>
    </w:rPr>
  </w:style>
  <w:style w:type="paragraph" w:styleId="style3">
    <w:name w:val="heading 3"/>
    <w:basedOn w:val="style0"/>
    <w:next w:val="style0"/>
    <w:link w:val="style4099"/>
    <w:qFormat/>
    <w:uiPriority w:val="9"/>
    <w:pPr>
      <w:keepNext/>
      <w:keepLines/>
      <w:spacing w:before="160" w:after="80"/>
      <w:outlineLvl w:val="2"/>
    </w:pPr>
    <w:rPr>
      <w:rFonts w:ascii="Arial" w:cs="宋体" w:eastAsia="宋体" w:hAnsi="Arial"/>
      <w:b/>
      <w:color w:val="000000"/>
      <w:sz w:val="24"/>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c1e11b60-e75c-4464-aa45-db40408b7f50"/>
    <w:basedOn w:val="style65"/>
    <w:next w:val="style4097"/>
    <w:link w:val="style1"/>
    <w:uiPriority w:val="9"/>
    <w:rPr>
      <w:rFonts w:ascii="Arial" w:cs="宋体" w:eastAsia="宋体" w:hAnsi="Arial"/>
      <w:b/>
      <w:color w:val="000000"/>
      <w:kern w:val="0"/>
      <w:sz w:val="32"/>
      <w:szCs w:val="40"/>
      <w14:ligatures xmlns:w14="http://schemas.microsoft.com/office/word/2010/wordml" w14:val="none"/>
    </w:rPr>
  </w:style>
  <w:style w:type="character" w:customStyle="1" w:styleId="style4098">
    <w:name w:val="Heading 2 Char_29ca7de5-0b50-4dc2-87ac-efa627d8076c"/>
    <w:basedOn w:val="style65"/>
    <w:next w:val="style4098"/>
    <w:link w:val="style2"/>
    <w:uiPriority w:val="9"/>
    <w:rPr>
      <w:rFonts w:ascii="Arial" w:cs="宋体" w:eastAsia="宋体" w:hAnsi="Arial"/>
      <w:b/>
      <w:color w:val="000000"/>
      <w:kern w:val="0"/>
      <w:sz w:val="28"/>
      <w:szCs w:val="32"/>
      <w14:ligatures xmlns:w14="http://schemas.microsoft.com/office/word/2010/wordml" w14:val="none"/>
    </w:rPr>
  </w:style>
  <w:style w:type="character" w:customStyle="1" w:styleId="style4099">
    <w:name w:val="Heading 3 Char_65ca1a56-10e6-412e-8de4-e08a0bdd3acf"/>
    <w:basedOn w:val="style65"/>
    <w:next w:val="style4099"/>
    <w:link w:val="style3"/>
    <w:uiPriority w:val="9"/>
    <w:rPr>
      <w:rFonts w:ascii="Arial" w:cs="宋体" w:eastAsia="宋体" w:hAnsi="Arial"/>
      <w:b/>
      <w:color w:val="000000"/>
      <w:kern w:val="0"/>
      <w:szCs w:val="28"/>
      <w14:ligatures xmlns:w14="http://schemas.microsoft.com/office/word/2010/wordml" w14:val="none"/>
    </w:rPr>
  </w:style>
  <w:style w:type="character" w:customStyle="1" w:styleId="style4100">
    <w:name w:val="Heading 4 Char_5c116c5b-498e-4322-871e-400abc4c3a40"/>
    <w:basedOn w:val="style65"/>
    <w:next w:val="style4100"/>
    <w:link w:val="style4"/>
    <w:uiPriority w:val="9"/>
    <w:rPr>
      <w:rFonts w:cs="宋体" w:eastAsia="宋体"/>
      <w:i/>
      <w:iCs/>
      <w:color w:val="2f5496"/>
    </w:rPr>
  </w:style>
  <w:style w:type="character" w:customStyle="1" w:styleId="style4101">
    <w:name w:val="Heading 5 Char_f86dd8dd-f1a6-474f-8241-6a03095b3f5a"/>
    <w:basedOn w:val="style65"/>
    <w:next w:val="style4101"/>
    <w:link w:val="style5"/>
    <w:uiPriority w:val="9"/>
    <w:rPr>
      <w:rFonts w:cs="宋体" w:eastAsia="宋体"/>
      <w:color w:val="2f5496"/>
    </w:rPr>
  </w:style>
  <w:style w:type="character" w:customStyle="1" w:styleId="style4102">
    <w:name w:val="Heading 6 Char_55cbc848-fbbe-49c1-9f10-92a8149fe1e6"/>
    <w:basedOn w:val="style65"/>
    <w:next w:val="style4102"/>
    <w:link w:val="style6"/>
    <w:uiPriority w:val="9"/>
    <w:rPr>
      <w:rFonts w:cs="宋体" w:eastAsia="宋体"/>
      <w:i/>
      <w:iCs/>
      <w:color w:val="595959"/>
    </w:rPr>
  </w:style>
  <w:style w:type="character" w:customStyle="1" w:styleId="style4103">
    <w:name w:val="Heading 7 Char_36a596da-e9d7-4c6a-87b0-d98e7c0df1bc"/>
    <w:basedOn w:val="style65"/>
    <w:next w:val="style4103"/>
    <w:link w:val="style7"/>
    <w:uiPriority w:val="9"/>
    <w:rPr>
      <w:rFonts w:cs="宋体" w:eastAsia="宋体"/>
      <w:color w:val="595959"/>
    </w:rPr>
  </w:style>
  <w:style w:type="character" w:customStyle="1" w:styleId="style4104">
    <w:name w:val="Heading 8 Char_d1efbace-3806-4eb1-8131-b7f067f550f0"/>
    <w:basedOn w:val="style65"/>
    <w:next w:val="style4104"/>
    <w:link w:val="style8"/>
    <w:uiPriority w:val="9"/>
    <w:rPr>
      <w:rFonts w:cs="宋体" w:eastAsia="宋体"/>
      <w:i/>
      <w:iCs/>
      <w:color w:val="272727"/>
    </w:rPr>
  </w:style>
  <w:style w:type="character" w:customStyle="1" w:styleId="style4105">
    <w:name w:val="Heading 9 Char_d99ba7d9-94bb-4ddc-bfd4-d796ae4da154"/>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d6a14866-ff01-49b1-9ab3-6a8b08512477"/>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03e7785c-3ce0-490b-9c21-8e838f997499"/>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f52516d2-4d35-4c2c-b89b-327b39d20bdb"/>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paragraph" w:styleId="style32">
    <w:name w:val="footer"/>
    <w:basedOn w:val="style0"/>
    <w:next w:val="style32"/>
    <w:link w:val="style4110"/>
    <w:uiPriority w:val="99"/>
    <w:pPr>
      <w:tabs>
        <w:tab w:val="center" w:leader="none" w:pos="4513"/>
        <w:tab w:val="right" w:leader="none" w:pos="9026"/>
      </w:tabs>
      <w:spacing w:after="0" w:lineRule="auto" w:line="240"/>
    </w:pPr>
    <w:rPr/>
  </w:style>
  <w:style w:type="character" w:customStyle="1" w:styleId="style4110">
    <w:name w:val="Footer Char_750908d8-7371-4560-b6ea-65ebd90afbac"/>
    <w:basedOn w:val="style65"/>
    <w:next w:val="style4110"/>
    <w:link w:val="style32"/>
    <w:uiPriority w:val="99"/>
    <w:rPr>
      <w:kern w:val="0"/>
      <w:sz w:val="22"/>
      <w:szCs w:val="22"/>
      <w14:ligatures xmlns:w14="http://schemas.microsoft.com/office/word/2010/wordml" w14:val="none"/>
    </w:rPr>
  </w:style>
  <w:style w:type="paragraph" w:styleId="style266">
    <w:name w:val="TOC Heading"/>
    <w:basedOn w:val="style1"/>
    <w:next w:val="style0"/>
    <w:qFormat/>
    <w:uiPriority w:val="39"/>
    <w:pPr>
      <w:spacing w:before="240" w:after="0"/>
      <w:outlineLvl w:val="9"/>
    </w:pPr>
    <w:rPr>
      <w:b w:val="false"/>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111">
    <w:name w:val="Grid Table 2"/>
    <w:basedOn w:val="style105"/>
    <w:next w:val="style4111"/>
    <w:uiPriority w:val="47"/>
    <w:pPr>
      <w:spacing w:after="0" w:lineRule="auto" w:line="240"/>
    </w:pPr>
    <w:rPr/>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pPr/>
      <w:rPr>
        <w:b/>
        <w:bCs/>
      </w:rPr>
      <w:tblPr/>
      <w:tcPr>
        <w:tcBorders>
          <w:top w:val="nil"/>
          <w:bottom w:val="single" w:sz="12" w:space="0" w:color="666666"/>
          <w:insideH w:val="nil"/>
          <w:insideV w:val="nil"/>
        </w:tcBorders>
        <w:shd w:val="clear" w:color="auto" w:fill="ffffff"/>
      </w:tcPr>
    </w:tblStylePr>
    <w:tblStylePr w:type="lastRow">
      <w:pPr/>
      <w:rPr>
        <w:b/>
        <w:bCs/>
      </w:rPr>
      <w:tblPr/>
      <w:tcPr>
        <w:tcBorders>
          <w:top w:val="double" w:sz="2" w:space="0" w:color="666666"/>
          <w:bottom w:val="nil"/>
          <w:insideH w:val="nil"/>
          <w:insideV w:val="nil"/>
        </w:tcBorders>
        <w:shd w:val="clear" w:color="auto" w:fill="ffffff"/>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shd w:val="clear" w:color="auto" w:fill="cccccc"/>
      </w:tcPr>
    </w:tblStylePr>
    <w:tcPr>
      <w:tcBorders/>
    </w:tcPr>
  </w:style>
  <w:style w:type="paragraph" w:styleId="style34">
    <w:name w:val="caption"/>
    <w:basedOn w:val="style0"/>
    <w:next w:val="style0"/>
    <w:qFormat/>
    <w:uiPriority w:val="35"/>
    <w:pPr>
      <w:spacing w:after="200" w:lineRule="auto" w:line="240"/>
    </w:pPr>
    <w:rPr>
      <w:i/>
      <w:iCs/>
      <w:color w:val="44546a"/>
      <w:kern w:val="2"/>
      <w:sz w:val="18"/>
      <w:szCs w:val="18"/>
      <w14:ligatures xmlns:w14="http://schemas.microsoft.com/office/word/2010/wordml" w14:val="standardContextual"/>
    </w:rPr>
  </w:style>
  <w:style w:type="character" w:customStyle="1" w:styleId="style4112">
    <w:name w:val="Unresolved Mention1"/>
    <w:basedOn w:val="style65"/>
    <w:next w:val="style4112"/>
    <w:uiPriority w:val="99"/>
    <w:rPr>
      <w:color w:val="605e5c"/>
      <w:shd w:val="clear" w:color="auto" w:fill="e1dfdd"/>
    </w:rPr>
  </w:style>
  <w:style w:type="paragraph" w:styleId="style31">
    <w:name w:val="header"/>
    <w:basedOn w:val="style0"/>
    <w:next w:val="style31"/>
    <w:link w:val="style4113"/>
    <w:uiPriority w:val="99"/>
    <w:pPr>
      <w:tabs>
        <w:tab w:val="center" w:leader="none" w:pos="4680"/>
        <w:tab w:val="right" w:leader="none" w:pos="9360"/>
      </w:tabs>
      <w:spacing w:after="0" w:lineRule="auto" w:line="240"/>
    </w:pPr>
    <w:rPr/>
  </w:style>
  <w:style w:type="character" w:customStyle="1" w:styleId="style4113">
    <w:name w:val="Header Char_d7a1f63b-0707-4fef-a6b5-eaa101e97c90"/>
    <w:basedOn w:val="style65"/>
    <w:next w:val="style4113"/>
    <w:link w:val="style31"/>
    <w:uiPriority w:val="99"/>
    <w:rPr>
      <w:kern w:val="0"/>
      <w:sz w:val="22"/>
      <w:szCs w:val="22"/>
      <w14:ligatures xmlns:w14="http://schemas.microsoft.com/office/word/2010/wordml" w14:val="none"/>
    </w:rPr>
  </w:style>
  <w:style w:type="paragraph" w:styleId="style21">
    <w:name w:val="toc 3"/>
    <w:basedOn w:val="style0"/>
    <w:next w:val="style0"/>
    <w:uiPriority w:val="39"/>
    <w:pPr>
      <w:spacing w:after="100"/>
      <w:ind w:left="440"/>
    </w:pPr>
    <w:rPr/>
  </w:style>
  <w:style w:type="table" w:customStyle="1" w:styleId="style4114">
    <w:name w:val="Plain Table 1"/>
    <w:basedOn w:val="style105"/>
    <w:next w:val="style4114"/>
    <w:uiPriority w:val="41"/>
    <w:pPr>
      <w:spacing w:after="0" w:lineRule="auto" w:line="240"/>
    </w:pPr>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pPr/>
      <w:rPr>
        <w:b/>
        <w:bCs/>
      </w:rPr>
      <w:tcPr>
        <w:tcBorders/>
      </w:tcPr>
    </w:tblStylePr>
    <w:tblStylePr w:type="lastRow">
      <w:pPr/>
      <w:rPr>
        <w:b/>
        <w:bCs/>
      </w:rPr>
      <w:tblPr/>
      <w:tcPr>
        <w:tcBorders>
          <w:top w:val="double" w:sz="4" w:space="0" w:color="bfbfbf"/>
        </w:tcBorders>
      </w:tcPr>
    </w:tblStylePr>
    <w:tblStylePr w:type="band1Horz">
      <w:pPr/>
      <w:tblPr/>
      <w:tcPr>
        <w:tcBorders/>
        <w:shd w:val="clear" w:color="auto" w:fill="f2f2f2"/>
      </w:tcPr>
    </w:tblStylePr>
    <w:tblStylePr w:type="firstCol">
      <w:pPr/>
      <w:rPr>
        <w:b/>
        <w:bCs/>
      </w:rPr>
      <w:tcPr>
        <w:tcBorders/>
      </w:tcPr>
    </w:tblStylePr>
    <w:tblStylePr w:type="lastCol">
      <w:pPr/>
      <w:rPr>
        <w:b/>
        <w:bCs/>
      </w:rPr>
      <w:tcPr>
        <w:tcBorders/>
      </w:tcPr>
    </w:tblStylePr>
    <w:tblStylePr w:type="band1Vert">
      <w:pPr/>
      <w:tblPr/>
      <w:tcPr>
        <w:tcBorders/>
        <w:shd w:val="clear" w:color="auto" w:fill="f2f2f2"/>
      </w:tcPr>
    </w:tblStylePr>
    <w:tcPr>
      <w:tcBorders/>
    </w:tcPr>
  </w:style>
  <w:style w:type="paragraph" w:styleId="style35">
    <w:name w:val="table of figures"/>
    <w:basedOn w:val="style0"/>
    <w:next w:val="style0"/>
    <w:uiPriority w:val="99"/>
    <w:pPr>
      <w:spacing w:after="0"/>
    </w:pPr>
    <w:rPr/>
  </w:style>
  <w:style w:type="paragraph" w:styleId="style94">
    <w:name w:val="Normal (Web)"/>
    <w:basedOn w:val="style0"/>
    <w:next w:val="style94"/>
    <w:uiPriority w:val="99"/>
    <w:pPr/>
    <w:rPr>
      <w:rFonts w:ascii="Times New Roman" w:cs="Times New Roman" w:hAnsi="Times New Roman"/>
      <w:sz w:val="24"/>
      <w:szCs w:val="24"/>
    </w:rPr>
  </w:style>
  <w:style w:type="character" w:styleId="style86">
    <w:name w:val="FollowedHyperlink"/>
    <w:basedOn w:val="style65"/>
    <w:next w:val="style86"/>
    <w:uiPriority w:val="99"/>
    <w:rPr>
      <w:color w:val="954f72"/>
      <w:u w:val="single"/>
    </w:rPr>
  </w:style>
  <w:style w:type="character" w:customStyle="1" w:styleId="style4115">
    <w:name w:val="Unresolved Mention"/>
    <w:basedOn w:val="style65"/>
    <w:next w:val="style4115"/>
    <w:uiPriority w:val="99"/>
    <w:rPr>
      <w:color w:val="605e5c"/>
      <w:shd w:val="clear" w:color="auto" w:fill="e1dfdd"/>
    </w:rPr>
  </w:style>
  <w:style w:type="character" w:customStyle="1" w:styleId="style4116">
    <w:name w:val="apple-style-span"/>
    <w:next w:val="style4116"/>
  </w:style>
  <w:style w:type="character" w:customStyle="1" w:styleId="style4117">
    <w:name w:val="nw1"/>
    <w:next w:val="style4117"/>
    <w:uiPriority w:val="99"/>
  </w:style>
  <w:style w:type="paragraph" w:customStyle="1" w:styleId="style4118">
    <w:name w:val="Normal (Web)1"/>
    <w:basedOn w:val="style0"/>
    <w:next w:val="style4118"/>
    <w:uiPriority w:val="99"/>
    <w:pPr>
      <w:spacing w:after="0" w:lineRule="auto" w:line="240"/>
    </w:pPr>
    <w:rPr>
      <w:rFonts w:ascii="Times New Roman" w:cs="Times New Roman" w:eastAsia="Calibri" w:hAnsi="Times New Roman"/>
      <w:sz w:val="24"/>
      <w:szCs w:val="24"/>
      <w:lang w:val="en-GB" w:eastAsia="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header" Target="header2.xml"/><Relationship Id="rId6" Type="http://schemas.openxmlformats.org/officeDocument/2006/relationships/footer" Target="footer3.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330D1-6862-4BD0-8E55-7E9A71447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3662</Words>
  <Pages>17</Pages>
  <Characters>23131</Characters>
  <Application>WPS Office</Application>
  <DocSecurity>0</DocSecurity>
  <Paragraphs>282</Paragraphs>
  <ScaleCrop>false</ScaleCrop>
  <LinksUpToDate>false</LinksUpToDate>
  <CharactersWithSpaces>26605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2026-07-15T08:36:00Z</dcterms:created>
  <dc:creator>Miraz Mohammad Emon</dc:creator>
  <lastModifiedBy>24117RN76O</lastModifiedBy>
  <lastPrinted>2025-09-29T07:23:00Z</lastPrinted>
  <dcterms:modified xsi:type="dcterms:W3CDTF">2026-07-15T13:45:15Z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1b4135e3eacd4e228d407e01ce91b439_23</vt:lpwstr>
  </property>
</Properties>
</file>